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66" w:lineRule="exact"/>
        <w:rPr>
          <w:sz w:val="24"/>
          <w:szCs w:val="24"/>
          <w:color w:val="auto"/>
        </w:rPr>
      </w:pPr>
    </w:p>
    <w:p>
      <w:pPr>
        <w:ind w:left="4460" w:right="1820" w:hanging="2635"/>
        <w:spacing w:after="0" w:line="271" w:lineRule="auto"/>
        <w:tabs>
          <w:tab w:leader="none" w:pos="210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9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47"/>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3660" w:type="dxa"/>
            <w:vAlign w:val="bottom"/>
            <w:gridSpan w:val="3"/>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3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80"/>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9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6"/>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25"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3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63"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343"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59"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56"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115,793,932 shares of common stock, $0.0005 par value per share, as of November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2024 and October 31, 2024 (Unaudited)</w:t>
            </w:r>
          </w:p>
        </w:tc>
        <w:tc>
          <w:tcPr>
            <w:tcW w:w="258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October 31, 2023 and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and Nine Months Ended October 31, 2023 and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2024</w:t>
            </w: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Nine Months Ended October 31, 2023 and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2024</w:t>
            </w: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2023 and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4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6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100" w:type="dxa"/>
            <w:vAlign w:val="bottom"/>
            <w:gridSpan w:val="2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12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$2,277 and $1,595 at January 31, 2024 and October 31, 2024,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257,894</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allowances of $1,451 and $1,172 at January 31, 2024 and October 31, 2024,</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250,775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348,644</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908,559</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128,344</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(related party $2,500 at January 31, 2024 and October 31, 2024)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1,340,430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1,516,606</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132,382</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178,913</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noncurrent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51,624</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287,826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423,100</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75"/>
        </w:trPr>
        <w:tc>
          <w:tcPr>
            <w:tcW w:w="85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as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8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31, 2024 and October 31, 2024</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as of January 31, 2024 and October 31,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4"/>
        </w:trPr>
        <w:tc>
          <w:tcPr>
            <w:tcW w:w="8560" w:type="dxa"/>
            <w:vAlign w:val="bottom"/>
            <w:shd w:val="clear" w:color="auto" w:fill="CCEEFF"/>
          </w:tcPr>
          <w:p>
            <w:pPr>
              <w:ind w:left="620"/>
              <w:spacing w:after="0" w:line="184" w:lineRule="exact"/>
              <w:rPr>
                <w:sz w:val="20"/>
                <w:szCs w:val="20"/>
                <w:color w:val="auto"/>
              </w:rPr>
            </w:pPr>
            <w:r>
              <w:rPr>
                <w:rFonts w:ascii="Times New Roman" w:cs="Times New Roman" w:eastAsia="Times New Roman" w:hAnsi="Times New Roman"/>
                <w:sz w:val="18"/>
                <w:szCs w:val="18"/>
                <w:color w:val="auto"/>
              </w:rPr>
              <w:t>2024; 113,684,299 and 115,650,585 shares issued and outstanding as of January 31, 2024 and October 31,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1,456,411</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(369,821)</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1,088,263</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1,340,430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1,516,606</w:t>
            </w: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55,076</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(Note</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(Note 3)</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nCino, Inc.: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112,951,553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112,484,017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114,970,622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4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(17,472)</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r>
      <w:tr>
        <w:trPr>
          <w:trHeight w:val="156"/>
        </w:trPr>
        <w:tc>
          <w:tcPr>
            <w:tcW w:w="5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2"/>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175"/>
        </w:trPr>
        <w:tc>
          <w:tcPr>
            <w:tcW w:w="5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attributable to redeemable non-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1"/>
        </w:trPr>
        <w:tc>
          <w:tcPr>
            <w:tcW w:w="5320" w:type="dxa"/>
            <w:vAlign w:val="bottom"/>
            <w:shd w:val="clear" w:color="auto" w:fill="CCEEFF"/>
          </w:tcPr>
          <w:p>
            <w:pPr>
              <w:ind w:left="68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redeemable non-</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65"/>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 2023</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12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8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jc w:val="center"/>
              <w:ind w:right="6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160" w:type="dxa"/>
            <w:vAlign w:val="bottom"/>
          </w:tcPr>
          <w:p>
            <w:pPr>
              <w:spacing w:after="0"/>
              <w:rPr>
                <w:sz w:val="8"/>
                <w:szCs w:val="8"/>
                <w:color w:val="auto"/>
              </w:rPr>
            </w:pPr>
          </w:p>
        </w:tc>
        <w:tc>
          <w:tcPr>
            <w:tcW w:w="108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112,661,660</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1,364,757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(337,516)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1,028,141</w:t>
            </w: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262,298</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 plan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0" w:type="dxa"/>
            <w:vAlign w:val="bottom"/>
          </w:tcPr>
          <w:p>
            <w:pPr>
              <w:spacing w:after="0"/>
              <w:rPr>
                <w:sz w:val="1"/>
                <w:szCs w:val="1"/>
                <w:color w:val="auto"/>
              </w:rPr>
            </w:pPr>
          </w:p>
        </w:tc>
      </w:tr>
      <w:tr>
        <w:trPr>
          <w:trHeight w:val="234"/>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343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3771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ind w:left="520" w:hanging="161"/>
        <w:spacing w:after="0" w:line="230" w:lineRule="auto"/>
        <w:rPr>
          <w:sz w:val="20"/>
          <w:szCs w:val="20"/>
          <w:color w:val="auto"/>
        </w:rPr>
      </w:pPr>
      <w:r>
        <w:rPr>
          <w:rFonts w:ascii="Times New Roman" w:cs="Times New Roman" w:eastAsia="Times New Roman" w:hAnsi="Times New Roman"/>
          <w:sz w:val="17"/>
          <w:szCs w:val="17"/>
          <w:color w:val="auto"/>
        </w:rPr>
        <w:t>Net loss attributable to nCino, Inc., including adjustment to redeemable non-controlling</w:t>
      </w:r>
    </w:p>
    <w:p>
      <w:pPr>
        <w:ind w:left="520"/>
        <w:spacing w:after="0"/>
        <w:rPr>
          <w:sz w:val="20"/>
          <w:szCs w:val="20"/>
          <w:color w:val="auto"/>
        </w:rPr>
      </w:pPr>
      <w:r>
        <w:rPr>
          <w:rFonts w:ascii="Times New Roman" w:cs="Times New Roman" w:eastAsia="Times New Roman" w:hAnsi="Times New Roman"/>
          <w:sz w:val="18"/>
          <w:szCs w:val="18"/>
          <w:color w:val="auto"/>
        </w:rPr>
        <w:t>interest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October 31, 2023</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113,030,730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1,382,019</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1,028,609</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4688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3600" w:space="240"/>
            <w:col w:w="7380"/>
          </w:cols>
          <w:pgMar w:left="32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12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5"/>
                <w:szCs w:val="5"/>
                <w:color w:val="auto"/>
              </w:rPr>
            </w:pPr>
          </w:p>
        </w:tc>
        <w:tc>
          <w:tcPr>
            <w:tcW w:w="108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115,387,309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1,439,245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1,074,855</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115,650,585</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1,456,411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(369,821)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1,088,263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5"/>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18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restart"/>
          </w:tcPr>
          <w:p>
            <w:pPr>
              <w:jc w:val="center"/>
              <w:ind w:right="12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restart"/>
          </w:tcPr>
          <w:p>
            <w:pPr>
              <w:ind w:left="6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Capital</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Income (Loss)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Deficit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111,424,132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(310,341)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1,039,074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gridSpan w:val="2"/>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(44,032)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October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113,030,730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1,382,019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(354,373)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 2024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5"/>
            <w:vMerge w:val="restart"/>
          </w:tcPr>
          <w:p>
            <w:pPr>
              <w:jc w:val="right"/>
              <w:ind w:right="39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Deficit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113,684,299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1,400,881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1,581,387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2024</w:t>
            </w:r>
          </w:p>
        </w:tc>
        <w:tc>
          <w:tcPr>
            <w:tcW w:w="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115,650,585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1,456,411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33655</wp:posOffset>
            </wp:positionV>
            <wp:extent cx="1791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5" w:lineRule="exact"/>
        <w:rPr>
          <w:sz w:val="20"/>
          <w:szCs w:val="20"/>
          <w:color w:val="auto"/>
        </w:rPr>
      </w:pPr>
    </w:p>
    <w:p>
      <w:pPr>
        <w:ind w:left="896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22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loss attributable to nCino, Inc.</w:t>
      </w:r>
    </w:p>
    <w:p>
      <w:pPr>
        <w:spacing w:after="0" w:line="46" w:lineRule="exact"/>
        <w:rPr>
          <w:sz w:val="20"/>
          <w:szCs w:val="20"/>
          <w:color w:val="auto"/>
        </w:rPr>
      </w:pPr>
    </w:p>
    <w:p>
      <w:pPr>
        <w:ind w:left="360" w:right="2500"/>
        <w:spacing w:after="0" w:line="299" w:lineRule="auto"/>
        <w:rPr>
          <w:sz w:val="20"/>
          <w:szCs w:val="20"/>
          <w:color w:val="auto"/>
        </w:rPr>
      </w:pPr>
      <w:r>
        <w:rPr>
          <w:rFonts w:ascii="Times New Roman" w:cs="Times New Roman" w:eastAsia="Times New Roman" w:hAnsi="Times New Roman"/>
          <w:sz w:val="16"/>
          <w:szCs w:val="16"/>
          <w:color w:val="auto"/>
        </w:rPr>
        <w:t>Net loss and adjustment attributable to redeemable non-controlling interest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Provision for bad debt</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Net foreign currency losses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Loss on disposal of long-lived assets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Accrued expenses and other liabilities</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Purchase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Investment from redeemable non-controlling interest</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(19,268)</w:t>
            </w:r>
          </w:p>
        </w:tc>
      </w:tr>
      <w:tr>
        <w:trPr>
          <w:trHeight w:val="219"/>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220"/>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(17,472)</w:t>
            </w:r>
          </w:p>
        </w:tc>
      </w:tr>
      <w:tr>
        <w:trPr>
          <w:trHeight w:val="432"/>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53,015</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459"/>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(13,199)</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(41,604)</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(2,936)</w:t>
            </w:r>
          </w:p>
        </w:tc>
      </w:tr>
      <w:tr>
        <w:trPr>
          <w:trHeight w:val="210"/>
        </w:trPr>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49,137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65,218</w:t>
            </w:r>
          </w:p>
        </w:tc>
      </w:tr>
    </w:tbl>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—(90,839)</w:t>
      </w:r>
    </w:p>
    <w:p>
      <w:pPr>
        <w:spacing w:after="0" w:line="59" w:lineRule="exact"/>
        <w:rPr>
          <w:sz w:val="20"/>
          <w:szCs w:val="20"/>
          <w:color w:val="auto"/>
        </w:rPr>
      </w:pPr>
    </w:p>
    <w:p>
      <w:pPr>
        <w:ind w:left="2440" w:hanging="1456"/>
        <w:spacing w:after="0"/>
        <w:tabs>
          <w:tab w:leader="none" w:pos="2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(450)</w:t>
      </w:r>
    </w:p>
    <w:p>
      <w:pPr>
        <w:spacing w:after="0" w:line="59"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(3,083)(1,466)</w:t>
      </w:r>
    </w:p>
    <w:p>
      <w:pPr>
        <w:spacing w:after="0" w:line="59"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w:t>
      </w:r>
    </w:p>
    <w:p>
      <w:pPr>
        <w:spacing w:after="0" w:line="59" w:lineRule="exact"/>
        <w:rPr>
          <w:sz w:val="20"/>
          <w:szCs w:val="20"/>
          <w:color w:val="auto"/>
        </w:rPr>
      </w:pPr>
    </w:p>
    <w:p>
      <w:pPr>
        <w:ind w:left="860"/>
        <w:spacing w:after="0"/>
        <w:tabs>
          <w:tab w:leader="none" w:pos="2220" w:val="left"/>
        </w:tabs>
        <w:rPr>
          <w:sz w:val="20"/>
          <w:szCs w:val="20"/>
          <w:color w:val="auto"/>
        </w:rPr>
      </w:pPr>
      <w:r>
        <w:rPr>
          <w:rFonts w:ascii="Times New Roman" w:cs="Times New Roman" w:eastAsia="Times New Roman" w:hAnsi="Times New Roman"/>
          <w:sz w:val="16"/>
          <w:szCs w:val="16"/>
          <w:color w:val="auto"/>
        </w:rPr>
        <w:t>(5,939)</w:t>
      </w:r>
      <w:r>
        <w:rPr>
          <w:sz w:val="20"/>
          <w:szCs w:val="20"/>
          <w:color w:val="auto"/>
        </w:rPr>
        <w:tab/>
      </w:r>
      <w:r>
        <w:rPr>
          <w:rFonts w:ascii="Times New Roman" w:cs="Times New Roman" w:eastAsia="Times New Roman" w:hAnsi="Times New Roman"/>
          <w:sz w:val="16"/>
          <w:szCs w:val="16"/>
          <w:color w:val="auto"/>
        </w:rPr>
        <w:t>(92,755)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791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82" w:lineRule="exact"/>
        <w:rPr>
          <w:sz w:val="20"/>
          <w:szCs w:val="20"/>
          <w:color w:val="auto"/>
        </w:rPr>
      </w:pPr>
    </w:p>
    <w:p>
      <w:pPr>
        <w:ind w:left="1060"/>
        <w:spacing w:after="0"/>
        <w:tabs>
          <w:tab w:leader="none" w:pos="2580" w:val="left"/>
        </w:tabs>
        <w:rPr>
          <w:sz w:val="20"/>
          <w:szCs w:val="20"/>
          <w:color w:val="auto"/>
        </w:rPr>
      </w:pPr>
      <w:r>
        <w:rPr>
          <w:rFonts w:ascii="Times New Roman" w:cs="Times New Roman" w:eastAsia="Times New Roman" w:hAnsi="Times New Roman"/>
          <w:sz w:val="16"/>
          <w:szCs w:val="16"/>
          <w:color w:val="auto"/>
        </w:rPr>
        <w:t>983</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—241,000</w:t>
      </w:r>
    </w:p>
    <w:p>
      <w:pPr>
        <w:spacing w:after="0" w:line="59" w:lineRule="exact"/>
        <w:rPr>
          <w:sz w:val="20"/>
          <w:szCs w:val="20"/>
          <w:color w:val="auto"/>
        </w:rPr>
      </w:pPr>
    </w:p>
    <w:p>
      <w:pPr>
        <w:ind w:left="780"/>
        <w:spacing w:after="0"/>
        <w:tabs>
          <w:tab w:leader="none" w:pos="2220" w:val="left"/>
        </w:tabs>
        <w:rPr>
          <w:sz w:val="20"/>
          <w:szCs w:val="20"/>
          <w:color w:val="auto"/>
        </w:rPr>
      </w:pPr>
      <w:r>
        <w:rPr>
          <w:rFonts w:ascii="Times New Roman" w:cs="Times New Roman" w:eastAsia="Times New Roman" w:hAnsi="Times New Roman"/>
          <w:sz w:val="16"/>
          <w:szCs w:val="16"/>
          <w:color w:val="auto"/>
        </w:rPr>
        <w:t>(30,000)</w:t>
      </w:r>
      <w:r>
        <w:rPr>
          <w:sz w:val="20"/>
          <w:szCs w:val="20"/>
          <w:color w:val="auto"/>
        </w:rPr>
        <w:tab/>
      </w:r>
      <w:r>
        <w:rPr>
          <w:rFonts w:ascii="Times New Roman" w:cs="Times New Roman" w:eastAsia="Times New Roman" w:hAnsi="Times New Roman"/>
          <w:sz w:val="16"/>
          <w:szCs w:val="16"/>
          <w:color w:val="auto"/>
        </w:rPr>
        <w:t>(75,000)</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—(1,382)</w:t>
      </w:r>
    </w:p>
    <w:p>
      <w:pPr>
        <w:spacing w:after="0" w:line="59"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4"/>
              </w:rPr>
              <w:t>3,176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r>
      <w:tr>
        <w:trPr>
          <w:trHeight w:val="243"/>
        </w:trPr>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4"/>
              </w:rPr>
              <w:t>2,698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r>
    </w:tbl>
    <w:p>
      <w:pPr>
        <w:spacing w:after="0" w:line="33" w:lineRule="exact"/>
        <w:rPr>
          <w:sz w:val="20"/>
          <w:szCs w:val="20"/>
          <w:color w:val="auto"/>
        </w:rPr>
      </w:pPr>
    </w:p>
    <w:p>
      <w:pPr>
        <w:ind w:left="2440" w:hanging="1456"/>
        <w:spacing w:after="0"/>
        <w:tabs>
          <w:tab w:leader="none" w:pos="2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(916)</w:t>
      </w:r>
    </w:p>
    <w:p>
      <w:pPr>
        <w:spacing w:after="0" w:line="26" w:lineRule="exact"/>
        <w:rPr>
          <w:sz w:val="20"/>
          <w:szCs w:val="20"/>
          <w:color w:val="auto"/>
        </w:rPr>
      </w:pPr>
    </w:p>
    <w:p>
      <w:pPr>
        <w:sectPr>
          <w:pgSz w:w="11900" w:h="16838" w:orient="portrait"/>
          <w:cols w:equalWidth="0" w:num="2">
            <w:col w:w="7700" w:space="720"/>
            <w:col w:w="28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(24,031)</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168,439</w:t>
            </w:r>
          </w:p>
        </w:tc>
      </w:tr>
      <w:tr>
        <w:trPr>
          <w:trHeight w:val="22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20"/>
        </w:trPr>
        <w:tc>
          <w:tcPr>
            <w:tcW w:w="84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140,809</w:t>
            </w: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117,444</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105,823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258,253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100,475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257,894</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long-term prepaid expenses and other assets</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105,823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258,253</w:t>
            </w:r>
          </w:p>
        </w:tc>
      </w:tr>
      <w:tr>
        <w:trPr>
          <w:trHeight w:val="20"/>
        </w:trPr>
        <w:tc>
          <w:tcPr>
            <w:tcW w:w="8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w:t>
            </w: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7"/>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costs, accrued but not paid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a software-as-a-service ("SaaS") company that provides software applications to financial institutions to streamline employee and client interactions. The Company is headquartered in Wilmington, North Carolina and has various locations in the U.S., North America, Europe, Asia Pacific, and South Africa.</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Company’s fiscal year ends on January 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2024 filed with the SEC on March 26, 2024. The unaudited condensed consolidated financial statements include accounts of the Company’s wholly-owned subsidiaries, as well as a variable interest entity in which the Company is the primary beneficiary. All intercompany accounts and transactions are eliminated.</w:t>
      </w:r>
    </w:p>
    <w:p>
      <w:pPr>
        <w:spacing w:after="0" w:line="19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76"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2025 or any future period.</w:t>
      </w:r>
    </w:p>
    <w:p>
      <w:pPr>
        <w:spacing w:after="0" w:line="17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2"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2024 and October 31, 2024. The Company maintains its cash, cash equivalents and restricted cash with high-credit-quality financial institutions.</w:t>
      </w:r>
    </w:p>
    <w:p>
      <w:pPr>
        <w:spacing w:after="0" w:line="180"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2024, no individual customer represented 10% of accounts receivable and, as of October 31, 2024, one individual customer represented 10% of accounts receivable. For the three and nine months ended October 31, 2023 and 2024, no individual customer represented more than 10% of the Company’s total revenues.</w:t>
      </w:r>
    </w:p>
    <w:p>
      <w:pPr>
        <w:spacing w:after="0" w:line="172" w:lineRule="exact"/>
        <w:rPr>
          <w:sz w:val="20"/>
          <w:szCs w:val="20"/>
          <w:color w:val="auto"/>
        </w:rPr>
      </w:pPr>
    </w:p>
    <w:p>
      <w:pPr>
        <w:ind w:right="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primarily consisted of a minimum cash balance the Company maintained with a lender under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revolving credit facility at January 31, 2024. Restricted cash consists of deposits held as collateral for the Company's bank guarantees issued in place of security deposits for certain property leases and credit cards at October 31, 2024. Restricted cash is included in long-term prepaid expenses and other assets and on the unaudited condensed consolidated balance sheets.</w:t>
      </w:r>
    </w:p>
    <w:p>
      <w:pPr>
        <w:spacing w:after="0" w:line="176" w:lineRule="exact"/>
        <w:rPr>
          <w:sz w:val="20"/>
          <w:szCs w:val="20"/>
          <w:color w:val="auto"/>
        </w:rPr>
      </w:pPr>
    </w:p>
    <w:p>
      <w:pPr>
        <w:ind w:right="80" w:firstLine="891"/>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Allowances: </w:t>
      </w:r>
      <w:r>
        <w:rPr>
          <w:rFonts w:ascii="Times New Roman" w:cs="Times New Roman" w:eastAsia="Times New Roman" w:hAnsi="Times New Roman"/>
          <w:sz w:val="17"/>
          <w:szCs w:val="17"/>
          <w:color w:val="auto"/>
        </w:rPr>
        <w:t>The Company records allowances for doubtful accounts based upon the credit worthiness of customers, historical experience,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unaudited condensed consolidated statements of operations, included in general and administrative expenses, up to the amount of revenues recognized to date. Any incremental allowance is recorded as an offset to deferred revenue on the unaudited condensed consolidated balance sheets. Receivables are written off and charged against the recorded allowance when the Company has exhausted collection efforts without success.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and reserve for expected credit losses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bad debt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deferred revenue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8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Company's investments are non-marketable equity investments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investments are measured at cost with adjustments for observable changes in price or impairment as permitted by the measurement alternative. The Company assesses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each reporting period if the investments continue to qualify for the measurement alternative. Gains or losses resulting from observable price changes are recognized currently in the Company's unaudited condensed consolidated statements of operations. The Company assesses the investments whenever events or changes in circumstances indicate that the carrying value of the investments may not be recoverable.</w:t>
      </w:r>
    </w:p>
    <w:p>
      <w:pPr>
        <w:spacing w:after="0" w:line="172"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Not Yet Adopted: </w:t>
      </w: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The guidance includes amendments to improve reportable segment disclosure requirements, primarily through enhanced disclosures about significant segment expenses. The ASU is effective for fiscal years beginning after December 15, 2023 on a retrospective basis, and interim periods within fiscal years beginning after December 15, 2024. Early adoption is permitted. The Company is currently evaluating the impact that the adoption of this standard will have on the Company’s unaudited condensed consolidated financial statements.</w:t>
      </w:r>
    </w:p>
    <w:p>
      <w:pPr>
        <w:spacing w:after="0" w:line="186"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is currently evaluating the impact that the adoption of this standard will have on the Company’s unaudited condensed consolidated financial statements.</w:t>
      </w:r>
    </w:p>
    <w:p>
      <w:pPr>
        <w:spacing w:after="0" w:line="183"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The guidance includes amendments to require public companies to provide additional disclosure about certain costs and expenses. The ASU is effective for annual periods beginning after December 15, 2026, and interim periods beginning after December 15, 2027. Early adoption is permitted. The Company is currently evaluating the impact that the adoption of this standard will have on the Company’s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October 31, 2024, the Company controls a majority of the outstanding common stock in nCino K.K. In October 2023, the Company made a further investment in nCino K.K. of $1.0 million that, including additional investments in nCino K.K. of $1.0 million by existing third-party investors in October 2023, maintained the Company's ownership of 51%.</w:t>
      </w:r>
    </w:p>
    <w:p>
      <w:pPr>
        <w:spacing w:after="0" w:line="187" w:lineRule="exact"/>
        <w:rPr>
          <w:sz w:val="20"/>
          <w:szCs w:val="20"/>
          <w:color w:val="auto"/>
        </w:rPr>
      </w:pPr>
    </w:p>
    <w:p>
      <w:pPr>
        <w:ind w:right="20" w:firstLine="891"/>
        <w:spacing w:after="0" w:line="277" w:lineRule="auto"/>
        <w:rPr>
          <w:sz w:val="20"/>
          <w:szCs w:val="20"/>
          <w:color w:val="auto"/>
        </w:rPr>
      </w:pPr>
      <w:r>
        <w:rPr>
          <w:rFonts w:ascii="Times New Roman" w:cs="Times New Roman" w:eastAsia="Times New Roman" w:hAnsi="Times New Roman"/>
          <w:sz w:val="17"/>
          <w:szCs w:val="17"/>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by redeemable non-controlling interest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(excluding</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non-controlling interest)</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30"/>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nCino K.K. stock options granted in accordance with nCino K.K.'s equity incentive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2024 and October 31, 2024 because of the relatively short duration of these instruments.</w:t>
      </w:r>
    </w:p>
    <w:p>
      <w:pPr>
        <w:spacing w:after="0" w:line="162"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any outstanding borrowings on the Company's revolving credit facility approximates fair value due to the variable interest rates of the borrowings.</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2024 and October 31, 2024 and indicates the fair value hierarchy of the valuation: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Time deposits (included in long-term prepaid expenses and other assets)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October 31, 2024</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investments accounted for under the measurement alternative. There was no adjustment or impairment recognized for the three and nine months ended October 31, 2023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Area</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316,357</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82,930</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For the three and nine months ended October 31, 2023 and 2024, no country outside the United States represented 10% or more of total revenues.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2024 and October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nine months ended October 31, 2024, $167.9 million of revenues were recognized out of the deferred revenue balance as of January 31, 2024.</w:t>
      </w:r>
    </w:p>
    <w:p>
      <w:pPr>
        <w:spacing w:after="0" w:line="180"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$1.10 billion as of October 31, 2024. The Company expects to recognize approximately 67% of its remaining performance obligation as revenues in the next 24 months, approximately 27% more in the following 25 to 48 months, and the remainder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4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40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DocFox, Inc. (“DocFox”)</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On March 20, 2024 (the "DocFox Acquisition Date"), the Company acquired through a merger the outstanding equity interests of DocFox, which provides a solution to automate onboarding experiences for commercial and business banking. The Company acquired DocFox for its complementary product set, which helps simplify and automate the onboarding and account opening process. The Company has included the financial results of DocFox in the consolidated statements of operations from the DocFox Acquisition Date. Including the $2.0 million in post combination expense referenced below, transaction costs associated with the DocFox acquisition were approximately $3.9 million and were recorded in general and administrative expenses for the three months ended April 30, 2024.</w:t>
      </w:r>
    </w:p>
    <w:p>
      <w:pPr>
        <w:spacing w:after="0" w:line="18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Company paid a total of $74.3 million in cash as of the DocFox Acquisition Date. Included in the total cash paid was $6.2 million for DocFox common stock options that were cash settled on the DocFox Acquisition Date. The $6.2 million fair value of the DocFox common stock options was allocated between consideration transferred and post combination expense in the amounts of $4.2 million and $2.0 million, respectively. As there was no future service requirement due to accelerated vesting of these options, the entire $2.0 million was recorded as transaction cost immediately following the acquisition and not in consideration transferred. The $2.0 million is included within general and administrative expense for the three months ended April 30, 2024. The estimated fair value of the consideration transferred was $72.4 million on the DocFox Acquisition Date.</w:t>
      </w:r>
    </w:p>
    <w:p>
      <w:pPr>
        <w:spacing w:after="0" w:line="187"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198,505 RSUs with an approximate fair value of $6.1 million to certain employees of DocFox, which will vest over four years subject to such employees' continued employment. The RSUs will be recorded as stock-based compensation expense post-acquisition as the RSUs vest and has been excluded from the purchase consideration.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DocFox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DocFox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2025, but no later than one year from the DocFox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(iii) finalizing the evaluation and valuation of certain legal matters and/or loss contingencies, including those that the Company may not yet be aware of but meet the requirement to qualify as a pre-acquisition contingency, (iv) finalizing our estimate of the impact of acquisition accounting on deferred income taxes or liabilities, including uncertain tax positions, and (v)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87"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DocFox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DocFox's technology. Customer relationships represent the preliminary fair value of the underlying relationships with DocFox's customers. Trade names represents the preliminary fair value of DocFox’s company name. The Company continues to assess the rates used in the preliminary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valuation methods such as, but not limited to, the discount rates for developed technology, customer relationships and trade name and customer attrition rate for customer relationships.</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DocFox since the DocFox Acquisition Date are included in the Company's unaudited condensed consolidated financial statements and are not material to the Company. The Company has not disclosed pro-forma revenue and earnings attributable to DocFox as they did not have a material effect on the Company’s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Lending Technologies, LLC (“ILT”)</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On April 1, 2024 (the "ILT Acquisition Date”), the Company acquired all outstanding membership interests of ILT, which provides consumer loan origination software that streamlines direct and indirect lending operations. The Company acquired ILT for its complementary products and believes this will provide greater value for new and existing customers. The Company has included the financial results of ILT in the consolidated statements of operations from the ILT Acquisition Date. Transaction costs associated with the ILT acquisition were approximately $0.9 million and were recorded in general and administrative expenses for the three months ended April 30, 2024.</w:t>
      </w:r>
    </w:p>
    <w:p>
      <w:pPr>
        <w:spacing w:after="0" w:line="183"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fair value of the consideration transferred was $19.9 million and paid in cash on the ILT Acquisition Date, subject to a net working capital adjustment. The net working capital adjustment was finalized in July 2024, resulting in an increase to the purchase price of $0.1 million which was recorded to goodwill.</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ILT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20,038</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ILT Acquisition Date. Any excess consideration over the fair value of the assets acquired and liabilities assumed was recognized as goodwill and is subject to revision as the purchase price allocation is completed. The Company determined the acquisition date contract assets and liabilities in accordance with ASC 606.</w:t>
      </w:r>
    </w:p>
    <w:p>
      <w:pPr>
        <w:spacing w:after="0" w:line="180"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2025, but no later than one year from the ILT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and valuations are finalized.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and (iii)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ILT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6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estimated fair value of ILT’s technology. Customer relationships represent the preliminary estimated fair value of the underlying relationships with ILT’s customers. Trade name represents the preliminary estimated fair value of ILT’s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80" w:lineRule="exact"/>
        <w:rPr>
          <w:sz w:val="20"/>
          <w:szCs w:val="20"/>
          <w:color w:val="auto"/>
        </w:rPr>
      </w:pPr>
    </w:p>
    <w:p>
      <w:pPr>
        <w:jc w:val="both"/>
        <w:ind w:right="28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and approximately $11.1 million is expected to be deductible for tax purposes.</w:t>
      </w:r>
    </w:p>
    <w:p>
      <w:pPr>
        <w:spacing w:after="0" w:line="16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ILT since the ILT Acquisition Date are included in the Company's unaudited condensed consolidated financial statements and are not material to the Company. The Company has not disclosed pro-forma revenue and earnings attributable to ILT as they did not have a material effect on the Company’s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838,869</w:t>
            </w:r>
          </w:p>
        </w:tc>
        <w:tc>
          <w:tcPr>
            <w:tcW w:w="0" w:type="dxa"/>
            <w:vAlign w:val="bottom"/>
          </w:tcPr>
          <w:p>
            <w:pPr>
              <w:spacing w:after="0"/>
              <w:rPr>
                <w:sz w:val="1"/>
                <w:szCs w:val="1"/>
                <w:color w:val="auto"/>
              </w:rPr>
            </w:pPr>
          </w:p>
        </w:tc>
      </w:tr>
      <w:tr>
        <w:trPr>
          <w:trHeight w:val="230"/>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2024</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908,559</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43,112</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During the nine months ended October 31, 2024, the Company wrote off approximately $20.6 million of fully amortized intangible assets and the corresponding accumulated amortization.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w:t>
            </w:r>
          </w:p>
        </w:tc>
      </w:tr>
      <w:tr>
        <w:trPr>
          <w:trHeight w:val="20"/>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891"/>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2024, the Company rebranded the SimpleNexus solution to nCino Mortgage, resulting in a change to the trade name useful life and recorded incremental amortization of $10.1 million to fully amortize the remaining trade name intangible asset.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October 31, 2024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28,896</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27,628</w:t>
            </w: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nine months ended October 31, 2024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460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2024</w:t>
            </w:r>
          </w:p>
        </w:tc>
        <w:tc>
          <w:tcPr>
            <w:tcW w:w="35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5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(290,917)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October 31, 2024</w:t>
            </w:r>
          </w:p>
        </w:tc>
        <w:tc>
          <w:tcPr>
            <w:tcW w:w="35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920,412</w:t>
            </w:r>
          </w:p>
        </w:tc>
        <w:tc>
          <w:tcPr>
            <w:tcW w:w="3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October 31, 2024</w:t>
            </w:r>
          </w:p>
        </w:tc>
        <w:tc>
          <w:tcPr>
            <w:tcW w:w="352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920,412</w:t>
            </w:r>
          </w:p>
        </w:tc>
        <w:tc>
          <w:tcPr>
            <w:tcW w:w="300" w:type="dxa"/>
            <w:vAlign w:val="bottom"/>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or expected to vest, October 31, 2024</w:t>
            </w:r>
          </w:p>
        </w:tc>
        <w:tc>
          <w:tcPr>
            <w:tcW w:w="3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920,412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RSU activity during the nine months ended October 31, 2024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October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6,367,467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2024, total unrecognized compensation expense related to non-vested RSUs was $166.6 million, adjusted for estimated forfeitures, based on the estimated fair value of the Company’s common stock at the time of grant. That cost is expected to be recognized over a weighted average period of 2.85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Employee Stock Purchase Plan ("ESPP") began on July 1, 2021 and ended on December 31, 2021. Thereafter, offering periods begin each year on January 1 and July 1.</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fair value of ESPP shares during the nine months ended October 31, 2023 and 2024 was estimated at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based on assumptions as follows for ESPP awards: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61.66% - 61.86%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38.70% - 38.91%</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4.77% - 5.53%</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5.24% - 5.37%</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stock-based compensation expense included in our unaudited condensed consolidated statements of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53,015</w:t>
            </w: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non-cancellable agreements, which expire at various times through December 2033, some of which include options to extend for up to five years.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5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56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676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2"/>
        </w:trPr>
        <w:tc>
          <w:tcPr>
            <w:tcW w:w="5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operating lease liabilities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3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 and operating lease liabilities disposed of</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bl>
    <w:p>
      <w:pPr>
        <w:spacing w:after="0" w:line="27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October 31, 2024 were 6.25 years and 6.8%, respectively.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Future minimum lease payments as of October 31, 2024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2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obligations</w:t>
            </w:r>
          </w:p>
        </w:tc>
        <w:tc>
          <w:tcPr>
            <w:tcW w:w="6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Revolving Credit Facility</w:t>
      </w:r>
    </w:p>
    <w:p>
      <w:pPr>
        <w:spacing w:after="0" w:line="229" w:lineRule="exact"/>
        <w:rPr>
          <w:sz w:val="20"/>
          <w:szCs w:val="20"/>
          <w:color w:val="auto"/>
        </w:rPr>
      </w:pPr>
    </w:p>
    <w:p>
      <w:pPr>
        <w:ind w:firstLine="891"/>
        <w:spacing w:after="0" w:line="274" w:lineRule="auto"/>
        <w:rPr>
          <w:sz w:val="20"/>
          <w:szCs w:val="20"/>
          <w:color w:val="auto"/>
        </w:rPr>
      </w:pPr>
      <w:r>
        <w:rPr>
          <w:rFonts w:ascii="Times New Roman" w:cs="Times New Roman" w:eastAsia="Times New Roman" w:hAnsi="Times New Roman"/>
          <w:sz w:val="17"/>
          <w:szCs w:val="17"/>
          <w:color w:val="auto"/>
        </w:rPr>
        <w:t>On February 11, 2022, the Company entered into a Credit Agreement (the “2022 Credit Agreement”), by and among the Company, nCino OpCo (the “Borrower”), certain subsidiaries of the Company as guarantors, and Bank of America, N.A. as lender (the “Lender”), pursuant to which the Lender provided to the Borrower a senior secured revolving credit facility of up to $50.0 million (the “2022 Credit Facility”). The 2022 Credit Facility included borrowing capacity available for letters of credit subject to a sublimit of $7.5 million. Any issuance of letters of credit would have reduced the amount available under the 2022 Credit Facility. The Company was also required to maintain at least $5.0 million of the Company's cash and/or marketable securities with the Lender which was considered restricted cash and was included in long-term prepaid expenses and other assets as of January 31, 2024.</w:t>
      </w:r>
    </w:p>
    <w:p>
      <w:pPr>
        <w:spacing w:after="0" w:line="173"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On February 9, 2024, the Company entered into a First Amendment to extend the existing maturity date of the 2022 Credit Facility provided for under the 2022 Credit Agreement to February 11, 2025.</w:t>
      </w:r>
    </w:p>
    <w:p>
      <w:pPr>
        <w:spacing w:after="0" w:line="162" w:lineRule="exact"/>
        <w:rPr>
          <w:sz w:val="20"/>
          <w:szCs w:val="20"/>
          <w:color w:val="auto"/>
        </w:rPr>
      </w:pPr>
    </w:p>
    <w:p>
      <w:pPr>
        <w:ind w:right="440" w:firstLine="891"/>
        <w:spacing w:after="0" w:line="282"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which increased our borrowing availability to $100.0 million and extended the existing maturity date of the 2022 Credit Facility to March 17, 2029.</w:t>
      </w:r>
    </w:p>
    <w:p>
      <w:pPr>
        <w:spacing w:after="0" w:line="16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Borrowings under the 2022 Credit Facility accrued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The Company was also required to pay an unused commitment fee to the Lender of 0.30% of the average daily unutilized commitments (with a step down based on achievement of a certain leverage ratio). The Company was also required to pay customary letter of credit fees.</w:t>
      </w:r>
    </w:p>
    <w:p>
      <w:pPr>
        <w:spacing w:after="0" w:line="18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On October 28, 2024, the Company terminated the 2022 Credit Agreement above and entered into a new Credit Agreement (the "2024 Credit Agreement"), by and among the Company, nCino OpCo, Inc. (the "Borrower"), certain subsidiaries of the Company as guarantors, the lenders party thereto (the "Lenders") and Bank of America, N.A. as administrative agent (the "Agent"). The 2024 Credit Agreement includes a senior secured revolving credit facility of up to $250.0 million (the "2024 Credit Facility") with a maturity date of October 28, 2029. The 2024 Credit Facility includes borrowing capacity available for letters of credit subject to a sublimit of $45.0 million. Any issuances of letters of credit will reduce the amount available under the 2024 Credit Facility.</w:t>
      </w:r>
    </w:p>
    <w:p>
      <w:pPr>
        <w:spacing w:after="0" w:line="18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Borrowings under the 2024 Credit Facility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 ups based on certain leverage ratios. The Company is also required to pay an unused commitment fee to the Lenders of 0.25% of the average daily unutilized commitments (with step ups based on certain leverage ratios). The Company must also pay customary letter of credit fees.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may repay amounts borrowed any time without penalty. Borrowings under the 2024 Credit Facility may be reborrowed.</w:t>
      </w:r>
    </w:p>
    <w:p>
      <w:pPr>
        <w:spacing w:after="0" w:line="225" w:lineRule="exact"/>
        <w:rPr>
          <w:sz w:val="20"/>
          <w:szCs w:val="20"/>
          <w:color w:val="auto"/>
        </w:rPr>
      </w:pPr>
    </w:p>
    <w:p>
      <w:pPr>
        <w:ind w:right="180" w:firstLine="891"/>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representations and warranties, affirmative, negative and financial covenants, and events of default that are customary for loans of this type. The financial covenants require the Company and its subsidiaries on a consolidated basis to maintain (i) a Consolidated Total Leverage Ratio not in excess of 4.00:1.00 as of the end of any fiscal quarter, and (ii) a Consolidated Interest Coverage Ratio not less than 3.00:1.00 as of the end of any fiscal quarter, commencing with the fiscal quarter ending January 31, 2025.</w:t>
      </w:r>
    </w:p>
    <w:p>
      <w:pPr>
        <w:spacing w:after="0" w:line="180"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2024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stock, the capital stock of all of the Company’s domestic subsidiaries, and 65% of the capital stock of foreign subsidiaries that are directly owned by the Borrower or a Guarantor.</w:t>
      </w:r>
    </w:p>
    <w:p>
      <w:pPr>
        <w:spacing w:after="0" w:line="16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Company had $0.0 million and no letters of credit issued under the 2022 Credit Facility as of January 31, 2024. The Company had $166.0 million outstanding and no letters of credit issued under the 2024 Credit Facility and was in compliance with all covenants as of October 31, 2024. As of October 31, 2024, the applicable interest rate was 6.72%. The available borrowing capacity under the 2024 Credit Facility was $84.0 million as of October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In addition to the operating lease commitments described in Note 10 "Leases", the Company has additional contractual commitments as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non-cancellable agreements to purchase goods and services, primarily licenses and hosting services,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Company's financing obligations consist of leases for the Company's headquarters and parking deck in which the Company is deemed the owner of for accounting purposes. The leases will be analyzed for applicable lease accounting upon expiration of the purchase option, if not exercised.</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October 31, 2024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27" w:lineRule="exact"/>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49,560</w:t>
            </w: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A portion of the associated lease payments are recognized as interest expense and the remainder reduces the financing obligations. The weighted-average discount rate for the Company's financing obligations as of October 31, 2024 was 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any material liabilities related to such obligations in the accompanying unaudited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On September 26, 2022, a purported stockholder of the Company filed a complaint in the Delaware Court of Chancery in connection with the series of mergers in which the Company became the parent of nCino OpCo and SimpleNexus. On December 28, 2023, the Delaware Court of Chancery granted in full defendants' motions to dismiss the complaint. On January 25, 2024, the plaintiff filed a notice of appeal. On September 12, 2024, the Delaware Supreme Court summarily affirmed the dismissal of the complaint in its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Related-Party Transactions</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November 1, 2022, the Company's wholly-owned subsidiary, nCino OpCo, acquired preferred shares of ZestFinance, Inc. (d/b/a ZEST AI) ("Zest AI"), a private company, for $2.5 million and is included in investments as of January 31, 2024 and October 31, 2024 on the Company's unaudited condensed consolidated balance sheets. The investment is considered a related party transaction as entities affiliated with Insight Partners, a beneficial owner of the Company, own greater than ten percent of Zest AI. On May 23, 2023, the Company announced a strategic partnership with Zest AI to build an integration into the Company's consumer banking solution to enable lenders with streamlined access to consumer credit lending insights.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Basic and Diluted Loss per Share</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and nine months ended October 31, 2023 and 2024 is the same as the basic loss per share as there was a net loss for those periods, and inclusion of potentially issuable shares was anti-dilutive.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112,951,553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112,484,017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114,970,622</w:t>
            </w:r>
          </w:p>
        </w:tc>
      </w:tr>
      <w:tr>
        <w:trPr>
          <w:trHeight w:val="234"/>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loss per share attributable to nCino, Inc.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900"/>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following potential outstanding common stock were excluded from the diluted loss per share computation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1,551,058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920,412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5,785,669</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6,367,467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77,914</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Company acquired all of the outstanding equity of Artesian Solutions Limited, operating as "FullCircl", a UK-based SaaS platform built to help financial institutions automate and accelerate onboarding and improve client lifecycle management. Approximately $129.7 million of the purchase price was funded with proceeds from the 2024 Credit Facility. An additional $15.0 million will be retained by the Company for two years as security upon the satisfaction and performance of certain warranties and covenants arising under the Share Purchase Agreement. The acquisition will be accounted for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is in the process of finalizing the accounting for this transaction and will complete the preliminary allocation of the purchase consideration to the assets acquired and liabilities assumed by the end of our fourth quarter of fiscal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2024 filed with the SEC on March 26, 2024.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2025" refer to the fiscal year ended January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Through its single software-as-a-service ("SaaS") platform, nCino helps financial institutions ("FI") serving corporate and commercial, small business, consumer, and mortgage customers modernize and more effectively onboard clients, open accounts, make loans and navigate the loan lifecycle, and effectively monitor and manage their portfolio. With the nCino Bank Operating System, FIs can:</w:t>
      </w:r>
    </w:p>
    <w:p>
      <w:pPr>
        <w:spacing w:after="0" w:line="176"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lines of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efficiency,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employee experience and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active data, audit, and business intelligence hub,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the value of intelligent automation and uncover data-driven insights.</w:t>
      </w:r>
    </w:p>
    <w:p>
      <w:pPr>
        <w:spacing w:after="0" w:line="225"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nCino was originally founded in a bank to improve that FI’s operations and client service. After realizing that the same problems— cumbersome legacy technology, fragmented data, disconnected business functions, and a disengaged workforce made it difficult to maintain relevancy in their clients' lives—were endemic across the financial services industry, nCino spun out as a separate company in late 2011. This heritage is the foundation of our deep banking domain expertise, which differentiates us, continues to drive our strategy, and makes us uniquely qualified to help FIs become more efficient by providing an end-to-end platform that spans business lines and combines capabilities for a seamless experience.</w:t>
      </w:r>
    </w:p>
    <w:p>
      <w:pPr>
        <w:spacing w:after="0" w:line="183"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The nCino Bank Operating System was initially designed to help transform commercial and small business lending for community and regional banks. This solution was introduced to enterprise banks in the United States ("U.S.") in 2014, and then internationally in 2017, and has subsequently expanded across North America, Europe, the Middle East, South Africa and Asia-Pacific. Throughout this market expansion, we broadened the nCino Bank Operating System by adding functionality for consumer lending, client onboarding, deposit account opening, analytics and artificial intelligence and machine learning. In fiscal 2020, we made two acquisitions as part of our strategy to build out our nIQ capabilities and we established our nCino K.K joint venture to facilitate our entry into the Japanese market. An acquisition in fiscal 2022 expanded our capabilities to the U.S. point-of-sale mortgage market.</w:t>
      </w:r>
    </w:p>
    <w:p>
      <w:pPr>
        <w:spacing w:after="0" w:line="189" w:lineRule="exact"/>
        <w:rPr>
          <w:sz w:val="20"/>
          <w:szCs w:val="20"/>
          <w:color w:val="auto"/>
        </w:rPr>
      </w:pPr>
    </w:p>
    <w:p>
      <w:pPr>
        <w:ind w:right="240" w:firstLine="891"/>
        <w:spacing w:after="0" w:line="258" w:lineRule="auto"/>
        <w:rPr>
          <w:sz w:val="20"/>
          <w:szCs w:val="20"/>
          <w:color w:val="auto"/>
        </w:rPr>
      </w:pPr>
      <w:r>
        <w:rPr>
          <w:rFonts w:ascii="Times New Roman" w:cs="Times New Roman" w:eastAsia="Times New Roman" w:hAnsi="Times New Roman"/>
          <w:sz w:val="18"/>
          <w:szCs w:val="18"/>
          <w:color w:val="auto"/>
        </w:rPr>
        <w:t>On March 20, 2024 (the "DocFox Acquisition Date"), we acquired DocFox, Inc. ("DocFox") which provides a solution for automating onboarding experiences for commercial and business banking, for an aggregate preliminary purchase price of $74.3 million. We funded the purchase consideration with $75.0 million borrowed under the 2022 Credit Facility as further described in Note 11 "Revolving Credit Facility" of the notes to our unaudited condensed consolidated financial statements included in Part I, Item 1 of this Quarterly Report on Form 10-Q. We have included the financial results of DocFox in our unaudited condensed consolidated financial statements from the DocFox Acquisition Date.</w:t>
      </w:r>
    </w:p>
    <w:p>
      <w:pPr>
        <w:spacing w:after="0" w:line="183" w:lineRule="exact"/>
        <w:rPr>
          <w:sz w:val="20"/>
          <w:szCs w:val="20"/>
          <w:color w:val="auto"/>
        </w:rPr>
      </w:pPr>
    </w:p>
    <w:p>
      <w:pPr>
        <w:ind w:right="340" w:firstLine="891"/>
        <w:spacing w:after="0" w:line="282" w:lineRule="auto"/>
        <w:rPr>
          <w:sz w:val="20"/>
          <w:szCs w:val="20"/>
          <w:color w:val="auto"/>
        </w:rPr>
      </w:pPr>
      <w:r>
        <w:rPr>
          <w:rFonts w:ascii="Times New Roman" w:cs="Times New Roman" w:eastAsia="Times New Roman" w:hAnsi="Times New Roman"/>
          <w:sz w:val="18"/>
          <w:szCs w:val="18"/>
          <w:color w:val="auto"/>
        </w:rPr>
        <w:t>We acquired Integrated Lending Technologies, LLC ("ILT") on April 1, 2024 (the "ILT Acquisition Date"), which provides consumer loan origination software that streamlines direct and indirect lending operations, for an aggregate purchase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price of $20.0 million in cash. We have included the financial results of ILT in our unaudited condensed consolidated financial statements from the ILT Acquisition Date.</w:t>
      </w:r>
    </w:p>
    <w:p>
      <w:pPr>
        <w:spacing w:after="0" w:line="162"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See Note 7 "Business Combinations" of the notes to our unaudited condensed consolidated financial statements included in Part I, Item 1 of this Quarterly Report on Form 10-Q for more information on the DocFox and ILT acquisitions.</w:t>
      </w:r>
    </w:p>
    <w:p>
      <w:pPr>
        <w:spacing w:after="0" w:line="16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In November 2024, we acquired Artesian Solutions Limited, operating as ("FullCircl"), a UK-based SaaS platform built to help financial institutions automate and accelerate onboarding and improve client lifecycle management. We funded $129.7 million of the purchase consideration with borrowings made in October 2024 under the 2024 Credit Facility as further described in Note 11 "Revolving Credit Facility" of the notes to our unaudited condensed consolidated financial statements included in Part I, Item 1 of this Quarterly Report on Form 10-Q. See Note 15 "Subsequent Event" of the notes to our unaudited condensed consolidated financial statements included in Part I, Item 1 of this Quarterly Report on Form 10-Q for more information on the FullCircl acquisition.</w:t>
      </w:r>
    </w:p>
    <w:p>
      <w:pPr>
        <w:spacing w:after="0" w:line="187" w:lineRule="exact"/>
        <w:rPr>
          <w:sz w:val="20"/>
          <w:szCs w:val="20"/>
          <w:color w:val="auto"/>
        </w:rPr>
      </w:pPr>
    </w:p>
    <w:p>
      <w:pPr>
        <w:ind w:right="300" w:firstLine="891"/>
        <w:spacing w:after="0" w:line="266" w:lineRule="auto"/>
        <w:rPr>
          <w:sz w:val="20"/>
          <w:szCs w:val="20"/>
          <w:color w:val="auto"/>
        </w:rPr>
      </w:pPr>
      <w:r>
        <w:rPr>
          <w:rFonts w:ascii="Times New Roman" w:cs="Times New Roman" w:eastAsia="Times New Roman" w:hAnsi="Times New Roman"/>
          <w:sz w:val="18"/>
          <w:szCs w:val="18"/>
          <w:color w:val="auto"/>
        </w:rPr>
        <w:t>We generally offer the nCino Bank Operating System on a subscription basis pursuant to non-cancellable multi-year contracts that typically range from three to five years, and we employ a “land and expand” business model. The nCino Bank Operating System is designed to scale with our customers, and once our solution is deployed, we seek to have our customers expand adoption within and across lines of business.</w:t>
      </w:r>
    </w:p>
    <w:p>
      <w:pPr>
        <w:spacing w:after="0" w:line="176" w:lineRule="exact"/>
        <w:rPr>
          <w:sz w:val="20"/>
          <w:szCs w:val="20"/>
          <w:color w:val="auto"/>
        </w:rPr>
      </w:pPr>
    </w:p>
    <w:p>
      <w:pPr>
        <w:jc w:val="both"/>
        <w:ind w:right="340" w:firstLine="891"/>
        <w:spacing w:after="0" w:line="289" w:lineRule="auto"/>
        <w:rPr>
          <w:sz w:val="20"/>
          <w:szCs w:val="20"/>
          <w:color w:val="auto"/>
        </w:rPr>
      </w:pPr>
      <w:r>
        <w:rPr>
          <w:rFonts w:ascii="Times New Roman" w:cs="Times New Roman" w:eastAsia="Times New Roman" w:hAnsi="Times New Roman"/>
          <w:sz w:val="17"/>
          <w:szCs w:val="17"/>
          <w:color w:val="auto"/>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October 31, 2024, we had 205 sales and sales support personnel in the U.S. and 99 sales and support personnel in offices outside the U.S.</w:t>
      </w:r>
    </w:p>
    <w:p>
      <w:pPr>
        <w:spacing w:after="0" w:line="158"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Bank Operating System. For regional FIs, we work with SIs such as West Monroe Partners, and for community banks, we work with SIs or perform configuration and implementation ourselves. We expect enterprise FIs to make up a greater proportion of our nCino Bank Operating System sales.</w:t>
      </w:r>
    </w:p>
    <w:p>
      <w:pPr>
        <w:spacing w:after="0" w:line="183"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31, 2023 and 2024, our total revenues were $121.9 million and $138.8 million, respectively, representing a 13.8% increase. For the three months ended October 31, 2023 and 2024, our subscription revenues were $104.8 million and $119.9 million, respectively, representing a 14.4% increase. Due to our investments in growth, we recorded net losses attributable to nCino, Inc. of $16.4 million and $5.3 million for the three months ended October 31, 2023 and 2024, respectively. For the nine months ended October 31, 2023 and 2024, our total revenues were $352.9 million and $399.3 million, respectively, representing a 13.2% increase. For the nine months ended October 31, 2023 and 2024, our subscription revenues were $302.0 million and $344.2 million, respectively, representing a 14.0% increase. Due to our investments in growth, we recorded net losses attributable to nCino, Inc. of $43.5 million and $19.3 million for the nine months ended October 31, 2023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 customers and increase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21.3% of total revenues for the three months ended October 31, 2024 and 20.8% for the nine months ended October 31, 2024.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88" w:lineRule="exact"/>
        <w:rPr>
          <w:sz w:val="20"/>
          <w:szCs w:val="20"/>
          <w:color w:val="auto"/>
        </w:rPr>
      </w:pPr>
    </w:p>
    <w:p>
      <w:pPr>
        <w:ind w:right="520" w:firstLine="8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typically range from three months to 18 months,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depending on the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9" w:lineRule="exact"/>
        <w:rPr>
          <w:sz w:val="20"/>
          <w:szCs w:val="20"/>
          <w:color w:val="auto"/>
        </w:rPr>
      </w:pPr>
    </w:p>
    <w:p>
      <w:pPr>
        <w:ind w:right="2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Macroeconomic Environment. </w:t>
      </w:r>
      <w:r>
        <w:rPr>
          <w:rFonts w:ascii="Times New Roman" w:cs="Times New Roman" w:eastAsia="Times New Roman" w:hAnsi="Times New Roman"/>
          <w:sz w:val="18"/>
          <w:szCs w:val="18"/>
          <w:color w:val="auto"/>
        </w:rPr>
        <w:t>We are currently operating in a higher interest rate environment as the U.S. Federal Reserve has raised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as a means to manage inflation. These rate increases have had an impact on the real estate market in the U.S. and specifically, the demand for mortgages and mortgage-related products and services, which has had a negative impact on our nCino Mortgage business.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will continue to monitor the impact the macroeconomic environment may have on our business.</w:t>
      </w:r>
    </w:p>
    <w:p>
      <w:pPr>
        <w:spacing w:after="0" w:line="221"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ind w:right="6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Subscription Revenues</w:t>
      </w:r>
      <w:r>
        <w:rPr>
          <w:rFonts w:ascii="Times New Roman" w:cs="Times New Roman" w:eastAsia="Times New Roman" w:hAnsi="Times New Roman"/>
          <w:sz w:val="18"/>
          <w:szCs w:val="18"/>
          <w:color w:val="auto"/>
        </w:rPr>
        <w:t>. Our subscription revenues consist principally of fees from customers for accessing our solutions and maintenance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services that we generally offer under non-cancellable multi-year contracts, which typically range from three to five years for the nCino Bank Operating System and one to three years for nCino Mortgage. Specifically, we offer:</w:t>
      </w:r>
    </w:p>
    <w:p>
      <w:pPr>
        <w:spacing w:after="0" w:line="175" w:lineRule="exact"/>
        <w:rPr>
          <w:sz w:val="20"/>
          <w:szCs w:val="20"/>
          <w:color w:val="auto"/>
        </w:rPr>
      </w:pPr>
    </w:p>
    <w:p>
      <w:pPr>
        <w:ind w:left="1300" w:right="24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applications targeted at a FI’s commercial, small business, and retail lines of business,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for which we generally charge based on the asset size of the customer or on a usage basis.</w:t>
      </w:r>
    </w:p>
    <w:p>
      <w:pPr>
        <w:spacing w:after="0" w:line="225"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nCino Mortgage, a digital homeownership solution uniting people, systems, and stages of the mortgage process into a seamless end-to-end journey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16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nCino Mortgage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86" w:lineRule="exact"/>
        <w:rPr>
          <w:sz w:val="20"/>
          <w:szCs w:val="20"/>
          <w:color w:val="auto"/>
        </w:rPr>
      </w:pPr>
    </w:p>
    <w:p>
      <w:pPr>
        <w:ind w:right="40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community banks and smaller credit unions and nCino Mortgage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3"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spacing w:after="0" w:line="18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80"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which are primarily related to legal, consulting and other professional services fees. We expect general and administrative expenses will decrease as a percentage of revenues over the long term as we leverage the investments we have made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w:t>
      </w:r>
    </w:p>
    <w:p>
      <w:pPr>
        <w:spacing w:after="0" w:line="158" w:lineRule="exact"/>
        <w:rPr>
          <w:sz w:val="20"/>
          <w:szCs w:val="20"/>
          <w:color w:val="auto"/>
        </w:rPr>
      </w:pPr>
    </w:p>
    <w:p>
      <w:pPr>
        <w:ind w:right="4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foreign currency gains and losses, the majority of which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intercompany transactions denominated in currencies other than the underlying functional currency of the applicable entity.</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consists of federal and state income taxes in the U.S. and income taxes in foreign jurisdictions.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three and nine months ended October 31, 2023 and 2024 in both dollars and as a percentage of total revenues, except as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55,076</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nCino, Inc.: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112,951,553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112,484,017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114,970,622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9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vMerge w:val="continue"/>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w:t>
            </w:r>
          </w:p>
        </w:tc>
      </w:tr>
      <w:tr>
        <w:trPr>
          <w:trHeight w:val="21"/>
        </w:trPr>
        <w:tc>
          <w:tcPr>
            <w:tcW w:w="5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2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100" w:type="dxa"/>
            <w:vAlign w:val="bottom"/>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4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r>
      <w:tr>
        <w:trPr>
          <w:trHeight w:val="184"/>
        </w:trPr>
        <w:tc>
          <w:tcPr>
            <w:tcW w:w="4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revenues (percentage shown in comparison to related</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108.8</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60.2</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15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98"/>
        </w:trPr>
        <w:tc>
          <w:tcPr>
            <w:tcW w:w="4940" w:type="dxa"/>
            <w:vAlign w:val="bottom"/>
          </w:tcPr>
          <w:p>
            <w:pPr>
              <w:spacing w:after="0"/>
              <w:rPr>
                <w:sz w:val="24"/>
                <w:szCs w:val="24"/>
                <w:color w:val="auto"/>
              </w:rPr>
            </w:pPr>
          </w:p>
        </w:tc>
        <w:tc>
          <w:tcPr>
            <w:tcW w:w="15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October 31, 2023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8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7"/>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301,996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Professional services and other</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1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55,076</w:t>
            </w: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3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352,850</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Subscription revenues increased $15.1 million for the three months ended October 31, 2024 compared to the three months ended October 31, 2023, due to initial revenues from customers who did not contribute to subscription revenues during the prior period, and growth from existing customers within and across lines of business. Of the increase, 64.1% was attributable to increased revenues from existing customers as additional seats were activated in accordance with contractual terms and customers expanded their adoption of our solutions, and 35.9% was attributable to initial revenues from customers who did not contribute to subscription revenues during the three months ended October 31, 2023. Subscription revenues were 86.4% of total revenues for the three months ended October 31, 2024 compared to 85.9% of total revenues for the three months ended October 31, 2023, primarily due to growth in our installed base.</w:t>
      </w:r>
    </w:p>
    <w:p>
      <w:pPr>
        <w:spacing w:after="0" w:line="189"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Subscription revenues increased $42.2 million for the nine months ended October 31, 2024 compared to the nine months ended October 31, 2023, due to initial revenues from customers who did not contribute to subscription revenues during the prior period, and growth from existing customers within and across lines of business. Of the increase, 67.4% was attributable to increased revenues from existing customers as additional seats were activated in accordance with contractual terms and customers expanded their adoption of our solutions, and 32.6% was attributable to initial revenues from customers who did not contribute to subscription revenues during the nine months ended October 31, 2023. Subscription revenues were 86.2% of total revenues for the nine months ended October 31, 2024 compared to 85.6% of total revenues for the nine months ended October 31, 2023, primarily due to growth in our installed base.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jc w:val="both"/>
        <w:ind w:right="32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$1.7 million for the three months ended October 31, 2024 compared to the three months ended October 31, 2023, primarily due to the addition of new customers as well as expanded adoption by existing customers within and across lines of business where implementation, configuration, and training services were required.</w:t>
      </w:r>
    </w:p>
    <w:p>
      <w:pPr>
        <w:spacing w:after="0" w:line="176"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$4.2 million for the nine months ended October 31, 2024 compared to the nine months ended October 31, 2023, primarily due to the addition of new customers as well as expanded adoption by existing customers within and across lines of business where implementation, configuration, and training services were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20" w:type="dxa"/>
            <w:vAlign w:val="bottom"/>
            <w:gridSpan w:val="6"/>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Cost of revenues (percentage shown in</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comparison to related revenues):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33,769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Cost of professional services and other</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19,976</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60" w:type="dxa"/>
            <w:vAlign w:val="bottom"/>
            <w:tcBorders>
              <w:bottom w:val="single" w:sz="8" w:color="auto"/>
            </w:tcBorders>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60" w:type="dxa"/>
            <w:vAlign w:val="bottom"/>
            <w:tcBorders>
              <w:bottom w:val="single" w:sz="8" w:color="auto"/>
            </w:tcBorders>
            <w:shd w:val="clear" w:color="auto" w:fill="CCEEFF"/>
          </w:tcPr>
          <w:p>
            <w:pPr>
              <w:spacing w:after="0"/>
              <w:rPr>
                <w:sz w:val="21"/>
                <w:szCs w:val="21"/>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3"/>
        </w:trPr>
        <w:tc>
          <w:tcPr>
            <w:tcW w:w="3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3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53,745</w:t>
            </w:r>
          </w:p>
        </w:tc>
        <w:tc>
          <w:tcPr>
            <w:tcW w:w="3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142,260</w:t>
            </w: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158,856</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85,052</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Cost of subscription revenues increased $3.2 million for the three months ended October 31, 2024 compared to the three months ended October 31, 2023, generating a gross margin for subscription revenues of 71.8% compared to a gross margin of 70.8% for the three months ended October 31, 2023. Other costs of subscription revenues increased $1.4 million due to costs associated with access to other platforms and data center costs, as we continued to add new customers and sell additional functionality to existing customers. Personnel costs, including stock-based compensation expense, increased $1.2 million, mainly from an increase in headcount. The increase in cost of subscription revenues also included an increase of $0.5 million in allocated overhead costs due to growth supporting our business. We expect the cost of subscription revenues will continue to increase in absolute dollars as the number of users of the nCino Bank Operating System grows.</w:t>
      </w:r>
    </w:p>
    <w:p>
      <w:pPr>
        <w:spacing w:after="0" w:line="189"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Cost of subscription revenues increased $9.4 million for the nine months ended October 31, 2024 compared to the nine months ended October 31, 2023, generating a gross margin for subscription revenues of 71.3% compared to a gross margin of 70.4% for the nine months ended October 31, 2023. Other costs of subscription revenues increased $3.5 million due to costs associated with access to other platforms and data center costs and costs related to Salesforce user fees increased $2.2 million as we continued to add new customers and sell additional functionality to existing customers. Personnel costs, including stock-based compensation expense, increased $3.3 million, mainly from an increase in headcount. The increase in cost of subscription revenues also included an increase of $0.5 million in allocated overhead costs due to growth supporting our business. We expect the cost of subscription revenues will continue to increase in absolute dollars as the number of users of the nCino Bank Operating System grows.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$2.6 million for the three months ended October 31, 2024 compared to the three months ended October 31, 2023, generating a gross margin for professional services and other revenues of (5.7)% compared to a gross margin of (1.4)% for the three months ended October 31, 2023. For the three months ended October 31, 2024, personnel costs, including stock-based compensation expense, increased $1.9 million for professional services compared to the three months ended October 31, 2023, mainly from an increase in headcount. The increase in cost of professional services and other revenues also included a $0.4 million increase for third-party costs of professional services.</w:t>
      </w:r>
    </w:p>
    <w:p>
      <w:pPr>
        <w:spacing w:after="0" w:line="183"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$7.2 million for the nine months ended October 31, 2024 compared to the nine months ended October 31, 2023, generating a gross margin for professional services and other revenues of (8.8)% compared to a gross margin of (3.8)% for the nine months ended October 31, 2023. For the nine months ended October 31, 2024, personnel costs, including stock-based compensation expense, increased $6.2 million for professional services compared to the nine months ended October 31, 2023, mainly from an increase in headcount. The increase in cost of professional services and other revenues also included a $0.8 million increase for third-party professional services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31.5 %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21.4 %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86,823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3"/>
        </w:trPr>
        <w:tc>
          <w:tcPr>
            <w:tcW w:w="30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220" w:firstLine="891"/>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$8.7 million for the three months ended October 31, 2024 compared to the three months ended October 31, 2023, primarily attributable to the decrease in amortization expense of $10.7 million due to no amortization for the SimpleNexus trade name intangible asset as a result of the rebranding of the SimpleNexus solution to nCino Mortgage during the third quarter of fiscal 2024, partially offset by an increase of $0.6 million in amortization expense for the DocFox and ILT acquisitions. The decrease in sales and marketing expenses was also partially offset by an increase of $1.0 million in personnel costs primarily due to an increase in headcount, an increase in stock-based compensation expense,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tax equalization expense, partially offset by prior year payroll tax adjustments from certain of our foreign subsidiaries.</w:t>
      </w:r>
    </w:p>
    <w:p>
      <w:pPr>
        <w:spacing w:after="0" w:line="225" w:lineRule="exact"/>
        <w:rPr>
          <w:sz w:val="20"/>
          <w:szCs w:val="20"/>
          <w:color w:val="auto"/>
        </w:rPr>
      </w:pPr>
    </w:p>
    <w:p>
      <w:pPr>
        <w:ind w:right="220" w:firstLine="891"/>
        <w:spacing w:after="0" w:line="257" w:lineRule="auto"/>
        <w:rPr>
          <w:sz w:val="20"/>
          <w:szCs w:val="20"/>
          <w:color w:val="auto"/>
        </w:rPr>
      </w:pPr>
      <w:r>
        <w:rPr>
          <w:rFonts w:ascii="Times New Roman" w:cs="Times New Roman" w:eastAsia="Times New Roman" w:hAnsi="Times New Roman"/>
          <w:sz w:val="18"/>
          <w:szCs w:val="18"/>
          <w:color w:val="auto"/>
        </w:rPr>
        <w:t>Sales and marketing expenses decreased $11.1 million for the nine months ended October 31, 2024 compared to the nine months ended October 31, 2023, primarily attributable to the decrease in amortization expense of $11.9 million due to no amortization for the SimpleNexus trade name intangible asset as a result of the rebranding of the SimpleNexus solution to nCino Mortgage during fiscal 2024, partially offset by an increase of</w:t>
      </w:r>
    </w:p>
    <w:p>
      <w:pPr>
        <w:spacing w:after="0" w:line="1"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$1.7 million in amortization expense for the DocFox and ILT acquisitions. The decrease in sales and marketing expenses also included a decrease of $0.5 million in sales-related travel costs, a decrease of $0.3 million in allocated overhead costs, and a decrease of $0.4 million in personnel costs. The decrease in personnel costs was due to prior year payroll tax adjustments from certain of our foreign subsidiaries offset by an increase in stock-based compensation expense. The decrease in sales and marketing expenses was partially offset by an increase of $0.5 million in marketing costs.</w:t>
      </w:r>
    </w:p>
    <w:p>
      <w:pPr>
        <w:spacing w:after="0" w:line="18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Our sales and marketing headcount increased by 7 from October 31, 2023 to October 31, 2024. We expect sales and marketing expenses will decrease as a percentage of revenues as we leverage the investments we have made to date.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$4.0 million for the three months ended October 31, 2024 compared to the three months ended October 31, 2023, primarily due to an increase of $2.6 million in personnel costs, mainly from an increase in headcount. The increase in research and development also included an increase of $1.0 million in third-party professional fees primarily attributable to increased contract research and development spend.</w:t>
      </w:r>
    </w:p>
    <w:p>
      <w:pPr>
        <w:spacing w:after="0" w:line="180"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$10.2 million for the nine months ended October 31, 2024 compared to the nine months ended October 31, 2023, primarily due to an increase of $7.9 million in personnel costs, mainly from an increase in headcount and stock-based compensation expense. The increase in research and development also included an increase of $1.9 million in third-party professional fees primarily attributable to increased contract research and development spend.</w:t>
      </w:r>
    </w:p>
    <w:p>
      <w:pPr>
        <w:spacing w:after="0" w:line="180"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Our research and development headcount increased by 24 from October 31, 2023 to October 31, 2024. We expect research and development expenses will decrease as a percentage of revenues as we leverage the investments we have made to date.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$3.8 million for the three months ended October 31, 2024 compared to the three months ended October 31, 2023, primarily due to an increase of $2.5 million in personnel costs, mostly attributable to a $1.5 million increase in stock-based compensation expense and headcount. The increase in general and administrative spend also included an increase of $2.1 million in third-party professional fees, mostly attributable to an increase for acquisition-related expenses for DocFox, ILT, and FullCircl, partially offset by a decrease in other professional fees. The increase in general and administrative expenses was partially offset by a decrease of $0.8 million in allocated overhead and other general and administrative costs.</w:t>
      </w:r>
    </w:p>
    <w:p>
      <w:pPr>
        <w:spacing w:after="0" w:line="18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$6.8 million for the nine months ended October 31, 2024 compared to the nine months ended October 31, 2023, primarily due to an increase of $6.2 million in personnel costs, mostly attributable to a $4.8 million increase in stock-based compensation expense and headcount. The increase in general and administrative spend also included an increase of $2.7 million in third-party professional fees, mostly attributable to an increase for acquisition-related expenses for DocFox, ILT and FullCircl, partially offset by a decrease in expenses related to litigation expenses and other professional fees. The increase in general and administrative expenses was partially offset by a decrease of $2.2 million in allocated overhead and other general and administrative costs.</w:t>
      </w:r>
    </w:p>
    <w:p>
      <w:pPr>
        <w:spacing w:after="0" w:line="187"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Our general and administrative headcount increased by 15 from October 31, 2023 to October 31, 2024. We expect general and administrative expenses will decrease as a percentage of revenues as we leverage the investments we have made to date.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685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482</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right="237"/>
              <w:spacing w:after="0"/>
              <w:rPr>
                <w:sz w:val="20"/>
                <w:szCs w:val="20"/>
                <w:color w:val="auto"/>
              </w:rPr>
            </w:pPr>
            <w:r>
              <w:rPr>
                <w:rFonts w:ascii="Times New Roman" w:cs="Times New Roman" w:eastAsia="Times New Roman" w:hAnsi="Times New Roman"/>
                <w:sz w:val="18"/>
                <w:szCs w:val="18"/>
                <w:color w:val="auto"/>
                <w:w w:val="98"/>
              </w:rPr>
              <w:t>2,057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1,408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(854)</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(1,653)</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277"/>
              <w:spacing w:after="0"/>
              <w:rPr>
                <w:sz w:val="20"/>
                <w:szCs w:val="20"/>
                <w:color w:val="auto"/>
              </w:rPr>
            </w:pPr>
            <w:r>
              <w:rPr>
                <w:rFonts w:ascii="Times New Roman" w:cs="Times New Roman" w:eastAsia="Times New Roman" w:hAnsi="Times New Roman"/>
                <w:sz w:val="18"/>
                <w:szCs w:val="18"/>
                <w:color w:val="auto"/>
                <w:w w:val="98"/>
              </w:rPr>
              <w:t>(3,277)</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(4,965)</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(2,320)</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432</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w w:val="98"/>
              </w:rPr>
              <w:t>(2,633)</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(162)</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Interest income decreased $0.2 million for the three months ended October 31, 2024 compared to the three months ended October 31, 2023, due to a decrease in our accounts earning interest. Interest expense increased $0.8 million for the three months ended October 31, 2024 compared to the three months ended October 31, 2023, due to borrowing on our revolving credit facility. The decrease of $2.8 million in other income (expense), net for the three months ended October 31, 2024 compared to the three months ended October 31, 2023, was primarily driven by intercompany loans and transactions that are denominated in currencies other than the underlying functional currency of the applicable entity.</w:t>
      </w:r>
    </w:p>
    <w:p>
      <w:pPr>
        <w:spacing w:after="0" w:line="183"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Interest income decreased $0.6 million for the nine months ended October 31, 2024 compared to the nine months ended October 31, 2023, due to a decrease in our accounts earning interest. Interest expense increased $1.7 million for the nine months ended October 31, 2024 compared to the nine months ended October 31, 2023, due to borrowing on our revolving credit facility. The decrease of $2.5 million in other expense, net for the nine months ended October 31, 2024 compared to the nine months ended October 31, 2023, was primarily driven by intercompany loans and transactions that are denominated in currencies other than the underlying functional currency of the applicable entity.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5"/>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80" w:type="dxa"/>
            <w:vAlign w:val="bottom"/>
            <w:gridSpan w:val="5"/>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1,782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2,589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Income tax provision was $2.6 million for the three months ended October 31, 2024 compared to a provision of $1.8 million for the three months ended October 31, 2023, and resulted in an effective tax rate of (165.6)% and (11.6)%, respectively.</w:t>
      </w:r>
    </w:p>
    <w:p>
      <w:pPr>
        <w:spacing w:after="0" w:line="162"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Income tax provision was $1.4 million for the nine months ended October 31, 2024 compared to a provision of $4.7 million for the nine months ended October 31, 2023, and resulted in an effective tax rate of (8.4)% and (11.7)%, respectively. The change in the effective tax rate for the nine months ended October 31, 2024 compared to the effective tax rate for the nine months ended October 31, 2023 was primarily due to a reduction of our valuation allowance offset by profitable foreign jurisdictions and uncertain tax positions.</w:t>
      </w:r>
    </w:p>
    <w:p>
      <w:pPr>
        <w:spacing w:after="0" w:line="180"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Prior to the DocFox acquisition, we continued to maintain a valuation allowance against our deferred tax assets in several jurisdictions, including the U.S. On the DocFox Acquisition Date, the Company measured and recorded net U.S. deferred tax liabilities, most of which relate to identifiable intangible assets. The deferred tax liabilities recognized provide additional positive evidence that a portion of the Company's U.S. deferred tax assets are realizable. As a result, the Company reduced the valuation allowance by $3.6 million during the first quarter of the Company’s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3" w:lineRule="exact"/>
        <w:rPr>
          <w:sz w:val="20"/>
          <w:szCs w:val="20"/>
          <w:color w:val="auto"/>
        </w:rPr>
      </w:pPr>
    </w:p>
    <w:p>
      <w:pPr>
        <w:ind w:right="300" w:firstLine="891"/>
        <w:spacing w:after="0" w:line="261"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income, as discussed below.</w:t>
      </w:r>
    </w:p>
    <w:p>
      <w:pPr>
        <w:spacing w:after="0" w:line="174"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Non-GAAP operating income. </w:t>
      </w:r>
      <w:r>
        <w:rPr>
          <w:rFonts w:ascii="Times New Roman" w:cs="Times New Roman" w:eastAsia="Times New Roman" w:hAnsi="Times New Roman"/>
          <w:sz w:val="18"/>
          <w:szCs w:val="18"/>
          <w:color w:val="auto"/>
        </w:rPr>
        <w:t>Non-GAAP operating income is defined as loss from operations as reported in our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excluding the impact of amortization of intangible assets, stock-based compensation expense, acquisition-related expenses, legal expenses related to certain litigation, and restructuring and related charges. Non-GAAP operating income is widely used by securities analysts, investors, and other interested parties to evaluate the profitability of companies. Non-GAAP operating income eliminates potential differences in performance caused by these items that are not indicative of the Company's ongoing operating performance and hinders comparability with prior and future performance.</w:t>
      </w:r>
    </w:p>
    <w:p>
      <w:pPr>
        <w:spacing w:after="0" w:line="184"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3" w:lineRule="exact"/>
        <w:rPr>
          <w:sz w:val="20"/>
          <w:szCs w:val="20"/>
          <w:color w:val="auto"/>
        </w:rPr>
      </w:pPr>
    </w:p>
    <w:p>
      <w:pPr>
        <w:ind w:right="74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to loss from operations, the most directly comparable financial measure, calculated and presented in accordance with GAAP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Litigation expenses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0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Represents legal expenses related to a closed government antitrust investigation and related settled civil action and a dismissed shareholder derivative lawsuit.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As of October 31, 2024, we had $257.9 million in cash and cash equivalents. In November 2024, we used approximately $129.7 million of our cash for the FullCircl acquisition. See Note 15 "Subsequent Event" of the notes to our unaudited condensed consolidated financial statements included in Part I, Item 1 of this Quarterly Report on Form 10-Q for more information on the FullCircl acquisition. As of October 31, 2024, we had an accumulated deficit of $369.8 million. Our net losses have been driven by our investments in developing the nCino Bank Operating System and scaling our sales and marketing organization and finance and administrative functions to support our rapid growth.</w:t>
      </w:r>
    </w:p>
    <w:p>
      <w:pPr>
        <w:spacing w:after="0" w:line="183"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including our initial public offering in July 2020, operating cash flows, and starting fiscal 2023,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spacing w:after="0" w:line="180" w:lineRule="exact"/>
        <w:rPr>
          <w:sz w:val="20"/>
          <w:szCs w:val="20"/>
          <w:color w:val="auto"/>
        </w:rPr>
      </w:pPr>
    </w:p>
    <w:p>
      <w:pPr>
        <w:jc w:val="both"/>
        <w:ind w:right="180" w:firstLine="891"/>
        <w:spacing w:after="0" w:line="266"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for the 2022 Credit Facility which, among other things, increased our borrowing availability to $100.0 million. In March 2024, we borrowed $75.0 million under the 2022 Credit Facility to fund the acquisition of DocFox. In April 2024, July 2024, and October 2024 we repaid $20.0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$15.0 million, and $10.0 million, respectively, under the 2022 Credit Facility. On October 28, 2024, the Company entered into the 2024 Credit Facility, which increased our borrowing availability to $250.0 million. The Company borrowed $166.0 million under the 2024 Credit Facility to fund the acquisition of FullCircl and repay the $30.0 million outstanding under the 2022 Credit Facility. The Company expects to pay an additional $15.0 million in two years for the FullCircl acquisition upon the satisfaction and performance of certain warranties and covenants. As of October 31, 2024, the applicable interest rate was 6.72%. The Company had $166.0 million outstanding and no letters of credit issued under the 2024 Credit Facility and was in compliance with all covenants as of October 31, 2024. See Note 11 "Revolving Credit Facility" of the notes to our unaudited condensed consolidated financial statements included in Part I, Item I of this Quarterly Report on Form 10-Q for more information.</w:t>
      </w:r>
    </w:p>
    <w:p>
      <w:pPr>
        <w:spacing w:after="0" w:line="18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expect to incur capital expenditures in fiscal 2025 and 2026 for planned office build-outs to accommodate our growth, primarily for an international office, which we estimate to spend approximately $2.0 million and $6.0 million in fiscal 2025 and 2026, respectively.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0" w:firstLine="891"/>
        <w:spacing w:after="0" w:line="273" w:lineRule="auto"/>
        <w:rPr>
          <w:sz w:val="20"/>
          <w:szCs w:val="20"/>
          <w:color w:val="auto"/>
        </w:rPr>
      </w:pPr>
      <w:r>
        <w:rPr>
          <w:rFonts w:ascii="Times New Roman" w:cs="Times New Roman" w:eastAsia="Times New Roman" w:hAnsi="Times New Roman"/>
          <w:sz w:val="17"/>
          <w:szCs w:val="17"/>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2024 and October 31, 2024, the redeemable non-controlling interest was $3.4 million and $5.2 million, respectively.</w:t>
      </w:r>
    </w:p>
    <w:p>
      <w:pPr>
        <w:spacing w:after="0" w:line="171"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As part of our joint venture obligations, we made an additional cash capital contribution of $1.0 million to nCino K.K. during the third quarter of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nine months ended October 31, 2023 and 2024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65,218</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168,439</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The $65.2 million provided by operating activities in the nine months ended October 31, 2024 reflects our net loss of $17.5 million, offset by $88.7 million in non-cash charges and $6.0 million used in changes in working capital accounts. Non-cash charges primarily consisted of stock-based compensation, depreciation and amortization, amortization of costs capitalized to obtain revenue contracts, non-cash operating lease costs, partially offset by deferred income taxes and foreign currency losses related to intercompany loans and transactions. Cash used in working capital accounts was principally a function of a $41.6 million decrease in deferred revenue due to the timing of billings and revenue recognition, and an increase of $13.2 million of capitalized costs to obtain revenue contracts, which consisted primarily of sales commissions, a $2.9 million decrease in operating lease liabilities, and a $0.1 million decrease in accrued expenses and other liabilities. The cash used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working capital accounts was partially offset by a $50.2 million decrease in accounts receivable due to the timing of billings and collections from customers, a $1.1 million increase in accounts payable, and a $0.7 million decrease in prepaid expenses and other assets.</w:t>
      </w:r>
    </w:p>
    <w:p>
      <w:pPr>
        <w:spacing w:after="0" w:line="162"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The $49.1 million provided by operating activities in the nine months ended October 31, 2023 reflects our net loss of $44.9 million and $0.8 million used in changes in working capital accounts, offset by $94.8 million in non-cash charges. Non-cash charges primarily consisted of stock-based compensation, depreciation and amortization, amortization of costs capitalized to obtain revenue contracts, non-cash operating lease costs, foreign currency losses related to intercompany loans and transactions, provision for deferred taxes and bad debt. Cash generated by working capital accounts was principally a function of a $35.5 million decrease in accounts receivable due to timing of billings and collections from customers and a $3.4 million decrease in prepaid expenses and other assets, and a $1.2 million increase in accounts payable. The cash generated by working capital accounts was offset by a $23.8 million decrease in deferred revenue, due to the timing of billings and revenue recognition and an $8.0 million decrease in accrued expenses and other current liabilities which includes payments of approximately $5.0 million for severance and other employee costs associated with the restructuring plan and changing commission payment plans from a quarterly basis to a monthly basis. Additional offsets were payments of $6.0 million of capitalized costs to obtain revenue contracts, which consisted primarily of sales commissions, and a $3.1 million decrease in operating lease liabilities.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The $92.8 million used in investing activities in the nine months ended October 31, 2024 was comprised of $90.8 million used for the acquisitions of DocFox and ILT, $1.5 million for the purchase of property and equipment and leasehold improvements to support the expansion of our business, and $0.5 million for an asset acquisition. The $5.9 million used in investing activities in the nine months ended October 31, 2023 was comprised of $3.1 million for the purchase of property and equipment and leasehold improvements to support the expansion of our business, $2.5 million for the purchase of preferred stock in Rich Data Co, and $0.4 million for the final cash consideration relating to an asset acquisition completed in August 2022.</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The $168.4 million provided by financing activities in the nine months ended October 31, 2024 was comprised principally of $241.0 million proceeds from borrowings on the 2022 and 2024 Credit Facility to fund the acquisition of DocFox and FullCircl, $2.5 million of proceeds from stock issuances under the employee stock purchase plan, and $2.2 million of proceeds from the exercise of stock options. The cash provided by financing activities was partially offset by payments of $75.0 million on the 2022 Credit Facility, payments of debt issuance costs of $1.4 million, and principal payments of $0.9 million on financing obligations. The $24.0 million used in financing activities in the nine months ended October 31, 2023 was comprised principally of payments of $30.0 million on the Credit Facility and principal payments of $0.9 million on financing obligations. The cash used in financing activities was partially offset by $3.2 million of proceeds from the exercise of stock options, $2.7 million of proceeds from stock issuances under the employee stock purchase plan, and $1.0 million in proceeds from the non-controlling interest in our Japan Joint venture.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380" w:firstLine="891"/>
        <w:spacing w:after="0" w:line="261"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10 "Leases," Note 11 "Revolving Credit Facility," and Note 12 "Commitments and Contingencies" of the notes to our unaudited condensed consolidated financial statements included in Part I, Item 1 of this Quarterly Report on Form 10-Q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Annual Report on Form 10-K for the fiscal year ended January 31, 2024 filed with the SEC on March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100" w:firstLine="891"/>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0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At October 31, 2024, we had cash, cash equivalents and restricted cash of $258.3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2024 Credit Facility is a senior secured revolving credit facility of up to $250.0 million. Borrowings bear interest, at the Borrower’s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at: (i) a base rate equal to the greatest of (a) the Agent’s “prime rate”, (b) the federal funds rate plus 0.50%, and (c) the Term SOFR rate plus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base rate shall not be less than 0.00%), plus a margin of 1.00%; or (ii) the Term SOFR rate (provided that the Term SOFR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0.00%), plus a margin of 2.00%, in each case with such margin subject to step ups based on certain leverage ratios. As a result, we are exposed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interest rate risk as we make draws. At October 31, 2024, we had $166.0 million outstanding under the 2024 Credit Facility. A hypothetical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 change in interest rates would not have had a material impact on our financial results included in this Quarterly Report on Form 10-Q. See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"Revolving Credit Facility" of the notes to our unaudited condensed consolidated financial statements included in Part I, Item 1 of this Quarterly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10-Q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8"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At October 31, 2024, based on the balances of our cash, cash equivalents, and restricted cash denominated in foreign currencies, a hypothetical 10% increase or decrease in foreign currency exchange rates would have had an impact of approximately $7.0 million on our cash, cash equivalents and restricted cash at October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October 31, 2024, the last day of the period covered by this Quarterly Report on Form 10-Q. Based on this evaluation, our Chief Executive Officer and Chief Financial Officer have concluded that, at October 31, 2024, our disclosure controls and procedures were effective at the reasonable assurance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Annual Report on Form 10-K for the fiscal year ended January 31, 2024 filed with the SEC on March 26, 2024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2024, none of our officers or directors, as defined in Rule 16a-1(f), adopted, modified, or terminated a “Rule 10b5-1 trading arrangement” or a “non-Rule 10b5-1 trading arrangement,” as defined in Regulation S-K Item 408.</w:t>
      </w: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1" w:right="10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300" w:type="dxa"/>
            <w:vAlign w:val="bottom"/>
            <w:gridSpan w:val="1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15"/>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4280" w:type="dxa"/>
            <w:vAlign w:val="bottom"/>
            <w:gridSpan w:val="17"/>
          </w:tcPr>
          <w:p>
            <w:pPr>
              <w:spacing w:after="0" w:line="188"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Second Amended and Restated Certificate of</w:t>
              </w:r>
            </w:hyperlink>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June 24, 2024</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2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Incorporation</w:t>
              </w:r>
            </w:hyperlink>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Amended and Restated Bylaws</w:t>
              </w:r>
            </w:hyperlink>
          </w:p>
        </w:tc>
        <w:tc>
          <w:tcPr>
            <w:tcW w:w="2020" w:type="dxa"/>
            <w:vAlign w:val="bottom"/>
            <w:gridSpan w:val="14"/>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80" w:type="dxa"/>
            <w:vAlign w:val="bottom"/>
            <w:gridSpan w:val="1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Credit Agreement by and among nCino, Inc., nCino</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30, 2024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OpCo, Inc., certain subsidiaries of nCino, Inc. as</w:t>
              </w:r>
            </w:hyperlink>
          </w:p>
        </w:tc>
        <w:tc>
          <w:tcPr>
            <w:tcW w:w="220" w:type="dxa"/>
            <w:vAlign w:val="bottom"/>
            <w:tcBorders>
              <w:top w:val="single" w:sz="8" w:color="0000FF"/>
            </w:tcBorders>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7"/>
          </w:tcPr>
          <w:p>
            <w:pPr>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guarantors and Bank of America, N.A., dated October 28,</w:t>
              </w:r>
            </w:hyperlink>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87">
              <w:r>
                <w:rPr>
                  <w:rFonts w:ascii="Times New Roman" w:cs="Times New Roman" w:eastAsia="Times New Roman" w:hAnsi="Times New Roman"/>
                  <w:sz w:val="18"/>
                  <w:szCs w:val="18"/>
                  <w:color w:val="0000FF"/>
                  <w:w w:val="94"/>
                </w:rPr>
                <w:t>2024</w:t>
              </w:r>
            </w:hyperlink>
          </w:p>
        </w:tc>
        <w:tc>
          <w:tcPr>
            <w:tcW w:w="6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6"/>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6"/>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12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gridSpan w:val="4"/>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80" w:right="300" w:hanging="954"/>
        <w:spacing w:after="0" w:line="23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nCino, Inc.</w:t>
            </w:r>
          </w:p>
        </w:tc>
      </w:tr>
      <w:tr>
        <w:trPr>
          <w:trHeight w:val="39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2024</w:t>
            </w:r>
          </w:p>
        </w:tc>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Pierre Naudé</w:t>
            </w:r>
          </w:p>
        </w:tc>
      </w:tr>
      <w:tr>
        <w:trPr>
          <w:trHeight w:val="218"/>
        </w:trPr>
        <w:tc>
          <w:tcPr>
            <w:tcW w:w="3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Pierre Naudé</w:t>
            </w:r>
          </w:p>
        </w:tc>
      </w:tr>
      <w:tr>
        <w:trPr>
          <w:trHeight w:val="230"/>
        </w:trPr>
        <w:tc>
          <w:tcPr>
            <w:tcW w:w="36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2024</w:t>
            </w:r>
          </w:p>
        </w:tc>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218"/>
        </w:trPr>
        <w:tc>
          <w:tcPr>
            <w:tcW w:w="3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229"/>
        </w:trPr>
        <w:tc>
          <w:tcPr>
            <w:tcW w:w="36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234"/>
        </w:trPr>
        <w:tc>
          <w:tcPr>
            <w:tcW w:w="3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4"/>
        </w:trPr>
        <w:tc>
          <w:tcPr>
            <w:tcW w:w="3640" w:type="dxa"/>
            <w:vAlign w:val="bottom"/>
          </w:tcPr>
          <w:p>
            <w:pPr>
              <w:spacing w:after="0"/>
              <w:rPr>
                <w:sz w:val="24"/>
                <w:szCs w:val="24"/>
                <w:color w:val="auto"/>
              </w:rPr>
            </w:pPr>
          </w:p>
        </w:tc>
        <w:tc>
          <w:tcPr>
            <w:tcW w:w="32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42</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Pierre Naudé, certify that:</w:t>
      </w:r>
    </w:p>
    <w:p>
      <w:pPr>
        <w:spacing w:after="0" w:line="25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46" w:name="page47"/>
    <w:bookmarkEnd w:id="46"/>
    <w:p>
      <w:pPr>
        <w:ind w:left="652" w:hanging="652"/>
        <w:spacing w:after="0" w:line="261" w:lineRule="auto"/>
        <w:tabs>
          <w:tab w:leader="none" w:pos="65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260" w:hanging="644"/>
        <w:spacing w:after="0" w:line="261" w:lineRule="auto"/>
        <w:tabs>
          <w:tab w:leader="none" w:pos="128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20"/>
          <w:szCs w:val="20"/>
          <w:color w:val="auto"/>
        </w:rPr>
      </w:pPr>
    </w:p>
    <w:p>
      <w:pPr>
        <w:ind w:left="1292" w:right="680" w:hanging="644"/>
        <w:spacing w:after="0" w:line="245" w:lineRule="auto"/>
        <w:tabs>
          <w:tab w:leader="none" w:pos="128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12"/>
        <w:spacing w:after="0"/>
        <w:tabs>
          <w:tab w:leader="none" w:pos="5312" w:val="left"/>
          <w:tab w:leader="none" w:pos="7772" w:val="left"/>
        </w:tabs>
        <w:rPr>
          <w:sz w:val="20"/>
          <w:szCs w:val="20"/>
          <w:color w:val="auto"/>
        </w:rPr>
      </w:pPr>
      <w:r>
        <w:rPr>
          <w:rFonts w:ascii="Times New Roman" w:cs="Times New Roman" w:eastAsia="Times New Roman" w:hAnsi="Times New Roman"/>
          <w:sz w:val="20"/>
          <w:szCs w:val="20"/>
          <w:color w:val="auto"/>
        </w:rPr>
        <w:t>Date: December 4,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1"/>
          <w:szCs w:val="21"/>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41275</wp:posOffset>
            </wp:positionV>
            <wp:extent cx="3326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Pierre Naudé</w:t>
      </w:r>
    </w:p>
    <w:p>
      <w:pPr>
        <w:spacing w:after="0" w:line="5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Chairman and Chief Executive Officer</w:t>
      </w:r>
    </w:p>
    <w:p>
      <w:pPr>
        <w:sectPr>
          <w:pgSz w:w="11900" w:h="16838" w:orient="portrait"/>
          <w:cols w:equalWidth="0" w:num="1">
            <w:col w:w="11152"/>
          </w:cols>
          <w:pgMar w:left="328" w:top="1413" w:right="4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Gregory D. Orenstein, certify that:</w:t>
      </w:r>
    </w:p>
    <w:p>
      <w:pPr>
        <w:spacing w:after="0" w:line="25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9"/>
          <w:szCs w:val="19"/>
          <w:color w:val="auto"/>
        </w:rPr>
      </w:pPr>
    </w:p>
    <w:p>
      <w:pPr>
        <w:jc w:val="both"/>
        <w:ind w:left="1300" w:right="80" w:hanging="644"/>
        <w:spacing w:after="0" w:line="268" w:lineRule="auto"/>
        <w:tabs>
          <w:tab w:leader="none" w:pos="129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48" w:name="page49"/>
    <w:bookmarkEnd w:id="48"/>
    <w:p>
      <w:pPr>
        <w:ind w:left="652" w:right="80" w:hanging="652"/>
        <w:spacing w:after="0" w:line="261" w:lineRule="auto"/>
        <w:tabs>
          <w:tab w:leader="none" w:pos="65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340" w:hanging="644"/>
        <w:spacing w:after="0" w:line="261" w:lineRule="auto"/>
        <w:tabs>
          <w:tab w:leader="none" w:pos="128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92" w:right="760" w:hanging="644"/>
        <w:spacing w:after="0" w:line="269" w:lineRule="auto"/>
        <w:tabs>
          <w:tab w:leader="none" w:pos="12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62"/>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4, 2024</w:t>
            </w:r>
          </w:p>
        </w:tc>
        <w:tc>
          <w:tcPr>
            <w:tcW w:w="224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ectPr>
          <w:pgSz w:w="11900" w:h="16838" w:orient="portrait"/>
          <w:cols w:equalWidth="0" w:num="1">
            <w:col w:w="11232"/>
          </w:cols>
          <w:pgMar w:left="328" w:top="141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2024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4, 2024</w:t>
            </w:r>
          </w:p>
        </w:tc>
        <w:tc>
          <w:tcPr>
            <w:tcW w:w="2240" w:type="dxa"/>
            <w:vAlign w:val="bottom"/>
          </w:tcPr>
          <w:p>
            <w:pPr>
              <w:ind w:left="1700"/>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Pierre Naudé</w:t>
            </w:r>
          </w:p>
        </w:tc>
      </w:tr>
      <w:tr>
        <w:trPr>
          <w:trHeight w:val="244"/>
        </w:trPr>
        <w:tc>
          <w:tcPr>
            <w:tcW w:w="3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Pierre Naudé</w:t>
            </w:r>
          </w:p>
        </w:tc>
      </w:tr>
      <w:tr>
        <w:trPr>
          <w:trHeight w:val="258"/>
        </w:trPr>
        <w:tc>
          <w:tcPr>
            <w:tcW w:w="36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and Chief Executive Officer</w:t>
            </w:r>
          </w:p>
        </w:tc>
      </w:tr>
    </w:tbl>
    <w:p>
      <w:pPr>
        <w:sectPr>
          <w:pgSz w:w="11900" w:h="16838" w:orient="portrait"/>
          <w:cols w:equalWidth="0" w:num="1">
            <w:col w:w="11240"/>
          </w:cols>
          <w:pgMar w:left="320" w:top="141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2024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4, 2024</w:t>
            </w:r>
          </w:p>
        </w:tc>
        <w:tc>
          <w:tcPr>
            <w:tcW w:w="224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emdash "/>
      <w:numFmt w:val="bullet"/>
      <w:start w:val="1"/>
    </w:lvl>
  </w:abstractNum>
  <w:abstractNum w:abstractNumId="3">
    <w:nsid w:val="216231B"/>
    <w:multiLevelType w:val="hybridMultilevel"/>
    <w:lvl w:ilvl="0">
      <w:lvlJc w:val="left"/>
      <w:lvlText w:val="(%1)"/>
      <w:numFmt w:val="decimal"/>
      <w:start w:val="356"/>
    </w:lvl>
  </w:abstractNum>
  <w:abstractNum w:abstractNumId="4">
    <w:nsid w:val="1F16E9E8"/>
    <w:multiLevelType w:val="hybridMultilevel"/>
    <w:lvl w:ilvl="0">
      <w:lvlJc w:val="left"/>
      <w:lvlText w:val="\emdash "/>
      <w:numFmt w:val="bullet"/>
      <w:start w:val="1"/>
    </w:lvl>
  </w:abstractNum>
  <w:abstractNum w:abstractNumId="5">
    <w:nsid w:val="1190CDE7"/>
    <w:multiLevelType w:val="hybridMultilevel"/>
    <w:lvl w:ilvl="0">
      <w:lvlJc w:val="left"/>
      <w:lvlText w:val="\emdash "/>
      <w:numFmt w:val="bullet"/>
      <w:start w:val="1"/>
    </w:lvl>
  </w:abstractNum>
  <w:abstractNum w:abstractNumId="6">
    <w:nsid w:val="66EF438D"/>
    <w:multiLevelType w:val="hybridMultilevel"/>
    <w:lvl w:ilvl="0">
      <w:lvlJc w:val="left"/>
      <w:lvlText w:val="(%1)"/>
      <w:numFmt w:val="decimal"/>
      <w:start w:val="888"/>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5"/>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5"/>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5" Type="http://schemas.openxmlformats.org/officeDocument/2006/relationships/hyperlink" Target="https://www.sec.gov/Archives/edgar/data/1902733/000190273324000139/secondamendedandrestatedce.htm" TargetMode="External"/><Relationship Id="rId86" Type="http://schemas.openxmlformats.org/officeDocument/2006/relationships/hyperlink" Target="https://www.sec.gov/Archives/edgar/data/1902733/000190273322000031/amendedandrestatedbylaws.htm" TargetMode="External"/><Relationship Id="rId87" Type="http://schemas.openxmlformats.org/officeDocument/2006/relationships/hyperlink" Target="https://www.sec.gov/Archives/edgar/data/1902733/000190273324000171/exhibit101creditagreement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2024-12-04T16:18:31Z</dcterms:created>
  <dcterms:modified xsi:type="dcterms:W3CDTF">2024-12-04T16:18:31Z</dcterms:modified>
</cp:coreProperties>
</file>