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245093.xml.htm"/>
      <w:bookmarkStart w:id="1" w:name="kswkform4_17822450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Naude Pierre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6770 PARKER FARM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nCino, Inc.</w:t>
              </w:r>
            </w:hyperlink>
            <w:r>
              <w:rPr/>
              <w:t xml:space="preserve"> [ </w:t>
            </w:r>
            <w:r>
              <w:rPr>
                <w:rFonts w:ascii="Times;serif" w:hAnsi="Times;serif"/>
                <w:color w:val="0000FF"/>
                <w:sz w:val="24"/>
                <w:shd w:fill="FFFFFF" w:val="clear"/>
              </w:rPr>
              <w:t>NCNO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70"/>
        <w:gridCol w:w="452"/>
        <w:gridCol w:w="614"/>
        <w:gridCol w:w="1275"/>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12,911</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1,121,384</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in full on the earlier of June 18, 2027 and the date of the next annual meeting of the Issuer's stockholders, subject to the reporting person's continued service through the applicable vesting date. These RSUs vest fully upon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Jeanette Sellers, Attorney-in-Fact for Pierre Naude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186" TargetMode="External"/><Relationship Id="rId5" Type="http://schemas.openxmlformats.org/officeDocument/2006/relationships/hyperlink" Target="http://www.sec.gov/cgi-bin/browse-edgar?action=getcompany&amp;CIK=00019027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3313</Characters>
  <CharactersWithSpaces>3866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