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18"/>
        </w:rPr>
      </w:pPr>
      <w:r>
        <w:rPr>
          <w:rFonts w:ascii="Times New Roman;serif" w:hAnsi="Times New Roman;serif"/>
          <w:b/>
          <w:color w:val="000000"/>
          <w:sz w:val="18"/>
        </w:rPr>
        <w:t xml:space="preserve">UNITED STATES </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SECURITIES AND EXCHANGE COMMISSION</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Washington, D.C. 20549</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32"/>
        </w:rPr>
      </w:pPr>
      <w:r>
        <w:rPr>
          <w:rFonts w:ascii="Times New Roman;serif" w:hAnsi="Times New Roman;serif"/>
          <w:b/>
          <w:color w:val="000000"/>
          <w:sz w:val="32"/>
        </w:rPr>
        <w:t>FORM 8-K</w:t>
      </w:r>
    </w:p>
    <w:p>
      <w:pPr>
        <w:pStyle w:val="TextBody"/>
        <w:bidi w:val="0"/>
        <w:spacing w:before="0" w:after="0"/>
        <w:jc w:val="center"/>
        <w:rPr/>
      </w:pPr>
      <w:r>
        <w:rPr/>
      </w:r>
    </w:p>
    <w:p>
      <w:pPr>
        <w:pStyle w:val="TextBody"/>
        <w:bidi w:val="0"/>
        <w:spacing w:lineRule="auto" w:line="333" w:before="0" w:after="0"/>
        <w:jc w:val="center"/>
        <w:rPr>
          <w:rFonts w:ascii="Times New Roman;serif" w:hAnsi="Times New Roman;serif"/>
          <w:b/>
          <w:color w:val="000000"/>
          <w:sz w:val="18"/>
        </w:rPr>
      </w:pPr>
      <w:r>
        <w:rPr>
          <w:rFonts w:ascii="Times New Roman;serif" w:hAnsi="Times New Roman;serif"/>
          <w:b/>
          <w:color w:val="000000"/>
          <w:sz w:val="18"/>
        </w:rPr>
        <w:t>CURRENT REPORT</w:t>
      </w:r>
    </w:p>
    <w:p>
      <w:pPr>
        <w:pStyle w:val="TextBody"/>
        <w:bidi w:val="0"/>
        <w:spacing w:lineRule="auto" w:line="333" w:before="0" w:after="0"/>
        <w:jc w:val="center"/>
        <w:rPr>
          <w:rFonts w:ascii="Times New Roman;serif" w:hAnsi="Times New Roman;serif"/>
          <w:b/>
          <w:color w:val="000000"/>
          <w:sz w:val="18"/>
        </w:rPr>
      </w:pPr>
      <w:r>
        <w:rPr>
          <w:rFonts w:ascii="Times New Roman;serif" w:hAnsi="Times New Roman;serif"/>
          <w:b/>
          <w:color w:val="000000"/>
          <w:sz w:val="18"/>
        </w:rPr>
        <w:t>PURSUANT TO SECTION 13 OR 15(d) OF THE SECURITIES EXCHANGE ACT OF 1934</w:t>
      </w:r>
    </w:p>
    <w:p>
      <w:pPr>
        <w:pStyle w:val="TextBody"/>
        <w:bidi w:val="0"/>
        <w:spacing w:before="0" w:after="0"/>
        <w:jc w:val="center"/>
        <w:rPr/>
      </w:pPr>
      <w:r>
        <w:rPr/>
      </w:r>
    </w:p>
    <w:p>
      <w:pPr>
        <w:pStyle w:val="TextBody"/>
        <w:bidi w:val="0"/>
        <w:spacing w:lineRule="auto" w:line="333" w:before="0" w:after="0"/>
        <w:jc w:val="center"/>
        <w:rPr>
          <w:rFonts w:ascii="Times New Roman;serif" w:hAnsi="Times New Roman;serif"/>
          <w:b/>
          <w:color w:val="000000"/>
          <w:sz w:val="18"/>
        </w:rPr>
      </w:pPr>
      <w:r>
        <w:rPr>
          <w:rFonts w:ascii="Times New Roman;serif" w:hAnsi="Times New Roman;serif"/>
          <w:b/>
          <w:color w:val="000000"/>
          <w:sz w:val="18"/>
        </w:rPr>
        <w:t>Date of report (Date of earliest event reported): August 25, 2026</w:t>
      </w:r>
    </w:p>
    <w:p>
      <w:pPr>
        <w:pStyle w:val="TextBody"/>
        <w:bidi w:val="0"/>
        <w:spacing w:lineRule="auto" w:line="333" w:before="0" w:after="0"/>
        <w:jc w:val="center"/>
        <w:rPr>
          <w:rFonts w:ascii="Times New Roman;serif" w:hAnsi="Times New Roman;serif"/>
          <w:b/>
          <w:color w:val="000000"/>
          <w:sz w:val="32"/>
        </w:rPr>
      </w:pPr>
      <w:r>
        <w:rPr>
          <w:rFonts w:ascii="Times New Roman;serif" w:hAnsi="Times New Roman;serif"/>
          <w:b/>
          <w:color w:val="000000"/>
          <w:sz w:val="32"/>
        </w:rPr>
        <w:t>nCino, Inc.</w:t>
      </w:r>
    </w:p>
    <w:p>
      <w:pPr>
        <w:pStyle w:val="TextBody"/>
        <w:bidi w:val="0"/>
        <w:spacing w:lineRule="auto" w:line="333" w:before="0" w:after="0"/>
        <w:jc w:val="center"/>
        <w:rPr>
          <w:rFonts w:ascii="Times New Roman;serif" w:hAnsi="Times New Roman;serif"/>
          <w:b/>
          <w:color w:val="000000"/>
          <w:sz w:val="16"/>
        </w:rPr>
      </w:pPr>
      <w:r>
        <w:rPr>
          <w:rFonts w:ascii="Times New Roman;serif" w:hAnsi="Times New Roman;serif"/>
          <w:b/>
          <w:color w:val="000000"/>
          <w:sz w:val="16"/>
        </w:rPr>
        <w:t>(Exact name of registrant as specified in its charter)</w:t>
      </w:r>
    </w:p>
    <w:p>
      <w:pPr>
        <w:pStyle w:val="TextBody"/>
        <w:bidi w:val="0"/>
        <w:spacing w:before="0" w:after="0"/>
        <w:jc w:val="center"/>
        <w:rPr/>
      </w:pPr>
      <w:r>
        <w:rPr/>
      </w:r>
    </w:p>
    <w:tbl>
      <w:tblPr>
        <w:tblW w:w="7021" w:type="dxa"/>
        <w:jc w:val="left"/>
        <w:tblInd w:w="0" w:type="dxa"/>
        <w:tblLayout w:type="fixed"/>
        <w:tblCellMar>
          <w:top w:w="28" w:type="dxa"/>
          <w:left w:w="28" w:type="dxa"/>
          <w:bottom w:w="28" w:type="dxa"/>
          <w:right w:w="28" w:type="dxa"/>
        </w:tblCellMar>
      </w:tblPr>
      <w:tblGrid>
        <w:gridCol w:w="124"/>
        <w:gridCol w:w="109"/>
        <w:gridCol w:w="109"/>
        <w:gridCol w:w="747"/>
        <w:gridCol w:w="747"/>
        <w:gridCol w:w="756"/>
        <w:gridCol w:w="109"/>
        <w:gridCol w:w="109"/>
        <w:gridCol w:w="109"/>
        <w:gridCol w:w="652"/>
        <w:gridCol w:w="652"/>
        <w:gridCol w:w="660"/>
        <w:gridCol w:w="109"/>
        <w:gridCol w:w="109"/>
        <w:gridCol w:w="109"/>
        <w:gridCol w:w="479"/>
        <w:gridCol w:w="479"/>
        <w:gridCol w:w="481"/>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47" w:type="dxa"/>
            <w:tcBorders/>
            <w:vAlign w:val="center"/>
          </w:tcPr>
          <w:p>
            <w:pPr>
              <w:pStyle w:val="TableContents"/>
              <w:bidi w:val="0"/>
              <w:spacing w:before="0" w:after="283"/>
              <w:jc w:val="left"/>
              <w:rPr>
                <w:sz w:val="4"/>
                <w:szCs w:val="4"/>
              </w:rPr>
            </w:pPr>
            <w:r>
              <w:rPr>
                <w:sz w:val="4"/>
                <w:szCs w:val="4"/>
              </w:rPr>
            </w:r>
          </w:p>
        </w:tc>
        <w:tc>
          <w:tcPr>
            <w:tcW w:w="747" w:type="dxa"/>
            <w:tcBorders/>
            <w:vAlign w:val="center"/>
          </w:tcPr>
          <w:p>
            <w:pPr>
              <w:pStyle w:val="TableContents"/>
              <w:bidi w:val="0"/>
              <w:spacing w:before="0" w:after="283"/>
              <w:jc w:val="left"/>
              <w:rPr>
                <w:sz w:val="4"/>
                <w:szCs w:val="4"/>
              </w:rPr>
            </w:pPr>
            <w:r>
              <w:rPr>
                <w:sz w:val="4"/>
                <w:szCs w:val="4"/>
              </w:rPr>
            </w:r>
          </w:p>
        </w:tc>
        <w:tc>
          <w:tcPr>
            <w:tcW w:w="7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52" w:type="dxa"/>
            <w:tcBorders/>
            <w:vAlign w:val="center"/>
          </w:tcPr>
          <w:p>
            <w:pPr>
              <w:pStyle w:val="TableContents"/>
              <w:bidi w:val="0"/>
              <w:spacing w:before="0" w:after="283"/>
              <w:jc w:val="left"/>
              <w:rPr>
                <w:sz w:val="4"/>
                <w:szCs w:val="4"/>
              </w:rPr>
            </w:pPr>
            <w:r>
              <w:rPr>
                <w:sz w:val="4"/>
                <w:szCs w:val="4"/>
              </w:rPr>
            </w:r>
          </w:p>
        </w:tc>
        <w:tc>
          <w:tcPr>
            <w:tcW w:w="652" w:type="dxa"/>
            <w:tcBorders/>
            <w:vAlign w:val="center"/>
          </w:tcPr>
          <w:p>
            <w:pPr>
              <w:pStyle w:val="TableContents"/>
              <w:bidi w:val="0"/>
              <w:spacing w:before="0" w:after="283"/>
              <w:jc w:val="left"/>
              <w:rPr>
                <w:sz w:val="4"/>
                <w:szCs w:val="4"/>
              </w:rPr>
            </w:pPr>
            <w:r>
              <w:rPr>
                <w:sz w:val="4"/>
                <w:szCs w:val="4"/>
              </w:rPr>
            </w:r>
          </w:p>
        </w:tc>
        <w:tc>
          <w:tcPr>
            <w:tcW w:w="6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Delaware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001-41211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87-4154342</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(State or other jurisdiction of</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(Commission file 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(IRS Employer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incorporation)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Identification No.)</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color w:val="000000"/>
          <w:sz w:val="18"/>
          <w:shd w:fill="FFFFFF" w:val="clear"/>
        </w:rPr>
      </w:pPr>
      <w:r>
        <w:rPr>
          <w:rFonts w:ascii="Times New Roman;serif" w:hAnsi="Times New Roman;serif"/>
          <w:b/>
          <w:color w:val="000000"/>
          <w:sz w:val="18"/>
          <w:shd w:fill="FFFFFF" w:val="clear"/>
        </w:rPr>
        <w:t>6770 Parker Farm Drive</w:t>
      </w:r>
    </w:p>
    <w:p>
      <w:pPr>
        <w:pStyle w:val="TextBody"/>
        <w:bidi w:val="0"/>
        <w:spacing w:lineRule="auto" w:line="288" w:before="0" w:after="0"/>
        <w:jc w:val="center"/>
        <w:rPr>
          <w:rFonts w:ascii="Times New Roman;serif" w:hAnsi="Times New Roman;serif"/>
          <w:b/>
          <w:color w:val="000000"/>
          <w:sz w:val="18"/>
          <w:shd w:fill="FFFFFF" w:val="clear"/>
        </w:rPr>
      </w:pPr>
      <w:r>
        <w:rPr>
          <w:rFonts w:ascii="Times New Roman;serif" w:hAnsi="Times New Roman;serif"/>
          <w:b/>
          <w:color w:val="000000"/>
          <w:sz w:val="18"/>
          <w:shd w:fill="FFFFFF" w:val="clear"/>
        </w:rPr>
        <w:t>Wilmington, North Carolina 28405</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(Address of Principal Executive Offices, Including Zip Code)</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18"/>
          <w:shd w:fill="FFFFFF" w:val="clear"/>
        </w:rPr>
      </w:pPr>
      <w:r>
        <w:rPr>
          <w:rFonts w:ascii="Times New Roman;serif" w:hAnsi="Times New Roman;serif"/>
          <w:b/>
          <w:color w:val="000000"/>
          <w:sz w:val="18"/>
          <w:shd w:fill="FFFFFF" w:val="clear"/>
        </w:rPr>
        <w:t>Registrant’s Telephone Number, Including Area Code: (888) 676-2466</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Not Applicable</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(Former Name or Former Address, if Changed Since Last Report)</w:t>
      </w:r>
    </w:p>
    <w:p>
      <w:pPr>
        <w:pStyle w:val="TextBody"/>
        <w:bidi w:val="0"/>
        <w:spacing w:before="0" w:after="0"/>
        <w:jc w:val="center"/>
        <w:rPr/>
      </w:pPr>
      <w:r>
        <w:rPr/>
      </w:r>
    </w:p>
    <w:p>
      <w:pPr>
        <w:pStyle w:val="TextBody"/>
        <w:bidi w:val="0"/>
        <w:spacing w:lineRule="auto" w:line="288" w:before="0" w:after="0"/>
        <w:jc w:val="left"/>
        <w:rPr>
          <w:rFonts w:ascii="Times New Roman;serif" w:hAnsi="Times New Roman;serif"/>
          <w:b w:val="false"/>
          <w:color w:val="000000"/>
          <w:sz w:val="18"/>
          <w:shd w:fill="FFFFFF" w:val="clear"/>
        </w:rPr>
      </w:pPr>
      <w:r>
        <w:rPr>
          <w:rFonts w:ascii="Times New Roman;serif" w:hAnsi="Times New Roman;serif"/>
          <w:b w:val="false"/>
          <w:color w:val="000000"/>
          <w:sz w:val="18"/>
          <w:shd w:fill="FFFFFF" w:val="clear"/>
        </w:rPr>
        <w:t>Check the appropriate box below if the Form 8-K filing is intended to simultaneously satisfy the filing obligation of the registrant under any of the following provisions:    </w:t>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 xml:space="preserve">☐ </w:t>
      </w:r>
      <w:r>
        <w:rPr>
          <w:rFonts w:ascii="Times New Roman;serif" w:hAnsi="Times New Roman;serif"/>
          <w:b w:val="false"/>
          <w:color w:val="000000"/>
          <w:sz w:val="18"/>
        </w:rPr>
        <w:t>Written communications pursuant to Rule 425 under the Securities Act (17 CFR 230.425)</w:t>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 xml:space="preserve">☐ </w:t>
      </w:r>
      <w:r>
        <w:rPr>
          <w:rFonts w:ascii="Times New Roman;serif" w:hAnsi="Times New Roman;serif"/>
          <w:b w:val="false"/>
          <w:color w:val="000000"/>
          <w:sz w:val="18"/>
        </w:rPr>
        <w:t>Soliciting material pursuant to Rule 14a-12 under the Exchange Act (17 CFR 240.14a-12)</w:t>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 xml:space="preserve">☐ </w:t>
      </w:r>
      <w:r>
        <w:rPr>
          <w:rFonts w:ascii="Times New Roman;serif" w:hAnsi="Times New Roman;serif"/>
          <w:b w:val="false"/>
          <w:color w:val="000000"/>
          <w:sz w:val="18"/>
        </w:rPr>
        <w:t>Pre-commencement communications pursuant to Rule 14d-2(b) under the Exchange Act (17 CFR 240.14d-2(b))</w:t>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 xml:space="preserve">☐ </w:t>
      </w:r>
      <w:r>
        <w:rPr>
          <w:rFonts w:ascii="Times New Roman;serif" w:hAnsi="Times New Roman;serif"/>
          <w:b w:val="false"/>
          <w:color w:val="000000"/>
          <w:sz w:val="18"/>
        </w:rPr>
        <w:t>Pre-commencement communications pursuant to Rule 13e-4(c) under the Exchange Act (17 CFR 240.13e-4(c))</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8"/>
          <w:shd w:fill="FFFFFF" w:val="clear"/>
        </w:rPr>
      </w:pPr>
      <w:r>
        <w:rPr>
          <w:rFonts w:ascii="Times New Roman;serif" w:hAnsi="Times New Roman;serif"/>
          <w:b w:val="false"/>
          <w:color w:val="000000"/>
          <w:sz w:val="18"/>
          <w:shd w:fill="FFFFFF" w:val="clear"/>
        </w:rPr>
        <w:t>Securities registered pursuant to Section 12(b) of the Act:</w:t>
      </w:r>
    </w:p>
    <w:p>
      <w:pPr>
        <w:pStyle w:val="TextBody"/>
        <w:bidi w:val="0"/>
        <w:spacing w:before="0" w:after="0"/>
        <w:jc w:val="left"/>
        <w:rPr/>
      </w:pPr>
      <w:r>
        <w:rPr/>
      </w:r>
    </w:p>
    <w:tbl>
      <w:tblPr>
        <w:tblW w:w="8976" w:type="dxa"/>
        <w:jc w:val="left"/>
        <w:tblInd w:w="0" w:type="dxa"/>
        <w:tblLayout w:type="fixed"/>
        <w:tblCellMar>
          <w:top w:w="28" w:type="dxa"/>
          <w:left w:w="28" w:type="dxa"/>
          <w:bottom w:w="28" w:type="dxa"/>
          <w:right w:w="28" w:type="dxa"/>
        </w:tblCellMar>
      </w:tblPr>
      <w:tblGrid>
        <w:gridCol w:w="1187"/>
        <w:gridCol w:w="1045"/>
        <w:gridCol w:w="1052"/>
        <w:gridCol w:w="109"/>
        <w:gridCol w:w="109"/>
        <w:gridCol w:w="109"/>
        <w:gridCol w:w="519"/>
        <w:gridCol w:w="519"/>
        <w:gridCol w:w="521"/>
        <w:gridCol w:w="109"/>
        <w:gridCol w:w="109"/>
        <w:gridCol w:w="109"/>
        <w:gridCol w:w="1019"/>
        <w:gridCol w:w="1019"/>
        <w:gridCol w:w="1441"/>
      </w:tblGrid>
      <w:tr>
        <w:trPr/>
        <w:tc>
          <w:tcPr>
            <w:tcW w:w="1187" w:type="dxa"/>
            <w:tcBorders/>
            <w:vAlign w:val="center"/>
          </w:tcPr>
          <w:p>
            <w:pPr>
              <w:pStyle w:val="TableContents"/>
              <w:bidi w:val="0"/>
              <w:spacing w:before="0" w:after="283"/>
              <w:jc w:val="left"/>
              <w:rPr>
                <w:sz w:val="4"/>
                <w:szCs w:val="4"/>
              </w:rPr>
            </w:pPr>
            <w:r>
              <w:rPr>
                <w:sz w:val="4"/>
                <w:szCs w:val="4"/>
              </w:rPr>
            </w:r>
          </w:p>
        </w:tc>
        <w:tc>
          <w:tcPr>
            <w:tcW w:w="1045" w:type="dxa"/>
            <w:tcBorders/>
            <w:vAlign w:val="center"/>
          </w:tcPr>
          <w:p>
            <w:pPr>
              <w:pStyle w:val="TableContents"/>
              <w:bidi w:val="0"/>
              <w:spacing w:before="0" w:after="283"/>
              <w:jc w:val="left"/>
              <w:rPr>
                <w:sz w:val="4"/>
                <w:szCs w:val="4"/>
              </w:rPr>
            </w:pPr>
            <w:r>
              <w:rPr>
                <w:sz w:val="4"/>
                <w:szCs w:val="4"/>
              </w:rPr>
            </w:r>
          </w:p>
        </w:tc>
        <w:tc>
          <w:tcPr>
            <w:tcW w:w="10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c>
          <w:tcPr>
            <w:tcW w:w="5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19" w:type="dxa"/>
            <w:tcBorders/>
            <w:vAlign w:val="center"/>
          </w:tcPr>
          <w:p>
            <w:pPr>
              <w:pStyle w:val="TableContents"/>
              <w:bidi w:val="0"/>
              <w:spacing w:before="0" w:after="283"/>
              <w:jc w:val="left"/>
              <w:rPr>
                <w:sz w:val="4"/>
                <w:szCs w:val="4"/>
              </w:rPr>
            </w:pPr>
            <w:r>
              <w:rPr>
                <w:sz w:val="4"/>
                <w:szCs w:val="4"/>
              </w:rPr>
            </w:r>
          </w:p>
        </w:tc>
        <w:tc>
          <w:tcPr>
            <w:tcW w:w="1019" w:type="dxa"/>
            <w:tcBorders/>
            <w:vAlign w:val="center"/>
          </w:tcPr>
          <w:p>
            <w:pPr>
              <w:pStyle w:val="TableContents"/>
              <w:bidi w:val="0"/>
              <w:spacing w:before="0" w:after="283"/>
              <w:jc w:val="left"/>
              <w:rPr>
                <w:sz w:val="4"/>
                <w:szCs w:val="4"/>
              </w:rPr>
            </w:pPr>
            <w:r>
              <w:rPr>
                <w:sz w:val="4"/>
                <w:szCs w:val="4"/>
              </w:rPr>
            </w:r>
          </w:p>
        </w:tc>
        <w:tc>
          <w:tcPr>
            <w:tcW w:w="1441" w:type="dxa"/>
            <w:tcBorders/>
            <w:vAlign w:val="center"/>
          </w:tcPr>
          <w:p>
            <w:pPr>
              <w:pStyle w:val="TableContents"/>
              <w:bidi w:val="0"/>
              <w:spacing w:before="0" w:after="283"/>
              <w:jc w:val="left"/>
              <w:rPr>
                <w:sz w:val="4"/>
                <w:szCs w:val="4"/>
              </w:rPr>
            </w:pPr>
            <w:r>
              <w:rPr>
                <w:sz w:val="4"/>
                <w:szCs w:val="4"/>
              </w:rPr>
            </w:r>
          </w:p>
        </w:tc>
      </w:tr>
      <w:tr>
        <w:trPr/>
        <w:tc>
          <w:tcPr>
            <w:tcW w:w="328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Trading Symbol(s)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7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Name of each exchange on which registered</w:t>
            </w:r>
          </w:p>
        </w:tc>
      </w:tr>
      <w:tr>
        <w:trPr/>
        <w:tc>
          <w:tcPr>
            <w:tcW w:w="3284"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Common Stock, par value $0.0005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NCNO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79"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The Nasdaq Global Select Market</w:t>
            </w:r>
          </w:p>
        </w:tc>
      </w:tr>
    </w:tbl>
    <w:p>
      <w:pPr>
        <w:pStyle w:val="TextBody"/>
        <w:bidi w:val="0"/>
        <w:spacing w:before="0" w:after="0"/>
        <w:jc w:val="center"/>
        <w:rPr/>
      </w:pPr>
      <w:r>
        <w:rPr/>
      </w:r>
    </w:p>
    <w:p>
      <w:pPr>
        <w:pStyle w:val="TextBody"/>
        <w:bidi w:val="0"/>
        <w:spacing w:lineRule="auto" w:line="333" w:before="0" w:after="0"/>
        <w:jc w:val="left"/>
        <w:rPr>
          <w:rFonts w:ascii="Times New Roman;serif" w:hAnsi="Times New Roman;serif"/>
          <w:b w:val="false"/>
          <w:color w:val="000000"/>
          <w:sz w:val="18"/>
        </w:rPr>
      </w:pPr>
      <w:r>
        <w:rPr>
          <w:rFonts w:ascii="Times New Roman;serif" w:hAnsi="Times New Roman;serif"/>
          <w:b w:val="false"/>
          <w:color w:val="000000"/>
          <w:sz w:val="18"/>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0" w:after="0"/>
        <w:jc w:val="left"/>
        <w:rPr/>
      </w:pPr>
      <w:r>
        <w:rPr/>
      </w:r>
    </w:p>
    <w:p>
      <w:pPr>
        <w:pStyle w:val="TextBody"/>
        <w:bidi w:val="0"/>
        <w:spacing w:lineRule="auto" w:line="333" w:before="0" w:after="0"/>
        <w:jc w:val="left"/>
        <w:rPr>
          <w:rFonts w:ascii="Times New Roman;serif" w:hAnsi="Times New Roman;serif"/>
          <w:b w:val="false"/>
          <w:color w:val="000000"/>
          <w:sz w:val="18"/>
        </w:rPr>
      </w:pPr>
      <w:r>
        <w:rPr>
          <w:rFonts w:ascii="Times New Roman;serif" w:hAnsi="Times New Roman;serif"/>
          <w:b w:val="false"/>
          <w:color w:val="000000"/>
          <w:sz w:val="18"/>
        </w:rPr>
        <w:t>Emerging growth company ☐</w:t>
      </w:r>
    </w:p>
    <w:p>
      <w:pPr>
        <w:pStyle w:val="TextBody"/>
        <w:bidi w:val="0"/>
        <w:spacing w:before="0" w:after="0"/>
        <w:jc w:val="left"/>
        <w:rPr/>
      </w:pPr>
      <w:r>
        <w:rPr/>
      </w:r>
    </w:p>
    <w:p>
      <w:pPr>
        <w:pStyle w:val="TextBody"/>
        <w:bidi w:val="0"/>
        <w:spacing w:lineRule="auto" w:line="333" w:before="0" w:after="0"/>
        <w:jc w:val="left"/>
        <w:rPr>
          <w:rFonts w:ascii="Times New Roman;serif" w:hAnsi="Times New Roman;serif"/>
          <w:b w:val="false"/>
          <w:color w:val="000000"/>
          <w:sz w:val="18"/>
        </w:rPr>
      </w:pPr>
      <w:r>
        <w:rPr>
          <w:rFonts w:ascii="Times New Roman;serif" w:hAnsi="Times New Roman;serif"/>
          <w:b w:val="false"/>
          <w:color w:val="000000"/>
          <w:sz w:val="18"/>
        </w:rPr>
        <w:t>If an emerging growth company, indicate by check mark if the registrant has elected not to use the extended transition period for complying with any new or revised financial accounting standards provided pursuant to Section 13(a) of the Exchange Act.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left"/>
        <w:rPr>
          <w:rFonts w:ascii="Times New Roman;serif" w:hAnsi="Times New Roman;serif"/>
          <w:b/>
          <w:color w:val="000000"/>
          <w:sz w:val="20"/>
          <w:shd w:fill="FFFFFF" w:val="clear"/>
        </w:rPr>
      </w:pPr>
      <w:r>
        <w:rPr>
          <w:rFonts w:ascii="Times New Roman;serif" w:hAnsi="Times New Roman;serif"/>
          <w:b/>
          <w:color w:val="000000"/>
          <w:sz w:val="20"/>
          <w:shd w:fill="FFFFFF" w:val="clear"/>
        </w:rPr>
        <w:t>Item 2.02    Results of Operations and Financial Condition.</w:t>
      </w:r>
    </w:p>
    <w:p>
      <w:pPr>
        <w:pStyle w:val="TextBody"/>
        <w:bidi w:val="0"/>
        <w:spacing w:lineRule="auto" w:line="288" w:before="240" w:after="283"/>
        <w:jc w:val="left"/>
        <w:rPr/>
      </w:pPr>
      <w:r>
        <w:rPr>
          <w:rFonts w:ascii="Times New Roman;serif" w:hAnsi="Times New Roman;serif"/>
          <w:b w:val="false"/>
          <w:color w:val="000000"/>
          <w:sz w:val="20"/>
        </w:rPr>
        <w:t xml:space="preserve">On August 25, 2026, nCino, Inc. (the </w:t>
      </w:r>
      <w:r>
        <w:rPr>
          <w:color w:val="000000"/>
          <w:shd w:fill="FFFFFF" w:val="clear"/>
        </w:rPr>
        <w:t>“</w:t>
      </w:r>
      <w:r>
        <w:rPr>
          <w:rFonts w:ascii="Times New Roman;serif" w:hAnsi="Times New Roman;serif"/>
          <w:b w:val="false"/>
          <w:color w:val="000000"/>
          <w:sz w:val="20"/>
        </w:rPr>
        <w:t>Company</w:t>
      </w:r>
      <w:r>
        <w:rPr>
          <w:color w:val="000000"/>
          <w:shd w:fill="FFFFFF" w:val="clear"/>
        </w:rPr>
        <w:t>”</w:t>
      </w:r>
      <w:r>
        <w:rPr>
          <w:rFonts w:ascii="Times New Roman;serif" w:hAnsi="Times New Roman;serif"/>
          <w:b w:val="false"/>
          <w:color w:val="000000"/>
          <w:sz w:val="20"/>
        </w:rPr>
        <w:t>) issued a press release (the "Press Release") announcing its financial results for its second quarter ended July 31, 2026. A copy of the Press Release is furnished herewith as Exhibit 99.1 to this Current Report on Form 8-K and is incorporated herein by reference.</w:t>
      </w:r>
    </w:p>
    <w:p>
      <w:pPr>
        <w:pStyle w:val="TextBody"/>
        <w:bidi w:val="0"/>
        <w:spacing w:lineRule="auto" w:line="288" w:before="240" w:after="283"/>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 information in Item 2.02 of this Current Report on Form 8-K and the accompanying Exhibit 99.1 shall not be deemed “filed” for purposes of Section 18 of the Securities Exchange Act of 1934, as amended (the “Exchange Act”), or otherwise subject to the liabilities of that section, nor shall it be deemed incorporated by reference in any filing under the Securities Act of 1933, as amended (the “Securities Act”), or the Exchange Act, regardless of any general incorporation language in such filing, unless expressly incorporated by reference in such filing.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Item 8.01    Other Events.</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On August 25, 2026, the Company issued the Press Release which included an announcement that its board of directors authorized a stock repurchase program to acquire up to $100,000,000 of the Company's outstanding common stock. The Company may make repurchases, from time to time, through open market purchases, block trades, in privately negotiated transactions, accelerated stock repurchase transactions, or by other means. The Company may also, from time to time, enter into Rule 10b5-1 plans to facilitate repurchases under this authorization. The volume, price, timing, and manner of any repurchases will be determined at the Company’s discretion, subject to general market conditions, as well as the Company’s management of capital, general business conditions, other investment opportunities, regulatory requirements and other factors. The repurchase program does not obligate the Company to repurchase any specific amount of common stock, has no time limit, and may be modified, suspended, or discontinued at any time without notice at the discretion of nCino's Board of Directors. A copy of the press release is furnished herewith as Exhibit 99.1 to the Current Report on Form 8-K and is incorporated herein by reference.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9.01    Financial Statements and Exhibits.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(d) Exhibits</w:t>
      </w:r>
    </w:p>
    <w:tbl>
      <w:tblPr>
        <w:tblW w:w="7680" w:type="dxa"/>
        <w:jc w:val="left"/>
        <w:tblInd w:w="0" w:type="dxa"/>
        <w:tblLayout w:type="fixed"/>
        <w:tblCellMar>
          <w:top w:w="28" w:type="dxa"/>
          <w:left w:w="28" w:type="dxa"/>
          <w:bottom w:w="28" w:type="dxa"/>
          <w:right w:w="28" w:type="dxa"/>
        </w:tblCellMar>
      </w:tblPr>
      <w:tblGrid>
        <w:gridCol w:w="391"/>
        <w:gridCol w:w="344"/>
        <w:gridCol w:w="345"/>
        <w:gridCol w:w="1928"/>
        <w:gridCol w:w="1928"/>
        <w:gridCol w:w="2744"/>
      </w:tblGrid>
      <w:tr>
        <w:trPr/>
        <w:tc>
          <w:tcPr>
            <w:tcW w:w="391"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1928" w:type="dxa"/>
            <w:tcBorders/>
            <w:vAlign w:val="center"/>
          </w:tcPr>
          <w:p>
            <w:pPr>
              <w:pStyle w:val="TableContents"/>
              <w:bidi w:val="0"/>
              <w:spacing w:before="0" w:after="283"/>
              <w:jc w:val="left"/>
              <w:rPr>
                <w:sz w:val="4"/>
                <w:szCs w:val="4"/>
              </w:rPr>
            </w:pPr>
            <w:r>
              <w:rPr>
                <w:sz w:val="4"/>
                <w:szCs w:val="4"/>
              </w:rPr>
            </w:r>
          </w:p>
        </w:tc>
        <w:tc>
          <w:tcPr>
            <w:tcW w:w="1928" w:type="dxa"/>
            <w:tcBorders/>
            <w:vAlign w:val="center"/>
          </w:tcPr>
          <w:p>
            <w:pPr>
              <w:pStyle w:val="TableContents"/>
              <w:bidi w:val="0"/>
              <w:spacing w:before="0" w:after="283"/>
              <w:jc w:val="left"/>
              <w:rPr>
                <w:sz w:val="4"/>
                <w:szCs w:val="4"/>
              </w:rPr>
            </w:pPr>
            <w:r>
              <w:rPr>
                <w:sz w:val="4"/>
                <w:szCs w:val="4"/>
              </w:rPr>
            </w:r>
          </w:p>
        </w:tc>
        <w:tc>
          <w:tcPr>
            <w:tcW w:w="2744" w:type="dxa"/>
            <w:tcBorders/>
            <w:vAlign w:val="center"/>
          </w:tcPr>
          <w:p>
            <w:pPr>
              <w:pStyle w:val="TableContents"/>
              <w:bidi w:val="0"/>
              <w:spacing w:before="0" w:after="283"/>
              <w:jc w:val="left"/>
              <w:rPr>
                <w:sz w:val="4"/>
                <w:szCs w:val="4"/>
              </w:rPr>
            </w:pPr>
            <w:r>
              <w:rPr>
                <w:sz w:val="4"/>
                <w:szCs w:val="4"/>
              </w:rPr>
            </w:r>
          </w:p>
        </w:tc>
      </w:tr>
      <w:tr>
        <w:trPr/>
        <w:tc>
          <w:tcPr>
            <w:tcW w:w="108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20"/>
                <w:u w:val="single"/>
              </w:rPr>
            </w:pPr>
            <w:r>
              <w:rPr>
                <w:rFonts w:ascii="Times New Roman;serif" w:hAnsi="Times New Roman;serif"/>
                <w:b/>
                <w:color w:val="000000"/>
                <w:sz w:val="20"/>
                <w:u w:val="single"/>
              </w:rPr>
              <w:t>Exhibit No.</w:t>
            </w:r>
          </w:p>
        </w:tc>
        <w:tc>
          <w:tcPr>
            <w:tcW w:w="660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u w:val="single"/>
              </w:rPr>
            </w:pPr>
            <w:r>
              <w:rPr>
                <w:rFonts w:ascii="Times New Roman;serif" w:hAnsi="Times New Roman;serif"/>
                <w:b/>
                <w:color w:val="000000"/>
                <w:sz w:val="20"/>
                <w:u w:val="single"/>
              </w:rPr>
              <w:t>Description</w:t>
            </w:r>
          </w:p>
        </w:tc>
      </w:tr>
      <w:tr>
        <w:trPr/>
        <w:tc>
          <w:tcPr>
            <w:tcW w:w="108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99.1</w:t>
            </w:r>
          </w:p>
        </w:tc>
        <w:tc>
          <w:tcPr>
            <w:tcW w:w="6600"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secondquarterfy27earningsp.htm">
              <w:r>
                <w:rPr>
                  <w:rStyle w:val="InternetLink"/>
                  <w:rFonts w:ascii="Times New Roman;serif" w:hAnsi="Times New Roman;serif"/>
                  <w:b w:val="false"/>
                  <w:color w:val="0000FF"/>
                  <w:sz w:val="20"/>
                  <w:u w:val="single"/>
                </w:rPr>
                <w:t>Press release of nCino, Inc. dated August 25, 2026 (furnished and not filed).</w:t>
              </w:r>
            </w:hyperlink>
          </w:p>
        </w:tc>
      </w:tr>
      <w:tr>
        <w:trPr/>
        <w:tc>
          <w:tcPr>
            <w:tcW w:w="108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104</w:t>
            </w:r>
          </w:p>
        </w:tc>
        <w:tc>
          <w:tcPr>
            <w:tcW w:w="660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(embedded within the Inline XBRL document)</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333" w:before="0" w:after="0"/>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before="0" w:after="0"/>
        <w:jc w:val="center"/>
        <w:rPr/>
      </w:pPr>
      <w:r>
        <w:rPr/>
      </w:r>
    </w:p>
    <w:p>
      <w:pPr>
        <w:pStyle w:val="TextBody"/>
        <w:bidi w:val="0"/>
        <w:spacing w:lineRule="auto" w:line="333" w:before="0" w:after="0"/>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hereunto duly authorized.</w:t>
      </w:r>
    </w:p>
    <w:p>
      <w:pPr>
        <w:pStyle w:val="TextBody"/>
        <w:bidi w:val="0"/>
        <w:spacing w:before="0" w:after="0"/>
        <w:jc w:val="left"/>
        <w:rPr/>
      </w:pPr>
      <w:r>
        <w:rPr/>
      </w:r>
    </w:p>
    <w:tbl>
      <w:tblPr>
        <w:tblW w:w="5852" w:type="dxa"/>
        <w:jc w:val="left"/>
        <w:tblInd w:w="0" w:type="dxa"/>
        <w:tblLayout w:type="fixed"/>
        <w:tblCellMar>
          <w:top w:w="28" w:type="dxa"/>
          <w:left w:w="28" w:type="dxa"/>
          <w:bottom w:w="28" w:type="dxa"/>
          <w:right w:w="28" w:type="dxa"/>
        </w:tblCellMar>
      </w:tblPr>
      <w:tblGrid>
        <w:gridCol w:w="705"/>
        <w:gridCol w:w="621"/>
        <w:gridCol w:w="624"/>
        <w:gridCol w:w="134"/>
        <w:gridCol w:w="134"/>
        <w:gridCol w:w="136"/>
        <w:gridCol w:w="166"/>
        <w:gridCol w:w="166"/>
        <w:gridCol w:w="166"/>
        <w:gridCol w:w="876"/>
        <w:gridCol w:w="876"/>
        <w:gridCol w:w="1248"/>
      </w:tblGrid>
      <w:tr>
        <w:trPr/>
        <w:tc>
          <w:tcPr>
            <w:tcW w:w="705" w:type="dxa"/>
            <w:tcBorders/>
            <w:vAlign w:val="center"/>
          </w:tcPr>
          <w:p>
            <w:pPr>
              <w:pStyle w:val="TableContents"/>
              <w:bidi w:val="0"/>
              <w:spacing w:before="0" w:after="283"/>
              <w:jc w:val="left"/>
              <w:rPr>
                <w:sz w:val="4"/>
                <w:szCs w:val="4"/>
              </w:rPr>
            </w:pPr>
            <w:r>
              <w:rPr>
                <w:sz w:val="4"/>
                <w:szCs w:val="4"/>
              </w:rPr>
            </w:r>
          </w:p>
        </w:tc>
        <w:tc>
          <w:tcPr>
            <w:tcW w:w="621" w:type="dxa"/>
            <w:tcBorders/>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876" w:type="dxa"/>
            <w:tcBorders/>
            <w:vAlign w:val="center"/>
          </w:tcPr>
          <w:p>
            <w:pPr>
              <w:pStyle w:val="TableContents"/>
              <w:bidi w:val="0"/>
              <w:spacing w:before="0" w:after="283"/>
              <w:jc w:val="left"/>
              <w:rPr>
                <w:sz w:val="4"/>
                <w:szCs w:val="4"/>
              </w:rPr>
            </w:pPr>
            <w:r>
              <w:rPr>
                <w:sz w:val="4"/>
                <w:szCs w:val="4"/>
              </w:rPr>
            </w:r>
          </w:p>
        </w:tc>
        <w:tc>
          <w:tcPr>
            <w:tcW w:w="876" w:type="dxa"/>
            <w:tcBorders/>
            <w:vAlign w:val="center"/>
          </w:tcPr>
          <w:p>
            <w:pPr>
              <w:pStyle w:val="TableContents"/>
              <w:bidi w:val="0"/>
              <w:spacing w:before="0" w:after="283"/>
              <w:jc w:val="left"/>
              <w:rPr>
                <w:sz w:val="4"/>
                <w:szCs w:val="4"/>
              </w:rPr>
            </w:pPr>
            <w:r>
              <w:rPr>
                <w:sz w:val="4"/>
                <w:szCs w:val="4"/>
              </w:rPr>
            </w:r>
          </w:p>
        </w:tc>
        <w:tc>
          <w:tcPr>
            <w:tcW w:w="1248" w:type="dxa"/>
            <w:tcBorders/>
            <w:vAlign w:val="center"/>
          </w:tcPr>
          <w:p>
            <w:pPr>
              <w:pStyle w:val="TableContents"/>
              <w:bidi w:val="0"/>
              <w:spacing w:before="0" w:after="283"/>
              <w:jc w:val="left"/>
              <w:rPr>
                <w:sz w:val="4"/>
                <w:szCs w:val="4"/>
              </w:rPr>
            </w:pPr>
            <w:r>
              <w:rPr>
                <w:sz w:val="4"/>
                <w:szCs w:val="4"/>
              </w:rPr>
            </w:r>
          </w:p>
        </w:tc>
      </w:tr>
      <w:tr>
        <w:trPr/>
        <w:tc>
          <w:tcPr>
            <w:tcW w:w="1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98" w:type="dxa"/>
            <w:gridSpan w:val="6"/>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nCino, Inc.</w:t>
            </w:r>
          </w:p>
        </w:tc>
      </w:tr>
      <w:tr>
        <w:trPr/>
        <w:tc>
          <w:tcPr>
            <w:tcW w:w="195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Date: August 25, 2026</w:t>
            </w:r>
          </w:p>
        </w:tc>
        <w:tc>
          <w:tcPr>
            <w:tcW w:w="40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4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 Gregory D. Orenstein</w:t>
            </w:r>
          </w:p>
        </w:tc>
      </w:tr>
      <w:tr>
        <w:trPr/>
        <w:tc>
          <w:tcPr>
            <w:tcW w:w="1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Gregory D. Orenstein</w:t>
            </w:r>
          </w:p>
        </w:tc>
      </w:tr>
      <w:tr>
        <w:trPr/>
        <w:tc>
          <w:tcPr>
            <w:tcW w:w="1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Chief Financial Officer &amp; Treasurer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40" w:before="0" w:after="0"/>
        <w:jc w:val="right"/>
        <w:rPr>
          <w:rFonts w:ascii="Times New Roman;serif" w:hAnsi="Times New Roman;serif"/>
          <w:b w:val="false"/>
          <w:color w:val="000000"/>
          <w:sz w:val="24"/>
        </w:rPr>
      </w:pPr>
      <w:r>
        <w:rPr>
          <w:rFonts w:ascii="Times New Roman;serif" w:hAnsi="Times New Roman;serif"/>
          <w:b w:val="false"/>
          <w:color w:val="000000"/>
          <w:sz w:val="24"/>
        </w:rPr>
        <w:t>Exhibit 99.1</w:t>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2.6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20" w:after="283"/>
        <w:jc w:val="left"/>
        <w:rPr/>
      </w:pPr>
      <w:r>
        <w:rPr/>
        <w:drawing>
          <wp:inline distT="0" distB="0" distL="0" distR="0">
            <wp:extent cx="1981200" cy="676275"/>
            <wp:effectExtent l="0" t="0" r="0" b="0"/>
            <wp:docPr id="4"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1" descr=""/>
                    <pic:cNvPicPr>
                      <a:picLocks noChangeAspect="1" noChangeArrowheads="1"/>
                    </pic:cNvPicPr>
                  </pic:nvPicPr>
                  <pic:blipFill>
                    <a:blip r:embed="rId2"/>
                    <a:stretch>
                      <a:fillRect/>
                    </a:stretch>
                  </pic:blipFill>
                  <pic:spPr bwMode="auto">
                    <a:xfrm>
                      <a:off x="0" y="0"/>
                      <a:ext cx="1981200" cy="676275"/>
                    </a:xfrm>
                    <a:prstGeom prst="rect">
                      <a:avLst/>
                    </a:prstGeom>
                  </pic:spPr>
                </pic:pic>
              </a:graphicData>
            </a:graphic>
          </wp:inline>
        </w:drawing>
      </w:r>
    </w:p>
    <w:p>
      <w:pPr>
        <w:pStyle w:val="TextBody"/>
        <w:bidi w:val="0"/>
        <w:spacing w:before="0" w:after="0"/>
        <w:jc w:val="center"/>
        <w:rPr/>
      </w:pPr>
      <w:r>
        <w:rPr/>
      </w:r>
    </w:p>
    <w:p>
      <w:pPr>
        <w:pStyle w:val="TextBody"/>
        <w:bidi w:val="0"/>
        <w:spacing w:lineRule="auto" w:line="288" w:before="0" w:after="0"/>
        <w:jc w:val="center"/>
        <w:rPr>
          <w:rFonts w:ascii="sans-serif" w:hAnsi="sans-serif"/>
          <w:b/>
          <w:color w:val="000000"/>
          <w:sz w:val="28"/>
        </w:rPr>
      </w:pPr>
      <w:r>
        <w:rPr>
          <w:rFonts w:ascii="sans-serif" w:hAnsi="sans-serif"/>
          <w:b/>
          <w:color w:val="000000"/>
          <w:sz w:val="28"/>
        </w:rPr>
        <w:t>nCino Reports Second Quarter Fiscal Year 2027 Financial Results</w:t>
      </w:r>
    </w:p>
    <w:p>
      <w:pPr>
        <w:pStyle w:val="TextBody"/>
        <w:bidi w:val="0"/>
        <w:spacing w:before="0" w:after="0"/>
        <w:jc w:val="center"/>
        <w:rPr/>
      </w:pPr>
      <w:r>
        <w:rPr/>
      </w:r>
    </w:p>
    <w:p>
      <w:pPr>
        <w:pStyle w:val="TextBody"/>
        <w:bidi w:val="0"/>
        <w:spacing w:lineRule="auto" w:line="288" w:before="0" w:after="0"/>
        <w:ind w:left="0" w:right="0" w:hanging="360"/>
        <w:jc w:val="center"/>
        <w:rPr/>
      </w:pPr>
      <w:r>
        <w:rPr>
          <w:color w:val="000000"/>
        </w:rPr>
        <w:t>•</w:t>
      </w:r>
      <w:r>
        <w:rPr>
          <w:rFonts w:ascii="sans-serif" w:hAnsi="sans-serif"/>
          <w:b w:val="false"/>
          <w:i/>
          <w:color w:val="000000"/>
          <w:sz w:val="24"/>
        </w:rPr>
        <w:t xml:space="preserve">Total Revenues of $161.0M, up 8% year-over-year </w:t>
      </w:r>
    </w:p>
    <w:p>
      <w:pPr>
        <w:pStyle w:val="TextBody"/>
        <w:bidi w:val="0"/>
        <w:spacing w:lineRule="auto" w:line="288" w:before="0" w:after="0"/>
        <w:ind w:left="0" w:right="0" w:hanging="360"/>
        <w:jc w:val="center"/>
        <w:rPr/>
      </w:pPr>
      <w:r>
        <w:rPr>
          <w:color w:val="000000"/>
        </w:rPr>
        <w:t>•</w:t>
      </w:r>
      <w:r>
        <w:rPr>
          <w:rFonts w:ascii="sans-serif" w:hAnsi="sans-serif"/>
          <w:b w:val="false"/>
          <w:i/>
          <w:color w:val="000000"/>
          <w:sz w:val="24"/>
        </w:rPr>
        <w:t>Subscription Revenues of $143.5M, up 10% year-over-year</w:t>
      </w:r>
    </w:p>
    <w:p>
      <w:pPr>
        <w:pStyle w:val="TextBody"/>
        <w:bidi w:val="0"/>
        <w:spacing w:lineRule="auto" w:line="288" w:before="0" w:after="0"/>
        <w:ind w:left="0" w:right="0" w:hanging="360"/>
        <w:jc w:val="center"/>
        <w:rPr/>
      </w:pPr>
      <w:r>
        <w:rPr>
          <w:color w:val="000000"/>
        </w:rPr>
        <w:t>•</w:t>
      </w:r>
      <w:r>
        <w:rPr>
          <w:rFonts w:ascii="sans-serif" w:hAnsi="sans-serif"/>
          <w:b w:val="false"/>
          <w:i/>
          <w:color w:val="000000"/>
          <w:sz w:val="24"/>
        </w:rPr>
        <w:t>GAAP Operating Margin of 8%, up 1,500 basis points year-over-year</w:t>
      </w:r>
    </w:p>
    <w:p>
      <w:pPr>
        <w:pStyle w:val="TextBody"/>
        <w:bidi w:val="0"/>
        <w:spacing w:lineRule="auto" w:line="288" w:before="0" w:after="0"/>
        <w:ind w:left="0" w:right="0" w:hanging="360"/>
        <w:jc w:val="center"/>
        <w:rPr/>
      </w:pPr>
      <w:r>
        <w:rPr>
          <w:color w:val="000000"/>
        </w:rPr>
        <w:t>•</w:t>
      </w:r>
      <w:r>
        <w:rPr>
          <w:rFonts w:ascii="sans-serif" w:hAnsi="sans-serif"/>
          <w:b w:val="false"/>
          <w:i/>
          <w:color w:val="000000"/>
          <w:sz w:val="24"/>
        </w:rPr>
        <w:t>Non-GAAP Operating Margin of 25%, up 500 basis points year-over-year</w:t>
      </w:r>
    </w:p>
    <w:p>
      <w:pPr>
        <w:pStyle w:val="TextBody"/>
        <w:bidi w:val="0"/>
        <w:spacing w:lineRule="auto" w:line="288" w:before="0" w:after="0"/>
        <w:ind w:left="0" w:right="0" w:hanging="360"/>
        <w:jc w:val="center"/>
        <w:rPr/>
      </w:pPr>
      <w:r>
        <w:rPr>
          <w:color w:val="000000"/>
        </w:rPr>
        <w:t>•</w:t>
      </w:r>
      <w:r>
        <w:rPr>
          <w:rFonts w:ascii="sans-serif" w:hAnsi="sans-serif"/>
          <w:b w:val="false"/>
          <w:i/>
          <w:color w:val="000000"/>
          <w:sz w:val="24"/>
        </w:rPr>
        <w:t>nCino announces new $100 million stock repurchase authorization</w:t>
      </w:r>
    </w:p>
    <w:p>
      <w:pPr>
        <w:pStyle w:val="TextBody"/>
        <w:bidi w:val="0"/>
        <w:spacing w:lineRule="auto" w:line="288" w:before="240" w:after="283"/>
        <w:jc w:val="left"/>
        <w:rPr/>
      </w:pPr>
      <w:r>
        <w:rPr>
          <w:rFonts w:ascii="sans-serif" w:hAnsi="sans-serif"/>
          <w:b/>
          <w:color w:val="000000"/>
          <w:sz w:val="24"/>
        </w:rPr>
        <w:t xml:space="preserve">WILMINGTON, N.C., August 25, 2026 </w:t>
      </w:r>
      <w:r>
        <w:rPr>
          <w:rFonts w:ascii="sans-serif" w:hAnsi="sans-serif"/>
          <w:b w:val="false"/>
          <w:color w:val="000000"/>
          <w:sz w:val="24"/>
        </w:rPr>
        <w:t>-- nCino, Inc. (NASDAQ: NCNO), the platform for agentic banking, today announced financial results for the second quarter of fiscal year 2027, ended July 31, 2026, and that its Board of Directors has authorized a Stock Repurchase Program under which the Company may repurchase up to an additional $100 million of the Company's outstanding common stock.</w:t>
      </w:r>
    </w:p>
    <w:p>
      <w:pPr>
        <w:pStyle w:val="TextBody"/>
        <w:bidi w:val="0"/>
        <w:spacing w:lineRule="auto" w:line="288" w:before="240" w:after="283"/>
        <w:jc w:val="left"/>
        <w:rPr>
          <w:rFonts w:ascii="sans-serif" w:hAnsi="sans-serif"/>
          <w:b w:val="false"/>
          <w:color w:val="000000"/>
          <w:sz w:val="24"/>
        </w:rPr>
      </w:pPr>
      <w:r>
        <w:rPr>
          <w:rFonts w:ascii="sans-serif" w:hAnsi="sans-serif"/>
          <w:b w:val="false"/>
          <w:color w:val="000000"/>
          <w:sz w:val="24"/>
        </w:rPr>
        <w:t xml:space="preserve">"We delivered an exceptional second quarter of fiscal 2027, once again exceeding all financial guidance. We are seeing many of our largest customers consolidating more of their most critical operations on nCino and expanding their commitments to include our market leading AI capabilities. The confidence behind those commitments reflects a simple reality: deploying AI in financial services demands deep domain context and expertise, and nCino is uniquely positioned to deliver it at scale globally," said Sean Desmond, CEO at nCino. </w:t>
      </w:r>
    </w:p>
    <w:p>
      <w:pPr>
        <w:pStyle w:val="TextBody"/>
        <w:bidi w:val="0"/>
        <w:spacing w:lineRule="auto" w:line="288" w:before="240" w:after="283"/>
        <w:jc w:val="left"/>
        <w:rPr>
          <w:rFonts w:ascii="sans-serif" w:hAnsi="sans-serif"/>
          <w:b w:val="false"/>
          <w:color w:val="000000"/>
          <w:sz w:val="24"/>
        </w:rPr>
      </w:pPr>
      <w:r>
        <w:rPr>
          <w:rFonts w:ascii="sans-serif" w:hAnsi="sans-serif"/>
          <w:b w:val="false"/>
          <w:color w:val="000000"/>
          <w:sz w:val="24"/>
        </w:rPr>
        <w:t>"Following our execution of $300 million in stock repurchases since April 2025, nCino’s Board of Directors has authorized an additional $100 million stock repurchase program to provide continued flexibility to create stockholder value through repurchases of our common stock. This new authorization reflects continued confidence in our AI innovation and product strategy, market position, operational execution, and trajectory of free cash flow,” said Greg Orenstein, CFO at nCino.</w:t>
      </w:r>
    </w:p>
    <w:p>
      <w:pPr>
        <w:pStyle w:val="TextBody"/>
        <w:bidi w:val="0"/>
        <w:spacing w:lineRule="auto" w:line="288" w:before="240" w:after="283"/>
        <w:jc w:val="left"/>
        <w:rPr>
          <w:rFonts w:ascii="sans-serif" w:hAnsi="sans-serif"/>
          <w:b/>
          <w:color w:val="000000"/>
          <w:sz w:val="24"/>
        </w:rPr>
      </w:pPr>
      <w:r>
        <w:rPr>
          <w:rFonts w:ascii="sans-serif" w:hAnsi="sans-serif"/>
          <w:b/>
          <w:color w:val="000000"/>
          <w:sz w:val="24"/>
        </w:rPr>
        <w:t>Financial Highlights</w:t>
      </w:r>
    </w:p>
    <w:p>
      <w:pPr>
        <w:pStyle w:val="TextBody"/>
        <w:bidi w:val="0"/>
        <w:spacing w:lineRule="auto" w:line="288" w:before="0" w:after="0"/>
        <w:ind w:left="0" w:right="0" w:hanging="360"/>
        <w:jc w:val="left"/>
        <w:rPr/>
      </w:pPr>
      <w:r>
        <w:rPr>
          <w:color w:val="000000"/>
        </w:rPr>
        <w:t>•</w:t>
      </w:r>
      <w:r>
        <w:rPr>
          <w:rFonts w:ascii="sans-serif" w:hAnsi="sans-serif"/>
          <w:b/>
          <w:color w:val="000000"/>
          <w:sz w:val="24"/>
        </w:rPr>
        <w:t>Revenues:</w:t>
      </w:r>
      <w:r>
        <w:rPr>
          <w:color w:val="000000"/>
        </w:rPr>
        <w:t xml:space="preserve"> </w:t>
      </w:r>
      <w:r>
        <w:rPr>
          <w:rFonts w:ascii="sans-serif" w:hAnsi="sans-serif"/>
          <w:b w:val="false"/>
          <w:color w:val="000000"/>
          <w:sz w:val="24"/>
        </w:rPr>
        <w:t xml:space="preserve">Total revenues for the second quarter of fiscal 2027 were $161.0 million, an 8% increase from $148.8 million in the second quarter of fiscal 2026. Subscription revenues for the second quarter of fiscal 2027 were </w:t>
      </w:r>
      <w:r>
        <w:rPr>
          <w:rFonts w:ascii="sans-serif" w:hAnsi="sans-serif"/>
          <w:b w:val="false"/>
          <w:color w:val="000000"/>
          <w:sz w:val="24"/>
          <w:shd w:fill="FFFFFF" w:val="clear"/>
        </w:rPr>
        <w:t>$143.5 million</w:t>
      </w:r>
      <w:r>
        <w:rPr>
          <w:rFonts w:ascii="sans-serif" w:hAnsi="sans-serif"/>
          <w:b w:val="false"/>
          <w:color w:val="000000"/>
          <w:sz w:val="24"/>
        </w:rPr>
        <w:t xml:space="preserve">, an increase of 10% from $130.8 million in the second quarter of fiscal 2026. </w:t>
      </w:r>
    </w:p>
    <w:p>
      <w:pPr>
        <w:pStyle w:val="TextBody"/>
        <w:bidi w:val="0"/>
        <w:spacing w:lineRule="auto" w:line="288" w:before="0" w:after="0"/>
        <w:ind w:left="0" w:right="0" w:hanging="360"/>
        <w:jc w:val="left"/>
        <w:rPr/>
      </w:pPr>
      <w:r>
        <w:rPr>
          <w:color w:val="000000"/>
        </w:rPr>
        <w:t>•</w:t>
      </w:r>
      <w:r>
        <w:rPr>
          <w:rFonts w:ascii="sans-serif" w:hAnsi="sans-serif"/>
          <w:b/>
          <w:color w:val="000000"/>
          <w:sz w:val="24"/>
        </w:rPr>
        <w:t xml:space="preserve">Income (Loss) from Operations: </w:t>
      </w:r>
      <w:r>
        <w:rPr>
          <w:rFonts w:ascii="sans-serif" w:hAnsi="sans-serif"/>
          <w:b w:val="false"/>
          <w:color w:val="000000"/>
          <w:sz w:val="24"/>
        </w:rPr>
        <w:t>GAAP income (loss) from operations in the second quarter of fiscal 2027 was $13.6 million compared to $(9.3) million in the second quarter of fiscal 2026. Non-GAAP operating income in the second quarter of fiscal 2027 was $40.8 million compared to $30.0 million in the second quarter of fiscal 2026, an increase of 36%.</w:t>
      </w:r>
    </w:p>
    <w:p>
      <w:pPr>
        <w:pStyle w:val="TextBody"/>
        <w:bidi w:val="0"/>
        <w:spacing w:lineRule="auto" w:line="288" w:before="0" w:after="0"/>
        <w:ind w:left="0" w:right="0" w:hanging="360"/>
        <w:jc w:val="left"/>
        <w:rPr/>
      </w:pPr>
      <w:r>
        <w:rPr>
          <w:color w:val="000000"/>
        </w:rPr>
        <w:t>•</w:t>
      </w:r>
      <w:r>
        <w:rPr>
          <w:rFonts w:ascii="sans-serif" w:hAnsi="sans-serif"/>
          <w:b/>
          <w:color w:val="000000"/>
          <w:sz w:val="24"/>
        </w:rPr>
        <w:t>Cash:</w:t>
      </w:r>
      <w:r>
        <w:rPr>
          <w:color w:val="000000"/>
        </w:rPr>
        <w:t xml:space="preserve"> </w:t>
      </w:r>
      <w:r>
        <w:rPr>
          <w:rFonts w:ascii="sans-serif" w:hAnsi="sans-serif"/>
          <w:b w:val="false"/>
          <w:color w:val="000000"/>
          <w:sz w:val="24"/>
        </w:rPr>
        <w:t>Cash, cash equivalents, and restricted cash were $83.6 million as of July 31, 2026, and $275.4 million was outstanding under the Company's credit facility. Free cash flow in the second quarter of fiscal 2027 was $34.0 million compared to $12.6 million in the second quarter of fiscal 2026, an increase of 170%.</w:t>
      </w:r>
    </w:p>
    <w:p>
      <w:pPr>
        <w:pStyle w:val="TextBody"/>
        <w:bidi w:val="0"/>
        <w:spacing w:before="0" w:after="283"/>
        <w:jc w:val="left"/>
        <w:rPr/>
      </w:pPr>
      <w:r>
        <w:rPr/>
      </w:r>
    </w:p>
    <w:p>
      <w:pPr>
        <w:pStyle w:val="TextBody"/>
        <w:bidi w:val="0"/>
        <w:spacing w:before="2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75260"/>
                <wp:effectExtent l="0" t="0" r="0" b="0"/>
                <wp:wrapNone/>
                <wp:docPr id="5"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240" w:after="283"/>
        <w:jc w:val="left"/>
        <w:rPr>
          <w:rFonts w:ascii="sans-serif" w:hAnsi="sans-serif"/>
          <w:b/>
          <w:color w:val="000000"/>
          <w:sz w:val="24"/>
        </w:rPr>
      </w:pPr>
      <w:r>
        <w:rPr>
          <w:rFonts w:ascii="sans-serif" w:hAnsi="sans-serif"/>
          <w:b/>
          <w:color w:val="000000"/>
          <w:sz w:val="24"/>
        </w:rPr>
        <w:t>Recent Business Highlights</w:t>
      </w:r>
    </w:p>
    <w:p>
      <w:pPr>
        <w:pStyle w:val="TextBody"/>
        <w:bidi w:val="0"/>
        <w:spacing w:lineRule="auto" w:line="256" w:before="0" w:after="0"/>
        <w:ind w:left="0" w:right="0" w:hanging="360"/>
        <w:jc w:val="left"/>
        <w:rPr/>
      </w:pPr>
      <w:r>
        <w:rPr>
          <w:color w:val="000000"/>
        </w:rPr>
        <w:t>•</w:t>
      </w:r>
      <w:r>
        <w:rPr>
          <w:rFonts w:ascii="sans-serif" w:hAnsi="sans-serif"/>
          <w:b/>
          <w:color w:val="000000"/>
          <w:sz w:val="24"/>
        </w:rPr>
        <w:t xml:space="preserve">Renewed and Expanded with Four U.S. Enterprise Accounts: </w:t>
      </w:r>
      <w:r>
        <w:rPr>
          <w:rFonts w:ascii="sans-serif" w:hAnsi="sans-serif"/>
          <w:b w:val="false"/>
          <w:color w:val="000000"/>
          <w:sz w:val="24"/>
        </w:rPr>
        <w:t xml:space="preserve">Completed multi-year renewals with four U.S. Enterprise customers collectively representing over $900 billion in assets. All four customers renewed ahead of schedule with expanded commitments to utilize nCino’s AI tools and functionality. </w:t>
      </w:r>
    </w:p>
    <w:p>
      <w:pPr>
        <w:pStyle w:val="TextBody"/>
        <w:bidi w:val="0"/>
        <w:spacing w:lineRule="auto" w:line="256" w:before="0" w:after="0"/>
        <w:ind w:left="0" w:right="0" w:hanging="360"/>
        <w:jc w:val="left"/>
        <w:rPr/>
      </w:pPr>
      <w:r>
        <w:rPr>
          <w:color w:val="000000"/>
        </w:rPr>
        <w:t>•</w:t>
      </w:r>
      <w:r>
        <w:rPr>
          <w:rFonts w:ascii="sans-serif" w:hAnsi="sans-serif"/>
          <w:b/>
          <w:color w:val="000000"/>
          <w:sz w:val="24"/>
        </w:rPr>
        <w:t xml:space="preserve">Signed a Development Finance Institution in Germany: </w:t>
      </w:r>
      <w:r>
        <w:rPr>
          <w:rFonts w:ascii="sans-serif" w:hAnsi="sans-serif"/>
          <w:b w:val="false"/>
          <w:color w:val="000000"/>
          <w:sz w:val="24"/>
        </w:rPr>
        <w:t xml:space="preserve">Building on recently established momentum in the DACH region, signed a growth-focused development finance institution in Germany. </w:t>
      </w:r>
    </w:p>
    <w:p>
      <w:pPr>
        <w:pStyle w:val="TextBody"/>
        <w:bidi w:val="0"/>
        <w:spacing w:lineRule="auto" w:line="256" w:before="0" w:after="0"/>
        <w:ind w:left="0" w:right="0" w:hanging="360"/>
        <w:jc w:val="left"/>
        <w:rPr/>
      </w:pPr>
      <w:r>
        <w:rPr>
          <w:color w:val="000000"/>
        </w:rPr>
        <w:t>•</w:t>
      </w:r>
      <w:r>
        <w:rPr>
          <w:rFonts w:ascii="sans-serif" w:hAnsi="sans-serif"/>
          <w:b/>
          <w:color w:val="000000"/>
          <w:sz w:val="24"/>
        </w:rPr>
        <w:t xml:space="preserve">Expanded with Consumer Lending: </w:t>
      </w:r>
      <w:r>
        <w:rPr>
          <w:rFonts w:ascii="sans-serif" w:hAnsi="sans-serif"/>
          <w:b w:val="false"/>
          <w:color w:val="000000"/>
          <w:sz w:val="24"/>
        </w:rPr>
        <w:t xml:space="preserve">Expanded a decade-long relationship with a U.S. regional bank customer to include Consumer Lending. </w:t>
      </w:r>
    </w:p>
    <w:p>
      <w:pPr>
        <w:pStyle w:val="TextBody"/>
        <w:bidi w:val="0"/>
        <w:spacing w:lineRule="auto" w:line="256" w:before="0" w:after="0"/>
        <w:ind w:left="0" w:right="0" w:hanging="360"/>
        <w:jc w:val="left"/>
        <w:rPr/>
      </w:pPr>
      <w:r>
        <w:rPr>
          <w:color w:val="000000"/>
        </w:rPr>
        <w:t>•</w:t>
      </w:r>
      <w:r>
        <w:rPr>
          <w:rFonts w:ascii="sans-serif" w:hAnsi="sans-serif"/>
          <w:b/>
          <w:color w:val="000000"/>
          <w:sz w:val="24"/>
        </w:rPr>
        <w:t>Landed with Commercial Onboarding and Account Opening:</w:t>
      </w:r>
      <w:r>
        <w:rPr>
          <w:color w:val="000000"/>
        </w:rPr>
        <w:t xml:space="preserve"> </w:t>
      </w:r>
      <w:r>
        <w:rPr>
          <w:rFonts w:ascii="sans-serif" w:hAnsi="sans-serif"/>
          <w:b w:val="false"/>
          <w:color w:val="000000"/>
          <w:sz w:val="24"/>
        </w:rPr>
        <w:t>Signed</w:t>
      </w:r>
      <w:r>
        <w:rPr>
          <w:color w:val="000000"/>
        </w:rPr>
        <w:t xml:space="preserve"> </w:t>
      </w:r>
      <w:r>
        <w:rPr>
          <w:rFonts w:ascii="sans-serif" w:hAnsi="sans-serif"/>
          <w:b w:val="false"/>
          <w:color w:val="000000"/>
          <w:sz w:val="24"/>
        </w:rPr>
        <w:t>a community bank in Iowa as a net-new customer for nCino's Commercial Onboarding and Account Opening solution.</w:t>
      </w:r>
    </w:p>
    <w:p>
      <w:pPr>
        <w:pStyle w:val="TextBody"/>
        <w:bidi w:val="0"/>
        <w:spacing w:lineRule="auto" w:line="256" w:before="0" w:after="0"/>
        <w:ind w:left="0" w:right="0" w:hanging="360"/>
        <w:jc w:val="left"/>
        <w:rPr/>
      </w:pPr>
      <w:r>
        <w:rPr>
          <w:color w:val="000000"/>
        </w:rPr>
        <w:t>•</w:t>
      </w:r>
      <w:r>
        <w:rPr>
          <w:rFonts w:ascii="sans-serif" w:hAnsi="sans-serif"/>
          <w:b/>
          <w:color w:val="000000"/>
          <w:sz w:val="24"/>
        </w:rPr>
        <w:t>Signed Hachijuni Nagano Bank:</w:t>
      </w:r>
      <w:r>
        <w:rPr>
          <w:color w:val="000000"/>
        </w:rPr>
        <w:t xml:space="preserve"> </w:t>
      </w:r>
      <w:r>
        <w:rPr>
          <w:rFonts w:ascii="sans-serif" w:hAnsi="sans-serif"/>
          <w:b w:val="false"/>
          <w:color w:val="000000"/>
          <w:sz w:val="24"/>
        </w:rPr>
        <w:t xml:space="preserve">A leading Japanese regional bank selected the nCino Platform to consolidate its consumer lending operations and integrate its proprietary AI credit-scoring engine – advancing the bank’s AI-driven lending strategy. </w:t>
      </w:r>
    </w:p>
    <w:p>
      <w:pPr>
        <w:pStyle w:val="TextBody"/>
        <w:bidi w:val="0"/>
        <w:spacing w:lineRule="auto" w:line="256" w:before="0" w:after="0"/>
        <w:ind w:left="0" w:right="0" w:hanging="360"/>
        <w:jc w:val="left"/>
        <w:rPr/>
      </w:pPr>
      <w:r>
        <w:rPr>
          <w:color w:val="000000"/>
        </w:rPr>
        <w:t>•</w:t>
      </w:r>
      <w:r>
        <w:rPr>
          <w:rFonts w:ascii="sans-serif" w:hAnsi="sans-serif"/>
          <w:b/>
          <w:color w:val="000000"/>
          <w:sz w:val="24"/>
        </w:rPr>
        <w:t xml:space="preserve">Expanded with Mortgage in Credit Unions: </w:t>
      </w:r>
      <w:r>
        <w:rPr>
          <w:rFonts w:ascii="sans-serif" w:hAnsi="sans-serif"/>
          <w:b w:val="false"/>
          <w:color w:val="000000"/>
          <w:sz w:val="24"/>
        </w:rPr>
        <w:t xml:space="preserve">An Indiana-based credit union became our largest credit union customer for mortgage with an expanded commitment to continue efficiently scaling their mortgage business. </w:t>
      </w:r>
    </w:p>
    <w:p>
      <w:pPr>
        <w:pStyle w:val="TextBody"/>
        <w:bidi w:val="0"/>
        <w:spacing w:before="0" w:after="0"/>
        <w:jc w:val="left"/>
        <w:rPr/>
      </w:pPr>
      <w:r>
        <w:rPr/>
      </w:r>
    </w:p>
    <w:p>
      <w:pPr>
        <w:pStyle w:val="TextBody"/>
        <w:bidi w:val="0"/>
        <w:spacing w:lineRule="auto" w:line="256" w:before="0" w:after="0"/>
        <w:jc w:val="left"/>
        <w:rPr/>
      </w:pPr>
      <w:r>
        <w:rPr>
          <w:rFonts w:ascii="sans-serif" w:hAnsi="sans-serif"/>
          <w:b/>
          <w:color w:val="000000"/>
          <w:sz w:val="24"/>
        </w:rPr>
        <w:t>Stock Repurchase Programs</w:t>
      </w:r>
      <w:r>
        <w:rPr>
          <w:color w:val="000000"/>
        </w:rPr>
        <w:t xml:space="preserve"> </w:t>
      </w:r>
    </w:p>
    <w:p>
      <w:pPr>
        <w:pStyle w:val="TextBody"/>
        <w:bidi w:val="0"/>
        <w:spacing w:lineRule="auto" w:line="288" w:before="0" w:after="0"/>
        <w:ind w:left="0" w:right="0" w:hanging="360"/>
        <w:jc w:val="left"/>
        <w:rPr/>
      </w:pPr>
      <w:r>
        <w:rPr>
          <w:color w:val="000000"/>
        </w:rPr>
        <w:t>•</w:t>
      </w:r>
      <w:r>
        <w:rPr>
          <w:rFonts w:ascii="sans-serif" w:hAnsi="sans-serif"/>
          <w:b w:val="false"/>
          <w:color w:val="000000"/>
          <w:sz w:val="24"/>
        </w:rPr>
        <w:t xml:space="preserve">In the second quarter ended July 31, 2026, nCino repurchased approximately 4.2 million shares of the Company's outstanding common stock in open market purchases, at an average price of $15.41 per share, for total consideration of approximately $65 million. Additionally, in the second quarter, the Company finalized the accelerated share repurchase program announced on March 31, 2026. Under that program, nCino repurchased approximately 6.0 million shares of the Company's outstanding common stock, at an average price of $16.57 per share, for total consideration of $100 million. </w:t>
      </w:r>
    </w:p>
    <w:p>
      <w:pPr>
        <w:pStyle w:val="TextBody"/>
        <w:bidi w:val="0"/>
        <w:spacing w:lineRule="auto" w:line="288" w:before="0" w:after="0"/>
        <w:ind w:left="0" w:right="0" w:hanging="360"/>
        <w:jc w:val="left"/>
        <w:rPr/>
      </w:pPr>
      <w:r>
        <w:rPr>
          <w:color w:val="000000"/>
        </w:rPr>
        <w:t>•</w:t>
      </w:r>
      <w:r>
        <w:rPr>
          <w:rFonts w:ascii="sans-serif" w:hAnsi="sans-serif"/>
          <w:b w:val="false"/>
          <w:color w:val="000000"/>
          <w:sz w:val="24"/>
        </w:rPr>
        <w:t>nCino's Board of Directors has authorized an additional $100 million share repurchase program. Under the repurchase program, the Company may make repurchases, from time to time, through open market purchases, block trades, in privately negotiated transactions, accelerated stock repurchase transactions, or by other means. The Company may also, from time to time, enter into Rule 10b5-1 plans to facilitate repurchases under this authorization. The volume, price, timing, and manner of any repurchases will be determined at the Company’s discretion, subject to general market conditions, as well as the Company’s management of capital, general business conditions, other investment opportunities, regulatory requirements and other factors. The repurchase program does not obligate the Company to repurchase any specific amount of common stock, has no time limit, and may be modified, suspended, or discontinued at any time without notice at the discretion of nCino’s Board of Directors. The Company currently expects to fund the repurchase program from existing cash and cash equivalents, credit facility capacity and/or future cash flows.</w:t>
      </w:r>
    </w:p>
    <w:p>
      <w:pPr>
        <w:pStyle w:val="TextBody"/>
        <w:bidi w:val="0"/>
        <w:spacing w:before="0" w:after="0"/>
        <w:jc w:val="left"/>
        <w:rPr/>
      </w:pPr>
      <w:r>
        <w:rPr/>
      </w:r>
    </w:p>
    <w:p>
      <w:pPr>
        <w:pStyle w:val="TextBody"/>
        <w:bidi w:val="0"/>
        <w:spacing w:lineRule="auto" w:line="288" w:before="240" w:after="283"/>
        <w:jc w:val="left"/>
        <w:rPr>
          <w:rFonts w:ascii="sans-serif" w:hAnsi="sans-serif"/>
          <w:b/>
          <w:color w:val="000000"/>
          <w:sz w:val="24"/>
        </w:rPr>
      </w:pPr>
      <w:r>
        <w:rPr>
          <w:rFonts w:ascii="sans-serif" w:hAnsi="sans-serif"/>
          <w:b/>
          <w:color w:val="000000"/>
          <w:sz w:val="24"/>
        </w:rPr>
        <w:t xml:space="preserve">Financial Outlook </w:t>
      </w:r>
    </w:p>
    <w:p>
      <w:pPr>
        <w:pStyle w:val="TextBody"/>
        <w:bidi w:val="0"/>
        <w:spacing w:lineRule="auto" w:line="288" w:before="0" w:after="0"/>
        <w:jc w:val="left"/>
        <w:rPr>
          <w:rFonts w:ascii="sans-serif" w:hAnsi="sans-serif"/>
          <w:b/>
          <w:color w:val="000000"/>
          <w:sz w:val="24"/>
        </w:rPr>
      </w:pPr>
      <w:r>
        <w:rPr>
          <w:rFonts w:ascii="sans-serif" w:hAnsi="sans-serif"/>
          <w:b/>
          <w:color w:val="000000"/>
          <w:sz w:val="24"/>
        </w:rPr>
        <w:t>nCino is providing guidance for its third quarter ending October 31, 2026, as follows:</w:t>
      </w:r>
    </w:p>
    <w:p>
      <w:pPr>
        <w:pStyle w:val="TextBody"/>
        <w:bidi w:val="0"/>
        <w:spacing w:lineRule="auto" w:line="288" w:before="0" w:after="0"/>
        <w:ind w:left="0" w:right="0" w:hanging="360"/>
        <w:jc w:val="left"/>
        <w:rPr/>
      </w:pPr>
      <w:r>
        <w:rPr>
          <w:color w:val="000000"/>
        </w:rPr>
        <w:t>•</w:t>
      </w:r>
      <w:r>
        <w:rPr>
          <w:rFonts w:ascii="sans-serif" w:hAnsi="sans-serif"/>
          <w:b w:val="false"/>
          <w:color w:val="000000"/>
          <w:sz w:val="24"/>
        </w:rPr>
        <w:t>Total revenues between $161.25 million and $163.25 million.</w:t>
      </w:r>
    </w:p>
    <w:p>
      <w:pPr>
        <w:pStyle w:val="TextBody"/>
        <w:bidi w:val="0"/>
        <w:spacing w:lineRule="auto" w:line="288"/>
        <w:ind w:left="0" w:right="0" w:hanging="360"/>
        <w:jc w:val="left"/>
        <w:rPr/>
      </w:pPr>
      <w:r>
        <w:rPr>
          <w:color w:val="000000"/>
        </w:rPr>
        <w:t>•</w:t>
      </w:r>
      <w:r>
        <w:rPr>
          <w:rFonts w:ascii="sans-serif" w:hAnsi="sans-serif"/>
          <w:b w:val="false"/>
          <w:color w:val="000000"/>
          <w:sz w:val="24"/>
        </w:rPr>
        <w:t>Subscription revenues between $143.25 million and $145.25 million.</w:t>
      </w:r>
    </w:p>
    <w:p>
      <w:pPr>
        <w:pStyle w:val="TextBody"/>
        <w:bidi w:val="0"/>
        <w:spacing w:before="2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75260"/>
                <wp:effectExtent l="0" t="0" r="0" b="0"/>
                <wp:wrapNone/>
                <wp:docPr id="6" name="Frame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sans-serif" w:hAnsi="sans-serif"/>
          <w:b w:val="false"/>
          <w:color w:val="000000"/>
          <w:sz w:val="24"/>
        </w:rPr>
        <w:t>Non-GAAP operating income between $42.0 million and $44.0 million.</w:t>
      </w:r>
    </w:p>
    <w:p>
      <w:pPr>
        <w:pStyle w:val="TextBody"/>
        <w:bidi w:val="0"/>
        <w:spacing w:lineRule="auto" w:line="288" w:before="240" w:after="283"/>
        <w:jc w:val="left"/>
        <w:rPr>
          <w:rFonts w:ascii="sans-serif" w:hAnsi="sans-serif"/>
          <w:b/>
          <w:color w:val="000000"/>
          <w:sz w:val="24"/>
        </w:rPr>
      </w:pPr>
      <w:r>
        <w:rPr>
          <w:rFonts w:ascii="sans-serif" w:hAnsi="sans-serif"/>
          <w:b/>
          <w:color w:val="000000"/>
          <w:sz w:val="24"/>
        </w:rPr>
        <w:t>nCino is providing guidance for its fiscal year 2027 ending January 31, 2027, as follows:</w:t>
      </w:r>
    </w:p>
    <w:p>
      <w:pPr>
        <w:pStyle w:val="TextBody"/>
        <w:bidi w:val="0"/>
        <w:spacing w:lineRule="auto" w:line="288" w:before="0" w:after="0"/>
        <w:ind w:left="0" w:right="0" w:hanging="360"/>
        <w:jc w:val="left"/>
        <w:rPr/>
      </w:pPr>
      <w:r>
        <w:rPr>
          <w:color w:val="000000"/>
        </w:rPr>
        <w:t>•</w:t>
      </w:r>
      <w:r>
        <w:rPr>
          <w:rFonts w:ascii="sans-serif" w:hAnsi="sans-serif"/>
          <w:b w:val="false"/>
          <w:color w:val="000000"/>
          <w:sz w:val="24"/>
        </w:rPr>
        <w:t>Total revenues between $644.0 million and $647.0 million.</w:t>
      </w:r>
    </w:p>
    <w:p>
      <w:pPr>
        <w:pStyle w:val="TextBody"/>
        <w:bidi w:val="0"/>
        <w:spacing w:lineRule="auto" w:line="288" w:before="0" w:after="0"/>
        <w:ind w:left="0" w:right="0" w:hanging="360"/>
        <w:jc w:val="left"/>
        <w:rPr/>
      </w:pPr>
      <w:r>
        <w:rPr>
          <w:color w:val="000000"/>
        </w:rPr>
        <w:t>•</w:t>
      </w:r>
      <w:r>
        <w:rPr>
          <w:rFonts w:ascii="sans-serif" w:hAnsi="sans-serif"/>
          <w:b w:val="false"/>
          <w:color w:val="000000"/>
          <w:sz w:val="24"/>
        </w:rPr>
        <w:t>Subscription revenues between $573.5 million and $576.5 million.</w:t>
      </w:r>
    </w:p>
    <w:p>
      <w:pPr>
        <w:pStyle w:val="TextBody"/>
        <w:bidi w:val="0"/>
        <w:spacing w:lineRule="auto" w:line="288" w:before="0" w:after="0"/>
        <w:ind w:left="0" w:right="0" w:hanging="360"/>
        <w:jc w:val="left"/>
        <w:rPr/>
      </w:pPr>
      <w:r>
        <w:rPr>
          <w:color w:val="000000"/>
        </w:rPr>
        <w:t>•</w:t>
      </w:r>
      <w:r>
        <w:rPr>
          <w:rFonts w:ascii="sans-serif" w:hAnsi="sans-serif"/>
          <w:b w:val="false"/>
          <w:color w:val="000000"/>
          <w:sz w:val="24"/>
        </w:rPr>
        <w:t>Non-GAAP operating income between $171.0 million and $174.0 million.</w:t>
      </w:r>
    </w:p>
    <w:p>
      <w:pPr>
        <w:pStyle w:val="TextBody"/>
        <w:bidi w:val="0"/>
        <w:spacing w:lineRule="auto" w:line="288" w:before="0" w:after="0"/>
        <w:ind w:left="0" w:right="0" w:hanging="360"/>
        <w:jc w:val="left"/>
        <w:rPr/>
      </w:pPr>
      <w:r>
        <w:rPr>
          <w:color w:val="000000"/>
        </w:rPr>
        <w:t>•</w:t>
      </w:r>
      <w:r>
        <w:rPr>
          <w:rFonts w:ascii="sans-serif" w:hAnsi="sans-serif"/>
          <w:b w:val="false"/>
          <w:color w:val="000000"/>
          <w:sz w:val="24"/>
        </w:rPr>
        <w:t>Free Cash Flow between $137.0 million and $142.0 million.</w:t>
      </w:r>
    </w:p>
    <w:p>
      <w:pPr>
        <w:pStyle w:val="TextBody"/>
        <w:bidi w:val="0"/>
        <w:spacing w:lineRule="auto" w:line="288" w:before="0" w:after="0"/>
        <w:ind w:left="0" w:right="0" w:hanging="360"/>
        <w:jc w:val="left"/>
        <w:rPr/>
      </w:pPr>
      <w:r>
        <w:rPr>
          <w:color w:val="000000"/>
        </w:rPr>
        <w:t>•</w:t>
      </w:r>
      <w:r>
        <w:rPr>
          <w:rFonts w:ascii="sans-serif" w:hAnsi="sans-serif"/>
          <w:b w:val="false"/>
          <w:color w:val="000000"/>
          <w:sz w:val="24"/>
        </w:rPr>
        <w:t>Annual Contract Value (ACV) at period end between $662.5 million and $667.5 million.</w:t>
      </w:r>
    </w:p>
    <w:p>
      <w:pPr>
        <w:pStyle w:val="TextBody"/>
        <w:bidi w:val="0"/>
        <w:spacing w:lineRule="auto" w:line="288" w:before="240" w:after="283"/>
        <w:jc w:val="left"/>
        <w:rPr>
          <w:rFonts w:ascii="sans-serif" w:hAnsi="sans-serif"/>
          <w:b/>
          <w:color w:val="000000"/>
          <w:sz w:val="24"/>
        </w:rPr>
      </w:pPr>
      <w:r>
        <w:rPr>
          <w:rFonts w:ascii="sans-serif" w:hAnsi="sans-serif"/>
          <w:b/>
          <w:color w:val="000000"/>
          <w:sz w:val="24"/>
        </w:rPr>
        <w:t>Conference Call</w:t>
      </w:r>
    </w:p>
    <w:p>
      <w:pPr>
        <w:pStyle w:val="TextBody"/>
        <w:bidi w:val="0"/>
        <w:spacing w:lineRule="auto" w:line="288" w:before="0" w:after="0"/>
        <w:jc w:val="left"/>
        <w:rPr/>
      </w:pPr>
      <w:r>
        <w:rPr>
          <w:rFonts w:ascii="sans-serif" w:hAnsi="sans-serif"/>
          <w:b w:val="false"/>
          <w:color w:val="000000"/>
          <w:sz w:val="24"/>
        </w:rPr>
        <w:t xml:space="preserve">nCino will host a conference call at 4:30 p.m. ET today to discuss its financial results and outlook. The conference call will be available via live webcast and replay at the Investor Relations section of nCino’s website: </w:t>
      </w:r>
      <w:r>
        <w:rPr>
          <w:rFonts w:ascii="sans-serif" w:hAnsi="sans-serif"/>
          <w:b w:val="false"/>
          <w:color w:val="0000FF"/>
          <w:sz w:val="24"/>
        </w:rPr>
        <w:t>https://investor.ncino.com/news-events/events-and-presentations</w:t>
      </w:r>
      <w:r>
        <w:rPr>
          <w:rFonts w:ascii="sans-serif" w:hAnsi="sans-serif"/>
          <w:b w:val="false"/>
          <w:color w:val="000000"/>
          <w:sz w:val="24"/>
        </w:rPr>
        <w:t>.</w:t>
      </w:r>
    </w:p>
    <w:p>
      <w:pPr>
        <w:pStyle w:val="TextBody"/>
        <w:bidi w:val="0"/>
        <w:spacing w:before="0" w:after="0"/>
        <w:jc w:val="left"/>
        <w:rPr/>
      </w:pPr>
      <w:r>
        <w:rPr/>
      </w:r>
    </w:p>
    <w:p>
      <w:pPr>
        <w:pStyle w:val="TextBody"/>
        <w:bidi w:val="0"/>
        <w:spacing w:lineRule="auto" w:line="288" w:before="0" w:after="0"/>
        <w:jc w:val="left"/>
        <w:rPr>
          <w:rFonts w:ascii="sans-serif" w:hAnsi="sans-serif"/>
          <w:b/>
          <w:color w:val="000000"/>
          <w:sz w:val="24"/>
          <w:shd w:fill="FFFFFF" w:val="clear"/>
        </w:rPr>
      </w:pPr>
      <w:r>
        <w:rPr>
          <w:rFonts w:ascii="sans-serif" w:hAnsi="sans-serif"/>
          <w:b/>
          <w:color w:val="000000"/>
          <w:sz w:val="24"/>
          <w:shd w:fill="FFFFFF" w:val="clear"/>
        </w:rPr>
        <w:t>About nCino</w:t>
      </w:r>
    </w:p>
    <w:p>
      <w:pPr>
        <w:pStyle w:val="TextBody"/>
        <w:bidi w:val="0"/>
        <w:spacing w:lineRule="auto" w:line="268" w:before="0" w:after="0"/>
        <w:jc w:val="left"/>
        <w:rPr>
          <w:rFonts w:ascii="sans-serif" w:hAnsi="sans-serif"/>
          <w:b w:val="false"/>
          <w:color w:val="000000"/>
          <w:sz w:val="24"/>
        </w:rPr>
      </w:pPr>
      <w:r>
        <w:rPr>
          <w:rFonts w:ascii="sans-serif" w:hAnsi="sans-serif"/>
          <w:b w:val="false"/>
          <w:color w:val="000000"/>
          <w:sz w:val="24"/>
        </w:rPr>
        <w:t xml:space="preserve">nCino (NASDAQ: NCNO) is the platform for agentic banking. With over 2,700 customers worldwide - including community banks, credit unions, independent mortgage banks, and the largest financial entities globally - nCino offers a trusted agentic platform purpose-built for financial services and regulated industries. By deploying AI agents alongside human teams, nCino's dual workforce enables institutions to eliminate inefficiencies, sharpen decision-making and deliver better outcomes for the customers they serve. For more information, visit </w:t>
      </w:r>
    </w:p>
    <w:p>
      <w:pPr>
        <w:pStyle w:val="TextBody"/>
        <w:bidi w:val="0"/>
        <w:spacing w:lineRule="auto" w:line="268" w:before="0" w:after="0"/>
        <w:jc w:val="left"/>
        <w:rPr>
          <w:rFonts w:ascii="sans-serif" w:hAnsi="sans-serif"/>
          <w:b w:val="false"/>
          <w:color w:val="0000FF"/>
          <w:sz w:val="24"/>
        </w:rPr>
      </w:pPr>
      <w:r>
        <w:rPr>
          <w:rFonts w:ascii="sans-serif" w:hAnsi="sans-serif"/>
          <w:b w:val="false"/>
          <w:color w:val="0000FF"/>
          <w:sz w:val="24"/>
        </w:rPr>
        <w:t>www.ncino.com.</w:t>
      </w:r>
    </w:p>
    <w:p>
      <w:pPr>
        <w:pStyle w:val="TextBody"/>
        <w:bidi w:val="0"/>
        <w:spacing w:lineRule="auto" w:line="268" w:before="0" w:after="0"/>
        <w:jc w:val="left"/>
        <w:rPr>
          <w:rFonts w:ascii="Arial;sans-serif" w:hAnsi="Arial;sans-serif"/>
          <w:b w:val="false"/>
          <w:color w:val="000000"/>
          <w:sz w:val="21"/>
        </w:rPr>
      </w:pPr>
      <w:r>
        <w:rPr>
          <w:rFonts w:ascii="Arial;sans-serif" w:hAnsi="Arial;sans-serif"/>
          <w:b w:val="false"/>
          <w:color w:val="000000"/>
          <w:sz w:val="21"/>
        </w:rPr>
        <w:t>.</w:t>
      </w:r>
    </w:p>
    <w:p>
      <w:pPr>
        <w:pStyle w:val="TextBody"/>
        <w:bidi w:val="0"/>
        <w:spacing w:lineRule="auto" w:line="268" w:before="0" w:after="0"/>
        <w:jc w:val="left"/>
        <w:rPr/>
      </w:pPr>
      <w:r>
        <w:rPr>
          <w:rFonts w:ascii="sans-serif" w:hAnsi="sans-serif"/>
          <w:b/>
          <w:color w:val="000000"/>
          <w:sz w:val="24"/>
        </w:rPr>
        <w:t>INVESTOR CONTACT</w:t>
      </w:r>
      <w:r>
        <w:rPr>
          <w:color w:val="000000"/>
        </w:rPr>
        <w:t xml:space="preserve"> </w:t>
      </w:r>
    </w:p>
    <w:p>
      <w:pPr>
        <w:pStyle w:val="TextBody"/>
        <w:bidi w:val="0"/>
        <w:spacing w:lineRule="auto" w:line="268" w:before="0" w:after="0"/>
        <w:jc w:val="left"/>
        <w:rPr>
          <w:rFonts w:ascii="sans-serif" w:hAnsi="sans-serif"/>
          <w:b w:val="false"/>
          <w:color w:val="0000FF"/>
          <w:sz w:val="24"/>
        </w:rPr>
      </w:pPr>
      <w:r>
        <w:rPr>
          <w:rFonts w:ascii="sans-serif" w:hAnsi="sans-serif"/>
          <w:b w:val="false"/>
          <w:color w:val="0000FF"/>
          <w:sz w:val="24"/>
        </w:rPr>
        <w:t>investor@ncino.com</w:t>
      </w:r>
    </w:p>
    <w:p>
      <w:pPr>
        <w:pStyle w:val="TextBody"/>
        <w:bidi w:val="0"/>
        <w:spacing w:lineRule="auto" w:line="268" w:before="0" w:after="0"/>
        <w:jc w:val="left"/>
        <w:rPr/>
      </w:pPr>
      <w:r>
        <w:rPr>
          <w:rFonts w:ascii="sans-serif" w:hAnsi="sans-serif"/>
          <w:b/>
          <w:color w:val="000000"/>
          <w:sz w:val="24"/>
        </w:rPr>
        <w:t>MEDIA CONTACT</w:t>
      </w:r>
      <w:r>
        <w:rPr>
          <w:color w:val="000000"/>
        </w:rPr>
        <w:t> </w:t>
      </w:r>
    </w:p>
    <w:p>
      <w:pPr>
        <w:pStyle w:val="TextBody"/>
        <w:bidi w:val="0"/>
        <w:spacing w:lineRule="auto" w:line="268" w:before="0" w:after="0"/>
        <w:jc w:val="left"/>
        <w:rPr/>
      </w:pPr>
      <w:r>
        <w:rPr>
          <w:rFonts w:ascii="sans-serif" w:hAnsi="sans-serif"/>
          <w:b w:val="false"/>
          <w:color w:val="0000FF"/>
          <w:sz w:val="24"/>
        </w:rPr>
        <w:t>press@ncino.com</w:t>
      </w:r>
      <w:r>
        <w:rPr>
          <w:color w:val="000000"/>
        </w:rPr>
        <w:t> </w:t>
      </w:r>
    </w:p>
    <w:p>
      <w:pPr>
        <w:pStyle w:val="TextBody"/>
        <w:bidi w:val="0"/>
        <w:spacing w:before="0" w:after="0"/>
        <w:jc w:val="left"/>
        <w:rPr/>
      </w:pPr>
      <w:r>
        <w:rPr/>
      </w:r>
    </w:p>
    <w:p>
      <w:pPr>
        <w:pStyle w:val="TextBody"/>
        <w:bidi w:val="0"/>
        <w:spacing w:lineRule="auto" w:line="268"/>
        <w:jc w:val="left"/>
        <w:rPr/>
      </w:pPr>
      <w:r>
        <w:rPr>
          <w:rFonts w:ascii="sans-serif" w:hAnsi="sans-serif"/>
          <w:b/>
          <w:color w:val="000000"/>
          <w:sz w:val="24"/>
        </w:rPr>
        <w:t xml:space="preserve">Forward-Looking Statements: </w:t>
      </w:r>
      <w:r>
        <w:rPr>
          <w:rFonts w:ascii="sans-serif" w:hAnsi="sans-serif"/>
          <w:b w:val="false"/>
          <w:color w:val="000000"/>
          <w:sz w:val="24"/>
        </w:rPr>
        <w:t xml:space="preserve">This press release contains forward-looking statements about nCino's financial and operating results, which include statements regarding nCino’s future performance, outlook, guidance, the benefits from the use of nCino’s solutions, our strategies, and general business conditions. Forward-looking statements generally include actions, events, results, strategies and expectations and are often identifiable by use of the words “aim,” “anticipates,” “believes,” “continues,” “could,” “estimates,” “expects,” “goal,” “intends,” “may,” “might,” “plans,”, “potential,” “predicts,” “projects,” “seeks,” “should,” “strive,” “will,” or “would” or similar expressions and the negatives thereof. Any forward-looking statements contained in this press release are based upon nCino’s historical performance and its current plans, estimates, and expectations and are not representations that such plans, estimates, or expectations will be achieved. These forward-looking statements represent nCino’s expectations as of the date of this press release. Subsequent events may cause these expectations to change and, except as may be required by law, nCino does not undertake any obligation to update or revise these forward-looking statements. These forward-looking statements are subject to known and unknown risks and uncertainties that may cause actual results to differ materially from those expressed or implied by such statements, including, but not limited to risks associated with (i) variations between our actual operating results compared to our prior guidance and the expectations of securities analysts, investors and the financial </w:t>
      </w:r>
    </w:p>
    <w:p>
      <w:pPr>
        <w:pStyle w:val="TextBody"/>
        <w:bidi w:val="0"/>
        <w:spacing w:before="2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75260"/>
                <wp:effectExtent l="0" t="0" r="0" b="0"/>
                <wp:wrapNone/>
                <wp:docPr id="7" name="Frame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68" w:before="0" w:after="0"/>
        <w:jc w:val="left"/>
        <w:rPr/>
      </w:pPr>
      <w:r>
        <w:rPr>
          <w:rFonts w:ascii="sans-serif" w:hAnsi="sans-serif"/>
          <w:b w:val="false"/>
          <w:color w:val="000000"/>
          <w:sz w:val="24"/>
        </w:rPr>
        <w:t xml:space="preserve">community; (ii) adverse changes in the financial services industry, including as a result of customer consolidation or bank failures; (iii) adverse changes in economic, regulatory, or market conditions, including as a direct or indirect consequence of higher interest rates; (iv) our ability to successfully develop, offer and drive customer acceptance of AI-driven solutions for the banking industry; (v) breaches in our security measures or unauthorized access to our customers’ or their clients' data; (vi) the accuracy of management’s assumptions and estimates; (vii) our ability to attract new customers and succeed in having current customers expand their use of our solutions, including in connection with our migration to an asset-based pricing model; (viii) competitive factors, including pricing pressures and migration to asset-based pricing, consolidation among competitors, entry of new competitors, the launch of new products and marketing initiatives by our competitors, and difficulty securing rights to access or integrate with third party products or data used by our customers; (ix) the rate of adoption of our newer solutions and the results of our efforts to sustain or expand the use and adoption of our more established solutions; (x) fluctuation of our results of operations, which may make period-to-period comparisons less meaningful; (xi) our ability to manage our growth effectively including expanding outside of the United States; (xii) adverse changes in our relationship with Salesforce; (xiii) repurchases of our common stock under our stock repurchase programs or the decision to terminate or suspend any repurchases; (xiv) risks associated with the acquisitions we have completed or may undertake; (xv) the loss of one or more customers, particularly any of our larger customers, or a reduction in the scope of our customers' commitments, including the number of users for which they purchase access and use rights and the assets or activity on which their subscriptions are based number of users our customers purchase access and use rights for; (xvi) system unavailability, system performance problems, or loss of data due to disruptions or other problems with our computing infrastructure or the infrastructure we rely on that is operated by third parties; and (xvii) our ability to maintain our corporate culture and attract and retain highly skilled employees.; (xviii) our level of indebtedness, our ability to service or refinance amounts outstanding under our credit facility, restrictions imposed by the terms of that facility, and our ability to fund repurchases of our common stock from existing cash, credit facility capacity, or future cash flows; (xix) evolving laws, regulations, and supervisory expectations applicable to artificial intelligence, and our dependence on third-party artificial intelligence models, infrastructure, and data, including the accuracy, reliability, and explainability of AI-generated output relied upon by our customers in regulated activities; (xx) fluctuations in foreign currency exchange rates. Additional information concerning these and other risks and uncertainties is contained in the "Risk Factors" section of nCino's most recent Annual Report on Form 10-K and in its subsequent Quarterly Reports on Form 10-Q filed with the Securities and Exchange Commission, which are available at </w:t>
      </w:r>
      <w:r>
        <w:rPr>
          <w:rFonts w:ascii="sans-serif" w:hAnsi="sans-serif"/>
          <w:b/>
          <w:color w:val="000000"/>
          <w:sz w:val="24"/>
        </w:rPr>
        <w:t>www.sec.gov</w:t>
      </w:r>
      <w:r>
        <w:rPr>
          <w:color w:val="000000"/>
        </w:rPr>
        <w:t xml:space="preserve"> </w:t>
      </w:r>
      <w:r>
        <w:rPr>
          <w:rFonts w:ascii="sans-serif" w:hAnsi="sans-serif"/>
          <w:b w:val="false"/>
          <w:color w:val="000000"/>
          <w:sz w:val="24"/>
        </w:rPr>
        <w:t xml:space="preserve">and on nCino's investor relations website.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 w:after="283"/>
        <w:jc w:val="center"/>
        <w:rPr>
          <w:rFonts w:ascii="Times New Roman;serif" w:hAnsi="Times New Roman;serif"/>
          <w:b/>
          <w:color w:val="000000"/>
          <w:sz w:val="20"/>
        </w:rPr>
      </w:pPr>
      <w:r>
        <w:rPr>
          <w:rFonts w:ascii="Times New Roman;serif" w:hAnsi="Times New Roman;serif"/>
          <w:b/>
          <w:color w:val="000000"/>
          <w:sz w:val="20"/>
        </w:rPr>
        <w:t>nCino, Inc.</w:t>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75260"/>
                <wp:effectExtent l="0" t="0" r="0" b="0"/>
                <wp:wrapNone/>
                <wp:docPr id="8" name="Frame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203.1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CONDENSED CONSOLIDATED BALANCE SHEETS</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(In thousands)</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(Unaudited)</w:t>
      </w:r>
    </w:p>
    <w:tbl>
      <w:tblPr>
        <w:tblW w:w="9752" w:type="dxa"/>
        <w:jc w:val="left"/>
        <w:tblInd w:w="0" w:type="dxa"/>
        <w:tblLayout w:type="fixed"/>
        <w:tblCellMar>
          <w:top w:w="28" w:type="dxa"/>
          <w:left w:w="28" w:type="dxa"/>
          <w:bottom w:w="28" w:type="dxa"/>
          <w:right w:w="28" w:type="dxa"/>
        </w:tblCellMar>
      </w:tblPr>
      <w:tblGrid>
        <w:gridCol w:w="2408"/>
        <w:gridCol w:w="2127"/>
        <w:gridCol w:w="2154"/>
        <w:gridCol w:w="227"/>
        <w:gridCol w:w="1051"/>
        <w:gridCol w:w="117"/>
        <w:gridCol w:w="109"/>
        <w:gridCol w:w="109"/>
        <w:gridCol w:w="109"/>
        <w:gridCol w:w="211"/>
        <w:gridCol w:w="976"/>
        <w:gridCol w:w="154"/>
      </w:tblGrid>
      <w:tr>
        <w:trPr/>
        <w:tc>
          <w:tcPr>
            <w:tcW w:w="2408" w:type="dxa"/>
            <w:tcBorders/>
            <w:vAlign w:val="center"/>
          </w:tcPr>
          <w:p>
            <w:pPr>
              <w:pStyle w:val="TableContents"/>
              <w:bidi w:val="0"/>
              <w:spacing w:before="0" w:after="283"/>
              <w:jc w:val="left"/>
              <w:rPr>
                <w:sz w:val="4"/>
                <w:szCs w:val="4"/>
              </w:rPr>
            </w:pPr>
            <w:r>
              <w:rPr>
                <w:sz w:val="4"/>
                <w:szCs w:val="4"/>
              </w:rPr>
            </w:r>
          </w:p>
        </w:tc>
        <w:tc>
          <w:tcPr>
            <w:tcW w:w="2127" w:type="dxa"/>
            <w:tcBorders/>
            <w:vAlign w:val="center"/>
          </w:tcPr>
          <w:p>
            <w:pPr>
              <w:pStyle w:val="TableContents"/>
              <w:bidi w:val="0"/>
              <w:spacing w:before="0" w:after="283"/>
              <w:jc w:val="left"/>
              <w:rPr>
                <w:sz w:val="4"/>
                <w:szCs w:val="4"/>
              </w:rPr>
            </w:pPr>
            <w:r>
              <w:rPr>
                <w:sz w:val="4"/>
                <w:szCs w:val="4"/>
              </w:rPr>
            </w:r>
          </w:p>
        </w:tc>
        <w:tc>
          <w:tcPr>
            <w:tcW w:w="2154"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6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5" w:type="dxa"/>
            <w:gridSpan w:val="3"/>
            <w:tcBorders/>
            <w:tcMar>
              <w:top w:w="0" w:type="dxa"/>
              <w:left w:w="0" w:type="dxa"/>
              <w:bottom w:w="0" w:type="dxa"/>
              <w:right w:w="0" w:type="dxa"/>
            </w:tcMar>
            <w:vAlign w:val="center"/>
          </w:tcPr>
          <w:p>
            <w:pPr>
              <w:pStyle w:val="TableContents"/>
              <w:bidi w:val="0"/>
              <w:spacing w:lineRule="auto" w:line="319" w:before="0" w:after="283"/>
              <w:jc w:val="center"/>
              <w:rPr>
                <w:rFonts w:ascii="Times New Roman;serif" w:hAnsi="Times New Roman;serif"/>
                <w:b/>
                <w:color w:val="000000"/>
                <w:sz w:val="16"/>
              </w:rPr>
            </w:pPr>
            <w:r>
              <w:rPr>
                <w:rFonts w:ascii="Times New Roman;serif" w:hAnsi="Times New Roman;serif"/>
                <w:b/>
                <w:color w:val="000000"/>
                <w:sz w:val="16"/>
              </w:rPr>
              <w:t>January 31,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cMar>
              <w:top w:w="0" w:type="dxa"/>
              <w:left w:w="0" w:type="dxa"/>
              <w:bottom w:w="0" w:type="dxa"/>
              <w:right w:w="0" w:type="dxa"/>
            </w:tcMar>
            <w:vAlign w:val="center"/>
          </w:tcPr>
          <w:p>
            <w:pPr>
              <w:pStyle w:val="TableContents"/>
              <w:bidi w:val="0"/>
              <w:spacing w:lineRule="auto" w:line="319" w:before="0" w:after="283"/>
              <w:jc w:val="center"/>
              <w:rPr>
                <w:rFonts w:ascii="Times New Roman;serif" w:hAnsi="Times New Roman;serif"/>
                <w:b/>
                <w:color w:val="000000"/>
                <w:sz w:val="16"/>
              </w:rPr>
            </w:pPr>
            <w:r>
              <w:rPr>
                <w:rFonts w:ascii="Times New Roman;serif" w:hAnsi="Times New Roman;serif"/>
                <w:b/>
                <w:color w:val="000000"/>
                <w:sz w:val="16"/>
              </w:rPr>
              <w:t>July 31, 2026</w:t>
            </w:r>
          </w:p>
        </w:tc>
      </w:tr>
      <w:tr>
        <w:trPr/>
        <w:tc>
          <w:tcPr>
            <w:tcW w:w="66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89" w:type="dxa"/>
            <w:gridSpan w:val="3"/>
            <w:tcBorders/>
            <w:shd w:fill="FFFFFF" w:val="clear"/>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color w:val="000000"/>
                <w:sz w:val="20"/>
              </w:rPr>
            </w:pPr>
            <w:r>
              <w:rPr>
                <w:rFonts w:ascii="Times New Roman;serif" w:hAnsi="Times New Roman;serif"/>
                <w:b/>
                <w:color w:val="000000"/>
                <w:sz w:val="20"/>
              </w:rPr>
              <w:t>Assets</w:t>
            </w:r>
          </w:p>
        </w:tc>
        <w:tc>
          <w:tcPr>
            <w:tcW w:w="13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89" w:type="dxa"/>
            <w:gridSpan w:val="3"/>
            <w:tcBorders/>
            <w:shd w:fill="CCEEFF" w:val="clear"/>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20"/>
              </w:rPr>
            </w:pPr>
            <w:r>
              <w:rPr>
                <w:rFonts w:ascii="Times New Roman;serif" w:hAnsi="Times New Roman;serif"/>
                <w:b w:val="false"/>
                <w:color w:val="000000"/>
                <w:sz w:val="20"/>
              </w:rPr>
              <w:t>Current assets</w:t>
            </w:r>
          </w:p>
        </w:tc>
        <w:tc>
          <w:tcPr>
            <w:tcW w:w="13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89" w:type="dxa"/>
            <w:gridSpan w:val="3"/>
            <w:tcBorders/>
            <w:shd w:fill="FFFFFF" w:val="clear"/>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227" w:type="dxa"/>
            <w:tcBorders/>
            <w:shd w:fill="FFFFFF" w:val="clear"/>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51" w:type="dxa"/>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88,374 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83,290 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89" w:type="dxa"/>
            <w:gridSpan w:val="3"/>
            <w:tcBorders/>
            <w:shd w:fill="CCEEFF" w:val="clear"/>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receivable, net</w:t>
            </w:r>
          </w:p>
        </w:tc>
        <w:tc>
          <w:tcPr>
            <w:tcW w:w="1278" w:type="dxa"/>
            <w:gridSpan w:val="2"/>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166,540 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122,365 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89" w:type="dxa"/>
            <w:gridSpan w:val="3"/>
            <w:tcBorders/>
            <w:shd w:fill="FFFFFF" w:val="clear"/>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20"/>
              </w:rPr>
            </w:pPr>
            <w:r>
              <w:rPr>
                <w:rFonts w:ascii="Times New Roman;serif" w:hAnsi="Times New Roman;serif"/>
                <w:b w:val="false"/>
                <w:color w:val="000000"/>
                <w:sz w:val="20"/>
              </w:rPr>
              <w:t>Costs capitalized to obtain revenue contracts, current portion, net</w:t>
            </w:r>
          </w:p>
        </w:tc>
        <w:tc>
          <w:tcPr>
            <w:tcW w:w="1278"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17,211 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16,935 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89" w:type="dxa"/>
            <w:gridSpan w:val="3"/>
            <w:tcBorders/>
            <w:shd w:fill="CCEEFF" w:val="clear"/>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20"/>
              </w:rPr>
            </w:pPr>
            <w:r>
              <w:rPr>
                <w:rFonts w:ascii="Times New Roman;serif" w:hAnsi="Times New Roman;serif"/>
                <w:b w:val="false"/>
                <w:color w:val="000000"/>
                <w:sz w:val="20"/>
              </w:rPr>
              <w:t>Prepaid expenses and other current assets</w:t>
            </w:r>
          </w:p>
        </w:tc>
        <w:tc>
          <w:tcPr>
            <w:tcW w:w="1278" w:type="dxa"/>
            <w:gridSpan w:val="2"/>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21,378 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20,311 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89" w:type="dxa"/>
            <w:gridSpan w:val="3"/>
            <w:tcBorders/>
            <w:shd w:fill="FFFFFF" w:val="clear"/>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color w:val="000000"/>
                <w:sz w:val="20"/>
              </w:rPr>
            </w:pPr>
            <w:r>
              <w:rPr>
                <w:rFonts w:ascii="Times New Roman;serif" w:hAnsi="Times New Roman;serif"/>
                <w:b/>
                <w:color w:val="000000"/>
                <w:sz w:val="20"/>
              </w:rPr>
              <w:t>Total current assets</w:t>
            </w:r>
          </w:p>
        </w:tc>
        <w:tc>
          <w:tcPr>
            <w:tcW w:w="127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293,503 </w:t>
            </w:r>
          </w:p>
        </w:tc>
        <w:tc>
          <w:tcPr>
            <w:tcW w:w="11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242,901 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89" w:type="dxa"/>
            <w:gridSpan w:val="3"/>
            <w:tcBorders/>
            <w:shd w:fill="CCEEFF" w:val="clear"/>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20"/>
              </w:rPr>
            </w:pPr>
            <w:r>
              <w:rPr>
                <w:rFonts w:ascii="Times New Roman;serif" w:hAnsi="Times New Roman;serif"/>
                <w:b w:val="false"/>
                <w:color w:val="000000"/>
                <w:sz w:val="20"/>
              </w:rPr>
              <w:t>Property and equipment, net</w:t>
            </w:r>
          </w:p>
        </w:tc>
        <w:tc>
          <w:tcPr>
            <w:tcW w:w="127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75,607 </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73,636 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89" w:type="dxa"/>
            <w:gridSpan w:val="3"/>
            <w:tcBorders/>
            <w:shd w:fill="FFFFFF" w:val="clear"/>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right-of-use assets, net</w:t>
            </w:r>
          </w:p>
        </w:tc>
        <w:tc>
          <w:tcPr>
            <w:tcW w:w="1278"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12,687 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11,627 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89" w:type="dxa"/>
            <w:gridSpan w:val="3"/>
            <w:tcBorders/>
            <w:shd w:fill="CCEEFF" w:val="clear"/>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20"/>
              </w:rPr>
            </w:pPr>
            <w:r>
              <w:rPr>
                <w:rFonts w:ascii="Times New Roman;serif" w:hAnsi="Times New Roman;serif"/>
                <w:b w:val="false"/>
                <w:color w:val="000000"/>
                <w:sz w:val="20"/>
              </w:rPr>
              <w:t>Costs capitalized to obtain revenue contracts, noncurrent, net</w:t>
            </w:r>
          </w:p>
        </w:tc>
        <w:tc>
          <w:tcPr>
            <w:tcW w:w="1278" w:type="dxa"/>
            <w:gridSpan w:val="2"/>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30,735 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29,870 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89" w:type="dxa"/>
            <w:gridSpan w:val="3"/>
            <w:tcBorders/>
            <w:shd w:fill="FFFFFF" w:val="clear"/>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20"/>
              </w:rPr>
            </w:pPr>
            <w:r>
              <w:rPr>
                <w:rFonts w:ascii="Times New Roman;serif" w:hAnsi="Times New Roman;serif"/>
                <w:b w:val="false"/>
                <w:color w:val="000000"/>
                <w:sz w:val="20"/>
              </w:rPr>
              <w:t>Goodwill</w:t>
            </w:r>
          </w:p>
        </w:tc>
        <w:tc>
          <w:tcPr>
            <w:tcW w:w="1278"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1,077,947 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1,075,770 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89" w:type="dxa"/>
            <w:gridSpan w:val="3"/>
            <w:tcBorders/>
            <w:shd w:fill="CCEEFF" w:val="clear"/>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20"/>
              </w:rPr>
            </w:pPr>
            <w:r>
              <w:rPr>
                <w:rFonts w:ascii="Times New Roman;serif" w:hAnsi="Times New Roman;serif"/>
                <w:b w:val="false"/>
                <w:color w:val="000000"/>
                <w:sz w:val="20"/>
              </w:rPr>
              <w:t>Intangible assets, net</w:t>
            </w:r>
          </w:p>
        </w:tc>
        <w:tc>
          <w:tcPr>
            <w:tcW w:w="1278" w:type="dxa"/>
            <w:gridSpan w:val="2"/>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135,658 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117,392 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89" w:type="dxa"/>
            <w:gridSpan w:val="3"/>
            <w:tcBorders/>
            <w:shd w:fill="FFFFFF" w:val="clear"/>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20"/>
              </w:rPr>
            </w:pPr>
            <w:r>
              <w:rPr>
                <w:rFonts w:ascii="Times New Roman;serif" w:hAnsi="Times New Roman;serif"/>
                <w:b w:val="false"/>
                <w:color w:val="000000"/>
                <w:sz w:val="20"/>
              </w:rPr>
              <w:t>Investments</w:t>
            </w:r>
          </w:p>
        </w:tc>
        <w:tc>
          <w:tcPr>
            <w:tcW w:w="1278"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7,262 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7,262 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89" w:type="dxa"/>
            <w:gridSpan w:val="3"/>
            <w:tcBorders/>
            <w:shd w:fill="CCEEFF" w:val="clear"/>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20"/>
              </w:rPr>
            </w:pPr>
            <w:r>
              <w:rPr>
                <w:rFonts w:ascii="Times New Roman;serif" w:hAnsi="Times New Roman;serif"/>
                <w:b w:val="false"/>
                <w:color w:val="000000"/>
                <w:sz w:val="20"/>
              </w:rPr>
              <w:t>Long-term prepaid expenses and other assets</w:t>
            </w:r>
          </w:p>
        </w:tc>
        <w:tc>
          <w:tcPr>
            <w:tcW w:w="1278" w:type="dxa"/>
            <w:gridSpan w:val="2"/>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14,707 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13,295 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89" w:type="dxa"/>
            <w:gridSpan w:val="3"/>
            <w:tcBorders/>
            <w:shd w:fill="FFFFFF" w:val="clear"/>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color w:val="000000"/>
                <w:sz w:val="20"/>
              </w:rPr>
            </w:pPr>
            <w:r>
              <w:rPr>
                <w:rFonts w:ascii="Times New Roman;serif" w:hAnsi="Times New Roman;serif"/>
                <w:b/>
                <w:color w:val="000000"/>
                <w:sz w:val="20"/>
              </w:rPr>
              <w:t>Total assets</w:t>
            </w:r>
          </w:p>
        </w:tc>
        <w:tc>
          <w:tcPr>
            <w:tcW w:w="22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5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1,648,106 </w:t>
            </w:r>
          </w:p>
        </w:tc>
        <w:tc>
          <w:tcPr>
            <w:tcW w:w="11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1,571,753 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89" w:type="dxa"/>
            <w:gridSpan w:val="3"/>
            <w:tcBorders/>
            <w:shd w:fill="CCEEFF" w:val="clear"/>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color w:val="000000"/>
                <w:sz w:val="20"/>
              </w:rPr>
            </w:pPr>
            <w:r>
              <w:rPr>
                <w:rFonts w:ascii="Times New Roman;serif" w:hAnsi="Times New Roman;serif"/>
                <w:b/>
                <w:color w:val="000000"/>
                <w:sz w:val="20"/>
              </w:rPr>
              <w:t>Liabilities, redeemable non-controlling interest, and stockholders’ equity</w:t>
            </w:r>
          </w:p>
        </w:tc>
        <w:tc>
          <w:tcPr>
            <w:tcW w:w="139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89" w:type="dxa"/>
            <w:gridSpan w:val="3"/>
            <w:tcBorders/>
            <w:shd w:fill="FFFFFF" w:val="clear"/>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20"/>
              </w:rPr>
            </w:pPr>
            <w:r>
              <w:rPr>
                <w:rFonts w:ascii="Times New Roman;serif" w:hAnsi="Times New Roman;serif"/>
                <w:b w:val="false"/>
                <w:color w:val="000000"/>
                <w:sz w:val="20"/>
              </w:rPr>
              <w:t>Current liabilities</w:t>
            </w:r>
          </w:p>
        </w:tc>
        <w:tc>
          <w:tcPr>
            <w:tcW w:w="13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89" w:type="dxa"/>
            <w:gridSpan w:val="3"/>
            <w:tcBorders/>
            <w:shd w:fill="CCEEFF" w:val="clear"/>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payable</w:t>
            </w:r>
          </w:p>
        </w:tc>
        <w:tc>
          <w:tcPr>
            <w:tcW w:w="227" w:type="dxa"/>
            <w:tcBorders/>
            <w:shd w:fill="CCEEFF" w:val="clear"/>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51" w:type="dxa"/>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14,521 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14,840 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89" w:type="dxa"/>
            <w:gridSpan w:val="3"/>
            <w:tcBorders/>
            <w:vAlign w:val="center"/>
          </w:tcPr>
          <w:p>
            <w:pPr>
              <w:pStyle w:val="TableContents"/>
              <w:bidi w:val="0"/>
              <w:spacing w:before="0" w:after="283"/>
              <w:jc w:val="left"/>
              <w:rPr>
                <w:sz w:val="4"/>
                <w:szCs w:val="4"/>
              </w:rPr>
            </w:pPr>
            <w:r>
              <w:rPr>
                <w:sz w:val="4"/>
                <w:szCs w:val="4"/>
              </w:rPr>
            </w:r>
          </w:p>
        </w:tc>
        <w:tc>
          <w:tcPr>
            <w:tcW w:w="13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6689" w:type="dxa"/>
            <w:gridSpan w:val="3"/>
            <w:tcBorders/>
            <w:vAlign w:val="center"/>
          </w:tcPr>
          <w:p>
            <w:pPr>
              <w:pStyle w:val="TableContents"/>
              <w:bidi w:val="0"/>
              <w:spacing w:before="0" w:after="283"/>
              <w:jc w:val="left"/>
              <w:rPr>
                <w:sz w:val="4"/>
                <w:szCs w:val="4"/>
              </w:rPr>
            </w:pPr>
            <w:r>
              <w:rPr>
                <w:sz w:val="4"/>
                <w:szCs w:val="4"/>
              </w:rPr>
            </w:r>
          </w:p>
        </w:tc>
        <w:tc>
          <w:tcPr>
            <w:tcW w:w="13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6689" w:type="dxa"/>
            <w:gridSpan w:val="3"/>
            <w:tcBorders/>
            <w:shd w:fill="FFFFFF" w:val="clear"/>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20"/>
              </w:rPr>
            </w:pPr>
            <w:r>
              <w:rPr>
                <w:rFonts w:ascii="Times New Roman;serif" w:hAnsi="Times New Roman;serif"/>
                <w:b w:val="false"/>
                <w:color w:val="000000"/>
                <w:sz w:val="20"/>
              </w:rPr>
              <w:t>Accrued expenses and other current liabilities</w:t>
            </w:r>
          </w:p>
        </w:tc>
        <w:tc>
          <w:tcPr>
            <w:tcW w:w="1278"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64,372 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39,215 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89" w:type="dxa"/>
            <w:gridSpan w:val="3"/>
            <w:tcBorders/>
            <w:vAlign w:val="center"/>
          </w:tcPr>
          <w:p>
            <w:pPr>
              <w:pStyle w:val="TableContents"/>
              <w:bidi w:val="0"/>
              <w:spacing w:before="0" w:after="283"/>
              <w:jc w:val="left"/>
              <w:rPr>
                <w:sz w:val="4"/>
                <w:szCs w:val="4"/>
              </w:rPr>
            </w:pPr>
            <w:r>
              <w:rPr>
                <w:sz w:val="4"/>
                <w:szCs w:val="4"/>
              </w:rPr>
            </w:r>
          </w:p>
        </w:tc>
        <w:tc>
          <w:tcPr>
            <w:tcW w:w="13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6689" w:type="dxa"/>
            <w:gridSpan w:val="3"/>
            <w:tcBorders/>
            <w:shd w:fill="CCEEFF" w:val="clear"/>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revenue, current portion</w:t>
            </w:r>
          </w:p>
        </w:tc>
        <w:tc>
          <w:tcPr>
            <w:tcW w:w="1278" w:type="dxa"/>
            <w:gridSpan w:val="2"/>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210,552 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218,810 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89" w:type="dxa"/>
            <w:gridSpan w:val="3"/>
            <w:tcBorders/>
            <w:vAlign w:val="center"/>
          </w:tcPr>
          <w:p>
            <w:pPr>
              <w:pStyle w:val="TableContents"/>
              <w:bidi w:val="0"/>
              <w:spacing w:before="0" w:after="283"/>
              <w:jc w:val="left"/>
              <w:rPr>
                <w:sz w:val="4"/>
                <w:szCs w:val="4"/>
              </w:rPr>
            </w:pPr>
            <w:r>
              <w:rPr>
                <w:sz w:val="4"/>
                <w:szCs w:val="4"/>
              </w:rPr>
            </w:r>
          </w:p>
        </w:tc>
        <w:tc>
          <w:tcPr>
            <w:tcW w:w="13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6689" w:type="dxa"/>
            <w:gridSpan w:val="3"/>
            <w:tcBorders/>
            <w:shd w:fill="FFFFFF" w:val="clear"/>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20"/>
              </w:rPr>
            </w:pPr>
            <w:r>
              <w:rPr>
                <w:rFonts w:ascii="Times New Roman;serif" w:hAnsi="Times New Roman;serif"/>
                <w:b w:val="false"/>
                <w:color w:val="000000"/>
                <w:sz w:val="20"/>
              </w:rPr>
              <w:t>Debt, current portion, net</w:t>
            </w:r>
          </w:p>
        </w:tc>
        <w:tc>
          <w:tcPr>
            <w:tcW w:w="1278"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color w:val="000000"/>
              </w:rPr>
            </w:pPr>
            <w:r>
              <w:rPr>
                <w:color w:val="000000"/>
              </w:rPr>
              <w:t>—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9,803 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89" w:type="dxa"/>
            <w:gridSpan w:val="3"/>
            <w:tcBorders/>
            <w:shd w:fill="CCEEFF" w:val="clear"/>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20"/>
              </w:rPr>
            </w:pPr>
            <w:r>
              <w:rPr>
                <w:rFonts w:ascii="Times New Roman;serif" w:hAnsi="Times New Roman;serif"/>
                <w:b w:val="false"/>
                <w:color w:val="000000"/>
                <w:sz w:val="20"/>
              </w:rPr>
              <w:t>Financing obligations, current portion</w:t>
            </w:r>
          </w:p>
        </w:tc>
        <w:tc>
          <w:tcPr>
            <w:tcW w:w="1278" w:type="dxa"/>
            <w:gridSpan w:val="2"/>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818 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393 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89" w:type="dxa"/>
            <w:gridSpan w:val="3"/>
            <w:tcBorders/>
            <w:shd w:fill="FFFFFF" w:val="clear"/>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liabilities, current portion</w:t>
            </w:r>
          </w:p>
        </w:tc>
        <w:tc>
          <w:tcPr>
            <w:tcW w:w="1278"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4,229 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3,695 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89" w:type="dxa"/>
            <w:gridSpan w:val="3"/>
            <w:tcBorders/>
            <w:shd w:fill="CCEEFF" w:val="clear"/>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color w:val="000000"/>
                <w:sz w:val="20"/>
              </w:rPr>
            </w:pPr>
            <w:r>
              <w:rPr>
                <w:rFonts w:ascii="Times New Roman;serif" w:hAnsi="Times New Roman;serif"/>
                <w:b/>
                <w:color w:val="000000"/>
                <w:sz w:val="20"/>
              </w:rPr>
              <w:t>Total current liabilities</w:t>
            </w:r>
          </w:p>
        </w:tc>
        <w:tc>
          <w:tcPr>
            <w:tcW w:w="127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294,492 </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286,756 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89" w:type="dxa"/>
            <w:gridSpan w:val="3"/>
            <w:tcBorders/>
            <w:shd w:fill="FFFFFF" w:val="clear"/>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liabilities, noncurrent</w:t>
            </w:r>
          </w:p>
        </w:tc>
        <w:tc>
          <w:tcPr>
            <w:tcW w:w="1278"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9,748 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9,001 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89" w:type="dxa"/>
            <w:gridSpan w:val="3"/>
            <w:tcBorders/>
            <w:shd w:fill="CCEEFF" w:val="clear"/>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income taxes, noncurrent</w:t>
            </w:r>
          </w:p>
        </w:tc>
        <w:tc>
          <w:tcPr>
            <w:tcW w:w="1278" w:type="dxa"/>
            <w:gridSpan w:val="2"/>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7,020 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8,014 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89" w:type="dxa"/>
            <w:gridSpan w:val="3"/>
            <w:tcBorders/>
            <w:vAlign w:val="center"/>
          </w:tcPr>
          <w:p>
            <w:pPr>
              <w:pStyle w:val="TableContents"/>
              <w:bidi w:val="0"/>
              <w:spacing w:before="0" w:after="283"/>
              <w:jc w:val="left"/>
              <w:rPr>
                <w:sz w:val="4"/>
                <w:szCs w:val="4"/>
              </w:rPr>
            </w:pPr>
            <w:r>
              <w:rPr>
                <w:sz w:val="4"/>
                <w:szCs w:val="4"/>
              </w:rPr>
            </w:r>
          </w:p>
        </w:tc>
        <w:tc>
          <w:tcPr>
            <w:tcW w:w="13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6689" w:type="dxa"/>
            <w:gridSpan w:val="3"/>
            <w:tcBorders/>
            <w:shd w:fill="FFFFFF" w:val="clear"/>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revenue, noncurrent</w:t>
            </w:r>
          </w:p>
        </w:tc>
        <w:tc>
          <w:tcPr>
            <w:tcW w:w="1278"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170 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3,106 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89" w:type="dxa"/>
            <w:gridSpan w:val="3"/>
            <w:tcBorders/>
            <w:shd w:fill="CCEEFF" w:val="clear"/>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20"/>
              </w:rPr>
            </w:pPr>
            <w:r>
              <w:rPr>
                <w:rFonts w:ascii="Times New Roman;serif" w:hAnsi="Times New Roman;serif"/>
                <w:b w:val="false"/>
                <w:color w:val="000000"/>
                <w:sz w:val="20"/>
              </w:rPr>
              <w:t>Debt, noncurrent, net</w:t>
            </w:r>
          </w:p>
        </w:tc>
        <w:tc>
          <w:tcPr>
            <w:tcW w:w="1278" w:type="dxa"/>
            <w:gridSpan w:val="2"/>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213,500 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265,557 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89" w:type="dxa"/>
            <w:gridSpan w:val="3"/>
            <w:tcBorders/>
            <w:shd w:fill="FFFFFF" w:val="clear"/>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20"/>
              </w:rPr>
            </w:pPr>
            <w:r>
              <w:rPr>
                <w:rFonts w:ascii="Times New Roman;serif" w:hAnsi="Times New Roman;serif"/>
                <w:b w:val="false"/>
                <w:color w:val="000000"/>
                <w:sz w:val="20"/>
              </w:rPr>
              <w:t>Financing obligations, noncurrent</w:t>
            </w:r>
          </w:p>
        </w:tc>
        <w:tc>
          <w:tcPr>
            <w:tcW w:w="1278"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50,400 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50,178 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89" w:type="dxa"/>
            <w:gridSpan w:val="3"/>
            <w:tcBorders/>
            <w:vAlign w:val="center"/>
          </w:tcPr>
          <w:p>
            <w:pPr>
              <w:pStyle w:val="TableContents"/>
              <w:bidi w:val="0"/>
              <w:spacing w:before="0" w:after="283"/>
              <w:jc w:val="left"/>
              <w:rPr>
                <w:sz w:val="4"/>
                <w:szCs w:val="4"/>
              </w:rPr>
            </w:pPr>
            <w:r>
              <w:rPr>
                <w:sz w:val="4"/>
                <w:szCs w:val="4"/>
              </w:rPr>
            </w:r>
          </w:p>
        </w:tc>
        <w:tc>
          <w:tcPr>
            <w:tcW w:w="13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6689" w:type="dxa"/>
            <w:gridSpan w:val="3"/>
            <w:tcBorders/>
            <w:shd w:fill="CCEEFF" w:val="clear"/>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20"/>
              </w:rPr>
            </w:pPr>
            <w:r>
              <w:rPr>
                <w:rFonts w:ascii="Times New Roman;serif" w:hAnsi="Times New Roman;serif"/>
                <w:b w:val="false"/>
                <w:color w:val="000000"/>
                <w:sz w:val="20"/>
              </w:rPr>
              <w:t>Other long-term liabilities</w:t>
            </w:r>
          </w:p>
        </w:tc>
        <w:tc>
          <w:tcPr>
            <w:tcW w:w="1278" w:type="dxa"/>
            <w:gridSpan w:val="2"/>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4,124 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3,905 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89" w:type="dxa"/>
            <w:gridSpan w:val="3"/>
            <w:tcBorders/>
            <w:shd w:fill="FFFFFF" w:val="clear"/>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color w:val="000000"/>
                <w:sz w:val="20"/>
              </w:rPr>
            </w:pPr>
            <w:r>
              <w:rPr>
                <w:rFonts w:ascii="Times New Roman;serif" w:hAnsi="Times New Roman;serif"/>
                <w:b/>
                <w:color w:val="000000"/>
                <w:sz w:val="20"/>
              </w:rPr>
              <w:t>Total liabilities</w:t>
            </w:r>
          </w:p>
        </w:tc>
        <w:tc>
          <w:tcPr>
            <w:tcW w:w="127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579,454 </w:t>
            </w:r>
          </w:p>
        </w:tc>
        <w:tc>
          <w:tcPr>
            <w:tcW w:w="11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626,517 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89" w:type="dxa"/>
            <w:gridSpan w:val="3"/>
            <w:tcBorders/>
            <w:shd w:fill="CCEEFF" w:val="clear"/>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20"/>
              </w:rPr>
            </w:pPr>
            <w:r>
              <w:rPr>
                <w:rFonts w:ascii="Times New Roman;serif" w:hAnsi="Times New Roman;serif"/>
                <w:b w:val="false"/>
                <w:color w:val="000000"/>
                <w:sz w:val="20"/>
              </w:rPr>
              <w:t>Commitments and contingencies</w:t>
            </w:r>
          </w:p>
        </w:tc>
        <w:tc>
          <w:tcPr>
            <w:tcW w:w="139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89" w:type="dxa"/>
            <w:gridSpan w:val="3"/>
            <w:tcBorders/>
            <w:shd w:fill="FFFFFF" w:val="clear"/>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20"/>
              </w:rPr>
            </w:pPr>
            <w:r>
              <w:rPr>
                <w:rFonts w:ascii="Times New Roman;serif" w:hAnsi="Times New Roman;serif"/>
                <w:b w:val="false"/>
                <w:color w:val="000000"/>
                <w:sz w:val="20"/>
              </w:rPr>
              <w:t>Redeemable non-controlling interest</w:t>
            </w:r>
          </w:p>
        </w:tc>
        <w:tc>
          <w:tcPr>
            <w:tcW w:w="1278"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12,737 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15,404 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89" w:type="dxa"/>
            <w:gridSpan w:val="3"/>
            <w:tcBorders/>
            <w:shd w:fill="CCEEFF" w:val="clear"/>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20"/>
              </w:rPr>
            </w:pPr>
            <w:r>
              <w:rPr>
                <w:rFonts w:ascii="Times New Roman;serif" w:hAnsi="Times New Roman;serif"/>
                <w:b w:val="false"/>
                <w:color w:val="000000"/>
                <w:sz w:val="20"/>
              </w:rPr>
              <w:t>Stockholders’ equity</w:t>
            </w:r>
          </w:p>
        </w:tc>
        <w:tc>
          <w:tcPr>
            <w:tcW w:w="13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89" w:type="dxa"/>
            <w:gridSpan w:val="3"/>
            <w:tcBorders/>
            <w:shd w:fill="FFFFFF" w:val="clear"/>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20"/>
              </w:rPr>
            </w:pPr>
            <w:r>
              <w:rPr>
                <w:rFonts w:ascii="Times New Roman;serif" w:hAnsi="Times New Roman;serif"/>
                <w:b w:val="false"/>
                <w:color w:val="000000"/>
                <w:sz w:val="20"/>
              </w:rPr>
              <w:t>Common stock</w:t>
            </w:r>
          </w:p>
        </w:tc>
        <w:tc>
          <w:tcPr>
            <w:tcW w:w="1278"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59 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60 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89" w:type="dxa"/>
            <w:gridSpan w:val="3"/>
            <w:tcBorders/>
            <w:shd w:fill="CCEEFF" w:val="clear"/>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20"/>
              </w:rPr>
            </w:pPr>
            <w:r>
              <w:rPr>
                <w:rFonts w:ascii="Times New Roman;serif" w:hAnsi="Times New Roman;serif"/>
                <w:b w:val="false"/>
                <w:color w:val="000000"/>
                <w:sz w:val="20"/>
              </w:rPr>
              <w:t>Treasury stock, at cost</w:t>
            </w:r>
          </w:p>
        </w:tc>
        <w:tc>
          <w:tcPr>
            <w:tcW w:w="1278" w:type="dxa"/>
            <w:gridSpan w:val="2"/>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(125,600)</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(301,916)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89" w:type="dxa"/>
            <w:gridSpan w:val="3"/>
            <w:tcBorders/>
            <w:shd w:fill="FFFFFF" w:val="clear"/>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20"/>
              </w:rPr>
            </w:pPr>
            <w:r>
              <w:rPr>
                <w:rFonts w:ascii="Times New Roman;serif" w:hAnsi="Times New Roman;serif"/>
                <w:b w:val="false"/>
                <w:color w:val="000000"/>
                <w:sz w:val="20"/>
              </w:rPr>
              <w:t>Additional paid-in capital</w:t>
            </w:r>
          </w:p>
        </w:tc>
        <w:tc>
          <w:tcPr>
            <w:tcW w:w="1278"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1,550,187 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1,584,093 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89" w:type="dxa"/>
            <w:gridSpan w:val="3"/>
            <w:tcBorders/>
            <w:shd w:fill="CCEEFF" w:val="clear"/>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20"/>
              </w:rPr>
            </w:pPr>
            <w:r>
              <w:rPr>
                <w:rFonts w:ascii="Times New Roman;serif" w:hAnsi="Times New Roman;serif"/>
                <w:b w:val="false"/>
                <w:color w:val="000000"/>
                <w:sz w:val="20"/>
              </w:rPr>
              <w:t>Accumulated other comprehensive income</w:t>
            </w:r>
          </w:p>
        </w:tc>
        <w:tc>
          <w:tcPr>
            <w:tcW w:w="1278" w:type="dxa"/>
            <w:gridSpan w:val="2"/>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7,042 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3,340 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89" w:type="dxa"/>
            <w:gridSpan w:val="3"/>
            <w:tcBorders/>
            <w:shd w:fill="FFFFFF" w:val="clear"/>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20"/>
              </w:rPr>
            </w:pPr>
            <w:r>
              <w:rPr>
                <w:rFonts w:ascii="Times New Roman;serif" w:hAnsi="Times New Roman;serif"/>
                <w:b w:val="false"/>
                <w:color w:val="000000"/>
                <w:sz w:val="20"/>
              </w:rPr>
              <w:t>Accumulated deficit</w:t>
            </w:r>
          </w:p>
        </w:tc>
        <w:tc>
          <w:tcPr>
            <w:tcW w:w="1278"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(375,773)</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(355,745)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89" w:type="dxa"/>
            <w:gridSpan w:val="3"/>
            <w:tcBorders/>
            <w:shd w:fill="CCEEFF" w:val="clear"/>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20"/>
              </w:rPr>
            </w:pPr>
            <w:r>
              <w:rPr>
                <w:rFonts w:ascii="Times New Roman;serif" w:hAnsi="Times New Roman;serif"/>
                <w:b w:val="false"/>
                <w:color w:val="000000"/>
                <w:sz w:val="20"/>
              </w:rPr>
              <w:t>Total stockholders’ equity</w:t>
            </w:r>
          </w:p>
        </w:tc>
        <w:tc>
          <w:tcPr>
            <w:tcW w:w="127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1,055,915 </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929,832 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89" w:type="dxa"/>
            <w:gridSpan w:val="3"/>
            <w:tcBorders/>
            <w:shd w:fill="FFFFFF" w:val="clear"/>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color w:val="000000"/>
                <w:sz w:val="20"/>
              </w:rPr>
            </w:pPr>
            <w:r>
              <w:rPr>
                <w:rFonts w:ascii="Times New Roman;serif" w:hAnsi="Times New Roman;serif"/>
                <w:b/>
                <w:color w:val="000000"/>
                <w:sz w:val="20"/>
              </w:rPr>
              <w:t>Total liabilities, redeemable non-controlling interest, and stockholders’ equity</w:t>
            </w:r>
          </w:p>
        </w:tc>
        <w:tc>
          <w:tcPr>
            <w:tcW w:w="22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19"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1,648,106 </w:t>
            </w:r>
          </w:p>
        </w:tc>
        <w:tc>
          <w:tcPr>
            <w:tcW w:w="11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19"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1,571,753 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nCino, Inc.</w:t>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75260"/>
                <wp:effectExtent l="0" t="0" r="0" b="0"/>
                <wp:wrapNone/>
                <wp:docPr id="9" name="Frame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203.1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CONDENSED CONSOLIDATED STATEMENTS OF OPERATIONS</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(In thousands, except share and per share data)</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(Unaudited)</w:t>
      </w:r>
    </w:p>
    <w:tbl>
      <w:tblPr>
        <w:tblW w:w="10205" w:type="dxa"/>
        <w:jc w:val="left"/>
        <w:tblInd w:w="0" w:type="dxa"/>
        <w:tblLayout w:type="fixed"/>
        <w:tblCellMar>
          <w:top w:w="28" w:type="dxa"/>
          <w:left w:w="28" w:type="dxa"/>
          <w:bottom w:w="28" w:type="dxa"/>
          <w:right w:w="28" w:type="dxa"/>
        </w:tblCellMar>
      </w:tblPr>
      <w:tblGrid>
        <w:gridCol w:w="1300"/>
        <w:gridCol w:w="1019"/>
        <w:gridCol w:w="1030"/>
        <w:gridCol w:w="241"/>
        <w:gridCol w:w="945"/>
        <w:gridCol w:w="271"/>
        <w:gridCol w:w="109"/>
        <w:gridCol w:w="109"/>
        <w:gridCol w:w="109"/>
        <w:gridCol w:w="241"/>
        <w:gridCol w:w="945"/>
        <w:gridCol w:w="271"/>
        <w:gridCol w:w="109"/>
        <w:gridCol w:w="109"/>
        <w:gridCol w:w="109"/>
        <w:gridCol w:w="241"/>
        <w:gridCol w:w="945"/>
        <w:gridCol w:w="271"/>
        <w:gridCol w:w="109"/>
        <w:gridCol w:w="109"/>
        <w:gridCol w:w="109"/>
        <w:gridCol w:w="241"/>
        <w:gridCol w:w="945"/>
        <w:gridCol w:w="318"/>
      </w:tblGrid>
      <w:tr>
        <w:trPr/>
        <w:tc>
          <w:tcPr>
            <w:tcW w:w="1300" w:type="dxa"/>
            <w:tcBorders/>
            <w:vAlign w:val="center"/>
          </w:tcPr>
          <w:p>
            <w:pPr>
              <w:pStyle w:val="TableContents"/>
              <w:bidi w:val="0"/>
              <w:spacing w:before="0" w:after="283"/>
              <w:jc w:val="left"/>
              <w:rPr>
                <w:sz w:val="4"/>
                <w:szCs w:val="4"/>
              </w:rPr>
            </w:pPr>
            <w:r>
              <w:rPr>
                <w:sz w:val="4"/>
                <w:szCs w:val="4"/>
              </w:rPr>
            </w:r>
          </w:p>
        </w:tc>
        <w:tc>
          <w:tcPr>
            <w:tcW w:w="1019"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945"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945"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945"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945"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r>
      <w:tr>
        <w:trPr/>
        <w:tc>
          <w:tcPr>
            <w:tcW w:w="3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41" w:type="dxa"/>
            <w:gridSpan w:val="9"/>
            <w:tcBorders/>
            <w:tcMar>
              <w:top w:w="0" w:type="dxa"/>
              <w:left w:w="0" w:type="dxa"/>
              <w:bottom w:w="0" w:type="dxa"/>
              <w:right w:w="0" w:type="dxa"/>
            </w:tcMar>
            <w:vAlign w:val="center"/>
          </w:tcPr>
          <w:p>
            <w:pPr>
              <w:pStyle w:val="TableContents"/>
              <w:bidi w:val="0"/>
              <w:spacing w:lineRule="auto" w:line="319" w:before="0" w:after="283"/>
              <w:jc w:val="center"/>
              <w:rPr>
                <w:rFonts w:ascii="Times New Roman;serif" w:hAnsi="Times New Roman;serif"/>
                <w:b/>
                <w:color w:val="000000"/>
                <w:sz w:val="16"/>
              </w:rPr>
            </w:pPr>
            <w:r>
              <w:rPr>
                <w:rFonts w:ascii="Times New Roman;serif" w:hAnsi="Times New Roman;serif"/>
                <w:b/>
                <w:color w:val="000000"/>
                <w:sz w:val="16"/>
              </w:rPr>
              <w:t>Three Months Ended July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88" w:type="dxa"/>
            <w:gridSpan w:val="9"/>
            <w:tcBorders/>
            <w:tcMar>
              <w:top w:w="0" w:type="dxa"/>
              <w:left w:w="0" w:type="dxa"/>
              <w:bottom w:w="0" w:type="dxa"/>
              <w:right w:w="0" w:type="dxa"/>
            </w:tcMar>
            <w:vAlign w:val="center"/>
          </w:tcPr>
          <w:p>
            <w:pPr>
              <w:pStyle w:val="TableContents"/>
              <w:bidi w:val="0"/>
              <w:spacing w:lineRule="auto" w:line="319" w:before="0" w:after="283"/>
              <w:jc w:val="center"/>
              <w:rPr>
                <w:rFonts w:ascii="Times New Roman;serif" w:hAnsi="Times New Roman;serif"/>
                <w:b/>
                <w:color w:val="000000"/>
                <w:sz w:val="16"/>
              </w:rPr>
            </w:pPr>
            <w:r>
              <w:rPr>
                <w:rFonts w:ascii="Times New Roman;serif" w:hAnsi="Times New Roman;serif"/>
                <w:b/>
                <w:color w:val="000000"/>
                <w:sz w:val="16"/>
              </w:rPr>
              <w:t>Six Months Ended July 31,</w:t>
            </w:r>
          </w:p>
        </w:tc>
      </w:tr>
      <w:tr>
        <w:trPr/>
        <w:tc>
          <w:tcPr>
            <w:tcW w:w="3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19"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19"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19"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19" w:before="0" w:after="283"/>
              <w:jc w:val="center"/>
              <w:rPr>
                <w:rFonts w:ascii="Times New Roman;serif" w:hAnsi="Times New Roman;serif"/>
                <w:b/>
                <w:color w:val="000000"/>
                <w:sz w:val="16"/>
              </w:rPr>
            </w:pPr>
            <w:r>
              <w:rPr>
                <w:rFonts w:ascii="Times New Roman;serif" w:hAnsi="Times New Roman;serif"/>
                <w:b/>
                <w:color w:val="000000"/>
                <w:sz w:val="16"/>
              </w:rPr>
              <w:t>2026</w:t>
            </w:r>
          </w:p>
        </w:tc>
      </w:tr>
      <w:tr>
        <w:trPr/>
        <w:tc>
          <w:tcPr>
            <w:tcW w:w="3349" w:type="dxa"/>
            <w:gridSpan w:val="3"/>
            <w:tcBorders/>
            <w:shd w:fill="CCEEFF" w:val="clear"/>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color w:val="000000"/>
                <w:sz w:val="20"/>
              </w:rPr>
            </w:pPr>
            <w:r>
              <w:rPr>
                <w:rFonts w:ascii="Times New Roman;serif" w:hAnsi="Times New Roman;serif"/>
                <w:b/>
                <w:color w:val="000000"/>
                <w:sz w:val="20"/>
              </w:rPr>
              <w:t>Revenues</w:t>
            </w:r>
          </w:p>
        </w:tc>
        <w:tc>
          <w:tcPr>
            <w:tcW w:w="145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9" w:type="dxa"/>
            <w:gridSpan w:val="3"/>
            <w:tcBorders/>
            <w:shd w:fill="FFFFFF" w:val="clear"/>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20"/>
              </w:rPr>
            </w:pPr>
            <w:r>
              <w:rPr>
                <w:rFonts w:ascii="Times New Roman;serif" w:hAnsi="Times New Roman;serif"/>
                <w:b w:val="false"/>
                <w:color w:val="000000"/>
                <w:sz w:val="20"/>
              </w:rPr>
              <w:t>Subscription</w:t>
            </w:r>
          </w:p>
        </w:tc>
        <w:tc>
          <w:tcPr>
            <w:tcW w:w="241" w:type="dxa"/>
            <w:tcBorders/>
            <w:shd w:fill="FFFFFF" w:val="clear"/>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5" w:type="dxa"/>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130,752 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FFFFFF" w:val="clear"/>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5" w:type="dxa"/>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143,462 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FFFFFF" w:val="clear"/>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5" w:type="dxa"/>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256,340 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FFFFFF" w:val="clear"/>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5" w:type="dxa"/>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284,391 </w:t>
            </w:r>
          </w:p>
        </w:tc>
        <w:tc>
          <w:tcPr>
            <w:tcW w:w="3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9" w:type="dxa"/>
            <w:gridSpan w:val="3"/>
            <w:tcBorders/>
            <w:shd w:fill="CCEEFF" w:val="clear"/>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20"/>
              </w:rPr>
            </w:pPr>
            <w:r>
              <w:rPr>
                <w:rFonts w:ascii="Times New Roman;serif" w:hAnsi="Times New Roman;serif"/>
                <w:b w:val="false"/>
                <w:color w:val="000000"/>
                <w:sz w:val="20"/>
              </w:rPr>
              <w:t>Professional services and other</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18,063 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17,539 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36,612 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36,024 </w:t>
            </w:r>
          </w:p>
        </w:tc>
        <w:tc>
          <w:tcPr>
            <w:tcW w:w="3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9" w:type="dxa"/>
            <w:gridSpan w:val="3"/>
            <w:tcBorders/>
            <w:shd w:fill="FFFFFF" w:val="clear"/>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revenues</w:t>
            </w:r>
          </w:p>
        </w:tc>
        <w:tc>
          <w:tcPr>
            <w:tcW w:w="11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148,815 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161,001 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292,952 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320,415 </w:t>
            </w:r>
          </w:p>
        </w:tc>
        <w:tc>
          <w:tcPr>
            <w:tcW w:w="31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9" w:type="dxa"/>
            <w:gridSpan w:val="3"/>
            <w:tcBorders/>
            <w:shd w:fill="CCEEFF" w:val="clear"/>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color w:val="000000"/>
                <w:sz w:val="20"/>
              </w:rPr>
            </w:pPr>
            <w:r>
              <w:rPr>
                <w:rFonts w:ascii="Times New Roman;serif" w:hAnsi="Times New Roman;serif"/>
                <w:b/>
                <w:color w:val="000000"/>
                <w:sz w:val="20"/>
              </w:rPr>
              <w:t>Cost of revenues</w:t>
            </w:r>
          </w:p>
        </w:tc>
        <w:tc>
          <w:tcPr>
            <w:tcW w:w="14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9" w:type="dxa"/>
            <w:gridSpan w:val="3"/>
            <w:tcBorders/>
            <w:shd w:fill="FFFFFF" w:val="clear"/>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20"/>
              </w:rPr>
            </w:pPr>
            <w:r>
              <w:rPr>
                <w:rFonts w:ascii="Times New Roman;serif" w:hAnsi="Times New Roman;serif"/>
                <w:b w:val="false"/>
                <w:color w:val="000000"/>
                <w:sz w:val="20"/>
              </w:rPr>
              <w:t>Subscription</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37,992 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39,927 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74,117 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79,171 </w:t>
            </w:r>
          </w:p>
        </w:tc>
        <w:tc>
          <w:tcPr>
            <w:tcW w:w="3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9" w:type="dxa"/>
            <w:gridSpan w:val="3"/>
            <w:tcBorders/>
            <w:shd w:fill="CCEEFF" w:val="clear"/>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20"/>
              </w:rPr>
            </w:pPr>
            <w:r>
              <w:rPr>
                <w:rFonts w:ascii="Times New Roman;serif" w:hAnsi="Times New Roman;serif"/>
                <w:b w:val="false"/>
                <w:color w:val="000000"/>
                <w:sz w:val="20"/>
              </w:rPr>
              <w:t>Professional services and other</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22,698 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20,303 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44,268 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39,535 </w:t>
            </w:r>
          </w:p>
        </w:tc>
        <w:tc>
          <w:tcPr>
            <w:tcW w:w="3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9" w:type="dxa"/>
            <w:gridSpan w:val="3"/>
            <w:tcBorders/>
            <w:shd w:fill="FFFFFF" w:val="clear"/>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20"/>
              </w:rPr>
            </w:pPr>
            <w:r>
              <w:rPr>
                <w:rFonts w:ascii="Times New Roman;serif" w:hAnsi="Times New Roman;serif"/>
                <w:b w:val="false"/>
                <w:color w:val="000000"/>
                <w:sz w:val="20"/>
              </w:rPr>
              <w:t>Total cost of revenues</w:t>
            </w:r>
          </w:p>
        </w:tc>
        <w:tc>
          <w:tcPr>
            <w:tcW w:w="11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60,690 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60,230 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118,385 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118,706 </w:t>
            </w:r>
          </w:p>
        </w:tc>
        <w:tc>
          <w:tcPr>
            <w:tcW w:w="31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9" w:type="dxa"/>
            <w:gridSpan w:val="3"/>
            <w:tcBorders/>
            <w:shd w:fill="CCEEFF" w:val="clear"/>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color w:val="000000"/>
                <w:sz w:val="20"/>
              </w:rPr>
            </w:pPr>
            <w:r>
              <w:rPr>
                <w:rFonts w:ascii="Times New Roman;serif" w:hAnsi="Times New Roman;serif"/>
                <w:b/>
                <w:color w:val="000000"/>
                <w:sz w:val="20"/>
              </w:rPr>
              <w:t>Gross profit</w:t>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88,125 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100,771 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174,567 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201,709 </w:t>
            </w:r>
          </w:p>
        </w:tc>
        <w:tc>
          <w:tcPr>
            <w:tcW w:w="3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9" w:type="dxa"/>
            <w:gridSpan w:val="3"/>
            <w:tcBorders/>
            <w:shd w:fill="FFFFFF" w:val="clear"/>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color w:val="000000"/>
                <w:sz w:val="20"/>
              </w:rPr>
            </w:pPr>
            <w:r>
              <w:rPr>
                <w:rFonts w:ascii="Times New Roman;serif" w:hAnsi="Times New Roman;serif"/>
                <w:b/>
                <w:color w:val="000000"/>
                <w:sz w:val="20"/>
              </w:rPr>
              <w:t>Gross margin %</w:t>
            </w:r>
          </w:p>
        </w:tc>
        <w:tc>
          <w:tcPr>
            <w:tcW w:w="11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59 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63 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60 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63 </w:t>
            </w:r>
          </w:p>
        </w:tc>
        <w:tc>
          <w:tcPr>
            <w:tcW w:w="31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349" w:type="dxa"/>
            <w:gridSpan w:val="3"/>
            <w:tcBorders/>
            <w:shd w:fill="CCEEFF" w:val="clear"/>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color w:val="000000"/>
                <w:sz w:val="20"/>
              </w:rPr>
            </w:pPr>
            <w:r>
              <w:rPr>
                <w:rFonts w:ascii="Times New Roman;serif" w:hAnsi="Times New Roman;serif"/>
                <w:b/>
                <w:color w:val="000000"/>
                <w:sz w:val="20"/>
              </w:rPr>
              <w:t>Operating expenses</w:t>
            </w:r>
          </w:p>
        </w:tc>
        <w:tc>
          <w:tcPr>
            <w:tcW w:w="14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9" w:type="dxa"/>
            <w:gridSpan w:val="3"/>
            <w:tcBorders/>
            <w:shd w:fill="FFFFFF" w:val="clear"/>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20"/>
              </w:rPr>
            </w:pPr>
            <w:r>
              <w:rPr>
                <w:rFonts w:ascii="Times New Roman;serif" w:hAnsi="Times New Roman;serif"/>
                <w:b w:val="false"/>
                <w:color w:val="000000"/>
                <w:sz w:val="20"/>
              </w:rPr>
              <w:t>Sales and marketing</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37,265 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36,948 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70,236 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70,673 </w:t>
            </w:r>
          </w:p>
        </w:tc>
        <w:tc>
          <w:tcPr>
            <w:tcW w:w="3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9" w:type="dxa"/>
            <w:gridSpan w:val="3"/>
            <w:tcBorders/>
            <w:shd w:fill="CCEEFF" w:val="clear"/>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34,667 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31,030 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68,008 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59,895 </w:t>
            </w:r>
          </w:p>
        </w:tc>
        <w:tc>
          <w:tcPr>
            <w:tcW w:w="3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9" w:type="dxa"/>
            <w:gridSpan w:val="3"/>
            <w:tcBorders/>
            <w:shd w:fill="FFFFFF" w:val="clear"/>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25,489 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19,179 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47,132 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36,408 </w:t>
            </w:r>
          </w:p>
        </w:tc>
        <w:tc>
          <w:tcPr>
            <w:tcW w:w="3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9" w:type="dxa"/>
            <w:gridSpan w:val="3"/>
            <w:tcBorders/>
            <w:shd w:fill="CCEEFF" w:val="clear"/>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20"/>
              </w:rPr>
            </w:pPr>
            <w:r>
              <w:rPr>
                <w:rFonts w:ascii="Times New Roman;serif" w:hAnsi="Times New Roman;serif"/>
                <w:b w:val="false"/>
                <w:color w:val="000000"/>
                <w:sz w:val="20"/>
              </w:rPr>
              <w:t>Total operating expenses</w:t>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97,421 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87,157 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185,376 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166,976 </w:t>
            </w:r>
          </w:p>
        </w:tc>
        <w:tc>
          <w:tcPr>
            <w:tcW w:w="3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9" w:type="dxa"/>
            <w:gridSpan w:val="3"/>
            <w:tcBorders/>
            <w:shd w:fill="FFFFFF" w:val="clear"/>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color w:val="000000"/>
                <w:sz w:val="20"/>
              </w:rPr>
            </w:pPr>
            <w:r>
              <w:rPr>
                <w:rFonts w:ascii="Times New Roman;serif" w:hAnsi="Times New Roman;serif"/>
                <w:b/>
                <w:color w:val="000000"/>
                <w:sz w:val="20"/>
              </w:rPr>
              <w:t>Income (loss) from operations</w:t>
            </w:r>
          </w:p>
        </w:tc>
        <w:tc>
          <w:tcPr>
            <w:tcW w:w="11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(9,296)</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13,614 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(10,809)</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34,733 </w:t>
            </w:r>
          </w:p>
        </w:tc>
        <w:tc>
          <w:tcPr>
            <w:tcW w:w="31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9" w:type="dxa"/>
            <w:gridSpan w:val="3"/>
            <w:tcBorders/>
            <w:shd w:fill="CCEEFF" w:val="clear"/>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color w:val="000000"/>
                <w:sz w:val="20"/>
              </w:rPr>
            </w:pPr>
            <w:r>
              <w:rPr>
                <w:rFonts w:ascii="Times New Roman;serif" w:hAnsi="Times New Roman;serif"/>
                <w:b/>
                <w:color w:val="000000"/>
                <w:sz w:val="20"/>
              </w:rPr>
              <w:t>Non-operating income (expense)</w:t>
            </w:r>
          </w:p>
        </w:tc>
        <w:tc>
          <w:tcPr>
            <w:tcW w:w="145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9" w:type="dxa"/>
            <w:gridSpan w:val="3"/>
            <w:tcBorders/>
            <w:shd w:fill="FFFFFF" w:val="clear"/>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income</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513 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274 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930 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640 </w:t>
            </w:r>
          </w:p>
        </w:tc>
        <w:tc>
          <w:tcPr>
            <w:tcW w:w="3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9" w:type="dxa"/>
            <w:gridSpan w:val="3"/>
            <w:tcBorders/>
            <w:shd w:fill="CCEEFF" w:val="clear"/>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(4,444)</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(5,214)</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(8,894)</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(9,695)</w:t>
            </w:r>
          </w:p>
        </w:tc>
        <w:tc>
          <w:tcPr>
            <w:tcW w:w="3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9" w:type="dxa"/>
            <w:gridSpan w:val="3"/>
            <w:tcBorders/>
            <w:shd w:fill="FFFFFF" w:val="clear"/>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(expense), net</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717 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(750)</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16,814 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(1,083)</w:t>
            </w:r>
          </w:p>
        </w:tc>
        <w:tc>
          <w:tcPr>
            <w:tcW w:w="3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9" w:type="dxa"/>
            <w:gridSpan w:val="3"/>
            <w:tcBorders/>
            <w:shd w:fill="CCEEFF" w:val="clear"/>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color w:val="000000"/>
                <w:sz w:val="20"/>
              </w:rPr>
            </w:pPr>
            <w:r>
              <w:rPr>
                <w:rFonts w:ascii="Times New Roman;serif" w:hAnsi="Times New Roman;serif"/>
                <w:b/>
                <w:color w:val="000000"/>
                <w:sz w:val="20"/>
              </w:rPr>
              <w:t>Income (loss) before income taxes</w:t>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(12,510)</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7,924 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(1,959)</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24,595 </w:t>
            </w:r>
          </w:p>
        </w:tc>
        <w:tc>
          <w:tcPr>
            <w:tcW w:w="3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9" w:type="dxa"/>
            <w:gridSpan w:val="3"/>
            <w:tcBorders/>
            <w:shd w:fill="FFFFFF" w:val="clear"/>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provision</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1,209 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1,526 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5,743 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3,206 </w:t>
            </w:r>
          </w:p>
        </w:tc>
        <w:tc>
          <w:tcPr>
            <w:tcW w:w="3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9" w:type="dxa"/>
            <w:gridSpan w:val="3"/>
            <w:tcBorders/>
            <w:shd w:fill="CCEEFF" w:val="clear"/>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color w:val="000000"/>
                <w:sz w:val="20"/>
              </w:rPr>
            </w:pPr>
            <w:r>
              <w:rPr>
                <w:rFonts w:ascii="Times New Roman;serif" w:hAnsi="Times New Roman;serif"/>
                <w:b/>
                <w:color w:val="000000"/>
                <w:sz w:val="20"/>
              </w:rPr>
              <w:t>Net income (loss)</w:t>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(13,719)</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6,398 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(7,702)</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21,389 </w:t>
            </w:r>
          </w:p>
        </w:tc>
        <w:tc>
          <w:tcPr>
            <w:tcW w:w="3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9" w:type="dxa"/>
            <w:gridSpan w:val="3"/>
            <w:tcBorders/>
            <w:shd w:fill="FFFFFF" w:val="clear"/>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(loss) attributable to redeemable non-controlling interest</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(74)</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714 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1,361 </w:t>
            </w:r>
          </w:p>
        </w:tc>
        <w:tc>
          <w:tcPr>
            <w:tcW w:w="3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9" w:type="dxa"/>
            <w:gridSpan w:val="3"/>
            <w:tcBorders/>
            <w:shd w:fill="CCEEFF" w:val="clear"/>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20"/>
              </w:rPr>
            </w:pPr>
            <w:r>
              <w:rPr>
                <w:rFonts w:ascii="Times New Roman;serif" w:hAnsi="Times New Roman;serif"/>
                <w:b w:val="false"/>
                <w:color w:val="000000"/>
                <w:sz w:val="20"/>
              </w:rPr>
              <w:t>Adjustment attributable to redeemable non-controlling interest</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1,612 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603 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1,991 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1,306 </w:t>
            </w:r>
          </w:p>
        </w:tc>
        <w:tc>
          <w:tcPr>
            <w:tcW w:w="3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9" w:type="dxa"/>
            <w:gridSpan w:val="3"/>
            <w:tcBorders/>
            <w:shd w:fill="FFFFFF" w:val="clear"/>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color w:val="000000"/>
                <w:sz w:val="20"/>
              </w:rPr>
            </w:pPr>
            <w:r>
              <w:rPr>
                <w:rFonts w:ascii="Times New Roman;serif" w:hAnsi="Times New Roman;serif"/>
                <w:b/>
                <w:color w:val="000000"/>
                <w:sz w:val="20"/>
              </w:rPr>
              <w:t>Net income (loss) attributable to nCino, Inc.</w:t>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(15,257)</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5,081 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(9,695)</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18,722 </w:t>
            </w:r>
          </w:p>
        </w:tc>
        <w:tc>
          <w:tcPr>
            <w:tcW w:w="31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9" w:type="dxa"/>
            <w:gridSpan w:val="3"/>
            <w:tcBorders/>
            <w:shd w:fill="CCEEFF" w:val="clear"/>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color w:val="000000"/>
                <w:sz w:val="20"/>
              </w:rPr>
            </w:pPr>
            <w:r>
              <w:rPr>
                <w:rFonts w:ascii="Times New Roman;serif" w:hAnsi="Times New Roman;serif"/>
                <w:b/>
                <w:color w:val="000000"/>
                <w:sz w:val="20"/>
              </w:rPr>
              <w:t>Net income (loss) per share attributable to nCino, Inc.:</w:t>
            </w:r>
          </w:p>
        </w:tc>
        <w:tc>
          <w:tcPr>
            <w:tcW w:w="145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9" w:type="dxa"/>
            <w:gridSpan w:val="3"/>
            <w:tcBorders/>
            <w:shd w:fill="FFFFFF" w:val="clear"/>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20"/>
              </w:rPr>
            </w:pPr>
            <w:r>
              <w:rPr>
                <w:rFonts w:ascii="Times New Roman;serif" w:hAnsi="Times New Roman;serif"/>
                <w:b w:val="false"/>
                <w:color w:val="000000"/>
                <w:sz w:val="20"/>
              </w:rPr>
              <w:t>Basic</w:t>
            </w:r>
          </w:p>
        </w:tc>
        <w:tc>
          <w:tcPr>
            <w:tcW w:w="241" w:type="dxa"/>
            <w:tcBorders/>
            <w:shd w:fill="FFFFFF" w:val="clear"/>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5" w:type="dxa"/>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(0.13)</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FFFFFF" w:val="clear"/>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5" w:type="dxa"/>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0.05 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FFFFFF" w:val="clear"/>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5" w:type="dxa"/>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(0.08)</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FFFFFF" w:val="clear"/>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5" w:type="dxa"/>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0.18 </w:t>
            </w:r>
          </w:p>
        </w:tc>
        <w:tc>
          <w:tcPr>
            <w:tcW w:w="3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9" w:type="dxa"/>
            <w:gridSpan w:val="3"/>
            <w:tcBorders/>
            <w:shd w:fill="CCEEFF" w:val="clear"/>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20"/>
              </w:rPr>
            </w:pPr>
            <w:r>
              <w:rPr>
                <w:rFonts w:ascii="Times New Roman;serif" w:hAnsi="Times New Roman;serif"/>
                <w:b w:val="false"/>
                <w:color w:val="000000"/>
                <w:sz w:val="20"/>
              </w:rPr>
              <w:t>Diluted</w:t>
            </w:r>
          </w:p>
        </w:tc>
        <w:tc>
          <w:tcPr>
            <w:tcW w:w="24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5"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(0.13)</w:t>
            </w:r>
          </w:p>
        </w:tc>
        <w:tc>
          <w:tcPr>
            <w:tcW w:w="271"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5"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0.05 </w:t>
            </w:r>
          </w:p>
        </w:tc>
        <w:tc>
          <w:tcPr>
            <w:tcW w:w="271"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5"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(0.08)</w:t>
            </w:r>
          </w:p>
        </w:tc>
        <w:tc>
          <w:tcPr>
            <w:tcW w:w="271"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5"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0.18 </w:t>
            </w:r>
          </w:p>
        </w:tc>
        <w:tc>
          <w:tcPr>
            <w:tcW w:w="318"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9" w:type="dxa"/>
            <w:gridSpan w:val="3"/>
            <w:tcBorders/>
            <w:shd w:fill="FFFFFF" w:val="clear"/>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color w:val="000000"/>
                <w:sz w:val="20"/>
              </w:rPr>
            </w:pPr>
            <w:r>
              <w:rPr>
                <w:rFonts w:ascii="Times New Roman;serif" w:hAnsi="Times New Roman;serif"/>
                <w:b/>
                <w:color w:val="000000"/>
                <w:sz w:val="20"/>
              </w:rPr>
              <w:t>Weighted average number of common shares outstanding:</w:t>
            </w:r>
          </w:p>
        </w:tc>
        <w:tc>
          <w:tcPr>
            <w:tcW w:w="145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9" w:type="dxa"/>
            <w:gridSpan w:val="3"/>
            <w:tcBorders/>
            <w:shd w:fill="CCEEFF" w:val="clear"/>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20"/>
              </w:rPr>
            </w:pPr>
            <w:r>
              <w:rPr>
                <w:rFonts w:ascii="Times New Roman;serif" w:hAnsi="Times New Roman;serif"/>
                <w:b w:val="false"/>
                <w:color w:val="000000"/>
                <w:sz w:val="20"/>
              </w:rPr>
              <w:t>Basic</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115,256,497 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104,885,480 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114,657,339 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104,350,762 </w:t>
            </w:r>
          </w:p>
        </w:tc>
        <w:tc>
          <w:tcPr>
            <w:tcW w:w="3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9" w:type="dxa"/>
            <w:gridSpan w:val="3"/>
            <w:tcBorders/>
            <w:shd w:fill="FFFFFF" w:val="clear"/>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20"/>
              </w:rPr>
            </w:pPr>
            <w:r>
              <w:rPr>
                <w:rFonts w:ascii="Times New Roman;serif" w:hAnsi="Times New Roman;serif"/>
                <w:b w:val="false"/>
                <w:color w:val="000000"/>
                <w:sz w:val="20"/>
              </w:rPr>
              <w:t>Diluted</w:t>
            </w:r>
          </w:p>
        </w:tc>
        <w:tc>
          <w:tcPr>
            <w:tcW w:w="1186" w:type="dxa"/>
            <w:gridSpan w:val="2"/>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115,256,497 </w:t>
            </w:r>
          </w:p>
        </w:tc>
        <w:tc>
          <w:tcPr>
            <w:tcW w:w="271"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105,361,192 </w:t>
            </w:r>
          </w:p>
        </w:tc>
        <w:tc>
          <w:tcPr>
            <w:tcW w:w="271"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114,657,339 </w:t>
            </w:r>
          </w:p>
        </w:tc>
        <w:tc>
          <w:tcPr>
            <w:tcW w:w="271"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105,066,581 </w:t>
            </w:r>
          </w:p>
        </w:tc>
        <w:tc>
          <w:tcPr>
            <w:tcW w:w="318"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nCino, Inc.</w:t>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75260"/>
                <wp:effectExtent l="0" t="0" r="0" b="0"/>
                <wp:wrapNone/>
                <wp:docPr id="10" name="Frame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203.1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CONDENSED CONSOLIDATED STATEMENTS OF CASH FLOWS</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(In thousands)</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(Unaudited)</w:t>
      </w:r>
    </w:p>
    <w:tbl>
      <w:tblPr>
        <w:tblW w:w="9158" w:type="dxa"/>
        <w:jc w:val="left"/>
        <w:tblInd w:w="0" w:type="dxa"/>
        <w:tblLayout w:type="fixed"/>
        <w:tblCellMar>
          <w:top w:w="28" w:type="dxa"/>
          <w:left w:w="28" w:type="dxa"/>
          <w:bottom w:w="28" w:type="dxa"/>
          <w:right w:w="28" w:type="dxa"/>
        </w:tblCellMar>
      </w:tblPr>
      <w:tblGrid>
        <w:gridCol w:w="2463"/>
        <w:gridCol w:w="2157"/>
        <w:gridCol w:w="2174"/>
        <w:gridCol w:w="196"/>
        <w:gridCol w:w="736"/>
        <w:gridCol w:w="109"/>
        <w:gridCol w:w="109"/>
        <w:gridCol w:w="109"/>
        <w:gridCol w:w="109"/>
        <w:gridCol w:w="196"/>
        <w:gridCol w:w="646"/>
        <w:gridCol w:w="154"/>
      </w:tblGrid>
      <w:tr>
        <w:trPr/>
        <w:tc>
          <w:tcPr>
            <w:tcW w:w="2463" w:type="dxa"/>
            <w:tcBorders/>
            <w:vAlign w:val="center"/>
          </w:tcPr>
          <w:p>
            <w:pPr>
              <w:pStyle w:val="TableContents"/>
              <w:bidi w:val="0"/>
              <w:spacing w:before="0" w:after="283"/>
              <w:jc w:val="left"/>
              <w:rPr>
                <w:sz w:val="4"/>
                <w:szCs w:val="4"/>
              </w:rPr>
            </w:pPr>
            <w:r>
              <w:rPr>
                <w:sz w:val="4"/>
                <w:szCs w:val="4"/>
              </w:rPr>
            </w:r>
          </w:p>
        </w:tc>
        <w:tc>
          <w:tcPr>
            <w:tcW w:w="2157" w:type="dxa"/>
            <w:tcBorders/>
            <w:vAlign w:val="center"/>
          </w:tcPr>
          <w:p>
            <w:pPr>
              <w:pStyle w:val="TableContents"/>
              <w:bidi w:val="0"/>
              <w:spacing w:before="0" w:after="283"/>
              <w:jc w:val="left"/>
              <w:rPr>
                <w:sz w:val="4"/>
                <w:szCs w:val="4"/>
              </w:rPr>
            </w:pPr>
            <w:r>
              <w:rPr>
                <w:sz w:val="4"/>
                <w:szCs w:val="4"/>
              </w:rPr>
            </w:r>
          </w:p>
        </w:tc>
        <w:tc>
          <w:tcPr>
            <w:tcW w:w="2174"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4" w:type="dxa"/>
            <w:gridSpan w:val="9"/>
            <w:tcBorders/>
            <w:tcMar>
              <w:top w:w="0" w:type="dxa"/>
              <w:left w:w="0" w:type="dxa"/>
              <w:bottom w:w="0" w:type="dxa"/>
              <w:right w:w="0" w:type="dxa"/>
            </w:tcMar>
            <w:vAlign w:val="center"/>
          </w:tcPr>
          <w:p>
            <w:pPr>
              <w:pStyle w:val="TableContents"/>
              <w:bidi w:val="0"/>
              <w:spacing w:lineRule="auto" w:line="319" w:before="0" w:after="283"/>
              <w:jc w:val="center"/>
              <w:rPr>
                <w:rFonts w:ascii="Times New Roman;serif" w:hAnsi="Times New Roman;serif"/>
                <w:b/>
                <w:color w:val="000000"/>
                <w:sz w:val="16"/>
              </w:rPr>
            </w:pPr>
            <w:r>
              <w:rPr>
                <w:rFonts w:ascii="Times New Roman;serif" w:hAnsi="Times New Roman;serif"/>
                <w:b/>
                <w:color w:val="000000"/>
                <w:sz w:val="16"/>
              </w:rPr>
              <w:t>Six Months Ended July 31,</w:t>
            </w:r>
          </w:p>
        </w:tc>
      </w:tr>
      <w:tr>
        <w:trPr/>
        <w:tc>
          <w:tcPr>
            <w:tcW w:w="67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19"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19" w:before="0" w:after="283"/>
              <w:jc w:val="center"/>
              <w:rPr>
                <w:rFonts w:ascii="Times New Roman;serif" w:hAnsi="Times New Roman;serif"/>
                <w:b/>
                <w:color w:val="000000"/>
                <w:sz w:val="16"/>
              </w:rPr>
            </w:pPr>
            <w:r>
              <w:rPr>
                <w:rFonts w:ascii="Times New Roman;serif" w:hAnsi="Times New Roman;serif"/>
                <w:b/>
                <w:color w:val="000000"/>
                <w:sz w:val="16"/>
              </w:rPr>
              <w:t>2026</w:t>
            </w:r>
          </w:p>
        </w:tc>
      </w:tr>
      <w:tr>
        <w:trPr/>
        <w:tc>
          <w:tcPr>
            <w:tcW w:w="6794" w:type="dxa"/>
            <w:gridSpan w:val="3"/>
            <w:tcBorders/>
            <w:shd w:fill="CCEEFF" w:val="clear"/>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18"/>
              </w:rPr>
            </w:pPr>
            <w:r>
              <w:rPr>
                <w:rFonts w:ascii="Times New Roman;serif" w:hAnsi="Times New Roman;serif"/>
                <w:b w:val="false"/>
                <w:color w:val="000000"/>
                <w:sz w:val="18"/>
              </w:rPr>
              <w:t>Cash flows from operating activities</w:t>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 (loss) attributable to nCino, Inc.</w:t>
            </w:r>
          </w:p>
        </w:tc>
        <w:tc>
          <w:tcPr>
            <w:tcW w:w="196" w:type="dxa"/>
            <w:tcBorders/>
            <w:shd w:fill="FFFFFF" w:val="clear"/>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18"/>
              </w:rPr>
            </w:pPr>
            <w:r>
              <w:rPr>
                <w:rFonts w:ascii="Times New Roman;serif" w:hAnsi="Times New Roman;serif"/>
                <w:b w:val="false"/>
                <w:color w:val="000000"/>
                <w:sz w:val="18"/>
              </w:rPr>
              <w:t>(9,695)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18"/>
              </w:rPr>
            </w:pPr>
            <w:r>
              <w:rPr>
                <w:rFonts w:ascii="Times New Roman;serif" w:hAnsi="Times New Roman;serif"/>
                <w:b w:val="false"/>
                <w:color w:val="000000"/>
                <w:sz w:val="18"/>
              </w:rPr>
              <w:t>18,722 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4" w:type="dxa"/>
            <w:gridSpan w:val="3"/>
            <w:tcBorders/>
            <w:shd w:fill="CCEEFF" w:val="clear"/>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 and adjustment attributable to redeemable non-controlling interest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18"/>
              </w:rPr>
            </w:pPr>
            <w:r>
              <w:rPr>
                <w:rFonts w:ascii="Times New Roman;serif" w:hAnsi="Times New Roman;serif"/>
                <w:b w:val="false"/>
                <w:color w:val="000000"/>
                <w:sz w:val="18"/>
              </w:rPr>
              <w:t>1,993 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18"/>
              </w:rPr>
            </w:pPr>
            <w:r>
              <w:rPr>
                <w:rFonts w:ascii="Times New Roman;serif" w:hAnsi="Times New Roman;serif"/>
                <w:b w:val="false"/>
                <w:color w:val="000000"/>
                <w:sz w:val="18"/>
              </w:rPr>
              <w:t>2,667 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 (loss)</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18"/>
              </w:rPr>
            </w:pPr>
            <w:r>
              <w:rPr>
                <w:rFonts w:ascii="Times New Roman;serif" w:hAnsi="Times New Roman;serif"/>
                <w:b w:val="false"/>
                <w:color w:val="000000"/>
                <w:sz w:val="18"/>
              </w:rPr>
              <w:t>(7,702)</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18"/>
              </w:rPr>
            </w:pPr>
            <w:r>
              <w:rPr>
                <w:rFonts w:ascii="Times New Roman;serif" w:hAnsi="Times New Roman;serif"/>
                <w:b w:val="false"/>
                <w:color w:val="000000"/>
                <w:sz w:val="18"/>
              </w:rPr>
              <w:t>21,389 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4" w:type="dxa"/>
            <w:gridSpan w:val="3"/>
            <w:tcBorders/>
            <w:shd w:fill="CCEEFF" w:val="clear"/>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18"/>
              </w:rPr>
            </w:pPr>
            <w:r>
              <w:rPr>
                <w:rFonts w:ascii="Times New Roman;serif" w:hAnsi="Times New Roman;serif"/>
                <w:b w:val="false"/>
                <w:color w:val="000000"/>
                <w:sz w:val="18"/>
              </w:rPr>
              <w:t>Adjustments to reconcile net income (loss) to net cash provided by operating activities:</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4" w:type="dxa"/>
            <w:gridSpan w:val="3"/>
            <w:tcBorders/>
            <w:shd w:fill="FFFFFF" w:val="clear"/>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18"/>
              </w:rPr>
            </w:pPr>
            <w:r>
              <w:rPr>
                <w:rFonts w:ascii="Times New Roman;serif" w:hAnsi="Times New Roman;serif"/>
                <w:b w:val="false"/>
                <w:color w:val="000000"/>
                <w:sz w:val="18"/>
              </w:rPr>
              <w:t>Depreciation and amortization</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18"/>
              </w:rPr>
            </w:pPr>
            <w:r>
              <w:rPr>
                <w:rFonts w:ascii="Times New Roman;serif" w:hAnsi="Times New Roman;serif"/>
                <w:b w:val="false"/>
                <w:color w:val="000000"/>
                <w:sz w:val="18"/>
              </w:rPr>
              <w:t>21,407 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18"/>
              </w:rPr>
            </w:pPr>
            <w:r>
              <w:rPr>
                <w:rFonts w:ascii="Times New Roman;serif" w:hAnsi="Times New Roman;serif"/>
                <w:b w:val="false"/>
                <w:color w:val="000000"/>
                <w:sz w:val="18"/>
              </w:rPr>
              <w:t>20,139 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4" w:type="dxa"/>
            <w:gridSpan w:val="3"/>
            <w:tcBorders/>
            <w:shd w:fill="CCEEFF" w:val="clear"/>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18"/>
              </w:rPr>
            </w:pPr>
            <w:r>
              <w:rPr>
                <w:rFonts w:ascii="Times New Roman;serif" w:hAnsi="Times New Roman;serif"/>
                <w:b w:val="false"/>
                <w:color w:val="000000"/>
                <w:sz w:val="18"/>
              </w:rPr>
              <w:t>Non-cash operating lease costs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18"/>
              </w:rPr>
            </w:pPr>
            <w:r>
              <w:rPr>
                <w:rFonts w:ascii="Times New Roman;serif" w:hAnsi="Times New Roman;serif"/>
                <w:b w:val="false"/>
                <w:color w:val="000000"/>
                <w:sz w:val="18"/>
              </w:rPr>
              <w:t>2,273 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18"/>
              </w:rPr>
            </w:pPr>
            <w:r>
              <w:rPr>
                <w:rFonts w:ascii="Times New Roman;serif" w:hAnsi="Times New Roman;serif"/>
                <w:b w:val="false"/>
                <w:color w:val="000000"/>
                <w:sz w:val="18"/>
              </w:rPr>
              <w:t>1,818 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4" w:type="dxa"/>
            <w:gridSpan w:val="3"/>
            <w:tcBorders/>
            <w:shd w:fill="FFFFFF" w:val="clear"/>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18"/>
              </w:rPr>
            </w:pPr>
            <w:r>
              <w:rPr>
                <w:rFonts w:ascii="Times New Roman;serif" w:hAnsi="Times New Roman;serif"/>
                <w:b w:val="false"/>
                <w:color w:val="000000"/>
                <w:sz w:val="18"/>
              </w:rPr>
              <w:t>Amortization of costs capitalized to obtain revenue contracts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18"/>
              </w:rPr>
            </w:pPr>
            <w:r>
              <w:rPr>
                <w:rFonts w:ascii="Times New Roman;serif" w:hAnsi="Times New Roman;serif"/>
                <w:b w:val="false"/>
                <w:color w:val="000000"/>
                <w:sz w:val="18"/>
              </w:rPr>
              <w:t>7,230 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18"/>
              </w:rPr>
            </w:pPr>
            <w:r>
              <w:rPr>
                <w:rFonts w:ascii="Times New Roman;serif" w:hAnsi="Times New Roman;serif"/>
                <w:b w:val="false"/>
                <w:color w:val="000000"/>
                <w:sz w:val="18"/>
              </w:rPr>
              <w:t>9,276 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4" w:type="dxa"/>
            <w:gridSpan w:val="3"/>
            <w:tcBorders/>
            <w:shd w:fill="CCEEFF" w:val="clear"/>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18"/>
              </w:rPr>
            </w:pPr>
            <w:r>
              <w:rPr>
                <w:rFonts w:ascii="Times New Roman;serif" w:hAnsi="Times New Roman;serif"/>
                <w:b w:val="false"/>
                <w:color w:val="000000"/>
                <w:sz w:val="18"/>
              </w:rPr>
              <w:t>Amortization of debt issuance costs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18"/>
              </w:rPr>
            </w:pPr>
            <w:r>
              <w:rPr>
                <w:rFonts w:ascii="Times New Roman;serif" w:hAnsi="Times New Roman;serif"/>
                <w:b w:val="false"/>
                <w:color w:val="000000"/>
                <w:sz w:val="18"/>
              </w:rPr>
              <w:t>144 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18"/>
              </w:rPr>
            </w:pPr>
            <w:r>
              <w:rPr>
                <w:rFonts w:ascii="Times New Roman;serif" w:hAnsi="Times New Roman;serif"/>
                <w:b w:val="false"/>
                <w:color w:val="000000"/>
                <w:sz w:val="18"/>
              </w:rPr>
              <w:t>209 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4" w:type="dxa"/>
            <w:gridSpan w:val="3"/>
            <w:tcBorders/>
            <w:shd w:fill="FFFFFF" w:val="clear"/>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18"/>
              </w:rPr>
            </w:pPr>
            <w:r>
              <w:rPr>
                <w:rFonts w:ascii="Times New Roman;serif" w:hAnsi="Times New Roman;serif"/>
                <w:b w:val="false"/>
                <w:color w:val="000000"/>
                <w:sz w:val="18"/>
              </w:rPr>
              <w:t>Stock-based compensation</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18"/>
              </w:rPr>
            </w:pPr>
            <w:r>
              <w:rPr>
                <w:rFonts w:ascii="Times New Roman;serif" w:hAnsi="Times New Roman;serif"/>
                <w:b w:val="false"/>
                <w:color w:val="000000"/>
                <w:sz w:val="18"/>
              </w:rPr>
              <w:t>34,430 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18"/>
              </w:rPr>
            </w:pPr>
            <w:r>
              <w:rPr>
                <w:rFonts w:ascii="Times New Roman;serif" w:hAnsi="Times New Roman;serif"/>
                <w:b w:val="false"/>
                <w:color w:val="000000"/>
                <w:sz w:val="18"/>
              </w:rPr>
              <w:t>31,906 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4" w:type="dxa"/>
            <w:gridSpan w:val="3"/>
            <w:tcBorders/>
            <w:shd w:fill="CCEEFF" w:val="clear"/>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18"/>
              </w:rPr>
            </w:pPr>
            <w:r>
              <w:rPr>
                <w:rFonts w:ascii="Times New Roman;serif" w:hAnsi="Times New Roman;serif"/>
                <w:b w:val="false"/>
                <w:color w:val="000000"/>
                <w:sz w:val="18"/>
              </w:rPr>
              <w:t>Change in fair value of contingent consideration</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18"/>
              </w:rPr>
            </w:pPr>
            <w:r>
              <w:rPr>
                <w:rFonts w:ascii="Times New Roman;serif" w:hAnsi="Times New Roman;serif"/>
                <w:b w:val="false"/>
                <w:color w:val="000000"/>
                <w:sz w:val="18"/>
              </w:rPr>
              <w:t>300 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18"/>
              </w:rPr>
            </w:pPr>
            <w:r>
              <w:rPr>
                <w:rFonts w:ascii="Times New Roman;serif" w:hAnsi="Times New Roman;serif"/>
                <w:b w:val="false"/>
                <w:color w:val="000000"/>
                <w:sz w:val="18"/>
              </w:rPr>
              <w:t>300 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4" w:type="dxa"/>
            <w:gridSpan w:val="3"/>
            <w:tcBorders/>
            <w:shd w:fill="FFFFFF" w:val="clear"/>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18"/>
              </w:rPr>
            </w:pPr>
            <w:r>
              <w:rPr>
                <w:rFonts w:ascii="Times New Roman;serif" w:hAnsi="Times New Roman;serif"/>
                <w:b w:val="false"/>
                <w:color w:val="000000"/>
                <w:sz w:val="18"/>
              </w:rPr>
              <w:t>Deferred income taxes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18"/>
              </w:rPr>
            </w:pPr>
            <w:r>
              <w:rPr>
                <w:rFonts w:ascii="Times New Roman;serif" w:hAnsi="Times New Roman;serif"/>
                <w:b w:val="false"/>
                <w:color w:val="000000"/>
                <w:sz w:val="18"/>
              </w:rPr>
              <w:t>4,003 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18"/>
              </w:rPr>
            </w:pPr>
            <w:r>
              <w:rPr>
                <w:rFonts w:ascii="Times New Roman;serif" w:hAnsi="Times New Roman;serif"/>
                <w:b w:val="false"/>
                <w:color w:val="000000"/>
                <w:sz w:val="18"/>
              </w:rPr>
              <w:t>1,329 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4" w:type="dxa"/>
            <w:gridSpan w:val="3"/>
            <w:tcBorders/>
            <w:shd w:fill="CCEEFF" w:val="clear"/>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18"/>
              </w:rPr>
            </w:pPr>
            <w:r>
              <w:rPr>
                <w:rFonts w:ascii="Times New Roman;serif" w:hAnsi="Times New Roman;serif"/>
                <w:b w:val="false"/>
                <w:color w:val="000000"/>
                <w:sz w:val="18"/>
              </w:rPr>
              <w:t>Provision for bad debt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18"/>
              </w:rPr>
            </w:pPr>
            <w:r>
              <w:rPr>
                <w:rFonts w:ascii="Times New Roman;serif" w:hAnsi="Times New Roman;serif"/>
                <w:b w:val="false"/>
                <w:color w:val="000000"/>
                <w:sz w:val="18"/>
              </w:rPr>
              <w:t>153 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18"/>
              </w:rPr>
            </w:pPr>
            <w:r>
              <w:rPr>
                <w:rFonts w:ascii="Times New Roman;serif" w:hAnsi="Times New Roman;serif"/>
                <w:b w:val="false"/>
                <w:color w:val="000000"/>
                <w:sz w:val="18"/>
              </w:rPr>
              <w:t>193 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4" w:type="dxa"/>
            <w:gridSpan w:val="3"/>
            <w:tcBorders/>
            <w:shd w:fill="FFFFFF" w:val="clear"/>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18"/>
              </w:rPr>
            </w:pPr>
            <w:r>
              <w:rPr>
                <w:rFonts w:ascii="Times New Roman;serif" w:hAnsi="Times New Roman;serif"/>
                <w:b w:val="false"/>
                <w:color w:val="000000"/>
                <w:sz w:val="18"/>
              </w:rPr>
              <w:t>Net foreign currency losses (gains)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18"/>
              </w:rPr>
            </w:pPr>
            <w:r>
              <w:rPr>
                <w:rFonts w:ascii="Times New Roman;serif" w:hAnsi="Times New Roman;serif"/>
                <w:b w:val="false"/>
                <w:color w:val="000000"/>
                <w:sz w:val="18"/>
              </w:rPr>
              <w:t>(14,018)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18"/>
              </w:rPr>
            </w:pPr>
            <w:r>
              <w:rPr>
                <w:rFonts w:ascii="Times New Roman;serif" w:hAnsi="Times New Roman;serif"/>
                <w:b w:val="false"/>
                <w:color w:val="000000"/>
                <w:sz w:val="18"/>
              </w:rPr>
              <w:t>238 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4" w:type="dxa"/>
            <w:gridSpan w:val="3"/>
            <w:tcBorders/>
            <w:shd w:fill="CCEEFF" w:val="clear"/>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18"/>
              </w:rPr>
            </w:pPr>
            <w:r>
              <w:rPr>
                <w:rFonts w:ascii="Times New Roman;serif" w:hAnsi="Times New Roman;serif"/>
                <w:b w:val="false"/>
                <w:color w:val="000000"/>
                <w:sz w:val="18"/>
              </w:rPr>
              <w:t>Gains on investments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18"/>
              </w:rPr>
            </w:pPr>
            <w:r>
              <w:rPr>
                <w:rFonts w:ascii="Times New Roman;serif" w:hAnsi="Times New Roman;serif"/>
                <w:b w:val="false"/>
                <w:color w:val="000000"/>
                <w:sz w:val="18"/>
              </w:rPr>
              <w:t>(1,652)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319"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4" w:type="dxa"/>
            <w:gridSpan w:val="3"/>
            <w:tcBorders/>
            <w:shd w:fill="FFFFFF" w:val="clear"/>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18"/>
              </w:rPr>
            </w:pPr>
            <w:r>
              <w:rPr>
                <w:rFonts w:ascii="Times New Roman;serif" w:hAnsi="Times New Roman;serif"/>
                <w:b w:val="false"/>
                <w:color w:val="000000"/>
                <w:sz w:val="18"/>
              </w:rPr>
              <w:t>Loss on disposal of long-lived assets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18"/>
              </w:rPr>
            </w:pPr>
            <w:r>
              <w:rPr>
                <w:rFonts w:ascii="Times New Roman;serif" w:hAnsi="Times New Roman;serif"/>
                <w:b w:val="false"/>
                <w:color w:val="000000"/>
                <w:sz w:val="18"/>
              </w:rPr>
              <w:t>463 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18"/>
              </w:rPr>
            </w:pPr>
            <w:r>
              <w:rPr>
                <w:rFonts w:ascii="Times New Roman;serif" w:hAnsi="Times New Roman;serif"/>
                <w:b w:val="false"/>
                <w:color w:val="000000"/>
                <w:sz w:val="18"/>
              </w:rPr>
              <w:t>91 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4" w:type="dxa"/>
            <w:gridSpan w:val="3"/>
            <w:tcBorders/>
            <w:shd w:fill="CCEEFF" w:val="clear"/>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18"/>
              </w:rPr>
            </w:pPr>
            <w:r>
              <w:rPr>
                <w:rFonts w:ascii="Times New Roman;serif" w:hAnsi="Times New Roman;serif"/>
                <w:b w:val="false"/>
                <w:color w:val="000000"/>
                <w:sz w:val="18"/>
              </w:rPr>
              <w:t>Change in operating assets and liabilities:</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Accounts receivable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18"/>
              </w:rPr>
            </w:pPr>
            <w:r>
              <w:rPr>
                <w:rFonts w:ascii="Times New Roman;serif" w:hAnsi="Times New Roman;serif"/>
                <w:b w:val="false"/>
                <w:color w:val="000000"/>
                <w:sz w:val="18"/>
              </w:rPr>
              <w:t>51,837 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18"/>
              </w:rPr>
            </w:pPr>
            <w:r>
              <w:rPr>
                <w:rFonts w:ascii="Times New Roman;serif" w:hAnsi="Times New Roman;serif"/>
                <w:b w:val="false"/>
                <w:color w:val="000000"/>
                <w:sz w:val="18"/>
              </w:rPr>
              <w:t>42,920 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4"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6794" w:type="dxa"/>
            <w:gridSpan w:val="3"/>
            <w:tcBorders/>
            <w:shd w:fill="CCEEFF" w:val="clear"/>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18"/>
              </w:rPr>
            </w:pPr>
            <w:r>
              <w:rPr>
                <w:rFonts w:ascii="Times New Roman;serif" w:hAnsi="Times New Roman;serif"/>
                <w:b w:val="false"/>
                <w:color w:val="000000"/>
                <w:sz w:val="18"/>
              </w:rPr>
              <w:t>Costs capitalized to obtain revenue contracts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18"/>
              </w:rPr>
            </w:pPr>
            <w:r>
              <w:rPr>
                <w:rFonts w:ascii="Times New Roman;serif" w:hAnsi="Times New Roman;serif"/>
                <w:b w:val="false"/>
                <w:color w:val="000000"/>
                <w:sz w:val="18"/>
              </w:rPr>
              <w:t>(6,639)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18"/>
              </w:rPr>
            </w:pPr>
            <w:r>
              <w:rPr>
                <w:rFonts w:ascii="Times New Roman;serif" w:hAnsi="Times New Roman;serif"/>
                <w:b w:val="false"/>
                <w:color w:val="000000"/>
                <w:sz w:val="18"/>
              </w:rPr>
              <w:t>(8,357)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Prepaid expenses and other assets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18"/>
              </w:rPr>
            </w:pPr>
            <w:r>
              <w:rPr>
                <w:rFonts w:ascii="Times New Roman;serif" w:hAnsi="Times New Roman;serif"/>
                <w:b w:val="false"/>
                <w:color w:val="000000"/>
                <w:sz w:val="18"/>
              </w:rPr>
              <w:t>1,629 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18"/>
              </w:rPr>
            </w:pPr>
            <w:r>
              <w:rPr>
                <w:rFonts w:ascii="Times New Roman;serif" w:hAnsi="Times New Roman;serif"/>
                <w:b w:val="false"/>
                <w:color w:val="000000"/>
                <w:sz w:val="18"/>
              </w:rPr>
              <w:t>1,600 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Accounts payable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18"/>
              </w:rPr>
            </w:pPr>
            <w:r>
              <w:rPr>
                <w:rFonts w:ascii="Times New Roman;serif" w:hAnsi="Times New Roman;serif"/>
                <w:b w:val="false"/>
                <w:color w:val="000000"/>
                <w:sz w:val="18"/>
              </w:rPr>
              <w:t>660 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18"/>
              </w:rPr>
            </w:pPr>
            <w:r>
              <w:rPr>
                <w:rFonts w:ascii="Times New Roman;serif" w:hAnsi="Times New Roman;serif"/>
                <w:b w:val="false"/>
                <w:color w:val="000000"/>
                <w:sz w:val="18"/>
              </w:rPr>
              <w:t>336 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4"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679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Accrued expenses and other liabilities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18"/>
              </w:rPr>
            </w:pPr>
            <w:r>
              <w:rPr>
                <w:rFonts w:ascii="Times New Roman;serif" w:hAnsi="Times New Roman;serif"/>
                <w:b w:val="false"/>
                <w:color w:val="000000"/>
                <w:sz w:val="18"/>
              </w:rPr>
              <w:t>(16,368)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18"/>
              </w:rPr>
            </w:pPr>
            <w:r>
              <w:rPr>
                <w:rFonts w:ascii="Times New Roman;serif" w:hAnsi="Times New Roman;serif"/>
                <w:b w:val="false"/>
                <w:color w:val="000000"/>
                <w:sz w:val="18"/>
              </w:rPr>
              <w:t>(17,942)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4"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679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Deferred revenue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18"/>
              </w:rPr>
            </w:pPr>
            <w:r>
              <w:rPr>
                <w:rFonts w:ascii="Times New Roman;serif" w:hAnsi="Times New Roman;serif"/>
                <w:b w:val="false"/>
                <w:color w:val="000000"/>
                <w:sz w:val="18"/>
              </w:rPr>
              <w:t>(3,411)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18"/>
              </w:rPr>
            </w:pPr>
            <w:r>
              <w:rPr>
                <w:rFonts w:ascii="Times New Roman;serif" w:hAnsi="Times New Roman;serif"/>
                <w:b w:val="false"/>
                <w:color w:val="000000"/>
                <w:sz w:val="18"/>
              </w:rPr>
              <w:t>11,996 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4"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6794" w:type="dxa"/>
            <w:gridSpan w:val="3"/>
            <w:tcBorders/>
            <w:shd w:fill="FFFFFF" w:val="clear"/>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lease liabilities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18"/>
              </w:rPr>
            </w:pPr>
            <w:r>
              <w:rPr>
                <w:rFonts w:ascii="Times New Roman;serif" w:hAnsi="Times New Roman;serif"/>
                <w:b w:val="false"/>
                <w:color w:val="000000"/>
                <w:sz w:val="18"/>
              </w:rPr>
              <w:t>(2,606)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18"/>
              </w:rPr>
            </w:pPr>
            <w:r>
              <w:rPr>
                <w:rFonts w:ascii="Times New Roman;serif" w:hAnsi="Times New Roman;serif"/>
                <w:b w:val="false"/>
                <w:color w:val="000000"/>
                <w:sz w:val="18"/>
              </w:rPr>
              <w:t>(2,019)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Other long term liabilities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18"/>
              </w:rPr>
            </w:pPr>
            <w:r>
              <w:rPr>
                <w:rFonts w:ascii="Times New Roman;serif" w:hAnsi="Times New Roman;serif"/>
                <w:b w:val="false"/>
                <w:color w:val="000000"/>
                <w:sz w:val="18"/>
              </w:rPr>
              <w:t>(77)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18"/>
              </w:rPr>
            </w:pPr>
            <w:r>
              <w:rPr>
                <w:rFonts w:ascii="Times New Roman;serif" w:hAnsi="Times New Roman;serif"/>
                <w:b w:val="false"/>
                <w:color w:val="000000"/>
                <w:sz w:val="18"/>
              </w:rPr>
              <w:t>182 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4" w:type="dxa"/>
            <w:gridSpan w:val="3"/>
            <w:tcBorders/>
            <w:shd w:fill="FFFFFF" w:val="clear"/>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color w:val="000000"/>
                <w:sz w:val="18"/>
              </w:rPr>
            </w:pPr>
            <w:r>
              <w:rPr>
                <w:rFonts w:ascii="Times New Roman;serif" w:hAnsi="Times New Roman;serif"/>
                <w:b/>
                <w:color w:val="000000"/>
                <w:sz w:val="18"/>
              </w:rPr>
              <w:t>Net cash provided by operating activities</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18"/>
              </w:rPr>
            </w:pPr>
            <w:r>
              <w:rPr>
                <w:rFonts w:ascii="Times New Roman;serif" w:hAnsi="Times New Roman;serif"/>
                <w:b w:val="false"/>
                <w:color w:val="000000"/>
                <w:sz w:val="18"/>
              </w:rPr>
              <w:t>72,056 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18"/>
              </w:rPr>
            </w:pPr>
            <w:r>
              <w:rPr>
                <w:rFonts w:ascii="Times New Roman;serif" w:hAnsi="Times New Roman;serif"/>
                <w:b w:val="false"/>
                <w:color w:val="000000"/>
                <w:sz w:val="18"/>
              </w:rPr>
              <w:t>115,604 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Cash flows from investing activities</w:t>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Acquisition of business, net of cash acquired</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18"/>
              </w:rPr>
            </w:pPr>
            <w:r>
              <w:rPr>
                <w:rFonts w:ascii="Times New Roman;serif" w:hAnsi="Times New Roman;serif"/>
                <w:b w:val="false"/>
                <w:color w:val="000000"/>
                <w:sz w:val="18"/>
              </w:rPr>
              <w:t>(50,263)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4"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679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Purchases of property and equipment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18"/>
              </w:rPr>
            </w:pPr>
            <w:r>
              <w:rPr>
                <w:rFonts w:ascii="Times New Roman;serif" w:hAnsi="Times New Roman;serif"/>
                <w:b w:val="false"/>
                <w:color w:val="000000"/>
                <w:sz w:val="18"/>
              </w:rPr>
              <w:t>(6,866)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18"/>
              </w:rPr>
            </w:pPr>
            <w:r>
              <w:rPr>
                <w:rFonts w:ascii="Times New Roman;serif" w:hAnsi="Times New Roman;serif"/>
                <w:b w:val="false"/>
                <w:color w:val="000000"/>
                <w:sz w:val="18"/>
              </w:rPr>
              <w:t>(809)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4"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6794"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679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Sale of investment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18"/>
              </w:rPr>
            </w:pPr>
            <w:r>
              <w:rPr>
                <w:rFonts w:ascii="Times New Roman;serif" w:hAnsi="Times New Roman;serif"/>
                <w:b w:val="false"/>
                <w:color w:val="000000"/>
                <w:sz w:val="18"/>
              </w:rPr>
              <w:t>3,684 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Net cash used in investing activities</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18"/>
              </w:rPr>
            </w:pPr>
            <w:r>
              <w:rPr>
                <w:rFonts w:ascii="Times New Roman;serif" w:hAnsi="Times New Roman;serif"/>
                <w:b w:val="false"/>
                <w:color w:val="000000"/>
                <w:sz w:val="18"/>
              </w:rPr>
              <w:t>(53,445)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18"/>
              </w:rPr>
            </w:pPr>
            <w:r>
              <w:rPr>
                <w:rFonts w:ascii="Times New Roman;serif" w:hAnsi="Times New Roman;serif"/>
                <w:b w:val="false"/>
                <w:color w:val="000000"/>
                <w:sz w:val="18"/>
              </w:rPr>
              <w:t>(809)</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Cash flows from financing activities</w:t>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4"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6794"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679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Repurchases of common stock</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18"/>
              </w:rPr>
            </w:pPr>
            <w:r>
              <w:rPr>
                <w:rFonts w:ascii="Times New Roman;serif" w:hAnsi="Times New Roman;serif"/>
                <w:b w:val="false"/>
                <w:color w:val="000000"/>
                <w:sz w:val="18"/>
              </w:rPr>
              <w:t>(60,598)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18"/>
              </w:rPr>
            </w:pPr>
            <w:r>
              <w:rPr>
                <w:rFonts w:ascii="Times New Roman;serif" w:hAnsi="Times New Roman;serif"/>
                <w:b w:val="false"/>
                <w:color w:val="000000"/>
                <w:sz w:val="18"/>
              </w:rPr>
              <w:t>(175,659)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4"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6794"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6794"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6794"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679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Proceeds from borrowings on revolving credit facility</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18"/>
              </w:rPr>
            </w:pPr>
            <w:r>
              <w:rPr>
                <w:rFonts w:ascii="Times New Roman;serif" w:hAnsi="Times New Roman;serif"/>
                <w:b w:val="false"/>
                <w:color w:val="000000"/>
                <w:sz w:val="18"/>
              </w:rPr>
              <w:t>102,500 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18"/>
              </w:rPr>
            </w:pPr>
            <w:r>
              <w:rPr>
                <w:rFonts w:ascii="Times New Roman;serif" w:hAnsi="Times New Roman;serif"/>
                <w:b w:val="false"/>
                <w:color w:val="000000"/>
                <w:sz w:val="18"/>
              </w:rPr>
              <w:t>15,000 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Payments on revolving credit facility</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18"/>
              </w:rPr>
            </w:pPr>
            <w:r>
              <w:rPr>
                <w:rFonts w:ascii="Times New Roman;serif" w:hAnsi="Times New Roman;serif"/>
                <w:b w:val="false"/>
                <w:color w:val="000000"/>
                <w:sz w:val="18"/>
              </w:rPr>
              <w:t>(65,000)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18"/>
              </w:rPr>
            </w:pPr>
            <w:r>
              <w:rPr>
                <w:rFonts w:ascii="Times New Roman;serif" w:hAnsi="Times New Roman;serif"/>
                <w:b w:val="false"/>
                <w:color w:val="000000"/>
                <w:sz w:val="18"/>
              </w:rPr>
              <w:t>(150,000)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Proceeds from term loan, net of debt issuance costs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18"/>
              </w:rPr>
            </w:pPr>
            <w:r>
              <w:rPr>
                <w:rFonts w:ascii="Times New Roman;serif" w:hAnsi="Times New Roman;serif"/>
                <w:b w:val="false"/>
                <w:color w:val="000000"/>
                <w:sz w:val="18"/>
              </w:rPr>
              <w:t>199,294 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Payments on term loan</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319"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18"/>
              </w:rPr>
            </w:pPr>
            <w:r>
              <w:rPr>
                <w:rFonts w:ascii="Times New Roman;serif" w:hAnsi="Times New Roman;serif"/>
                <w:b w:val="false"/>
                <w:color w:val="000000"/>
                <w:sz w:val="18"/>
              </w:rPr>
              <w:t>(2,500)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Exercise of stock options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18"/>
              </w:rPr>
            </w:pPr>
            <w:r>
              <w:rPr>
                <w:rFonts w:ascii="Times New Roman;serif" w:hAnsi="Times New Roman;serif"/>
                <w:b w:val="false"/>
                <w:color w:val="000000"/>
                <w:sz w:val="18"/>
              </w:rPr>
              <w:t>1,294 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18"/>
              </w:rPr>
            </w:pPr>
            <w:r>
              <w:rPr>
                <w:rFonts w:ascii="Times New Roman;serif" w:hAnsi="Times New Roman;serif"/>
                <w:b w:val="false"/>
                <w:color w:val="000000"/>
                <w:sz w:val="18"/>
              </w:rPr>
              <w:t>1,162 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Stock issuance under the employee stock purchase plan</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18"/>
              </w:rPr>
            </w:pPr>
            <w:r>
              <w:rPr>
                <w:rFonts w:ascii="Times New Roman;serif" w:hAnsi="Times New Roman;serif"/>
                <w:b w:val="false"/>
                <w:color w:val="000000"/>
                <w:sz w:val="18"/>
              </w:rPr>
              <w:t>2,444 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18"/>
              </w:rPr>
            </w:pPr>
            <w:r>
              <w:rPr>
                <w:rFonts w:ascii="Times New Roman;serif" w:hAnsi="Times New Roman;serif"/>
                <w:b w:val="false"/>
                <w:color w:val="000000"/>
                <w:sz w:val="18"/>
              </w:rPr>
              <w:t>2,145 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Principal payments on financing obligations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18"/>
              </w:rPr>
            </w:pPr>
            <w:r>
              <w:rPr>
                <w:rFonts w:ascii="Times New Roman;serif" w:hAnsi="Times New Roman;serif"/>
                <w:b w:val="false"/>
                <w:color w:val="000000"/>
                <w:sz w:val="18"/>
              </w:rPr>
              <w:t>(824)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18"/>
              </w:rPr>
            </w:pPr>
            <w:r>
              <w:rPr>
                <w:rFonts w:ascii="Times New Roman;serif" w:hAnsi="Times New Roman;serif"/>
                <w:b w:val="false"/>
                <w:color w:val="000000"/>
                <w:sz w:val="18"/>
              </w:rPr>
              <w:t>(647)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Payment of contingent consideration</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319"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18"/>
              </w:rPr>
            </w:pPr>
            <w:r>
              <w:rPr>
                <w:rFonts w:ascii="Times New Roman;serif" w:hAnsi="Times New Roman;serif"/>
                <w:b w:val="false"/>
                <w:color w:val="000000"/>
                <w:sz w:val="18"/>
              </w:rPr>
              <w:t>(8,100)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Net cash used in financing activities</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18"/>
              </w:rPr>
            </w:pPr>
            <w:r>
              <w:rPr>
                <w:rFonts w:ascii="Times New Roman;serif" w:hAnsi="Times New Roman;serif"/>
                <w:b w:val="false"/>
                <w:color w:val="000000"/>
                <w:sz w:val="18"/>
              </w:rPr>
              <w:t>(20,184)</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18"/>
              </w:rPr>
            </w:pPr>
            <w:r>
              <w:rPr>
                <w:rFonts w:ascii="Times New Roman;serif" w:hAnsi="Times New Roman;serif"/>
                <w:b w:val="false"/>
                <w:color w:val="000000"/>
                <w:sz w:val="18"/>
              </w:rPr>
              <w:t>(119,305)</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Effect of foreign currency exchange rate changes on cash, cash equivalents, and restricted cash</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18"/>
              </w:rPr>
            </w:pPr>
            <w:r>
              <w:rPr>
                <w:rFonts w:ascii="Times New Roman;serif" w:hAnsi="Times New Roman;serif"/>
                <w:b w:val="false"/>
                <w:color w:val="000000"/>
                <w:sz w:val="18"/>
              </w:rPr>
              <w:t>3,529 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18"/>
              </w:rPr>
            </w:pPr>
            <w:r>
              <w:rPr>
                <w:rFonts w:ascii="Times New Roman;serif" w:hAnsi="Times New Roman;serif"/>
                <w:b w:val="false"/>
                <w:color w:val="000000"/>
                <w:sz w:val="18"/>
              </w:rPr>
              <w:t>(571)</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Net increase (decrease) in cash, cash equivalents, and restricted cash</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18"/>
              </w:rPr>
            </w:pPr>
            <w:r>
              <w:rPr>
                <w:rFonts w:ascii="Times New Roman;serif" w:hAnsi="Times New Roman;serif"/>
                <w:b w:val="false"/>
                <w:color w:val="000000"/>
                <w:sz w:val="18"/>
              </w:rPr>
              <w:t>1,956 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18"/>
              </w:rPr>
            </w:pPr>
            <w:r>
              <w:rPr>
                <w:rFonts w:ascii="Times New Roman;serif" w:hAnsi="Times New Roman;serif"/>
                <w:b w:val="false"/>
                <w:color w:val="000000"/>
                <w:sz w:val="18"/>
              </w:rPr>
              <w:t>(5,081)</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Cash, cash equivalents, and restricted cash, beginning of period</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18"/>
              </w:rPr>
            </w:pPr>
            <w:r>
              <w:rPr>
                <w:rFonts w:ascii="Times New Roman;serif" w:hAnsi="Times New Roman;serif"/>
                <w:b w:val="false"/>
                <w:color w:val="000000"/>
                <w:sz w:val="18"/>
              </w:rPr>
              <w:t>121,267 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18"/>
              </w:rPr>
            </w:pPr>
            <w:r>
              <w:rPr>
                <w:rFonts w:ascii="Times New Roman;serif" w:hAnsi="Times New Roman;serif"/>
                <w:b w:val="false"/>
                <w:color w:val="000000"/>
                <w:sz w:val="18"/>
              </w:rPr>
              <w:t>88,685 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Cash, cash equivalents, and restricted cash, end of period</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18"/>
              </w:rPr>
            </w:pPr>
            <w:r>
              <w:rPr>
                <w:rFonts w:ascii="Times New Roman;serif" w:hAnsi="Times New Roman;serif"/>
                <w:b w:val="false"/>
                <w:color w:val="000000"/>
                <w:sz w:val="18"/>
              </w:rPr>
              <w:t>123,223 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18"/>
              </w:rPr>
            </w:pPr>
            <w:r>
              <w:rPr>
                <w:rFonts w:ascii="Times New Roman;serif" w:hAnsi="Times New Roman;serif"/>
                <w:b w:val="false"/>
                <w:color w:val="000000"/>
                <w:sz w:val="18"/>
              </w:rPr>
              <w:t>83,604 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nCino, Inc.</w:t>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75260"/>
                <wp:effectExtent l="0" t="0" r="0" b="0"/>
                <wp:wrapNone/>
                <wp:docPr id="11" name="Frame1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203.1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CONDENSED CONSOLIDATED STATEMENTS OF CASH FLOWS</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(In thousands)</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(Unaudited)</w:t>
      </w:r>
    </w:p>
    <w:tbl>
      <w:tblPr>
        <w:tblW w:w="8214" w:type="dxa"/>
        <w:jc w:val="left"/>
        <w:tblInd w:w="0" w:type="dxa"/>
        <w:tblLayout w:type="fixed"/>
        <w:tblCellMar>
          <w:top w:w="28" w:type="dxa"/>
          <w:left w:w="28" w:type="dxa"/>
          <w:bottom w:w="28" w:type="dxa"/>
          <w:right w:w="28" w:type="dxa"/>
        </w:tblCellMar>
      </w:tblPr>
      <w:tblGrid>
        <w:gridCol w:w="2119"/>
        <w:gridCol w:w="1861"/>
        <w:gridCol w:w="1870"/>
        <w:gridCol w:w="196"/>
        <w:gridCol w:w="736"/>
        <w:gridCol w:w="109"/>
        <w:gridCol w:w="109"/>
        <w:gridCol w:w="109"/>
        <w:gridCol w:w="109"/>
        <w:gridCol w:w="196"/>
        <w:gridCol w:w="646"/>
        <w:gridCol w:w="154"/>
      </w:tblGrid>
      <w:tr>
        <w:trPr/>
        <w:tc>
          <w:tcPr>
            <w:tcW w:w="2119" w:type="dxa"/>
            <w:tcBorders/>
            <w:vAlign w:val="center"/>
          </w:tcPr>
          <w:p>
            <w:pPr>
              <w:pStyle w:val="TableContents"/>
              <w:bidi w:val="0"/>
              <w:spacing w:before="0" w:after="283"/>
              <w:jc w:val="left"/>
              <w:rPr>
                <w:sz w:val="4"/>
                <w:szCs w:val="4"/>
              </w:rPr>
            </w:pPr>
            <w:r>
              <w:rPr>
                <w:sz w:val="4"/>
                <w:szCs w:val="4"/>
              </w:rPr>
            </w:r>
          </w:p>
        </w:tc>
        <w:tc>
          <w:tcPr>
            <w:tcW w:w="1861" w:type="dxa"/>
            <w:tcBorders/>
            <w:vAlign w:val="center"/>
          </w:tcPr>
          <w:p>
            <w:pPr>
              <w:pStyle w:val="TableContents"/>
              <w:bidi w:val="0"/>
              <w:spacing w:before="0" w:after="283"/>
              <w:jc w:val="left"/>
              <w:rPr>
                <w:sz w:val="4"/>
                <w:szCs w:val="4"/>
              </w:rPr>
            </w:pPr>
            <w:r>
              <w:rPr>
                <w:sz w:val="4"/>
                <w:szCs w:val="4"/>
              </w:rPr>
            </w:r>
          </w:p>
        </w:tc>
        <w:tc>
          <w:tcPr>
            <w:tcW w:w="1870"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4" w:type="dxa"/>
            <w:gridSpan w:val="9"/>
            <w:tcBorders/>
            <w:tcMar>
              <w:top w:w="0" w:type="dxa"/>
              <w:left w:w="0" w:type="dxa"/>
              <w:bottom w:w="0" w:type="dxa"/>
              <w:right w:w="0" w:type="dxa"/>
            </w:tcMar>
            <w:vAlign w:val="center"/>
          </w:tcPr>
          <w:p>
            <w:pPr>
              <w:pStyle w:val="TableContents"/>
              <w:bidi w:val="0"/>
              <w:spacing w:lineRule="auto" w:line="319" w:before="0" w:after="283"/>
              <w:jc w:val="center"/>
              <w:rPr>
                <w:rFonts w:ascii="Times New Roman;serif" w:hAnsi="Times New Roman;serif"/>
                <w:b/>
                <w:color w:val="000000"/>
                <w:sz w:val="16"/>
              </w:rPr>
            </w:pPr>
            <w:r>
              <w:rPr>
                <w:rFonts w:ascii="Times New Roman;serif" w:hAnsi="Times New Roman;serif"/>
                <w:b/>
                <w:color w:val="000000"/>
                <w:sz w:val="16"/>
              </w:rPr>
              <w:t>Six Months Ended July 31,</w:t>
            </w:r>
          </w:p>
        </w:tc>
      </w:tr>
      <w:tr>
        <w:trPr/>
        <w:tc>
          <w:tcPr>
            <w:tcW w:w="58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19"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19" w:before="0" w:after="283"/>
              <w:jc w:val="center"/>
              <w:rPr>
                <w:rFonts w:ascii="Times New Roman;serif" w:hAnsi="Times New Roman;serif"/>
                <w:b/>
                <w:color w:val="000000"/>
                <w:sz w:val="16"/>
              </w:rPr>
            </w:pPr>
            <w:r>
              <w:rPr>
                <w:rFonts w:ascii="Times New Roman;serif" w:hAnsi="Times New Roman;serif"/>
                <w:b/>
                <w:color w:val="000000"/>
                <w:sz w:val="16"/>
              </w:rPr>
              <w:t>2026</w:t>
            </w:r>
          </w:p>
        </w:tc>
      </w:tr>
      <w:tr>
        <w:trPr/>
        <w:tc>
          <w:tcPr>
            <w:tcW w:w="585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Reconciliation of cash, cash equivalents, and restricted cash, end of period:</w:t>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5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Cash and cash equivalents</w:t>
            </w:r>
          </w:p>
        </w:tc>
        <w:tc>
          <w:tcPr>
            <w:tcW w:w="196" w:type="dxa"/>
            <w:tcBorders/>
            <w:shd w:fill="FFFFFF" w:val="clear"/>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18"/>
              </w:rPr>
            </w:pPr>
            <w:r>
              <w:rPr>
                <w:rFonts w:ascii="Times New Roman;serif" w:hAnsi="Times New Roman;serif"/>
                <w:b w:val="false"/>
                <w:color w:val="000000"/>
                <w:sz w:val="18"/>
              </w:rPr>
              <w:t>122,935 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18"/>
              </w:rPr>
            </w:pPr>
            <w:r>
              <w:rPr>
                <w:rFonts w:ascii="Times New Roman;serif" w:hAnsi="Times New Roman;serif"/>
                <w:b w:val="false"/>
                <w:color w:val="000000"/>
                <w:sz w:val="18"/>
              </w:rPr>
              <w:t>83,290 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5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Restricted cash included in prepaid expenses and other current assets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18"/>
              </w:rPr>
            </w:pPr>
            <w:r>
              <w:rPr>
                <w:rFonts w:ascii="Times New Roman;serif" w:hAnsi="Times New Roman;serif"/>
                <w:b w:val="false"/>
                <w:color w:val="000000"/>
                <w:sz w:val="18"/>
              </w:rPr>
              <w:t>132 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18"/>
              </w:rPr>
            </w:pPr>
            <w:r>
              <w:rPr>
                <w:rFonts w:ascii="Times New Roman;serif" w:hAnsi="Times New Roman;serif"/>
                <w:b w:val="false"/>
                <w:color w:val="000000"/>
                <w:sz w:val="18"/>
              </w:rPr>
              <w:t>314 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5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Restricted cash included in long-term prepaid expenses and other assets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18"/>
              </w:rPr>
            </w:pPr>
            <w:r>
              <w:rPr>
                <w:rFonts w:ascii="Times New Roman;serif" w:hAnsi="Times New Roman;serif"/>
                <w:b w:val="false"/>
                <w:color w:val="000000"/>
                <w:sz w:val="18"/>
              </w:rPr>
              <w:t>156 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5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Total cash, cash equivalents, and restricted cash, end of period</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19"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18"/>
              </w:rPr>
            </w:pPr>
            <w:r>
              <w:rPr>
                <w:rFonts w:ascii="Times New Roman;serif" w:hAnsi="Times New Roman;serif"/>
                <w:b w:val="false"/>
                <w:color w:val="000000"/>
                <w:sz w:val="18"/>
              </w:rPr>
              <w:t>123,223 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19"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18"/>
              </w:rPr>
            </w:pPr>
            <w:r>
              <w:rPr>
                <w:rFonts w:ascii="Times New Roman;serif" w:hAnsi="Times New Roman;serif"/>
                <w:b w:val="false"/>
                <w:color w:val="000000"/>
                <w:sz w:val="18"/>
              </w:rPr>
              <w:t>83,604 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75260"/>
                <wp:effectExtent l="0" t="0" r="0" b="0"/>
                <wp:wrapNone/>
                <wp:docPr id="12" name="Frame1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83"/>
        <w:jc w:val="left"/>
        <w:rPr>
          <w:rFonts w:ascii="sans-serif" w:hAnsi="sans-serif"/>
          <w:b/>
          <w:color w:val="000000"/>
          <w:sz w:val="24"/>
        </w:rPr>
      </w:pPr>
      <w:r>
        <w:rPr>
          <w:rFonts w:ascii="sans-serif" w:hAnsi="sans-serif"/>
          <w:b/>
          <w:color w:val="000000"/>
          <w:sz w:val="24"/>
        </w:rPr>
        <w:t>Non-GAAP Financial Measures</w:t>
      </w:r>
    </w:p>
    <w:p>
      <w:pPr>
        <w:pStyle w:val="TextBody"/>
        <w:bidi w:val="0"/>
        <w:spacing w:lineRule="auto" w:line="288" w:before="0" w:after="0"/>
        <w:jc w:val="left"/>
        <w:rPr>
          <w:rFonts w:ascii="sans-serif" w:hAnsi="sans-serif"/>
          <w:b w:val="false"/>
          <w:color w:val="000000"/>
          <w:sz w:val="24"/>
        </w:rPr>
      </w:pPr>
      <w:r>
        <w:rPr>
          <w:rFonts w:ascii="sans-serif" w:hAnsi="sans-serif"/>
          <w:b w:val="false"/>
          <w:color w:val="000000"/>
          <w:sz w:val="24"/>
        </w:rPr>
        <w:t>In nCino’s public disclosures, nCino has provided non-GAAP measures, which are measurements of financial performance that have not been prepared in accordance with generally accepted accounting principles in the United States, or GAAP. In addition to its GAAP measures, nCino uses these non-GAAP financial measures internally for budgeting and resource allocation purposes and in analyzing our financial results. For the reasons set forth below, nCino believes that excluding the following items provides information that is helpful in understanding our operating results, evaluating our future prospects, comparing our financial results across accounting periods, and comparing our financial results to our peers, many of which provide similar non-GAAP financial measures.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sans-serif" w:hAnsi="sans-serif"/>
          <w:b w:val="false"/>
          <w:color w:val="000000"/>
          <w:sz w:val="24"/>
        </w:rPr>
        <w:t>Amortization of Purchased Intangibles. nCino incurs amortization expense for purchased intangible assets in connection with certain mergers and acquisitions. Because these costs have already been incurred, cannot be recovered, are non-cash, and are affected by the inherent subjective nature of purchase price allocations, nCino excludes these expenses for our internal management reporting processes. nCino’s management also finds it useful to exclude these charges when assessing the appropriate level of various operating expenses and resource allocations when budgeting, planning and forecasting future periods. Although nCino excludes amortization expense for purchased intangibles from these non-GAAP measures, management believes it is important for investors to understand that such intangible assets were recorded as part of purchase accounting and contribute to revenue generation.</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sans-serif" w:hAnsi="sans-serif"/>
          <w:b w:val="false"/>
          <w:color w:val="000000"/>
          <w:sz w:val="24"/>
        </w:rPr>
        <w:t xml:space="preserve">Stock-Based Compensation Expenses. nCino excludes stock-based compensation expenses primarily because they are non-cash expenses that nCino excludes from our internal management reporting processes. nCino’s management also finds it useful to exclude these expenses when they assess the appropriate level of various operating expenses and resource allocations when budgeting, planning and forecasting future periods. Moreover, because of varying available valuation methodologies, subjective assumptions and the variety of award types that companies can use, nCino believes excluding stock-based compensation expenses allows investors to make meaningful comparisons between our recurring core business operating results and those of other companies. </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sans-serif" w:hAnsi="sans-serif"/>
          <w:b w:val="false"/>
          <w:color w:val="000000"/>
          <w:sz w:val="24"/>
          <w:shd w:fill="FFFFFF" w:val="clear"/>
        </w:rPr>
        <w:t>Transaction-Related Expenses. nCino excludes expenses related to mergers and acquisitions or divestitures as they limit comparability of operating results with prior periods. Transaction-related expenses include but are not limited to, costs incurred from third-party professional services firms, change in fair value of contingent consideration, and one-time integration activities. We believe these costs are non-recurring in nature and outside the ordinary course of business.</w:t>
      </w:r>
      <w:r>
        <w:rPr>
          <w:color w:val="000000"/>
        </w:rPr>
        <w:t xml:space="preserve"> </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sans-serif" w:hAnsi="sans-serif"/>
          <w:b w:val="false"/>
          <w:color w:val="000000"/>
          <w:sz w:val="24"/>
        </w:rPr>
        <w:t xml:space="preserve">Litigation Expenses. nCino excludes fees and expenses related to litigation expenses incurred from legal matters outside the ordinary course of our business as we believe their exclusion from non-GAAP operating expenses will facilitate a more meaningful explanation of operating results and comparisons with prior period results. </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shd w:fill="FFFFFF" w:val="clear"/>
        </w:rPr>
        <w:t>•</w:t>
      </w:r>
      <w:r>
        <w:rPr>
          <w:rFonts w:ascii="sans-serif" w:hAnsi="sans-serif"/>
          <w:b w:val="false"/>
          <w:color w:val="000000"/>
          <w:sz w:val="24"/>
          <w:shd w:fill="FFFFFF" w:val="clear"/>
        </w:rPr>
        <w:t>Restructuring Costs. nCino excludes costs incurred related to bespoke restructuring plans and other one-time costs, if any, that are fundamentally different in strategic nature and frequency from ongoing initiatives. We believe excluding these costs facilitates a more consistent comparison of operating performance over time.</w:t>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75260"/>
                <wp:effectExtent l="0" t="0" r="0" b="0"/>
                <wp:wrapNone/>
                <wp:docPr id="13" name="Frame1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rFonts w:ascii="sans-serif" w:hAnsi="sans-serif"/>
          <w:b w:val="false"/>
          <w:color w:val="000000"/>
          <w:sz w:val="24"/>
        </w:rPr>
      </w:pPr>
      <w:r>
        <w:rPr>
          <w:rFonts w:ascii="sans-serif" w:hAnsi="sans-serif"/>
          <w:b w:val="false"/>
          <w:color w:val="000000"/>
          <w:sz w:val="24"/>
        </w:rPr>
        <w:t>There are limitations to using non-GAAP financial measures because non-GAAP financial measures are not prepared in accordance with GAAP and may be different from non-GAAP financial measures provided by other companies. The non-GAAP financial measures are limited in value because they exclude certain items that may have a material impact upon our reported financial results. In addition, they are subject to inherent limitations as they reflect the exercise of judgments by nCino’s management about which items are adjusted to calculate its non-GAAP financial measures. nCino compensates for these limitations by analyzing current and future results on a GAAP basis as well as a non-GAAP basis and also by providing GAAP measures in its public disclosures. Non-GAAP financial measures should not be considered in isolation from, or as a substitute for, financial information prepared in accordance with GAAP. nCino encourages investors and others to review our financial information in its entirety, not to rely on any single financial measure to evaluate our business, and to view our non-GAAP financial measures in conjunction with the most directly comparable GAAP financial measures. A reconciliation of GAAP to the non-GAAP financial measures has been provided in the tables below.</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nCino, Inc.</w:t>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75260"/>
                <wp:effectExtent l="0" t="0" r="0" b="0"/>
                <wp:wrapNone/>
                <wp:docPr id="14" name="Frame1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203.1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RECONCILIATION OF GAAP TO NON-GAAP MEASURES</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(In thousands, except share and per share data)</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(Unaudited)</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1605"/>
        <w:gridCol w:w="1166"/>
        <w:gridCol w:w="1175"/>
        <w:gridCol w:w="211"/>
        <w:gridCol w:w="826"/>
        <w:gridCol w:w="271"/>
        <w:gridCol w:w="109"/>
        <w:gridCol w:w="109"/>
        <w:gridCol w:w="109"/>
        <w:gridCol w:w="211"/>
        <w:gridCol w:w="826"/>
        <w:gridCol w:w="271"/>
        <w:gridCol w:w="109"/>
        <w:gridCol w:w="109"/>
        <w:gridCol w:w="109"/>
        <w:gridCol w:w="211"/>
        <w:gridCol w:w="826"/>
        <w:gridCol w:w="271"/>
        <w:gridCol w:w="109"/>
        <w:gridCol w:w="109"/>
        <w:gridCol w:w="109"/>
        <w:gridCol w:w="211"/>
        <w:gridCol w:w="826"/>
        <w:gridCol w:w="317"/>
      </w:tblGrid>
      <w:tr>
        <w:trPr/>
        <w:tc>
          <w:tcPr>
            <w:tcW w:w="1605" w:type="dxa"/>
            <w:tcBorders/>
            <w:vAlign w:val="center"/>
          </w:tcPr>
          <w:p>
            <w:pPr>
              <w:pStyle w:val="TableContents"/>
              <w:bidi w:val="0"/>
              <w:spacing w:before="0" w:after="283"/>
              <w:jc w:val="left"/>
              <w:rPr>
                <w:sz w:val="4"/>
                <w:szCs w:val="4"/>
              </w:rPr>
            </w:pPr>
            <w:r>
              <w:rPr>
                <w:sz w:val="4"/>
                <w:szCs w:val="4"/>
              </w:rPr>
            </w:r>
          </w:p>
        </w:tc>
        <w:tc>
          <w:tcPr>
            <w:tcW w:w="1166" w:type="dxa"/>
            <w:tcBorders/>
            <w:vAlign w:val="center"/>
          </w:tcPr>
          <w:p>
            <w:pPr>
              <w:pStyle w:val="TableContents"/>
              <w:bidi w:val="0"/>
              <w:spacing w:before="0" w:after="283"/>
              <w:jc w:val="left"/>
              <w:rPr>
                <w:sz w:val="4"/>
                <w:szCs w:val="4"/>
              </w:rPr>
            </w:pPr>
            <w:r>
              <w:rPr>
                <w:sz w:val="4"/>
                <w:szCs w:val="4"/>
              </w:rPr>
            </w:r>
          </w:p>
        </w:tc>
        <w:tc>
          <w:tcPr>
            <w:tcW w:w="117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r>
      <w:tr>
        <w:trPr/>
        <w:tc>
          <w:tcPr>
            <w:tcW w:w="39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3" w:type="dxa"/>
            <w:gridSpan w:val="9"/>
            <w:tcBorders/>
            <w:tcMar>
              <w:top w:w="0" w:type="dxa"/>
              <w:left w:w="0" w:type="dxa"/>
              <w:bottom w:w="0" w:type="dxa"/>
              <w:right w:w="0" w:type="dxa"/>
            </w:tcMar>
            <w:vAlign w:val="center"/>
          </w:tcPr>
          <w:p>
            <w:pPr>
              <w:pStyle w:val="TableContents"/>
              <w:bidi w:val="0"/>
              <w:spacing w:lineRule="auto" w:line="319" w:before="0" w:after="283"/>
              <w:jc w:val="center"/>
              <w:rPr>
                <w:rFonts w:ascii="Times New Roman;serif" w:hAnsi="Times New Roman;serif"/>
                <w:b/>
                <w:color w:val="000000"/>
                <w:sz w:val="16"/>
              </w:rPr>
            </w:pPr>
            <w:r>
              <w:rPr>
                <w:rFonts w:ascii="Times New Roman;serif" w:hAnsi="Times New Roman;serif"/>
                <w:b/>
                <w:color w:val="000000"/>
                <w:sz w:val="16"/>
              </w:rPr>
              <w:t>Three Months Ended July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9" w:type="dxa"/>
            <w:gridSpan w:val="9"/>
            <w:tcBorders/>
            <w:tcMar>
              <w:top w:w="0" w:type="dxa"/>
              <w:left w:w="0" w:type="dxa"/>
              <w:bottom w:w="0" w:type="dxa"/>
              <w:right w:w="0" w:type="dxa"/>
            </w:tcMar>
            <w:vAlign w:val="center"/>
          </w:tcPr>
          <w:p>
            <w:pPr>
              <w:pStyle w:val="TableContents"/>
              <w:bidi w:val="0"/>
              <w:spacing w:lineRule="auto" w:line="319" w:before="0" w:after="283"/>
              <w:jc w:val="center"/>
              <w:rPr>
                <w:rFonts w:ascii="Times New Roman;serif" w:hAnsi="Times New Roman;serif"/>
                <w:b/>
                <w:color w:val="000000"/>
                <w:sz w:val="16"/>
              </w:rPr>
            </w:pPr>
            <w:r>
              <w:rPr>
                <w:rFonts w:ascii="Times New Roman;serif" w:hAnsi="Times New Roman;serif"/>
                <w:b/>
                <w:color w:val="000000"/>
                <w:sz w:val="16"/>
              </w:rPr>
              <w:t>Six Months Ended July 31,</w:t>
            </w:r>
          </w:p>
        </w:tc>
      </w:tr>
      <w:tr>
        <w:trPr/>
        <w:tc>
          <w:tcPr>
            <w:tcW w:w="39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319"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319"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319"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319" w:before="0" w:after="283"/>
              <w:jc w:val="center"/>
              <w:rPr>
                <w:rFonts w:ascii="Times New Roman;serif" w:hAnsi="Times New Roman;serif"/>
                <w:b/>
                <w:color w:val="000000"/>
                <w:sz w:val="16"/>
              </w:rPr>
            </w:pPr>
            <w:r>
              <w:rPr>
                <w:rFonts w:ascii="Times New Roman;serif" w:hAnsi="Times New Roman;serif"/>
                <w:b/>
                <w:color w:val="000000"/>
                <w:sz w:val="16"/>
              </w:rPr>
              <w:t>2026</w:t>
            </w:r>
          </w:p>
        </w:tc>
      </w:tr>
      <w:tr>
        <w:trPr/>
        <w:tc>
          <w:tcPr>
            <w:tcW w:w="3946" w:type="dxa"/>
            <w:gridSpan w:val="3"/>
            <w:tcBorders/>
            <w:shd w:fill="CCEEFF" w:val="clear"/>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color w:val="000000"/>
                <w:sz w:val="20"/>
              </w:rPr>
            </w:pPr>
            <w:r>
              <w:rPr>
                <w:rFonts w:ascii="Times New Roman;serif" w:hAnsi="Times New Roman;serif"/>
                <w:b/>
                <w:color w:val="000000"/>
                <w:sz w:val="20"/>
              </w:rPr>
              <w:t>GAAP total revenues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148,815 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161,001 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292,952 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320,415 </w:t>
            </w:r>
          </w:p>
        </w:tc>
        <w:tc>
          <w:tcPr>
            <w:tcW w:w="3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6" w:type="dxa"/>
            <w:gridSpan w:val="3"/>
            <w:tcBorders/>
            <w:shd w:fill="CCEEFF" w:val="clear"/>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color w:val="000000"/>
                <w:sz w:val="20"/>
              </w:rPr>
            </w:pPr>
            <w:r>
              <w:rPr>
                <w:rFonts w:ascii="Times New Roman;serif" w:hAnsi="Times New Roman;serif"/>
                <w:b/>
                <w:color w:val="000000"/>
                <w:sz w:val="20"/>
              </w:rPr>
              <w:t>GAAP cost of subscription revenues</w:t>
            </w:r>
          </w:p>
        </w:tc>
        <w:tc>
          <w:tcPr>
            <w:tcW w:w="211" w:type="dxa"/>
            <w:tcBorders/>
            <w:shd w:fill="CCEEFF" w:val="clear"/>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37,992 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39,927 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74,117 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79,171 </w:t>
            </w:r>
          </w:p>
        </w:tc>
        <w:tc>
          <w:tcPr>
            <w:tcW w:w="3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6" w:type="dxa"/>
            <w:gridSpan w:val="3"/>
            <w:tcBorders/>
            <w:shd w:fill="FFFFFF" w:val="clear"/>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expense - developed technology</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(5,115)</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(5,112)</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(10,190)</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(10,225)</w:t>
            </w:r>
          </w:p>
        </w:tc>
        <w:tc>
          <w:tcPr>
            <w:tcW w:w="3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6" w:type="dxa"/>
            <w:gridSpan w:val="3"/>
            <w:tcBorders/>
            <w:shd w:fill="CCEEFF" w:val="clear"/>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(830)</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(697)</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(1,494)</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(1,352)</w:t>
            </w:r>
          </w:p>
        </w:tc>
        <w:tc>
          <w:tcPr>
            <w:tcW w:w="3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6" w:type="dxa"/>
            <w:gridSpan w:val="3"/>
            <w:tcBorders/>
            <w:shd w:fill="FFFFFF" w:val="clear"/>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20"/>
              </w:rPr>
            </w:pPr>
            <w:r>
              <w:rPr>
                <w:rFonts w:ascii="Times New Roman;serif" w:hAnsi="Times New Roman;serif"/>
                <w:b w:val="false"/>
                <w:color w:val="000000"/>
                <w:sz w:val="20"/>
              </w:rPr>
              <w:t>Restructuring charges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(496)</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(496)</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color w:val="000000"/>
              </w:rPr>
            </w:pPr>
            <w:r>
              <w:rPr>
                <w:color w:val="000000"/>
              </w:rPr>
              <w:t>— </w:t>
            </w:r>
          </w:p>
        </w:tc>
        <w:tc>
          <w:tcPr>
            <w:tcW w:w="3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6" w:type="dxa"/>
            <w:gridSpan w:val="3"/>
            <w:tcBorders/>
            <w:shd w:fill="CCEEFF" w:val="clear"/>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color w:val="000000"/>
                <w:sz w:val="20"/>
              </w:rPr>
            </w:pPr>
            <w:r>
              <w:rPr>
                <w:rFonts w:ascii="Times New Roman;serif" w:hAnsi="Times New Roman;serif"/>
                <w:b/>
                <w:color w:val="000000"/>
                <w:sz w:val="20"/>
              </w:rPr>
              <w:t>Non-GAAP cost of subscription revenues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31,551 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34,118 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61,937 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67,594 </w:t>
            </w:r>
          </w:p>
        </w:tc>
        <w:tc>
          <w:tcPr>
            <w:tcW w:w="3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6" w:type="dxa"/>
            <w:gridSpan w:val="3"/>
            <w:tcBorders/>
            <w:shd w:fill="CCEEFF" w:val="clear"/>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color w:val="000000"/>
                <w:sz w:val="20"/>
              </w:rPr>
            </w:pPr>
            <w:r>
              <w:rPr>
                <w:rFonts w:ascii="Times New Roman;serif" w:hAnsi="Times New Roman;serif"/>
                <w:b/>
                <w:color w:val="000000"/>
                <w:sz w:val="20"/>
              </w:rPr>
              <w:t>GAAP cost of professional services and other revenues</w:t>
            </w:r>
          </w:p>
        </w:tc>
        <w:tc>
          <w:tcPr>
            <w:tcW w:w="211" w:type="dxa"/>
            <w:tcBorders/>
            <w:shd w:fill="CCEEFF" w:val="clear"/>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22,698 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20,303 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44,268 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39,535 </w:t>
            </w:r>
          </w:p>
        </w:tc>
        <w:tc>
          <w:tcPr>
            <w:tcW w:w="3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6" w:type="dxa"/>
            <w:gridSpan w:val="3"/>
            <w:tcBorders/>
            <w:shd w:fill="FFFFFF" w:val="clear"/>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expense - other</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(83)</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(165)</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color w:val="000000"/>
              </w:rPr>
            </w:pPr>
            <w:r>
              <w:rPr>
                <w:color w:val="000000"/>
              </w:rPr>
              <w:t>— </w:t>
            </w:r>
          </w:p>
        </w:tc>
        <w:tc>
          <w:tcPr>
            <w:tcW w:w="3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6" w:type="dxa"/>
            <w:gridSpan w:val="3"/>
            <w:tcBorders/>
            <w:shd w:fill="CCEEFF" w:val="clear"/>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(3,315)</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(3,276)</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(6,069)</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(5,900)</w:t>
            </w:r>
          </w:p>
        </w:tc>
        <w:tc>
          <w:tcPr>
            <w:tcW w:w="3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6" w:type="dxa"/>
            <w:gridSpan w:val="3"/>
            <w:tcBorders/>
            <w:shd w:fill="FFFFFF" w:val="clear"/>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20"/>
              </w:rPr>
            </w:pPr>
            <w:r>
              <w:rPr>
                <w:rFonts w:ascii="Times New Roman;serif" w:hAnsi="Times New Roman;serif"/>
                <w:b w:val="false"/>
                <w:color w:val="000000"/>
                <w:sz w:val="20"/>
              </w:rPr>
              <w:t>Restructuring charges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(722)</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(722)</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color w:val="000000"/>
              </w:rPr>
            </w:pPr>
            <w:r>
              <w:rPr>
                <w:color w:val="000000"/>
              </w:rPr>
              <w:t>— </w:t>
            </w:r>
          </w:p>
        </w:tc>
        <w:tc>
          <w:tcPr>
            <w:tcW w:w="3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6" w:type="dxa"/>
            <w:gridSpan w:val="3"/>
            <w:tcBorders/>
            <w:shd w:fill="CCEEFF" w:val="clear"/>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color w:val="000000"/>
                <w:sz w:val="20"/>
              </w:rPr>
            </w:pPr>
            <w:r>
              <w:rPr>
                <w:rFonts w:ascii="Times New Roman;serif" w:hAnsi="Times New Roman;serif"/>
                <w:b/>
                <w:color w:val="000000"/>
                <w:sz w:val="20"/>
              </w:rPr>
              <w:t>Non-GAAP cost of professional services and other revenues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18,578 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17,027 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37,312 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33,635 </w:t>
            </w:r>
          </w:p>
        </w:tc>
        <w:tc>
          <w:tcPr>
            <w:tcW w:w="3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6" w:type="dxa"/>
            <w:gridSpan w:val="3"/>
            <w:tcBorders/>
            <w:shd w:fill="CCEEFF" w:val="clear"/>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color w:val="000000"/>
                <w:sz w:val="20"/>
              </w:rPr>
            </w:pPr>
            <w:r>
              <w:rPr>
                <w:rFonts w:ascii="Times New Roman;serif" w:hAnsi="Times New Roman;serif"/>
                <w:b/>
                <w:color w:val="000000"/>
                <w:sz w:val="20"/>
              </w:rPr>
              <w:t>GAAP gross profit</w:t>
            </w:r>
          </w:p>
        </w:tc>
        <w:tc>
          <w:tcPr>
            <w:tcW w:w="211" w:type="dxa"/>
            <w:tcBorders/>
            <w:shd w:fill="CCEEFF" w:val="clear"/>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88,125 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100,771 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174,567 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201,709 </w:t>
            </w:r>
          </w:p>
        </w:tc>
        <w:tc>
          <w:tcPr>
            <w:tcW w:w="3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6" w:type="dxa"/>
            <w:gridSpan w:val="3"/>
            <w:tcBorders/>
            <w:shd w:fill="FFFFFF" w:val="clear"/>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expense - developed technology</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5,115 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5,112 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10,190 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10,225 </w:t>
            </w:r>
          </w:p>
        </w:tc>
        <w:tc>
          <w:tcPr>
            <w:tcW w:w="3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6" w:type="dxa"/>
            <w:gridSpan w:val="3"/>
            <w:tcBorders/>
            <w:shd w:fill="CCEEFF" w:val="clear"/>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expense - other</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83 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319" w:before="0" w:after="283"/>
              <w:jc w:val="right"/>
              <w:rPr>
                <w:color w:val="000000"/>
              </w:rPr>
            </w:pP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165 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319" w:before="0" w:after="283"/>
              <w:jc w:val="right"/>
              <w:rPr>
                <w:color w:val="000000"/>
              </w:rPr>
            </w:pPr>
            <w:r>
              <w:rPr>
                <w:color w:val="000000"/>
              </w:rPr>
              <w:t>— </w:t>
            </w:r>
          </w:p>
        </w:tc>
        <w:tc>
          <w:tcPr>
            <w:tcW w:w="3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6" w:type="dxa"/>
            <w:gridSpan w:val="3"/>
            <w:tcBorders/>
            <w:shd w:fill="FFFFFF" w:val="clear"/>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4,145 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3,973 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7,563 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7,252 </w:t>
            </w:r>
          </w:p>
        </w:tc>
        <w:tc>
          <w:tcPr>
            <w:tcW w:w="3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6" w:type="dxa"/>
            <w:gridSpan w:val="3"/>
            <w:tcBorders/>
            <w:shd w:fill="CCEEFF" w:val="clear"/>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20"/>
              </w:rPr>
            </w:pPr>
            <w:r>
              <w:rPr>
                <w:rFonts w:ascii="Times New Roman;serif" w:hAnsi="Times New Roman;serif"/>
                <w:b w:val="false"/>
                <w:color w:val="000000"/>
                <w:sz w:val="20"/>
              </w:rPr>
              <w:t>Restructuring charges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1,218 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319" w:before="0" w:after="283"/>
              <w:jc w:val="right"/>
              <w:rPr>
                <w:color w:val="000000"/>
              </w:rPr>
            </w:pP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1,218 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319" w:before="0" w:after="283"/>
              <w:jc w:val="right"/>
              <w:rPr>
                <w:color w:val="000000"/>
              </w:rPr>
            </w:pPr>
            <w:r>
              <w:rPr>
                <w:color w:val="000000"/>
              </w:rPr>
              <w:t>— </w:t>
            </w:r>
          </w:p>
        </w:tc>
        <w:tc>
          <w:tcPr>
            <w:tcW w:w="3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6" w:type="dxa"/>
            <w:gridSpan w:val="3"/>
            <w:tcBorders/>
            <w:shd w:fill="FFFFFF" w:val="clear"/>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color w:val="000000"/>
                <w:sz w:val="20"/>
              </w:rPr>
            </w:pPr>
            <w:r>
              <w:rPr>
                <w:rFonts w:ascii="Times New Roman;serif" w:hAnsi="Times New Roman;serif"/>
                <w:b/>
                <w:color w:val="000000"/>
                <w:sz w:val="20"/>
              </w:rPr>
              <w:t>Non-GAAP gross profit</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98,686 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109,856 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193,703 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219,186 </w:t>
            </w:r>
          </w:p>
        </w:tc>
        <w:tc>
          <w:tcPr>
            <w:tcW w:w="31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24"/>
            <w:tcBorders/>
            <w:shd w:fill="FFFFFF" w:val="clear"/>
            <w:tcMar>
              <w:top w:w="0" w:type="dxa"/>
              <w:left w:w="0" w:type="dxa"/>
              <w:bottom w:w="0" w:type="dxa"/>
              <w:right w:w="0" w:type="dxa"/>
            </w:tcMar>
            <w:vAlign w:val="center"/>
          </w:tcPr>
          <w:p>
            <w:pPr>
              <w:pStyle w:val="TableContents"/>
              <w:bidi w:val="0"/>
              <w:spacing w:lineRule="auto" w:line="319" w:before="0" w:after="0"/>
              <w:jc w:val="left"/>
              <w:rPr/>
            </w:pPr>
            <w:r>
              <w:rPr>
                <w:rFonts w:ascii="Times New Roman;serif" w:hAnsi="Times New Roman;serif"/>
                <w:b w:val="false"/>
                <w:color w:val="000000"/>
                <w:sz w:val="20"/>
              </w:rPr>
              <w:t>The following table sets forth reconciling items as a percentage of total revenue for the periods presented.</w:t>
            </w:r>
            <w:r>
              <w:rPr>
                <w:rFonts w:ascii="Times New Roman;serif" w:hAnsi="Times New Roman;serif"/>
                <w:b w:val="false"/>
                <w:color w:val="000000"/>
                <w:sz w:val="13"/>
              </w:rPr>
              <w:t>1</w:t>
            </w:r>
          </w:p>
        </w:tc>
      </w:tr>
      <w:tr>
        <w:trPr/>
        <w:tc>
          <w:tcPr>
            <w:tcW w:w="3946" w:type="dxa"/>
            <w:gridSpan w:val="3"/>
            <w:tcBorders/>
            <w:shd w:fill="CCEEFF" w:val="clear"/>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color w:val="000000"/>
                <w:sz w:val="20"/>
              </w:rPr>
            </w:pPr>
            <w:r>
              <w:rPr>
                <w:rFonts w:ascii="Times New Roman;serif" w:hAnsi="Times New Roman;serif"/>
                <w:b/>
                <w:color w:val="000000"/>
                <w:sz w:val="20"/>
              </w:rPr>
              <w:t>GAAP gross margin %</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59 </w:t>
            </w:r>
          </w:p>
        </w:tc>
        <w:tc>
          <w:tcPr>
            <w:tcW w:w="271" w:type="dxa"/>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63 </w:t>
            </w:r>
          </w:p>
        </w:tc>
        <w:tc>
          <w:tcPr>
            <w:tcW w:w="271" w:type="dxa"/>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60 </w:t>
            </w:r>
          </w:p>
        </w:tc>
        <w:tc>
          <w:tcPr>
            <w:tcW w:w="271" w:type="dxa"/>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63 </w:t>
            </w:r>
          </w:p>
        </w:tc>
        <w:tc>
          <w:tcPr>
            <w:tcW w:w="317" w:type="dxa"/>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946" w:type="dxa"/>
            <w:gridSpan w:val="3"/>
            <w:tcBorders/>
            <w:shd w:fill="FFFFFF" w:val="clear"/>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expense - developed technology</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3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6"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4" w:type="dxa"/>
            <w:gridSpan w:val="3"/>
            <w:tcBorders/>
            <w:vAlign w:val="center"/>
          </w:tcPr>
          <w:p>
            <w:pPr>
              <w:pStyle w:val="TableContents"/>
              <w:bidi w:val="0"/>
              <w:spacing w:before="0" w:after="283"/>
              <w:jc w:val="left"/>
              <w:rPr>
                <w:sz w:val="4"/>
                <w:szCs w:val="4"/>
              </w:rPr>
            </w:pPr>
            <w:r>
              <w:rPr>
                <w:sz w:val="4"/>
                <w:szCs w:val="4"/>
              </w:rPr>
            </w:r>
          </w:p>
        </w:tc>
      </w:tr>
      <w:tr>
        <w:trPr/>
        <w:tc>
          <w:tcPr>
            <w:tcW w:w="3946" w:type="dxa"/>
            <w:gridSpan w:val="3"/>
            <w:tcBorders/>
            <w:shd w:fill="CCEEFF" w:val="clear"/>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3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6" w:type="dxa"/>
            <w:gridSpan w:val="3"/>
            <w:tcBorders/>
            <w:shd w:fill="FFFFFF" w:val="clear"/>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20"/>
              </w:rPr>
            </w:pPr>
            <w:r>
              <w:rPr>
                <w:rFonts w:ascii="Times New Roman;serif" w:hAnsi="Times New Roman;serif"/>
                <w:b w:val="false"/>
                <w:color w:val="000000"/>
                <w:sz w:val="20"/>
              </w:rPr>
              <w:t>Restructuring charges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color w:val="000000"/>
              </w:rPr>
            </w:pPr>
            <w:r>
              <w:rPr>
                <w:color w:val="000000"/>
              </w:rPr>
              <w:t>— </w:t>
            </w:r>
          </w:p>
        </w:tc>
        <w:tc>
          <w:tcPr>
            <w:tcW w:w="3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6" w:type="dxa"/>
            <w:gridSpan w:val="3"/>
            <w:tcBorders/>
            <w:shd w:fill="CCEEFF" w:val="clear"/>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color w:val="000000"/>
                <w:sz w:val="20"/>
              </w:rPr>
            </w:pPr>
            <w:r>
              <w:rPr>
                <w:rFonts w:ascii="Times New Roman;serif" w:hAnsi="Times New Roman;serif"/>
                <w:b/>
                <w:color w:val="000000"/>
                <w:sz w:val="20"/>
              </w:rPr>
              <w:t>Non-GAAP gross margin %</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66 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68 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66 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68 </w:t>
            </w:r>
          </w:p>
        </w:tc>
        <w:tc>
          <w:tcPr>
            <w:tcW w:w="3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9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6" w:type="dxa"/>
            <w:gridSpan w:val="3"/>
            <w:tcBorders/>
            <w:shd w:fill="CCEEFF" w:val="clear"/>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color w:val="000000"/>
                <w:sz w:val="20"/>
              </w:rPr>
            </w:pPr>
            <w:r>
              <w:rPr>
                <w:rFonts w:ascii="Times New Roman;serif" w:hAnsi="Times New Roman;serif"/>
                <w:b/>
                <w:color w:val="000000"/>
                <w:sz w:val="20"/>
              </w:rPr>
              <w:t>GAAP sales &amp; marketing expense</w:t>
            </w:r>
          </w:p>
        </w:tc>
        <w:tc>
          <w:tcPr>
            <w:tcW w:w="211" w:type="dxa"/>
            <w:tcBorders/>
            <w:shd w:fill="CCEEFF" w:val="clear"/>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37,265 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36,948 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70,236 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70,673 </w:t>
            </w:r>
          </w:p>
        </w:tc>
        <w:tc>
          <w:tcPr>
            <w:tcW w:w="3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6" w:type="dxa"/>
            <w:gridSpan w:val="3"/>
            <w:tcBorders/>
            <w:shd w:fill="FFFFFF" w:val="clear"/>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expense - customer relationships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(3,631)</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(3,641)</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(7,211)</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(7,284)</w:t>
            </w:r>
          </w:p>
        </w:tc>
        <w:tc>
          <w:tcPr>
            <w:tcW w:w="3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6" w:type="dxa"/>
            <w:gridSpan w:val="3"/>
            <w:tcBorders/>
            <w:shd w:fill="CCEEFF" w:val="clear"/>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expense - trade name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(384)</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319" w:before="0" w:after="283"/>
              <w:jc w:val="right"/>
              <w:rPr>
                <w:color w:val="000000"/>
              </w:rPr>
            </w:pP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(808)</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(9)</w:t>
            </w:r>
          </w:p>
        </w:tc>
        <w:tc>
          <w:tcPr>
            <w:tcW w:w="3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6" w:type="dxa"/>
            <w:gridSpan w:val="3"/>
            <w:tcBorders/>
            <w:shd w:fill="FFFFFF" w:val="clear"/>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expense - other</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(28)</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(28)</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(56)</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(56)</w:t>
            </w:r>
          </w:p>
        </w:tc>
        <w:tc>
          <w:tcPr>
            <w:tcW w:w="3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6" w:type="dxa"/>
            <w:gridSpan w:val="3"/>
            <w:tcBorders/>
            <w:shd w:fill="CCEEFF" w:val="clear"/>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(3,746)</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(4,097)</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(6,674)</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(7,258)</w:t>
            </w:r>
          </w:p>
        </w:tc>
        <w:tc>
          <w:tcPr>
            <w:tcW w:w="3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6" w:type="dxa"/>
            <w:gridSpan w:val="3"/>
            <w:tcBorders/>
            <w:shd w:fill="FFFFFF" w:val="clear"/>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20"/>
              </w:rPr>
            </w:pPr>
            <w:r>
              <w:rPr>
                <w:rFonts w:ascii="Times New Roman;serif" w:hAnsi="Times New Roman;serif"/>
                <w:b w:val="false"/>
                <w:color w:val="000000"/>
                <w:sz w:val="20"/>
              </w:rPr>
              <w:t>Transaction-related expenses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(335)</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color w:val="000000"/>
              </w:rPr>
            </w:pPr>
            <w:r>
              <w:rPr>
                <w:color w:val="000000"/>
              </w:rPr>
              <w:t>— </w:t>
            </w:r>
          </w:p>
        </w:tc>
        <w:tc>
          <w:tcPr>
            <w:tcW w:w="3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6" w:type="dxa"/>
            <w:gridSpan w:val="3"/>
            <w:tcBorders/>
            <w:shd w:fill="CCEEFF" w:val="clear"/>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20"/>
              </w:rPr>
            </w:pPr>
            <w:r>
              <w:rPr>
                <w:rFonts w:ascii="Times New Roman;serif" w:hAnsi="Times New Roman;serif"/>
                <w:b w:val="false"/>
                <w:color w:val="000000"/>
                <w:sz w:val="20"/>
              </w:rPr>
              <w:t>Restructuring charges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(1,383)</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319" w:before="0" w:after="283"/>
              <w:jc w:val="right"/>
              <w:rPr>
                <w:color w:val="000000"/>
              </w:rPr>
            </w:pP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(1,383)</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319" w:before="0" w:after="283"/>
              <w:jc w:val="right"/>
              <w:rPr>
                <w:color w:val="000000"/>
              </w:rPr>
            </w:pPr>
            <w:r>
              <w:rPr>
                <w:color w:val="000000"/>
              </w:rPr>
              <w:t>— </w:t>
            </w:r>
          </w:p>
        </w:tc>
        <w:tc>
          <w:tcPr>
            <w:tcW w:w="3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6" w:type="dxa"/>
            <w:gridSpan w:val="3"/>
            <w:tcBorders/>
            <w:shd w:fill="FFFFFF" w:val="clear"/>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color w:val="000000"/>
                <w:sz w:val="20"/>
              </w:rPr>
            </w:pPr>
            <w:r>
              <w:rPr>
                <w:rFonts w:ascii="Times New Roman;serif" w:hAnsi="Times New Roman;serif"/>
                <w:b/>
                <w:color w:val="000000"/>
                <w:sz w:val="20"/>
              </w:rPr>
              <w:t>Non-GAAP sales &amp; marketing expense</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28,093 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29,182 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53,769 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56,066 </w:t>
            </w:r>
          </w:p>
        </w:tc>
        <w:tc>
          <w:tcPr>
            <w:tcW w:w="31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6" w:type="dxa"/>
            <w:gridSpan w:val="3"/>
            <w:tcBorders/>
            <w:shd w:fill="FFFFFF" w:val="clear"/>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color w:val="000000"/>
                <w:sz w:val="20"/>
              </w:rPr>
            </w:pPr>
            <w:r>
              <w:rPr>
                <w:rFonts w:ascii="Times New Roman;serif" w:hAnsi="Times New Roman;serif"/>
                <w:b/>
                <w:color w:val="000000"/>
                <w:sz w:val="20"/>
              </w:rPr>
              <w:t>GAAP research &amp; development expense</w:t>
            </w:r>
          </w:p>
        </w:tc>
        <w:tc>
          <w:tcPr>
            <w:tcW w:w="211" w:type="dxa"/>
            <w:tcBorders/>
            <w:shd w:fill="FFFFFF" w:val="clear"/>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34,667 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31,030 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68,008 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59,895 </w:t>
            </w:r>
          </w:p>
        </w:tc>
        <w:tc>
          <w:tcPr>
            <w:tcW w:w="3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6" w:type="dxa"/>
            <w:gridSpan w:val="3"/>
            <w:tcBorders/>
            <w:shd w:fill="CCEEFF" w:val="clear"/>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(3,685)</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(4,262)</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(7,800)</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(7,331)</w:t>
            </w:r>
          </w:p>
        </w:tc>
        <w:tc>
          <w:tcPr>
            <w:tcW w:w="3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6" w:type="dxa"/>
            <w:gridSpan w:val="3"/>
            <w:tcBorders/>
            <w:shd w:fill="FFFFFF" w:val="clear"/>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20"/>
              </w:rPr>
            </w:pPr>
            <w:r>
              <w:rPr>
                <w:rFonts w:ascii="Times New Roman;serif" w:hAnsi="Times New Roman;serif"/>
                <w:b w:val="false"/>
                <w:color w:val="000000"/>
                <w:sz w:val="20"/>
              </w:rPr>
              <w:t>Transaction-related expenses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(366)</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(264)</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(456)</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(622)</w:t>
            </w:r>
          </w:p>
        </w:tc>
        <w:tc>
          <w:tcPr>
            <w:tcW w:w="3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6" w:type="dxa"/>
            <w:gridSpan w:val="3"/>
            <w:tcBorders/>
            <w:shd w:fill="CCEEFF" w:val="clear"/>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20"/>
              </w:rPr>
            </w:pPr>
            <w:r>
              <w:rPr>
                <w:rFonts w:ascii="Times New Roman;serif" w:hAnsi="Times New Roman;serif"/>
                <w:b w:val="false"/>
                <w:color w:val="000000"/>
                <w:sz w:val="20"/>
              </w:rPr>
              <w:t>Restructuring charges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(4,026)</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319" w:before="0" w:after="283"/>
              <w:jc w:val="right"/>
              <w:rPr>
                <w:color w:val="000000"/>
              </w:rPr>
            </w:pP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(4,026)</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319" w:before="0" w:after="283"/>
              <w:jc w:val="right"/>
              <w:rPr>
                <w:color w:val="000000"/>
              </w:rPr>
            </w:pPr>
            <w:r>
              <w:rPr>
                <w:color w:val="000000"/>
              </w:rPr>
              <w:t>— </w:t>
            </w:r>
          </w:p>
        </w:tc>
        <w:tc>
          <w:tcPr>
            <w:tcW w:w="3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6" w:type="dxa"/>
            <w:gridSpan w:val="3"/>
            <w:tcBorders/>
            <w:shd w:fill="FFFFFF" w:val="clear"/>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color w:val="000000"/>
                <w:sz w:val="20"/>
              </w:rPr>
            </w:pPr>
            <w:r>
              <w:rPr>
                <w:rFonts w:ascii="Times New Roman;serif" w:hAnsi="Times New Roman;serif"/>
                <w:b/>
                <w:color w:val="000000"/>
                <w:sz w:val="20"/>
              </w:rPr>
              <w:t>Non-GAAP research &amp; development expense</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19"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26,590 </w:t>
            </w:r>
          </w:p>
        </w:tc>
        <w:tc>
          <w:tcPr>
            <w:tcW w:w="2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19"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26,504 </w:t>
            </w:r>
          </w:p>
        </w:tc>
        <w:tc>
          <w:tcPr>
            <w:tcW w:w="2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19"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55,726 </w:t>
            </w:r>
          </w:p>
        </w:tc>
        <w:tc>
          <w:tcPr>
            <w:tcW w:w="2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19"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51,942 </w:t>
            </w:r>
          </w:p>
        </w:tc>
        <w:tc>
          <w:tcPr>
            <w:tcW w:w="31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nCino, Inc.</w:t>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75260"/>
                <wp:effectExtent l="0" t="0" r="0" b="0"/>
                <wp:wrapNone/>
                <wp:docPr id="15" name="Frame1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203.1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RECONCILIATION OF GAAP TO NON-GAAP MEASURES (CONTINUED)</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(In thousands, except share and per share data)</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(Unaudited)</w:t>
      </w:r>
    </w:p>
    <w:tbl>
      <w:tblPr>
        <w:tblW w:w="10205" w:type="dxa"/>
        <w:jc w:val="left"/>
        <w:tblInd w:w="0" w:type="dxa"/>
        <w:tblLayout w:type="fixed"/>
        <w:tblCellMar>
          <w:top w:w="28" w:type="dxa"/>
          <w:left w:w="28" w:type="dxa"/>
          <w:bottom w:w="28" w:type="dxa"/>
          <w:right w:w="28" w:type="dxa"/>
        </w:tblCellMar>
      </w:tblPr>
      <w:tblGrid>
        <w:gridCol w:w="1549"/>
        <w:gridCol w:w="1327"/>
        <w:gridCol w:w="1329"/>
        <w:gridCol w:w="211"/>
        <w:gridCol w:w="721"/>
        <w:gridCol w:w="271"/>
        <w:gridCol w:w="109"/>
        <w:gridCol w:w="109"/>
        <w:gridCol w:w="109"/>
        <w:gridCol w:w="211"/>
        <w:gridCol w:w="721"/>
        <w:gridCol w:w="271"/>
        <w:gridCol w:w="109"/>
        <w:gridCol w:w="109"/>
        <w:gridCol w:w="109"/>
        <w:gridCol w:w="211"/>
        <w:gridCol w:w="776"/>
        <w:gridCol w:w="271"/>
        <w:gridCol w:w="109"/>
        <w:gridCol w:w="109"/>
        <w:gridCol w:w="109"/>
        <w:gridCol w:w="211"/>
        <w:gridCol w:w="826"/>
        <w:gridCol w:w="318"/>
      </w:tblGrid>
      <w:tr>
        <w:trPr/>
        <w:tc>
          <w:tcPr>
            <w:tcW w:w="1549" w:type="dxa"/>
            <w:tcBorders/>
            <w:vAlign w:val="center"/>
          </w:tcPr>
          <w:p>
            <w:pPr>
              <w:pStyle w:val="TableContents"/>
              <w:bidi w:val="0"/>
              <w:spacing w:before="0" w:after="283"/>
              <w:jc w:val="left"/>
              <w:rPr>
                <w:sz w:val="4"/>
                <w:szCs w:val="4"/>
              </w:rPr>
            </w:pPr>
            <w:r>
              <w:rPr>
                <w:sz w:val="4"/>
                <w:szCs w:val="4"/>
              </w:rPr>
            </w:r>
          </w:p>
        </w:tc>
        <w:tc>
          <w:tcPr>
            <w:tcW w:w="1327" w:type="dxa"/>
            <w:tcBorders/>
            <w:vAlign w:val="center"/>
          </w:tcPr>
          <w:p>
            <w:pPr>
              <w:pStyle w:val="TableContents"/>
              <w:bidi w:val="0"/>
              <w:spacing w:before="0" w:after="283"/>
              <w:jc w:val="left"/>
              <w:rPr>
                <w:sz w:val="4"/>
                <w:szCs w:val="4"/>
              </w:rPr>
            </w:pPr>
            <w:r>
              <w:rPr>
                <w:sz w:val="4"/>
                <w:szCs w:val="4"/>
              </w:rPr>
            </w:r>
          </w:p>
        </w:tc>
        <w:tc>
          <w:tcPr>
            <w:tcW w:w="132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7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r>
      <w:tr>
        <w:trPr/>
        <w:tc>
          <w:tcPr>
            <w:tcW w:w="42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3" w:type="dxa"/>
            <w:gridSpan w:val="9"/>
            <w:tcBorders/>
            <w:tcMar>
              <w:top w:w="0" w:type="dxa"/>
              <w:left w:w="0" w:type="dxa"/>
              <w:bottom w:w="0" w:type="dxa"/>
              <w:right w:w="0" w:type="dxa"/>
            </w:tcMar>
            <w:vAlign w:val="center"/>
          </w:tcPr>
          <w:p>
            <w:pPr>
              <w:pStyle w:val="TableContents"/>
              <w:bidi w:val="0"/>
              <w:spacing w:lineRule="auto" w:line="319" w:before="0" w:after="283"/>
              <w:jc w:val="center"/>
              <w:rPr>
                <w:rFonts w:ascii="Times New Roman;serif" w:hAnsi="Times New Roman;serif"/>
                <w:b/>
                <w:color w:val="000000"/>
                <w:sz w:val="16"/>
              </w:rPr>
            </w:pPr>
            <w:r>
              <w:rPr>
                <w:rFonts w:ascii="Times New Roman;serif" w:hAnsi="Times New Roman;serif"/>
                <w:b/>
                <w:color w:val="000000"/>
                <w:sz w:val="16"/>
              </w:rPr>
              <w:t>Three Months Ended July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0" w:type="dxa"/>
            <w:gridSpan w:val="9"/>
            <w:tcBorders/>
            <w:tcMar>
              <w:top w:w="0" w:type="dxa"/>
              <w:left w:w="0" w:type="dxa"/>
              <w:bottom w:w="0" w:type="dxa"/>
              <w:right w:w="0" w:type="dxa"/>
            </w:tcMar>
            <w:vAlign w:val="center"/>
          </w:tcPr>
          <w:p>
            <w:pPr>
              <w:pStyle w:val="TableContents"/>
              <w:bidi w:val="0"/>
              <w:spacing w:lineRule="auto" w:line="319" w:before="0" w:after="283"/>
              <w:jc w:val="center"/>
              <w:rPr>
                <w:rFonts w:ascii="Times New Roman;serif" w:hAnsi="Times New Roman;serif"/>
                <w:b/>
                <w:color w:val="000000"/>
                <w:sz w:val="16"/>
              </w:rPr>
            </w:pPr>
            <w:r>
              <w:rPr>
                <w:rFonts w:ascii="Times New Roman;serif" w:hAnsi="Times New Roman;serif"/>
                <w:b/>
                <w:color w:val="000000"/>
                <w:sz w:val="16"/>
              </w:rPr>
              <w:t>Six Months Ended July 31,</w:t>
            </w:r>
          </w:p>
        </w:tc>
      </w:tr>
      <w:tr>
        <w:trPr/>
        <w:tc>
          <w:tcPr>
            <w:tcW w:w="42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19"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19"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19"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19" w:before="0" w:after="283"/>
              <w:jc w:val="center"/>
              <w:rPr>
                <w:rFonts w:ascii="Times New Roman;serif" w:hAnsi="Times New Roman;serif"/>
                <w:b/>
                <w:color w:val="000000"/>
                <w:sz w:val="16"/>
              </w:rPr>
            </w:pPr>
            <w:r>
              <w:rPr>
                <w:rFonts w:ascii="Times New Roman;serif" w:hAnsi="Times New Roman;serif"/>
                <w:b/>
                <w:color w:val="000000"/>
                <w:sz w:val="16"/>
              </w:rPr>
              <w:t>2026</w:t>
            </w:r>
          </w:p>
        </w:tc>
      </w:tr>
      <w:tr>
        <w:trPr/>
        <w:tc>
          <w:tcPr>
            <w:tcW w:w="42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5" w:type="dxa"/>
            <w:gridSpan w:val="3"/>
            <w:tcBorders/>
            <w:shd w:fill="FFFFFF" w:val="clear"/>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color w:val="000000"/>
                <w:sz w:val="20"/>
              </w:rPr>
            </w:pPr>
            <w:r>
              <w:rPr>
                <w:rFonts w:ascii="Times New Roman;serif" w:hAnsi="Times New Roman;serif"/>
                <w:b/>
                <w:color w:val="000000"/>
                <w:sz w:val="20"/>
              </w:rPr>
              <w:t>GAAP general &amp; administrative expense</w:t>
            </w:r>
          </w:p>
        </w:tc>
        <w:tc>
          <w:tcPr>
            <w:tcW w:w="211" w:type="dxa"/>
            <w:tcBorders/>
            <w:shd w:fill="FFFFFF" w:val="clear"/>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25,489 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19,179 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6" w:type="dxa"/>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47,132 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36,408 </w:t>
            </w:r>
          </w:p>
        </w:tc>
        <w:tc>
          <w:tcPr>
            <w:tcW w:w="3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5"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5" w:type="dxa"/>
            <w:gridSpan w:val="3"/>
            <w:tcBorders/>
            <w:vAlign w:val="center"/>
          </w:tcPr>
          <w:p>
            <w:pPr>
              <w:pStyle w:val="TableContents"/>
              <w:bidi w:val="0"/>
              <w:spacing w:before="0" w:after="283"/>
              <w:jc w:val="left"/>
              <w:rPr>
                <w:sz w:val="4"/>
                <w:szCs w:val="4"/>
              </w:rPr>
            </w:pPr>
            <w:r>
              <w:rPr>
                <w:sz w:val="4"/>
                <w:szCs w:val="4"/>
              </w:rPr>
            </w:r>
          </w:p>
        </w:tc>
      </w:tr>
      <w:tr>
        <w:trPr/>
        <w:tc>
          <w:tcPr>
            <w:tcW w:w="4205" w:type="dxa"/>
            <w:gridSpan w:val="3"/>
            <w:tcBorders/>
            <w:shd w:fill="CCEEFF" w:val="clear"/>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(7,040)</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(5,670)</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(12,393)</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(10,065)</w:t>
            </w:r>
          </w:p>
        </w:tc>
        <w:tc>
          <w:tcPr>
            <w:tcW w:w="3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5" w:type="dxa"/>
            <w:gridSpan w:val="3"/>
            <w:tcBorders/>
            <w:shd w:fill="FFFFFF" w:val="clear"/>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20"/>
              </w:rPr>
            </w:pPr>
            <w:r>
              <w:rPr>
                <w:rFonts w:ascii="Times New Roman;serif" w:hAnsi="Times New Roman;serif"/>
                <w:b w:val="false"/>
                <w:color w:val="000000"/>
                <w:sz w:val="20"/>
              </w:rPr>
              <w:t>Transaction-related expenses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(1,018)</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(169)</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(1,933)</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(506)</w:t>
            </w:r>
          </w:p>
        </w:tc>
        <w:tc>
          <w:tcPr>
            <w:tcW w:w="3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5"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5" w:type="dxa"/>
            <w:gridSpan w:val="3"/>
            <w:tcBorders/>
            <w:vAlign w:val="center"/>
          </w:tcPr>
          <w:p>
            <w:pPr>
              <w:pStyle w:val="TableContents"/>
              <w:bidi w:val="0"/>
              <w:spacing w:before="0" w:after="283"/>
              <w:jc w:val="left"/>
              <w:rPr>
                <w:sz w:val="4"/>
                <w:szCs w:val="4"/>
              </w:rPr>
            </w:pPr>
            <w:r>
              <w:rPr>
                <w:sz w:val="4"/>
                <w:szCs w:val="4"/>
              </w:rPr>
            </w:r>
          </w:p>
        </w:tc>
      </w:tr>
      <w:tr>
        <w:trPr/>
        <w:tc>
          <w:tcPr>
            <w:tcW w:w="4205" w:type="dxa"/>
            <w:gridSpan w:val="3"/>
            <w:tcBorders/>
            <w:shd w:fill="CCEEFF" w:val="clear"/>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20"/>
              </w:rPr>
            </w:pPr>
            <w:r>
              <w:rPr>
                <w:rFonts w:ascii="Times New Roman;serif" w:hAnsi="Times New Roman;serif"/>
                <w:b w:val="false"/>
                <w:color w:val="000000"/>
                <w:sz w:val="20"/>
              </w:rPr>
              <w:t>Restructuring charges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(3,438)</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319" w:before="0" w:after="283"/>
              <w:jc w:val="right"/>
              <w:rPr>
                <w:color w:val="000000"/>
              </w:rPr>
            </w:pP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(3,438)</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319" w:before="0" w:after="283"/>
              <w:jc w:val="right"/>
              <w:rPr>
                <w:color w:val="000000"/>
              </w:rPr>
            </w:pPr>
            <w:r>
              <w:rPr>
                <w:color w:val="000000"/>
              </w:rPr>
              <w:t>— </w:t>
            </w:r>
          </w:p>
        </w:tc>
        <w:tc>
          <w:tcPr>
            <w:tcW w:w="3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5" w:type="dxa"/>
            <w:gridSpan w:val="3"/>
            <w:tcBorders/>
            <w:shd w:fill="FFFFFF" w:val="clear"/>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color w:val="000000"/>
                <w:sz w:val="20"/>
              </w:rPr>
            </w:pPr>
            <w:r>
              <w:rPr>
                <w:rFonts w:ascii="Times New Roman;serif" w:hAnsi="Times New Roman;serif"/>
                <w:b/>
                <w:color w:val="000000"/>
                <w:sz w:val="20"/>
              </w:rPr>
              <w:t>Non-GAAP general &amp; administrative expense</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13,993 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13,340 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29,368 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25,837 </w:t>
            </w:r>
          </w:p>
        </w:tc>
        <w:tc>
          <w:tcPr>
            <w:tcW w:w="31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5" w:type="dxa"/>
            <w:gridSpan w:val="3"/>
            <w:tcBorders/>
            <w:shd w:fill="FFFFFF" w:val="clear"/>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color w:val="000000"/>
                <w:sz w:val="20"/>
              </w:rPr>
            </w:pPr>
            <w:r>
              <w:rPr>
                <w:rFonts w:ascii="Times New Roman;serif" w:hAnsi="Times New Roman;serif"/>
                <w:b/>
                <w:color w:val="000000"/>
                <w:sz w:val="20"/>
              </w:rPr>
              <w:t>GAAP income (loss) from operations</w:t>
            </w:r>
          </w:p>
        </w:tc>
        <w:tc>
          <w:tcPr>
            <w:tcW w:w="211" w:type="dxa"/>
            <w:tcBorders/>
            <w:shd w:fill="FFFFFF" w:val="clear"/>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(9,296)</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13,614 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6" w:type="dxa"/>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(10,809)</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34,733 </w:t>
            </w:r>
          </w:p>
        </w:tc>
        <w:tc>
          <w:tcPr>
            <w:tcW w:w="3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5" w:type="dxa"/>
            <w:gridSpan w:val="3"/>
            <w:tcBorders/>
            <w:shd w:fill="CCEEFF" w:val="clear"/>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intangible assets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9,241 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8,781 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18,430 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17,574 </w:t>
            </w:r>
          </w:p>
        </w:tc>
        <w:tc>
          <w:tcPr>
            <w:tcW w:w="3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5" w:type="dxa"/>
            <w:gridSpan w:val="3"/>
            <w:tcBorders/>
            <w:shd w:fill="FFFFFF" w:val="clear"/>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18,616 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18,002 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34,430 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31,906 </w:t>
            </w:r>
          </w:p>
        </w:tc>
        <w:tc>
          <w:tcPr>
            <w:tcW w:w="3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5" w:type="dxa"/>
            <w:gridSpan w:val="3"/>
            <w:tcBorders/>
            <w:shd w:fill="CCEEFF" w:val="clear"/>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20"/>
              </w:rPr>
            </w:pPr>
            <w:r>
              <w:rPr>
                <w:rFonts w:ascii="Times New Roman;serif" w:hAnsi="Times New Roman;serif"/>
                <w:b w:val="false"/>
                <w:color w:val="000000"/>
                <w:sz w:val="20"/>
              </w:rPr>
              <w:t>Transaction-related expenses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1,384 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433 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2,724 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1,128 </w:t>
            </w:r>
          </w:p>
        </w:tc>
        <w:tc>
          <w:tcPr>
            <w:tcW w:w="3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5"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5" w:type="dxa"/>
            <w:gridSpan w:val="3"/>
            <w:tcBorders/>
            <w:vAlign w:val="center"/>
          </w:tcPr>
          <w:p>
            <w:pPr>
              <w:pStyle w:val="TableContents"/>
              <w:bidi w:val="0"/>
              <w:spacing w:before="0" w:after="283"/>
              <w:jc w:val="left"/>
              <w:rPr>
                <w:sz w:val="4"/>
                <w:szCs w:val="4"/>
              </w:rPr>
            </w:pPr>
            <w:r>
              <w:rPr>
                <w:sz w:val="4"/>
                <w:szCs w:val="4"/>
              </w:rPr>
            </w:r>
          </w:p>
        </w:tc>
      </w:tr>
      <w:tr>
        <w:trPr/>
        <w:tc>
          <w:tcPr>
            <w:tcW w:w="4205" w:type="dxa"/>
            <w:gridSpan w:val="3"/>
            <w:tcBorders/>
            <w:shd w:fill="FFFFFF" w:val="clear"/>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20"/>
              </w:rPr>
            </w:pPr>
            <w:r>
              <w:rPr>
                <w:rFonts w:ascii="Times New Roman;serif" w:hAnsi="Times New Roman;serif"/>
                <w:b w:val="false"/>
                <w:color w:val="000000"/>
                <w:sz w:val="20"/>
              </w:rPr>
              <w:t>Restructuring charges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10,065 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10,065 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color w:val="000000"/>
              </w:rPr>
            </w:pPr>
            <w:r>
              <w:rPr>
                <w:color w:val="000000"/>
              </w:rPr>
              <w:t>— </w:t>
            </w:r>
          </w:p>
        </w:tc>
        <w:tc>
          <w:tcPr>
            <w:tcW w:w="3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5" w:type="dxa"/>
            <w:gridSpan w:val="3"/>
            <w:tcBorders/>
            <w:shd w:fill="CCEEFF" w:val="clear"/>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color w:val="000000"/>
                <w:sz w:val="20"/>
              </w:rPr>
            </w:pPr>
            <w:r>
              <w:rPr>
                <w:rFonts w:ascii="Times New Roman;serif" w:hAnsi="Times New Roman;serif"/>
                <w:b/>
                <w:color w:val="000000"/>
                <w:sz w:val="20"/>
              </w:rPr>
              <w:t>Non-GAAP operating income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30,010 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40,830 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54,840 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85,341 </w:t>
            </w:r>
          </w:p>
        </w:tc>
        <w:tc>
          <w:tcPr>
            <w:tcW w:w="3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24"/>
            <w:tcBorders/>
            <w:shd w:fill="CCEEFF" w:val="clear"/>
            <w:tcMar>
              <w:top w:w="0" w:type="dxa"/>
              <w:left w:w="0" w:type="dxa"/>
              <w:bottom w:w="0" w:type="dxa"/>
              <w:right w:w="0" w:type="dxa"/>
            </w:tcMar>
            <w:vAlign w:val="center"/>
          </w:tcPr>
          <w:p>
            <w:pPr>
              <w:pStyle w:val="TableContents"/>
              <w:bidi w:val="0"/>
              <w:spacing w:lineRule="auto" w:line="319" w:before="0" w:after="0"/>
              <w:jc w:val="left"/>
              <w:rPr/>
            </w:pPr>
            <w:r>
              <w:rPr>
                <w:rFonts w:ascii="Times New Roman;serif" w:hAnsi="Times New Roman;serif"/>
                <w:b w:val="false"/>
                <w:color w:val="000000"/>
                <w:sz w:val="20"/>
              </w:rPr>
              <w:t>The following table sets forth reconciling items as a percentage of total revenue for the periods presented.</w:t>
            </w:r>
            <w:r>
              <w:rPr>
                <w:rFonts w:ascii="Times New Roman;serif" w:hAnsi="Times New Roman;serif"/>
                <w:b w:val="false"/>
                <w:color w:val="000000"/>
                <w:sz w:val="13"/>
              </w:rPr>
              <w:t>1</w:t>
            </w:r>
          </w:p>
        </w:tc>
      </w:tr>
      <w:tr>
        <w:trPr/>
        <w:tc>
          <w:tcPr>
            <w:tcW w:w="4205" w:type="dxa"/>
            <w:gridSpan w:val="3"/>
            <w:tcBorders/>
            <w:shd w:fill="FFFFFF" w:val="clear"/>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color w:val="000000"/>
                <w:sz w:val="20"/>
              </w:rPr>
            </w:pPr>
            <w:r>
              <w:rPr>
                <w:rFonts w:ascii="Times New Roman;serif" w:hAnsi="Times New Roman;serif"/>
                <w:b/>
                <w:color w:val="000000"/>
                <w:sz w:val="20"/>
              </w:rPr>
              <w:t>GAAP operating margin %</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(6)</w:t>
            </w:r>
          </w:p>
        </w:tc>
        <w:tc>
          <w:tcPr>
            <w:tcW w:w="271" w:type="dxa"/>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8 </w:t>
            </w:r>
          </w:p>
        </w:tc>
        <w:tc>
          <w:tcPr>
            <w:tcW w:w="271" w:type="dxa"/>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(4)</w:t>
            </w:r>
          </w:p>
        </w:tc>
        <w:tc>
          <w:tcPr>
            <w:tcW w:w="271" w:type="dxa"/>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318" w:type="dxa"/>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205" w:type="dxa"/>
            <w:gridSpan w:val="3"/>
            <w:tcBorders/>
            <w:shd w:fill="CCEEFF" w:val="clear"/>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intangible assets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3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5" w:type="dxa"/>
            <w:gridSpan w:val="3"/>
            <w:tcBorders/>
            <w:shd w:fill="FFFFFF" w:val="clear"/>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3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5" w:type="dxa"/>
            <w:gridSpan w:val="3"/>
            <w:tcBorders/>
            <w:shd w:fill="CCEEFF" w:val="clear"/>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20"/>
              </w:rPr>
            </w:pPr>
            <w:r>
              <w:rPr>
                <w:rFonts w:ascii="Times New Roman;serif" w:hAnsi="Times New Roman;serif"/>
                <w:b w:val="false"/>
                <w:color w:val="000000"/>
                <w:sz w:val="20"/>
              </w:rPr>
              <w:t>Transaction-related expenses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319" w:before="0" w:after="283"/>
              <w:jc w:val="right"/>
              <w:rPr>
                <w:color w:val="000000"/>
              </w:rPr>
            </w:pP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319" w:before="0" w:after="283"/>
              <w:jc w:val="right"/>
              <w:rPr>
                <w:color w:val="000000"/>
              </w:rPr>
            </w:pPr>
            <w:r>
              <w:rPr>
                <w:color w:val="000000"/>
              </w:rPr>
              <w:t>— </w:t>
            </w:r>
          </w:p>
        </w:tc>
        <w:tc>
          <w:tcPr>
            <w:tcW w:w="3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5"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5" w:type="dxa"/>
            <w:gridSpan w:val="3"/>
            <w:tcBorders/>
            <w:vAlign w:val="center"/>
          </w:tcPr>
          <w:p>
            <w:pPr>
              <w:pStyle w:val="TableContents"/>
              <w:bidi w:val="0"/>
              <w:spacing w:before="0" w:after="283"/>
              <w:jc w:val="left"/>
              <w:rPr>
                <w:sz w:val="4"/>
                <w:szCs w:val="4"/>
              </w:rPr>
            </w:pPr>
            <w:r>
              <w:rPr>
                <w:sz w:val="4"/>
                <w:szCs w:val="4"/>
              </w:rPr>
            </w:r>
          </w:p>
        </w:tc>
      </w:tr>
      <w:tr>
        <w:trPr/>
        <w:tc>
          <w:tcPr>
            <w:tcW w:w="4205" w:type="dxa"/>
            <w:gridSpan w:val="3"/>
            <w:tcBorders/>
            <w:shd w:fill="FFFFFF" w:val="clear"/>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20"/>
              </w:rPr>
            </w:pPr>
            <w:r>
              <w:rPr>
                <w:rFonts w:ascii="Times New Roman;serif" w:hAnsi="Times New Roman;serif"/>
                <w:b w:val="false"/>
                <w:color w:val="000000"/>
                <w:sz w:val="20"/>
              </w:rPr>
              <w:t>Restructuring charges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7 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color w:val="000000"/>
              </w:rPr>
            </w:pPr>
            <w:r>
              <w:rPr>
                <w:color w:val="000000"/>
              </w:rPr>
              <w:t>— </w:t>
            </w:r>
          </w:p>
        </w:tc>
        <w:tc>
          <w:tcPr>
            <w:tcW w:w="3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5" w:type="dxa"/>
            <w:gridSpan w:val="3"/>
            <w:tcBorders/>
            <w:shd w:fill="CCEEFF" w:val="clear"/>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color w:val="000000"/>
                <w:sz w:val="20"/>
              </w:rPr>
            </w:pPr>
            <w:r>
              <w:rPr>
                <w:rFonts w:ascii="Times New Roman;serif" w:hAnsi="Times New Roman;serif"/>
                <w:b/>
                <w:color w:val="000000"/>
                <w:sz w:val="20"/>
              </w:rPr>
              <w:t>Non-GAAP operating margin %</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20 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25 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19 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27 </w:t>
            </w:r>
          </w:p>
        </w:tc>
        <w:tc>
          <w:tcPr>
            <w:tcW w:w="3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205"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5" w:type="dxa"/>
            <w:gridSpan w:val="3"/>
            <w:tcBorders/>
            <w:vAlign w:val="center"/>
          </w:tcPr>
          <w:p>
            <w:pPr>
              <w:pStyle w:val="TableContents"/>
              <w:bidi w:val="0"/>
              <w:spacing w:before="0" w:after="283"/>
              <w:jc w:val="left"/>
              <w:rPr>
                <w:sz w:val="4"/>
                <w:szCs w:val="4"/>
              </w:rPr>
            </w:pPr>
            <w:r>
              <w:rPr>
                <w:sz w:val="4"/>
                <w:szCs w:val="4"/>
              </w:rPr>
            </w:r>
          </w:p>
        </w:tc>
      </w:tr>
      <w:tr>
        <w:trPr/>
        <w:tc>
          <w:tcPr>
            <w:tcW w:w="4205"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5" w:type="dxa"/>
            <w:gridSpan w:val="3"/>
            <w:tcBorders/>
            <w:vAlign w:val="center"/>
          </w:tcPr>
          <w:p>
            <w:pPr>
              <w:pStyle w:val="TableContents"/>
              <w:bidi w:val="0"/>
              <w:spacing w:before="0" w:after="283"/>
              <w:jc w:val="left"/>
              <w:rPr>
                <w:sz w:val="4"/>
                <w:szCs w:val="4"/>
              </w:rPr>
            </w:pPr>
            <w:r>
              <w:rPr>
                <w:sz w:val="4"/>
                <w:szCs w:val="4"/>
              </w:rPr>
            </w:r>
          </w:p>
        </w:tc>
      </w:tr>
      <w:tr>
        <w:trPr/>
        <w:tc>
          <w:tcPr>
            <w:tcW w:w="4205"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5" w:type="dxa"/>
            <w:gridSpan w:val="3"/>
            <w:tcBorders/>
            <w:vAlign w:val="center"/>
          </w:tcPr>
          <w:p>
            <w:pPr>
              <w:pStyle w:val="TableContents"/>
              <w:bidi w:val="0"/>
              <w:spacing w:before="0" w:after="283"/>
              <w:jc w:val="left"/>
              <w:rPr>
                <w:sz w:val="4"/>
                <w:szCs w:val="4"/>
              </w:rPr>
            </w:pPr>
            <w:r>
              <w:rPr>
                <w:sz w:val="4"/>
                <w:szCs w:val="4"/>
              </w:rPr>
            </w:r>
          </w:p>
        </w:tc>
      </w:tr>
      <w:tr>
        <w:trPr/>
        <w:tc>
          <w:tcPr>
            <w:tcW w:w="4205"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5" w:type="dxa"/>
            <w:gridSpan w:val="3"/>
            <w:tcBorders/>
            <w:vAlign w:val="center"/>
          </w:tcPr>
          <w:p>
            <w:pPr>
              <w:pStyle w:val="TableContents"/>
              <w:bidi w:val="0"/>
              <w:spacing w:before="0" w:after="283"/>
              <w:jc w:val="left"/>
              <w:rPr>
                <w:sz w:val="4"/>
                <w:szCs w:val="4"/>
              </w:rPr>
            </w:pPr>
            <w:r>
              <w:rPr>
                <w:sz w:val="4"/>
                <w:szCs w:val="4"/>
              </w:rPr>
            </w:r>
          </w:p>
        </w:tc>
      </w:tr>
      <w:tr>
        <w:trPr/>
        <w:tc>
          <w:tcPr>
            <w:tcW w:w="4205"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5" w:type="dxa"/>
            <w:gridSpan w:val="3"/>
            <w:tcBorders/>
            <w:vAlign w:val="center"/>
          </w:tcPr>
          <w:p>
            <w:pPr>
              <w:pStyle w:val="TableContents"/>
              <w:bidi w:val="0"/>
              <w:spacing w:before="0" w:after="283"/>
              <w:jc w:val="left"/>
              <w:rPr>
                <w:sz w:val="4"/>
                <w:szCs w:val="4"/>
              </w:rPr>
            </w:pPr>
            <w:r>
              <w:rPr>
                <w:sz w:val="4"/>
                <w:szCs w:val="4"/>
              </w:rPr>
            </w:r>
          </w:p>
        </w:tc>
      </w:tr>
      <w:tr>
        <w:trPr/>
        <w:tc>
          <w:tcPr>
            <w:tcW w:w="4205"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5" w:type="dxa"/>
            <w:gridSpan w:val="3"/>
            <w:tcBorders/>
            <w:vAlign w:val="center"/>
          </w:tcPr>
          <w:p>
            <w:pPr>
              <w:pStyle w:val="TableContents"/>
              <w:bidi w:val="0"/>
              <w:spacing w:before="0" w:after="283"/>
              <w:jc w:val="left"/>
              <w:rPr>
                <w:sz w:val="4"/>
                <w:szCs w:val="4"/>
              </w:rPr>
            </w:pPr>
            <w:r>
              <w:rPr>
                <w:sz w:val="4"/>
                <w:szCs w:val="4"/>
              </w:rPr>
            </w:r>
          </w:p>
        </w:tc>
      </w:tr>
      <w:tr>
        <w:trPr/>
        <w:tc>
          <w:tcPr>
            <w:tcW w:w="4205"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5" w:type="dxa"/>
            <w:gridSpan w:val="3"/>
            <w:tcBorders/>
            <w:vAlign w:val="center"/>
          </w:tcPr>
          <w:p>
            <w:pPr>
              <w:pStyle w:val="TableContents"/>
              <w:bidi w:val="0"/>
              <w:spacing w:before="0" w:after="283"/>
              <w:jc w:val="left"/>
              <w:rPr>
                <w:sz w:val="4"/>
                <w:szCs w:val="4"/>
              </w:rPr>
            </w:pPr>
            <w:r>
              <w:rPr>
                <w:sz w:val="4"/>
                <w:szCs w:val="4"/>
              </w:rPr>
            </w:r>
          </w:p>
        </w:tc>
      </w:tr>
      <w:tr>
        <w:trPr/>
        <w:tc>
          <w:tcPr>
            <w:tcW w:w="4205"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5" w:type="dxa"/>
            <w:gridSpan w:val="3"/>
            <w:tcBorders/>
            <w:vAlign w:val="center"/>
          </w:tcPr>
          <w:p>
            <w:pPr>
              <w:pStyle w:val="TableContents"/>
              <w:bidi w:val="0"/>
              <w:spacing w:before="0" w:after="283"/>
              <w:jc w:val="left"/>
              <w:rPr>
                <w:sz w:val="4"/>
                <w:szCs w:val="4"/>
              </w:rPr>
            </w:pPr>
            <w:r>
              <w:rPr>
                <w:sz w:val="4"/>
                <w:szCs w:val="4"/>
              </w:rPr>
            </w:r>
          </w:p>
        </w:tc>
      </w:tr>
      <w:tr>
        <w:trPr/>
        <w:tc>
          <w:tcPr>
            <w:tcW w:w="4205"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5" w:type="dxa"/>
            <w:gridSpan w:val="3"/>
            <w:tcBorders/>
            <w:vAlign w:val="center"/>
          </w:tcPr>
          <w:p>
            <w:pPr>
              <w:pStyle w:val="TableContents"/>
              <w:bidi w:val="0"/>
              <w:spacing w:before="0" w:after="283"/>
              <w:jc w:val="left"/>
              <w:rPr>
                <w:sz w:val="4"/>
                <w:szCs w:val="4"/>
              </w:rPr>
            </w:pPr>
            <w:r>
              <w:rPr>
                <w:sz w:val="4"/>
                <w:szCs w:val="4"/>
              </w:rPr>
            </w:r>
          </w:p>
        </w:tc>
      </w:tr>
      <w:tr>
        <w:trPr/>
        <w:tc>
          <w:tcPr>
            <w:tcW w:w="4205"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5" w:type="dxa"/>
            <w:gridSpan w:val="3"/>
            <w:tcBorders/>
            <w:vAlign w:val="center"/>
          </w:tcPr>
          <w:p>
            <w:pPr>
              <w:pStyle w:val="TableContents"/>
              <w:bidi w:val="0"/>
              <w:spacing w:before="0" w:after="283"/>
              <w:jc w:val="left"/>
              <w:rPr>
                <w:sz w:val="4"/>
                <w:szCs w:val="4"/>
              </w:rPr>
            </w:pPr>
            <w:r>
              <w:rPr>
                <w:sz w:val="4"/>
                <w:szCs w:val="4"/>
              </w:rPr>
            </w:r>
          </w:p>
        </w:tc>
      </w:tr>
      <w:tr>
        <w:trPr/>
        <w:tc>
          <w:tcPr>
            <w:tcW w:w="4205"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5" w:type="dxa"/>
            <w:gridSpan w:val="3"/>
            <w:tcBorders/>
            <w:vAlign w:val="center"/>
          </w:tcPr>
          <w:p>
            <w:pPr>
              <w:pStyle w:val="TableContents"/>
              <w:bidi w:val="0"/>
              <w:spacing w:before="0" w:after="283"/>
              <w:jc w:val="left"/>
              <w:rPr>
                <w:sz w:val="4"/>
                <w:szCs w:val="4"/>
              </w:rPr>
            </w:pPr>
            <w:r>
              <w:rPr>
                <w:sz w:val="4"/>
                <w:szCs w:val="4"/>
              </w:rPr>
            </w:r>
          </w:p>
        </w:tc>
      </w:tr>
      <w:tr>
        <w:trPr/>
        <w:tc>
          <w:tcPr>
            <w:tcW w:w="4205"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5" w:type="dxa"/>
            <w:gridSpan w:val="3"/>
            <w:tcBorders/>
            <w:vAlign w:val="center"/>
          </w:tcPr>
          <w:p>
            <w:pPr>
              <w:pStyle w:val="TableContents"/>
              <w:bidi w:val="0"/>
              <w:spacing w:before="0" w:after="283"/>
              <w:jc w:val="left"/>
              <w:rPr>
                <w:sz w:val="4"/>
                <w:szCs w:val="4"/>
              </w:rPr>
            </w:pPr>
            <w:r>
              <w:rPr>
                <w:sz w:val="4"/>
                <w:szCs w:val="4"/>
              </w:rPr>
            </w:r>
          </w:p>
        </w:tc>
      </w:tr>
      <w:tr>
        <w:trPr/>
        <w:tc>
          <w:tcPr>
            <w:tcW w:w="4205"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5" w:type="dxa"/>
            <w:gridSpan w:val="3"/>
            <w:tcBorders/>
            <w:vAlign w:val="center"/>
          </w:tcPr>
          <w:p>
            <w:pPr>
              <w:pStyle w:val="TableContents"/>
              <w:bidi w:val="0"/>
              <w:spacing w:before="0" w:after="283"/>
              <w:jc w:val="left"/>
              <w:rPr>
                <w:sz w:val="4"/>
                <w:szCs w:val="4"/>
              </w:rPr>
            </w:pPr>
            <w:r>
              <w:rPr>
                <w:sz w:val="4"/>
                <w:szCs w:val="4"/>
              </w:rPr>
            </w:r>
          </w:p>
        </w:tc>
      </w:tr>
      <w:tr>
        <w:trPr/>
        <w:tc>
          <w:tcPr>
            <w:tcW w:w="4205"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5" w:type="dxa"/>
            <w:gridSpan w:val="3"/>
            <w:tcBorders/>
            <w:vAlign w:val="center"/>
          </w:tcPr>
          <w:p>
            <w:pPr>
              <w:pStyle w:val="TableContents"/>
              <w:bidi w:val="0"/>
              <w:spacing w:before="0" w:after="283"/>
              <w:jc w:val="left"/>
              <w:rPr>
                <w:sz w:val="4"/>
                <w:szCs w:val="4"/>
              </w:rPr>
            </w:pPr>
            <w:r>
              <w:rPr>
                <w:sz w:val="4"/>
                <w:szCs w:val="4"/>
              </w:rPr>
            </w:r>
          </w:p>
        </w:tc>
      </w:tr>
      <w:tr>
        <w:trPr/>
        <w:tc>
          <w:tcPr>
            <w:tcW w:w="4205"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5" w:type="dxa"/>
            <w:gridSpan w:val="3"/>
            <w:tcBorders/>
            <w:vAlign w:val="center"/>
          </w:tcPr>
          <w:p>
            <w:pPr>
              <w:pStyle w:val="TableContents"/>
              <w:bidi w:val="0"/>
              <w:spacing w:before="0" w:after="283"/>
              <w:jc w:val="left"/>
              <w:rPr>
                <w:sz w:val="4"/>
                <w:szCs w:val="4"/>
              </w:rPr>
            </w:pPr>
            <w:r>
              <w:rPr>
                <w:sz w:val="4"/>
                <w:szCs w:val="4"/>
              </w:rPr>
            </w:r>
          </w:p>
        </w:tc>
      </w:tr>
      <w:tr>
        <w:trPr/>
        <w:tc>
          <w:tcPr>
            <w:tcW w:w="4205"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5" w:type="dxa"/>
            <w:gridSpan w:val="3"/>
            <w:tcBorders/>
            <w:vAlign w:val="center"/>
          </w:tcPr>
          <w:p>
            <w:pPr>
              <w:pStyle w:val="TableContents"/>
              <w:bidi w:val="0"/>
              <w:spacing w:before="0" w:after="283"/>
              <w:jc w:val="left"/>
              <w:rPr>
                <w:sz w:val="4"/>
                <w:szCs w:val="4"/>
              </w:rPr>
            </w:pPr>
            <w:r>
              <w:rPr>
                <w:sz w:val="4"/>
                <w:szCs w:val="4"/>
              </w:rPr>
            </w:r>
          </w:p>
        </w:tc>
      </w:tr>
      <w:tr>
        <w:trPr/>
        <w:tc>
          <w:tcPr>
            <w:tcW w:w="4205"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5" w:type="dxa"/>
            <w:gridSpan w:val="3"/>
            <w:tcBorders/>
            <w:vAlign w:val="center"/>
          </w:tcPr>
          <w:p>
            <w:pPr>
              <w:pStyle w:val="TableContents"/>
              <w:bidi w:val="0"/>
              <w:spacing w:before="0" w:after="283"/>
              <w:jc w:val="left"/>
              <w:rPr>
                <w:sz w:val="4"/>
                <w:szCs w:val="4"/>
              </w:rPr>
            </w:pPr>
            <w:r>
              <w:rPr>
                <w:sz w:val="4"/>
                <w:szCs w:val="4"/>
              </w:rPr>
            </w:r>
          </w:p>
        </w:tc>
      </w:tr>
      <w:tr>
        <w:trPr/>
        <w:tc>
          <w:tcPr>
            <w:tcW w:w="4205"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5" w:type="dxa"/>
            <w:gridSpan w:val="3"/>
            <w:tcBorders/>
            <w:vAlign w:val="center"/>
          </w:tcPr>
          <w:p>
            <w:pPr>
              <w:pStyle w:val="TableContents"/>
              <w:bidi w:val="0"/>
              <w:spacing w:before="0" w:after="283"/>
              <w:jc w:val="left"/>
              <w:rPr>
                <w:sz w:val="4"/>
                <w:szCs w:val="4"/>
              </w:rPr>
            </w:pPr>
            <w:r>
              <w:rPr>
                <w:sz w:val="4"/>
                <w:szCs w:val="4"/>
              </w:rPr>
            </w:r>
          </w:p>
        </w:tc>
      </w:tr>
      <w:tr>
        <w:trPr/>
        <w:tc>
          <w:tcPr>
            <w:tcW w:w="4205"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5" w:type="dxa"/>
            <w:gridSpan w:val="3"/>
            <w:tcBorders/>
            <w:vAlign w:val="center"/>
          </w:tcPr>
          <w:p>
            <w:pPr>
              <w:pStyle w:val="TableContents"/>
              <w:bidi w:val="0"/>
              <w:spacing w:before="0" w:after="283"/>
              <w:jc w:val="left"/>
              <w:rPr>
                <w:sz w:val="4"/>
                <w:szCs w:val="4"/>
              </w:rPr>
            </w:pPr>
            <w:r>
              <w:rPr>
                <w:sz w:val="4"/>
                <w:szCs w:val="4"/>
              </w:rPr>
            </w:r>
          </w:p>
        </w:tc>
      </w:tr>
      <w:tr>
        <w:trPr/>
        <w:tc>
          <w:tcPr>
            <w:tcW w:w="4205"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5" w:type="dxa"/>
            <w:gridSpan w:val="3"/>
            <w:tcBorders/>
            <w:vAlign w:val="center"/>
          </w:tcPr>
          <w:p>
            <w:pPr>
              <w:pStyle w:val="TableContents"/>
              <w:bidi w:val="0"/>
              <w:spacing w:before="0" w:after="283"/>
              <w:jc w:val="left"/>
              <w:rPr>
                <w:sz w:val="4"/>
                <w:szCs w:val="4"/>
              </w:rPr>
            </w:pPr>
            <w:r>
              <w:rPr>
                <w:sz w:val="4"/>
                <w:szCs w:val="4"/>
              </w:rPr>
            </w:r>
          </w:p>
        </w:tc>
      </w:tr>
      <w:tr>
        <w:trPr/>
        <w:tc>
          <w:tcPr>
            <w:tcW w:w="4205"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5" w:type="dxa"/>
            <w:gridSpan w:val="3"/>
            <w:tcBorders/>
            <w:vAlign w:val="center"/>
          </w:tcPr>
          <w:p>
            <w:pPr>
              <w:pStyle w:val="TableContents"/>
              <w:bidi w:val="0"/>
              <w:spacing w:before="0" w:after="283"/>
              <w:jc w:val="left"/>
              <w:rPr>
                <w:sz w:val="4"/>
                <w:szCs w:val="4"/>
              </w:rPr>
            </w:pPr>
            <w:r>
              <w:rPr>
                <w:sz w:val="4"/>
                <w:szCs w:val="4"/>
              </w:rPr>
            </w:r>
          </w:p>
        </w:tc>
      </w:tr>
      <w:tr>
        <w:trPr/>
        <w:tc>
          <w:tcPr>
            <w:tcW w:w="4205"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5" w:type="dxa"/>
            <w:gridSpan w:val="3"/>
            <w:tcBorders/>
            <w:vAlign w:val="center"/>
          </w:tcPr>
          <w:p>
            <w:pPr>
              <w:pStyle w:val="TableContents"/>
              <w:bidi w:val="0"/>
              <w:spacing w:before="0" w:after="283"/>
              <w:jc w:val="left"/>
              <w:rPr>
                <w:sz w:val="4"/>
                <w:szCs w:val="4"/>
              </w:rPr>
            </w:pPr>
            <w:r>
              <w:rPr>
                <w:sz w:val="4"/>
                <w:szCs w:val="4"/>
              </w:rPr>
            </w:r>
          </w:p>
        </w:tc>
      </w:tr>
      <w:tr>
        <w:trPr/>
        <w:tc>
          <w:tcPr>
            <w:tcW w:w="4205"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5" w:type="dxa"/>
            <w:gridSpan w:val="3"/>
            <w:tcBorders/>
            <w:vAlign w:val="center"/>
          </w:tcPr>
          <w:p>
            <w:pPr>
              <w:pStyle w:val="TableContents"/>
              <w:bidi w:val="0"/>
              <w:spacing w:before="0" w:after="283"/>
              <w:jc w:val="left"/>
              <w:rPr>
                <w:sz w:val="4"/>
                <w:szCs w:val="4"/>
              </w:rPr>
            </w:pPr>
            <w:r>
              <w:rPr>
                <w:sz w:val="4"/>
                <w:szCs w:val="4"/>
              </w:rPr>
            </w:r>
          </w:p>
        </w:tc>
      </w:tr>
      <w:tr>
        <w:trPr/>
        <w:tc>
          <w:tcPr>
            <w:tcW w:w="42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5" w:type="dxa"/>
            <w:gridSpan w:val="3"/>
            <w:tcBorders/>
            <w:shd w:fill="CCEEFF" w:val="clear"/>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color w:val="000000"/>
                <w:sz w:val="20"/>
              </w:rPr>
            </w:pPr>
            <w:r>
              <w:rPr>
                <w:rFonts w:ascii="Times New Roman;serif" w:hAnsi="Times New Roman;serif"/>
                <w:b/>
                <w:color w:val="000000"/>
                <w:sz w:val="20"/>
              </w:rPr>
              <w:t>Free cash flow</w:t>
            </w:r>
          </w:p>
        </w:tc>
        <w:tc>
          <w:tcPr>
            <w:tcW w:w="12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5" w:type="dxa"/>
            <w:gridSpan w:val="3"/>
            <w:tcBorders/>
            <w:shd w:fill="FFFFFF" w:val="clear"/>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provided by operating activities</w:t>
            </w:r>
          </w:p>
        </w:tc>
        <w:tc>
          <w:tcPr>
            <w:tcW w:w="211" w:type="dxa"/>
            <w:tcBorders/>
            <w:shd w:fill="FFFFFF" w:val="clear"/>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17,736 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34,199 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6" w:type="dxa"/>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72,056 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115,604 </w:t>
            </w:r>
          </w:p>
        </w:tc>
        <w:tc>
          <w:tcPr>
            <w:tcW w:w="3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5" w:type="dxa"/>
            <w:gridSpan w:val="3"/>
            <w:tcBorders/>
            <w:shd w:fill="CCEEFF" w:val="clear"/>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20"/>
              </w:rPr>
            </w:pPr>
            <w:r>
              <w:rPr>
                <w:rFonts w:ascii="Times New Roman;serif" w:hAnsi="Times New Roman;serif"/>
                <w:b w:val="false"/>
                <w:color w:val="000000"/>
                <w:sz w:val="20"/>
              </w:rPr>
              <w:t>Purchases of property and equipment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(5,148)</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(195)</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(6,866)</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(809)</w:t>
            </w:r>
          </w:p>
        </w:tc>
        <w:tc>
          <w:tcPr>
            <w:tcW w:w="3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5" w:type="dxa"/>
            <w:gridSpan w:val="3"/>
            <w:tcBorders/>
            <w:shd w:fill="FFFFFF" w:val="clear"/>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color w:val="000000"/>
                <w:sz w:val="20"/>
              </w:rPr>
            </w:pPr>
            <w:r>
              <w:rPr>
                <w:rFonts w:ascii="Times New Roman;serif" w:hAnsi="Times New Roman;serif"/>
                <w:b/>
                <w:color w:val="000000"/>
                <w:sz w:val="20"/>
              </w:rPr>
              <w:t>Free cash flow</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12,588 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34,004 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65,190 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114,795 </w:t>
            </w:r>
          </w:p>
        </w:tc>
        <w:tc>
          <w:tcPr>
            <w:tcW w:w="31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Principal payments on financing obligations</w:t>
            </w:r>
            <w:r>
              <w:rPr>
                <w:rFonts w:ascii="Times New Roman;serif" w:hAnsi="Times New Roman;serif"/>
                <w:b w:val="false"/>
                <w:color w:val="000000"/>
                <w:sz w:val="13"/>
              </w:rPr>
              <w:t>2</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(414)</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(326)</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(824)</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(647)</w:t>
            </w:r>
          </w:p>
        </w:tc>
        <w:tc>
          <w:tcPr>
            <w:tcW w:w="3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5" w:type="dxa"/>
            <w:gridSpan w:val="3"/>
            <w:tcBorders/>
            <w:shd w:fill="FFFFFF" w:val="clear"/>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color w:val="000000"/>
                <w:sz w:val="20"/>
              </w:rPr>
            </w:pPr>
            <w:r>
              <w:rPr>
                <w:rFonts w:ascii="Times New Roman;serif" w:hAnsi="Times New Roman;serif"/>
                <w:b/>
                <w:color w:val="000000"/>
                <w:sz w:val="20"/>
              </w:rPr>
              <w:t>Free cash flow less principal payments on financing obligations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19"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12,174 </w:t>
            </w:r>
          </w:p>
        </w:tc>
        <w:tc>
          <w:tcPr>
            <w:tcW w:w="2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19"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33,678 </w:t>
            </w:r>
          </w:p>
        </w:tc>
        <w:tc>
          <w:tcPr>
            <w:tcW w:w="2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19"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64,366 </w:t>
            </w:r>
          </w:p>
        </w:tc>
        <w:tc>
          <w:tcPr>
            <w:tcW w:w="2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19"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114,148 </w:t>
            </w:r>
          </w:p>
        </w:tc>
        <w:tc>
          <w:tcPr>
            <w:tcW w:w="31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pPr>
      <w:r>
        <w:rPr>
          <w:rFonts w:ascii="Times New Roman;serif" w:hAnsi="Times New Roman;serif"/>
          <w:b w:val="false"/>
          <w:color w:val="000000"/>
          <w:sz w:val="13"/>
        </w:rPr>
        <w:t>1</w:t>
      </w:r>
      <w:r>
        <w:rPr>
          <w:rFonts w:ascii="Times New Roman;serif" w:hAnsi="Times New Roman;serif"/>
          <w:b w:val="false"/>
          <w:color w:val="000000"/>
          <w:sz w:val="20"/>
        </w:rPr>
        <w:t>Columns may not foot due to rounding.</w:t>
      </w:r>
    </w:p>
    <w:p>
      <w:pPr>
        <w:pStyle w:val="TextBody"/>
        <w:bidi w:val="0"/>
        <w:spacing w:lineRule="auto" w:line="288" w:before="0" w:after="0"/>
        <w:jc w:val="left"/>
        <w:rPr/>
      </w:pPr>
      <w:r>
        <w:rPr>
          <w:rFonts w:ascii="Times New Roman;serif" w:hAnsi="Times New Roman;serif"/>
          <w:b w:val="false"/>
          <w:color w:val="000000"/>
          <w:sz w:val="13"/>
        </w:rPr>
        <w:t>2</w:t>
      </w:r>
      <w:r>
        <w:rPr>
          <w:rFonts w:ascii="Times New Roman;serif" w:hAnsi="Times New Roman;serif"/>
          <w:b w:val="false"/>
          <w:color w:val="000000"/>
          <w:sz w:val="20"/>
        </w:rPr>
        <w:t xml:space="preserve">These amounts represent the non-interest component of payments towards financing obligations for facilities. </w:t>
      </w:r>
    </w:p>
    <w:p>
      <w:pPr>
        <w:pStyle w:val="TextBody"/>
        <w:bidi w:val="0"/>
        <w:spacing w:before="0" w:after="0"/>
        <w:jc w:val="left"/>
        <w:rPr/>
      </w:pPr>
      <w:r>
        <w:rPr/>
      </w:r>
    </w:p>
    <w:p>
      <w:pPr>
        <w:pStyle w:val="TextBody"/>
        <w:bidi w:val="0"/>
        <w:spacing w:before="0" w:after="283"/>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75260"/>
                <wp:effectExtent l="0" t="0" r="0" b="0"/>
                <wp:wrapNone/>
                <wp:docPr id="16" name="Frame1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sans-serif">
    <w:altName w:val="Arial"/>
    <w:charset w:val="01"/>
    <w:family w:val="auto"/>
    <w:pitch w:val="default"/>
  </w:font>
  <w:font w:name="Arial">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13</Pages>
  <Words>4755</Words>
  <Characters>28087</Characters>
  <CharactersWithSpaces>32322</CharactersWithSpaces>
  <Paragraphs>967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