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20, 2025</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nCino,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240"/>
          </w:cols>
          <w:pgMar w:left="320" w:top="1204" w:right="339" w:bottom="1440" w:gutter="0" w:footer="0" w:header="0"/>
        </w:sectPr>
      </w:pPr>
    </w:p>
    <w:p>
      <w:pPr>
        <w:spacing w:after="0" w:line="334"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001-41211</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87-4154342</w:t>
      </w:r>
    </w:p>
    <w:p>
      <w:pPr>
        <w:spacing w:after="0" w:line="50" w:lineRule="exact"/>
        <w:rPr>
          <w:sz w:val="24"/>
          <w:szCs w:val="24"/>
          <w:color w:val="auto"/>
        </w:rPr>
      </w:pPr>
    </w:p>
    <w:p>
      <w:pPr>
        <w:sectPr>
          <w:pgSz w:w="11900" w:h="16838" w:orient="portrait"/>
          <w:cols w:equalWidth="0" w:num="3">
            <w:col w:w="4520" w:space="720"/>
            <w:col w:w="2940" w:space="720"/>
            <w:col w:w="2340"/>
          </w:cols>
          <w:pgMar w:left="320" w:top="1204" w:right="3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9" w:lineRule="exact"/>
        <w:rPr>
          <w:sz w:val="24"/>
          <w:szCs w:val="24"/>
          <w:color w:val="auto"/>
        </w:rPr>
      </w:pPr>
    </w:p>
    <w:p>
      <w:pPr>
        <w:sectPr>
          <w:pgSz w:w="11900" w:h="16838" w:orient="portrait"/>
          <w:cols w:equalWidth="0" w:num="3">
            <w:col w:w="4060" w:space="720"/>
            <w:col w:w="3340" w:space="720"/>
            <w:col w:w="2400"/>
          </w:cols>
          <w:pgMar w:left="320" w:top="1204" w:right="339"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5" w:lineRule="exact"/>
        <w:rPr>
          <w:sz w:val="24"/>
          <w:szCs w:val="24"/>
          <w:color w:val="auto"/>
        </w:rPr>
      </w:pPr>
    </w:p>
    <w:p>
      <w:pPr>
        <w:sectPr>
          <w:pgSz w:w="11900" w:h="16838" w:orient="portrait"/>
          <w:cols w:equalWidth="0" w:num="2">
            <w:col w:w="8020" w:space="720"/>
            <w:col w:w="2500"/>
          </w:cols>
          <w:pgMar w:left="320" w:top="1204"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6770 Parker Farm Drive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Wilmington, North Carolina 28405</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(888) 676-2466</w:t>
      </w: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204" w:right="339" w:bottom="1440" w:gutter="0" w:footer="0" w:header="0"/>
          <w:type w:val="continuous"/>
        </w:sectPr>
      </w:pP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48"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6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499"/>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Pr>
          <w:p>
            <w:pPr>
              <w:spacing w:after="0"/>
              <w:rPr>
                <w:sz w:val="24"/>
                <w:szCs w:val="24"/>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00" w:type="dxa"/>
            <w:vAlign w:val="bottom"/>
          </w:tcPr>
          <w:p>
            <w:pPr>
              <w:spacing w:after="0"/>
              <w:rPr>
                <w:sz w:val="24"/>
                <w:szCs w:val="24"/>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3"/>
        </w:trPr>
        <w:tc>
          <w:tcPr>
            <w:tcW w:w="4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Common Stock, par value $0.0005 per share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NCNO</w:t>
            </w:r>
          </w:p>
        </w:tc>
        <w:tc>
          <w:tcPr>
            <w:tcW w:w="4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357" w:lineRule="exact"/>
        <w:rPr>
          <w:sz w:val="24"/>
          <w:szCs w:val="24"/>
          <w:color w:val="auto"/>
        </w:rPr>
      </w:pPr>
    </w:p>
    <w:p>
      <w:pPr>
        <w:ind w:right="60"/>
        <w:spacing w:after="0" w:line="33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325" w:lineRule="exact"/>
        <w:rPr>
          <w:sz w:val="24"/>
          <w:szCs w:val="24"/>
          <w:color w:val="auto"/>
        </w:rPr>
      </w:pPr>
    </w:p>
    <w:p>
      <w:pPr>
        <w:ind w:right="580"/>
        <w:spacing w:after="0" w:line="23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20, 2025, nCino, Inc. (the “Company”) issued a press release announcing certain unaudited preliminary financial results for its first quarter ended April 30, 2025. A copy of the press release is furnished herewith as Exhibit 99.1 to this Current Report on Form 8-K and is incorporated herein by reference. The unaudited financial information provided in the press release is based on preliminary results and information as of the date hereof and is subject to revision in connection with the Company's financial closing procedures and finalization of the Company's financial statements for the first quarter of fiscal 2026.</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Current Report on Form 8-K and the accompanying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regardless of any general incorporation language in such filing, unless expressly incorporated by reference in such filing.</w:t>
      </w:r>
    </w:p>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21"/>
                <w:szCs w:val="21"/>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of nCino, Inc. dated May 20, 2025 (furnished and not filed)</w:t>
            </w:r>
          </w:p>
        </w:tc>
      </w:tr>
      <w:tr>
        <w:trPr>
          <w:trHeight w:val="20"/>
        </w:trPr>
        <w:tc>
          <w:tcPr>
            <w:tcW w:w="9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40" w:type="dxa"/>
            <w:vAlign w:val="bottom"/>
            <w:gridSpan w:val="2"/>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9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08"/>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97"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4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67" w:lineRule="exact"/>
        <w:rPr>
          <w:sz w:val="20"/>
          <w:szCs w:val="20"/>
          <w:color w:val="auto"/>
        </w:rPr>
      </w:pPr>
    </w:p>
    <w:p>
      <w:pPr>
        <w:ind w:left="20"/>
        <w:spacing w:after="0"/>
        <w:tabs>
          <w:tab w:leader="none" w:pos="5000" w:val="left"/>
          <w:tab w:leader="none" w:pos="5580" w:val="left"/>
        </w:tabs>
        <w:rPr>
          <w:sz w:val="20"/>
          <w:szCs w:val="20"/>
          <w:color w:val="auto"/>
        </w:rPr>
      </w:pPr>
      <w:r>
        <w:rPr>
          <w:rFonts w:ascii="Times New Roman" w:cs="Times New Roman" w:eastAsia="Times New Roman" w:hAnsi="Times New Roman"/>
          <w:sz w:val="18"/>
          <w:szCs w:val="18"/>
          <w:color w:val="auto"/>
        </w:rPr>
        <w:t>Date: May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Gregory D. 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34290</wp:posOffset>
            </wp:positionV>
            <wp:extent cx="3591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Gregory D. Orenstein</w:t>
      </w:r>
    </w:p>
    <w:p>
      <w:pPr>
        <w:spacing w:after="0" w:line="6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Financial Officer &amp; Treasurer</w:t>
      </w:r>
    </w:p>
    <w:p>
      <w:pPr>
        <w:sectPr>
          <w:pgSz w:w="11900" w:h="16838" w:orient="portrait"/>
          <w:cols w:equalWidth="0" w:num="1">
            <w:col w:w="11200"/>
          </w:cols>
          <w:pgMar w:left="320" w:top="1103"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645920" cy="48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340" w:right="200"/>
        <w:spacing w:after="0" w:line="287" w:lineRule="auto"/>
        <w:rPr>
          <w:sz w:val="20"/>
          <w:szCs w:val="20"/>
          <w:color w:val="auto"/>
        </w:rPr>
      </w:pPr>
      <w:r>
        <w:rPr>
          <w:rFonts w:ascii="Arial" w:cs="Arial" w:eastAsia="Arial" w:hAnsi="Arial"/>
          <w:sz w:val="25"/>
          <w:szCs w:val="25"/>
          <w:b w:val="1"/>
          <w:bCs w:val="1"/>
          <w:color w:val="auto"/>
        </w:rPr>
        <w:t>nCino Announces Preliminary First Quarter Fiscal Year 2026 Financial Results Exceed Top End of Guidance</w:t>
      </w:r>
    </w:p>
    <w:p>
      <w:pPr>
        <w:spacing w:after="0" w:line="245" w:lineRule="exact"/>
        <w:rPr>
          <w:sz w:val="20"/>
          <w:szCs w:val="20"/>
          <w:color w:val="auto"/>
        </w:rPr>
      </w:pPr>
    </w:p>
    <w:p>
      <w:pPr>
        <w:ind w:right="180"/>
        <w:spacing w:after="0" w:line="269" w:lineRule="auto"/>
        <w:rPr>
          <w:sz w:val="20"/>
          <w:szCs w:val="20"/>
          <w:color w:val="auto"/>
        </w:rPr>
      </w:pPr>
      <w:r>
        <w:rPr>
          <w:rFonts w:ascii="Arial" w:cs="Arial" w:eastAsia="Arial" w:hAnsi="Arial"/>
          <w:sz w:val="19"/>
          <w:szCs w:val="19"/>
          <w:b w:val="1"/>
          <w:bCs w:val="1"/>
          <w:color w:val="auto"/>
        </w:rPr>
        <w:t xml:space="preserve">WILMINGTON, NC, </w:t>
      </w:r>
      <w:r>
        <w:rPr>
          <w:rFonts w:ascii="Arial" w:cs="Arial" w:eastAsia="Arial" w:hAnsi="Arial"/>
          <w:sz w:val="19"/>
          <w:szCs w:val="19"/>
          <w:color w:val="auto"/>
        </w:rPr>
        <w:t>May 20, 2025 -</w:t>
      </w:r>
      <w:r>
        <w:rPr>
          <w:rFonts w:ascii="Arial" w:cs="Arial" w:eastAsia="Arial" w:hAnsi="Arial"/>
          <w:sz w:val="19"/>
          <w:szCs w:val="19"/>
          <w:b w:val="1"/>
          <w:bCs w:val="1"/>
          <w:color w:val="auto"/>
        </w:rPr>
        <w:t xml:space="preserve"> </w:t>
      </w:r>
      <w:r>
        <w:rPr>
          <w:rFonts w:ascii="Arial" w:cs="Arial" w:eastAsia="Arial" w:hAnsi="Arial"/>
          <w:sz w:val="19"/>
          <w:szCs w:val="19"/>
          <w:color w:val="0563C1"/>
        </w:rPr>
        <w:t>nCino, Inc.</w:t>
      </w:r>
      <w:r>
        <w:rPr>
          <w:rFonts w:ascii="Arial" w:cs="Arial" w:eastAsia="Arial" w:hAnsi="Arial"/>
          <w:sz w:val="19"/>
          <w:szCs w:val="19"/>
          <w:b w:val="1"/>
          <w:bCs w:val="1"/>
          <w:color w:val="auto"/>
        </w:rPr>
        <w:t xml:space="preserve"> </w:t>
      </w:r>
      <w:r>
        <w:rPr>
          <w:rFonts w:ascii="Arial" w:cs="Arial" w:eastAsia="Arial" w:hAnsi="Arial"/>
          <w:sz w:val="19"/>
          <w:szCs w:val="19"/>
          <w:color w:val="auto"/>
        </w:rPr>
        <w:t>(NASDAQ: NCNO), the leading provider of intelligent, best-in-class banking</w:t>
      </w:r>
      <w:r>
        <w:rPr>
          <w:rFonts w:ascii="Arial" w:cs="Arial" w:eastAsia="Arial" w:hAnsi="Arial"/>
          <w:sz w:val="19"/>
          <w:szCs w:val="19"/>
          <w:b w:val="1"/>
          <w:bCs w:val="1"/>
          <w:color w:val="auto"/>
        </w:rPr>
        <w:t xml:space="preserve"> </w:t>
      </w:r>
      <w:r>
        <w:rPr>
          <w:rFonts w:ascii="Arial" w:cs="Arial" w:eastAsia="Arial" w:hAnsi="Arial"/>
          <w:sz w:val="19"/>
          <w:szCs w:val="19"/>
          <w:color w:val="auto"/>
        </w:rPr>
        <w:t>solutions, today announced that preliminary financial results for its first quarter ended April 30, 2025, exceed the top end of previously disclosed financial guidance ranges for Total Revenues, Subscription Revenues, and non-GAAP Operating Income.</w:t>
      </w:r>
    </w:p>
    <w:p>
      <w:pPr>
        <w:spacing w:after="0" w:line="226" w:lineRule="exact"/>
        <w:rPr>
          <w:sz w:val="20"/>
          <w:szCs w:val="20"/>
          <w:color w:val="auto"/>
        </w:rPr>
      </w:pPr>
    </w:p>
    <w:p>
      <w:pPr>
        <w:ind w:right="40"/>
        <w:spacing w:after="0" w:line="271" w:lineRule="auto"/>
        <w:rPr>
          <w:sz w:val="20"/>
          <w:szCs w:val="20"/>
          <w:color w:val="auto"/>
        </w:rPr>
      </w:pPr>
      <w:r>
        <w:rPr>
          <w:rFonts w:ascii="Arial" w:cs="Arial" w:eastAsia="Arial" w:hAnsi="Arial"/>
          <w:sz w:val="20"/>
          <w:szCs w:val="20"/>
          <w:color w:val="auto"/>
        </w:rPr>
        <w:t>The Company will report its first quarter fiscal 2026 results after the market closes on Wednesday, May 28, 2025. The results for the metrics disclosed above in this press release are preliminary, unaudited and subject to change.</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Upcoming Investor Day</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nCino will be hosting its Investor Day later today, May 20, 2025 at 1:00 p.m. ET. Investor Day will be webcast live on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Company’s Investor Relations website: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0563C1"/>
        </w:rPr>
        <w:t>https://investor.ncino.com/events/event-details/ncino-investor-day</w:t>
      </w:r>
    </w:p>
    <w:p>
      <w:pPr>
        <w:spacing w:after="0" w:line="297" w:lineRule="exact"/>
        <w:rPr>
          <w:sz w:val="20"/>
          <w:szCs w:val="20"/>
          <w:color w:val="auto"/>
        </w:rPr>
      </w:pPr>
    </w:p>
    <w:p>
      <w:pPr>
        <w:ind w:right="680"/>
        <w:spacing w:after="0" w:line="257" w:lineRule="auto"/>
        <w:rPr>
          <w:sz w:val="20"/>
          <w:szCs w:val="20"/>
          <w:color w:val="auto"/>
        </w:rPr>
      </w:pPr>
      <w:r>
        <w:rPr>
          <w:rFonts w:ascii="Arial" w:cs="Arial" w:eastAsia="Arial" w:hAnsi="Arial"/>
          <w:sz w:val="20"/>
          <w:szCs w:val="20"/>
          <w:color w:val="auto"/>
        </w:rPr>
        <w:t>A replay of the event and related presentation materials will also be made available on the Company’s Investor Relations website.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nCino</w:t>
      </w:r>
      <w:r>
        <w:rPr>
          <w:rFonts w:ascii="Arial" w:cs="Arial" w:eastAsia="Arial" w:hAnsi="Arial"/>
          <w:sz w:val="20"/>
          <w:szCs w:val="20"/>
          <w:color w:val="auto"/>
        </w:rPr>
        <w:t> </w:t>
      </w:r>
    </w:p>
    <w:p>
      <w:pPr>
        <w:spacing w:after="0" w:line="43"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color w:val="auto"/>
        </w:rPr>
        <w:t xml:space="preserve">nCino (NASDAQ: NCNO) is powering a new era in financial services. The Company was founded to help financial institutions digitize and reengineer business processes to boost efficiencies and create better banking experiences. With over 2,700 customers worldwide - including community banks, credit unions, independent mortgage banks, and the largest financial entities globally - nCino offers a trusted platform of best-in-class, intelligent solutions. By integrating artificial intelligence and actionable insights into its platform, nCino is helping financial institutions consolidate legacy systems to enhance strategic decision-making, improve risk management, and elevate customer satisfaction by cohesively bringing together people, AI and data. For more information, visit </w:t>
      </w:r>
      <w:r>
        <w:rPr>
          <w:rFonts w:ascii="Arial" w:cs="Arial" w:eastAsia="Arial" w:hAnsi="Arial"/>
          <w:sz w:val="20"/>
          <w:szCs w:val="20"/>
          <w:color w:val="0563C1"/>
        </w:rPr>
        <w:t>www.ncino.com</w:t>
      </w:r>
      <w:r>
        <w:rPr>
          <w:rFonts w:ascii="Arial" w:cs="Arial" w:eastAsia="Arial" w:hAnsi="Arial"/>
          <w:sz w:val="20"/>
          <w:szCs w:val="20"/>
          <w:color w:val="auto"/>
        </w:rPr>
        <w:t>.   </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Harrison Masters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0563C1"/>
        </w:rPr>
        <w:t>Harrison.masters@ncino.com</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Natalia Moose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0563C1"/>
        </w:rPr>
        <w:t>press@ncino.com</w:t>
      </w:r>
    </w:p>
    <w:p>
      <w:pPr>
        <w:sectPr>
          <w:pgSz w:w="11900" w:h="16838" w:orient="portrait"/>
          <w:cols w:equalWidth="0" w:num="1">
            <w:col w:w="11240"/>
          </w:cols>
          <w:pgMar w:left="320" w:top="368" w:right="339" w:bottom="1440" w:gutter="0" w:footer="0" w:header="0"/>
        </w:sectPr>
      </w:pPr>
    </w:p>
    <w:bookmarkStart w:id="4" w:name="page5"/>
    <w:bookmarkEnd w:id="4"/>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645920" cy="488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45920" cy="4883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5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press release contains forward-looking statements about nCino's expectations for its announced financial and operating results for the three months ended April 30, 2025. Forward-looking statements generally include actions, events, results, strategies and expectations and are often identifiable by use of the words “believes,” “expects,” “intends,” “anticipates,” “plans,” “seeks,” “estimates,” “projects,” “may,” “will,” “could,” “might,” or “continues” or similar expressions and the negatives thereof. Any forward -looking statements contained in this press release are based upon nCino’s historical performance and its current plans, estimates, and expectations and are not a representation that such plans, estimates, or expectations will be achieved. These forward-looking statements represent nCino’s expectations as of the date of this press release. Subsequent events may cause these expectations to change and, except as may be required by law, nCino does not undertake any obligation to update or revise these forward-looking statements. These forward-looking statements are subject to known and unknown risks and uncertainties that may cause actual results to differ materially including, but not limited to risks associated with (i) adverse</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changes in the financial services industry, including as a result of customer consolidation or bank failures; (ii) adverse changes in economic, regulatory, or market conditions, including as a direct or indirect consequence of higher interest rates; (iii) risks associated with acquisitions</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we undertake, (iv) breaches in our security measures or unauthorized access to our customers’ or their clients' data; (v) the accuracy of management’s assumptions and estimates; (vi) our ability to attract new customers and succeed in having current customers expand their use of our solution, including in connection with our migration to an asset-based pricing model; (vii) competitive factors, including pricing pressures and migration to asset-based pricing, consolidation among competitors, entry of new competitors, the launch of new products and marketing initiatives by our competitors, and difficulty securing rights to access or integrate with third party products or data used by our customers; (viii) the rate of adoption of our newer solutions and the results of our efforts to sustain or expand the use and adoption of our more established solutions; (ix) fluctuation of our results of operations, which may make period-to-period comparisons less meaningful; (x) our ability to manage our growth effectively including expanding outside of the United States; (xi) adverse changes in our relationship with Salesforce; (xii) our ability to successfully acquire new companies and/or integrate acquisitions into our existing organization; (xiii) the loss of one or more customers, particularly any of our larger customers, or a reduction in the number of users our customers purchase access and use rights for; (xiv) system unavailability, system performance problems, or loss of data due to disruptions or other problems with our</w:t>
      </w:r>
    </w:p>
    <w:p>
      <w:pPr>
        <w:spacing w:after="0" w:line="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computing infrastructure or the infrastructure we rely on that is operated by third parties; (xv) our ability to maintain our corporate culture and attract and retain highly skilled employees; and (xvi) the outcome and impact of legal proceedings and related fees and expenses.</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2025-05-20T08:08:23Z</dcterms:created>
  <dcterms:modified xsi:type="dcterms:W3CDTF">2025-05-20T08:08:23Z</dcterms:modified>
</cp:coreProperties>
</file>