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123" w:lineRule="exact"/>
        <w:rPr>
          <w:sz w:val="24"/>
          <w:szCs w:val="24"/>
          <w:color w:val="auto"/>
        </w:rPr>
      </w:pPr>
    </w:p>
    <w:p>
      <w:pPr>
        <w:ind w:left="4240" w:right="1820" w:hanging="2411"/>
        <w:spacing w:after="0" w:line="269" w:lineRule="auto"/>
        <w:tabs>
          <w:tab w:leader="none" w:pos="2098"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July 31, 2022</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4" w:lineRule="exact"/>
        <w:rPr>
          <w:rFonts w:ascii="MS PGothic" w:cs="MS PGothic" w:eastAsia="MS PGothic" w:hAnsi="MS PGothic"/>
          <w:sz w:val="14"/>
          <w:szCs w:val="14"/>
          <w:color w:val="auto"/>
        </w:rPr>
      </w:pPr>
    </w:p>
    <w:p>
      <w:pPr>
        <w:ind w:left="4460" w:right="1820" w:hanging="2635"/>
        <w:spacing w:after="0" w:line="261" w:lineRule="auto"/>
        <w:tabs>
          <w:tab w:leader="none" w:pos="210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31"/>
                <w:szCs w:val="31"/>
                <w:b w:val="1"/>
                <w:bCs w:val="1"/>
                <w:color w:val="auto"/>
                <w:w w:val="92"/>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3"/>
              </w:rPr>
              <w:t>(Exact name of Registrant as specified in its charter)</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249"/>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Arial" w:cs="Arial" w:eastAsia="Arial" w:hAnsi="Arial"/>
                <w:sz w:val="16"/>
                <w:szCs w:val="16"/>
                <w:b w:val="1"/>
                <w:bCs w:val="1"/>
                <w:color w:val="auto"/>
                <w:w w:val="91"/>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Arial" w:cs="Arial" w:eastAsia="Arial" w:hAnsi="Arial"/>
                <w:sz w:val="16"/>
                <w:szCs w:val="16"/>
                <w:b w:val="1"/>
                <w:bCs w:val="1"/>
                <w:color w:val="auto"/>
                <w:w w:val="91"/>
              </w:rPr>
              <w:t>87-4154342</w:t>
            </w:r>
          </w:p>
        </w:tc>
      </w:tr>
      <w:tr>
        <w:trPr>
          <w:trHeight w:val="172"/>
        </w:trPr>
        <w:tc>
          <w:tcPr>
            <w:tcW w:w="3660" w:type="dxa"/>
            <w:vAlign w:val="bottom"/>
            <w:gridSpan w:val="3"/>
          </w:tcPr>
          <w:p>
            <w:pPr>
              <w:jc w:val="center"/>
              <w:ind w:left="4"/>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3660" w:type="dxa"/>
            <w:vAlign w:val="bottom"/>
            <w:gridSpan w:val="3"/>
          </w:tcPr>
          <w:p>
            <w:pPr>
              <w:jc w:val="center"/>
              <w:ind w:left="24"/>
              <w:spacing w:after="0"/>
              <w:rPr>
                <w:sz w:val="20"/>
                <w:szCs w:val="20"/>
                <w:color w:val="auto"/>
              </w:rPr>
            </w:pPr>
            <w:r>
              <w:rPr>
                <w:rFonts w:ascii="Arial" w:cs="Arial" w:eastAsia="Arial" w:hAnsi="Arial"/>
                <w:sz w:val="16"/>
                <w:szCs w:val="16"/>
                <w:i w:val="1"/>
                <w:iCs w:val="1"/>
                <w:color w:val="auto"/>
                <w:w w:val="96"/>
              </w:rPr>
              <w:t>incorporation or organization)</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i w:val="1"/>
                <w:iCs w:val="1"/>
                <w:color w:val="auto"/>
                <w:w w:val="96"/>
              </w:rPr>
              <w:t>Identification No.)</w:t>
            </w:r>
          </w:p>
        </w:tc>
      </w:tr>
      <w:tr>
        <w:trPr>
          <w:trHeight w:val="276"/>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5"/>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4"/>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4"/>
              </w:rPr>
              <w:t>Wilmington, North Carolina 28405</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506"/>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Arial" w:cs="Arial" w:eastAsia="Arial" w:hAnsi="Arial"/>
                <w:sz w:val="16"/>
                <w:szCs w:val="16"/>
                <w:b w:val="1"/>
                <w:bCs w:val="1"/>
                <w:color w:val="auto"/>
                <w:w w:val="93"/>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2"/>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486"/>
        </w:trPr>
        <w:tc>
          <w:tcPr>
            <w:tcW w:w="36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040" w:type="dxa"/>
            <w:vAlign w:val="bottom"/>
            <w:gridSpan w:val="2"/>
          </w:tcPr>
          <w:p>
            <w:pPr>
              <w:jc w:val="center"/>
              <w:ind w:lef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1"/>
        </w:trPr>
        <w:tc>
          <w:tcPr>
            <w:tcW w:w="3660" w:type="dxa"/>
            <w:vAlign w:val="bottom"/>
            <w:gridSpan w:val="3"/>
          </w:tcPr>
          <w:p>
            <w:pPr>
              <w:jc w:val="center"/>
              <w:ind w:left="4"/>
              <w:spacing w:after="0"/>
              <w:rPr>
                <w:sz w:val="20"/>
                <w:szCs w:val="20"/>
                <w:color w:val="auto"/>
              </w:rPr>
            </w:pPr>
            <w:r>
              <w:rPr>
                <w:rFonts w:ascii="Arial" w:cs="Arial" w:eastAsia="Arial" w:hAnsi="Arial"/>
                <w:sz w:val="14"/>
                <w:szCs w:val="14"/>
                <w:color w:val="auto"/>
                <w:w w:val="91"/>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Arial" w:cs="Arial" w:eastAsia="Arial" w:hAnsi="Arial"/>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331" w:lineRule="exact"/>
        <w:rPr>
          <w:sz w:val="24"/>
          <w:szCs w:val="24"/>
          <w:color w:val="auto"/>
        </w:rPr>
      </w:pPr>
    </w:p>
    <w:p>
      <w:pPr>
        <w:ind w:right="220"/>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48"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o</w:t>
      </w:r>
    </w:p>
    <w:p>
      <w:pPr>
        <w:spacing w:after="0" w:line="275"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5"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355" w:lineRule="exact"/>
        <w:rPr>
          <w:sz w:val="24"/>
          <w:szCs w:val="24"/>
          <w:color w:val="auto"/>
        </w:rPr>
      </w:pPr>
    </w:p>
    <w:p>
      <w:pPr>
        <w:ind w:right="560"/>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7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110,850,723 shares of common stock, $0.0005 par value per share, as of August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15"/>
        </w:trPr>
        <w:tc>
          <w:tcPr>
            <w:tcW w:w="20" w:type="dxa"/>
            <w:vAlign w:val="bottom"/>
          </w:tcPr>
          <w:p>
            <w:pPr>
              <w:spacing w:after="0"/>
              <w:rPr>
                <w:sz w:val="18"/>
                <w:szCs w:val="18"/>
                <w:color w:val="auto"/>
              </w:rPr>
            </w:pPr>
          </w:p>
        </w:tc>
        <w:tc>
          <w:tcPr>
            <w:tcW w:w="10600" w:type="dxa"/>
            <w:vAlign w:val="bottom"/>
            <w:gridSpan w:val="24"/>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0000FF"/>
                <w:w w:val="94"/>
              </w:rPr>
              <w:t>Part I. Financial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700" w:type="dxa"/>
            <w:vAlign w:val="bottom"/>
            <w:gridSpan w:val="10"/>
          </w:tcPr>
          <w:p>
            <w:pPr>
              <w:spacing w:after="0"/>
              <w:rPr>
                <w:sz w:val="20"/>
                <w:szCs w:val="20"/>
                <w:color w:val="auto"/>
              </w:rPr>
            </w:pPr>
            <w:r>
              <w:rPr>
                <w:rFonts w:ascii="Arial" w:cs="Arial" w:eastAsia="Arial" w:hAnsi="Arial"/>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4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Condensed Consolidated Balance Sheets as of January 31, 2022 and July 31, 2022 (Unaudited)</w:t>
            </w:r>
          </w:p>
        </w:tc>
        <w:tc>
          <w:tcPr>
            <w:tcW w:w="28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and Six Months Ended July 31, 2021 and 2022</w:t>
            </w:r>
          </w:p>
        </w:tc>
        <w:tc>
          <w:tcPr>
            <w:tcW w:w="8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89"/>
              </w:rPr>
              <w:t>Unaudited Condensed Consolidated Statements of Comprehensive Loss for the Three and Six Months Ended July 31, 2021 and 2022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Unaudited Condensed Consolidated Statements of Stockholders' Equity for the Three and Six Months Ended July 31, 2021 and 2022</w:t>
            </w:r>
          </w:p>
        </w:tc>
        <w:tc>
          <w:tcPr>
            <w:tcW w:w="14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Unaudited Condensed Consolidated Statements of Cash Flows for the Six Months Ended July 31, 2021 and 2022</w:t>
            </w:r>
          </w:p>
        </w:tc>
        <w:tc>
          <w:tcPr>
            <w:tcW w:w="15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0000FF"/>
                <w:w w:val="97"/>
              </w:rPr>
              <w:t>Part II. Other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FF"/>
              </w:rPr>
              <w:t>Signatures</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firstLine="891"/>
        <w:spacing w:after="0" w:line="255" w:lineRule="auto"/>
        <w:rPr>
          <w:sz w:val="20"/>
          <w:szCs w:val="20"/>
          <w:color w:val="auto"/>
        </w:rPr>
      </w:pPr>
      <w:r>
        <w:rPr>
          <w:rFonts w:ascii="Arial" w:cs="Arial" w:eastAsia="Arial" w:hAnsi="Arial"/>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92" w:lineRule="exact"/>
        <w:rPr>
          <w:sz w:val="20"/>
          <w:szCs w:val="20"/>
          <w:color w:val="auto"/>
        </w:rPr>
      </w:pPr>
    </w:p>
    <w:p>
      <w:pPr>
        <w:ind w:right="20" w:firstLine="891"/>
        <w:spacing w:after="0" w:line="279"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71" w:lineRule="exact"/>
        <w:rPr>
          <w:sz w:val="20"/>
          <w:szCs w:val="20"/>
          <w:color w:val="auto"/>
        </w:rPr>
      </w:pPr>
    </w:p>
    <w:p>
      <w:pPr>
        <w:ind w:right="420" w:firstLine="891"/>
        <w:spacing w:after="0" w:line="263"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4"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As used in this report, the terms “nCino,” the “Company,” “Registrant,” “we,” “us,” and “our” mean nCino, Inc. and its subsidiaries unless the context indicates otherwise.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January 31, 2022</w:t>
            </w:r>
          </w:p>
        </w:tc>
        <w:tc>
          <w:tcPr>
            <w:tcW w:w="180" w:type="dxa"/>
            <w:vAlign w:val="bottom"/>
          </w:tcPr>
          <w:p>
            <w:pPr>
              <w:spacing w:after="0"/>
              <w:rPr>
                <w:sz w:val="16"/>
                <w:szCs w:val="16"/>
                <w:color w:val="auto"/>
              </w:rPr>
            </w:pPr>
          </w:p>
        </w:tc>
        <w:tc>
          <w:tcPr>
            <w:tcW w:w="11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July 31, 2022</w:t>
            </w:r>
          </w:p>
        </w:tc>
      </w:tr>
      <w:tr>
        <w:trPr>
          <w:trHeight w:val="26"/>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w w:val="96"/>
              </w:rPr>
              <w:t>Cash and cash equivalents (VIE: $4,183 and $2,954 at January 31, 2022 and July 31, 2022,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88,014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86,148</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2"/>
              </w:rPr>
              <w:t>Accounts receivable, less allowance for doubtful accounts of $151 and $301 at January 31, 2022 and July 31,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2022, respectively</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68,347</w:t>
            </w:r>
          </w:p>
        </w:tc>
      </w:tr>
      <w:tr>
        <w:trPr>
          <w:trHeight w:val="229"/>
        </w:trPr>
        <w:tc>
          <w:tcPr>
            <w:tcW w:w="8560" w:type="dxa"/>
            <w:vAlign w:val="bottom"/>
          </w:tcPr>
          <w:p>
            <w:pPr>
              <w:ind w:left="4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8,149</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14,127</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176,771</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73,114</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11,770</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841,487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840,726</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166,056</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4,031</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7,719</w:t>
            </w:r>
          </w:p>
        </w:tc>
      </w:tr>
      <w:tr>
        <w:trPr>
          <w:trHeight w:val="223"/>
        </w:trPr>
        <w:tc>
          <w:tcPr>
            <w:tcW w:w="8560" w:type="dxa"/>
            <w:vAlign w:val="bottom"/>
          </w:tcPr>
          <w:p>
            <w:pPr>
              <w:ind w:left="9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1,301,014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1,296,359</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12,576</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151,541</w:t>
            </w: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191,145</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9,468</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obligations,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liability, noncurrent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r>
      <w:tr>
        <w:trPr>
          <w:trHeight w:val="223"/>
        </w:trPr>
        <w:tc>
          <w:tcPr>
            <w:tcW w:w="856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251,919</w:t>
            </w:r>
          </w:p>
        </w:tc>
      </w:tr>
      <w:tr>
        <w:trPr>
          <w:trHeight w:val="210"/>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(Notes 12 and 14)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 (Note 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6"/>
              </w:rPr>
              <w:t>Preferred stock, $0.001 par value; 10,000,000 shares authorized, and none issued and outstanding as of</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January 31, 2022 and July 31, 2022</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560" w:type="dxa"/>
            <w:vAlign w:val="bottom"/>
          </w:tcPr>
          <w:p>
            <w:pPr>
              <w:ind w:left="460"/>
              <w:spacing w:after="0" w:line="176" w:lineRule="exact"/>
              <w:rPr>
                <w:sz w:val="20"/>
                <w:szCs w:val="20"/>
                <w:color w:val="auto"/>
              </w:rPr>
            </w:pPr>
            <w:r>
              <w:rPr>
                <w:rFonts w:ascii="Arial" w:cs="Arial" w:eastAsia="Arial" w:hAnsi="Arial"/>
                <w:sz w:val="18"/>
                <w:szCs w:val="18"/>
                <w:color w:val="auto"/>
                <w:w w:val="92"/>
              </w:rPr>
              <w:t>Common stock, $0.0005 par value; 500,000,000 shares authorized as of January 31, 2022 and July 31, 2022;</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8"/>
        </w:trPr>
        <w:tc>
          <w:tcPr>
            <w:tcW w:w="8560" w:type="dxa"/>
            <w:vAlign w:val="bottom"/>
          </w:tcPr>
          <w:p>
            <w:pPr>
              <w:ind w:left="620"/>
              <w:spacing w:after="0" w:line="189" w:lineRule="exact"/>
              <w:rPr>
                <w:sz w:val="20"/>
                <w:szCs w:val="20"/>
                <w:color w:val="auto"/>
              </w:rPr>
            </w:pPr>
            <w:r>
              <w:rPr>
                <w:rFonts w:ascii="Arial" w:cs="Arial" w:eastAsia="Arial" w:hAnsi="Arial"/>
                <w:sz w:val="18"/>
                <w:szCs w:val="18"/>
                <w:color w:val="auto"/>
                <w:w w:val="95"/>
              </w:rPr>
              <w:t>109,778,542 and 110,616,050 shares issued and outstanding as of January 31, 2022 and July 31, 2022,</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8560" w:type="dxa"/>
            <w:vAlign w:val="bottom"/>
          </w:tcPr>
          <w:p>
            <w:pPr>
              <w:ind w:left="6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1,306,339</w:t>
            </w:r>
          </w:p>
        </w:tc>
      </w:tr>
      <w:tr>
        <w:trPr>
          <w:trHeight w:val="230"/>
        </w:trPr>
        <w:tc>
          <w:tcPr>
            <w:tcW w:w="8560" w:type="dxa"/>
            <w:vAlign w:val="bottom"/>
          </w:tcPr>
          <w:p>
            <w:pPr>
              <w:ind w:left="4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29"/>
        </w:trPr>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(266,392)</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1,041,221</w:t>
            </w:r>
          </w:p>
        </w:tc>
      </w:tr>
      <w:tr>
        <w:trPr>
          <w:trHeight w:val="248"/>
        </w:trPr>
        <w:tc>
          <w:tcPr>
            <w:tcW w:w="8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1,296,359</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53,934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104,967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193,838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rPr>
              <w:t>Subscription (related party $11,151, $0, $21,720, and $0,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line="243" w:lineRule="exact"/>
              <w:rPr>
                <w:sz w:val="20"/>
                <w:szCs w:val="20"/>
                <w:color w:val="auto"/>
              </w:rPr>
            </w:pPr>
            <w:r>
              <w:rPr>
                <w:rFonts w:ascii="Arial" w:cs="Arial" w:eastAsia="Arial" w:hAnsi="Arial"/>
                <w:sz w:val="18"/>
                <w:szCs w:val="18"/>
                <w:color w:val="auto"/>
              </w:rPr>
              <w:t>respectively)</w:t>
            </w:r>
            <w:r>
              <w:rPr>
                <w:rFonts w:ascii="Arial" w:cs="Arial" w:eastAsia="Arial" w:hAnsi="Arial"/>
                <w:sz w:val="23"/>
                <w:szCs w:val="23"/>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81,523</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61,851</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(56,065)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(57,427)</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Net loss attributable to redeemable non-controlling interest (Note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175"/>
        </w:trPr>
        <w:tc>
          <w:tcPr>
            <w:tcW w:w="5240" w:type="dxa"/>
            <w:vAlign w:val="bottom"/>
          </w:tcPr>
          <w:p>
            <w:pPr>
              <w:ind w:left="360"/>
              <w:spacing w:after="0" w:line="176" w:lineRule="exact"/>
              <w:rPr>
                <w:sz w:val="20"/>
                <w:szCs w:val="20"/>
                <w:color w:val="auto"/>
              </w:rPr>
            </w:pPr>
            <w:r>
              <w:rPr>
                <w:rFonts w:ascii="Arial" w:cs="Arial" w:eastAsia="Arial" w:hAnsi="Arial"/>
                <w:sz w:val="18"/>
                <w:szCs w:val="18"/>
                <w:color w:val="auto"/>
                <w:w w:val="98"/>
              </w:rPr>
              <w:t>Adjustment attributable to redeemable non-controlling interest</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(Note 3)</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Net loss attributable to nCino,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nCino, Inc.: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95,661,756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95,042,448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110,198,509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See Note 9 "Reseller Agreement" and Note 15 "Related-Party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(57,427)</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r>
      <w:tr>
        <w:trPr>
          <w:trHeight w:val="223"/>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(56,318)</w:t>
            </w:r>
          </w:p>
        </w:tc>
      </w:tr>
      <w:tr>
        <w:trPr>
          <w:trHeight w:val="156"/>
        </w:trPr>
        <w:tc>
          <w:tcPr>
            <w:tcW w:w="53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0"/>
              </w:rPr>
              <w:t>Less comprehensive loss attributable to redeemable non-controlling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redeemable non-controlling interest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175"/>
        </w:trPr>
        <w:tc>
          <w:tcPr>
            <w:tcW w:w="5320" w:type="dxa"/>
            <w:vAlign w:val="bottom"/>
          </w:tcPr>
          <w:p>
            <w:pPr>
              <w:ind w:left="240"/>
              <w:spacing w:after="0" w:line="176" w:lineRule="exact"/>
              <w:rPr>
                <w:sz w:val="20"/>
                <w:szCs w:val="20"/>
                <w:color w:val="auto"/>
              </w:rPr>
            </w:pPr>
            <w:r>
              <w:rPr>
                <w:rFonts w:ascii="Arial" w:cs="Arial" w:eastAsia="Arial" w:hAnsi="Arial"/>
                <w:sz w:val="18"/>
                <w:szCs w:val="18"/>
                <w:color w:val="auto"/>
              </w:rPr>
              <w:t>Foreign currency translation attributable to redeemable non-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controlling interest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05"/>
        </w:trPr>
        <w:tc>
          <w:tcPr>
            <w:tcW w:w="5320" w:type="dxa"/>
            <w:vAlign w:val="bottom"/>
            <w:shd w:val="clear" w:color="auto" w:fill="CCEEFF"/>
          </w:tcPr>
          <w:p>
            <w:pPr>
              <w:ind w:left="680"/>
              <w:spacing w:after="0" w:line="205" w:lineRule="exact"/>
              <w:rPr>
                <w:sz w:val="20"/>
                <w:szCs w:val="20"/>
                <w:color w:val="auto"/>
              </w:rPr>
            </w:pPr>
            <w:r>
              <w:rPr>
                <w:rFonts w:ascii="Arial" w:cs="Arial" w:eastAsia="Arial" w:hAnsi="Arial"/>
                <w:sz w:val="18"/>
                <w:szCs w:val="18"/>
                <w:b w:val="1"/>
                <w:bCs w:val="1"/>
                <w:color w:val="auto"/>
              </w:rPr>
              <w:t>Comprehensive loss attributable to redeemable non-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1"/>
        </w:trPr>
        <w:tc>
          <w:tcPr>
            <w:tcW w:w="53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controlling interest</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3"/>
        </w:trPr>
        <w:tc>
          <w:tcPr>
            <w:tcW w:w="5320" w:type="dxa"/>
            <w:vAlign w:val="bottom"/>
          </w:tcPr>
          <w:p>
            <w:pPr>
              <w:ind w:left="680"/>
              <w:spacing w:after="0"/>
              <w:rPr>
                <w:sz w:val="20"/>
                <w:szCs w:val="20"/>
                <w:color w:val="auto"/>
              </w:rPr>
            </w:pPr>
            <w:r>
              <w:rPr>
                <w:rFonts w:ascii="Arial" w:cs="Arial" w:eastAsia="Arial" w:hAnsi="Arial"/>
                <w:sz w:val="18"/>
                <w:szCs w:val="18"/>
                <w:b w:val="1"/>
                <w:bCs w:val="1"/>
                <w:color w:val="auto"/>
              </w:rPr>
              <w:t>Comprehensive loss attributable to nCino,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(55,485)</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July 31, 2021</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2100" w:type="dxa"/>
            <w:vAlign w:val="bottom"/>
            <w:gridSpan w:val="3"/>
            <w:vMerge w:val="restart"/>
          </w:tcPr>
          <w:p>
            <w:pPr>
              <w:jc w:val="right"/>
              <w:ind w:right="379"/>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00"/>
              <w:spacing w:after="0" w:line="137"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00"/>
              <w:spacing w:after="0" w:line="121" w:lineRule="exact"/>
              <w:rPr>
                <w:sz w:val="20"/>
                <w:szCs w:val="20"/>
                <w:color w:val="auto"/>
              </w:rPr>
            </w:pPr>
            <w:r>
              <w:rPr>
                <w:rFonts w:ascii="Arial" w:cs="Arial" w:eastAsia="Arial" w:hAnsi="Arial"/>
                <w:sz w:val="13"/>
                <w:szCs w:val="13"/>
                <w:color w:val="auto"/>
              </w:rPr>
              <w:t>Paid-in</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40"/>
              <w:spacing w:after="0" w:line="121" w:lineRule="exact"/>
              <w:rPr>
                <w:sz w:val="20"/>
                <w:szCs w:val="20"/>
                <w:color w:val="auto"/>
              </w:rPr>
            </w:pPr>
            <w:r>
              <w:rPr>
                <w:rFonts w:ascii="Arial" w:cs="Arial" w:eastAsia="Arial" w:hAnsi="Arial"/>
                <w:sz w:val="13"/>
                <w:szCs w:val="13"/>
                <w:color w:val="auto"/>
                <w:w w:val="98"/>
              </w:rPr>
              <w:t>Comprehensive</w:t>
            </w:r>
          </w:p>
        </w:tc>
        <w:tc>
          <w:tcPr>
            <w:tcW w:w="160" w:type="dxa"/>
            <w:vAlign w:val="bottom"/>
          </w:tcPr>
          <w:p>
            <w:pPr>
              <w:spacing w:after="0"/>
              <w:rPr>
                <w:sz w:val="7"/>
                <w:szCs w:val="7"/>
                <w:color w:val="auto"/>
              </w:rPr>
            </w:pPr>
          </w:p>
        </w:tc>
        <w:tc>
          <w:tcPr>
            <w:tcW w:w="1080" w:type="dxa"/>
            <w:vAlign w:val="bottom"/>
            <w:gridSpan w:val="2"/>
            <w:vMerge w:val="restart"/>
          </w:tcPr>
          <w:p>
            <w:pPr>
              <w:ind w:left="40"/>
              <w:spacing w:after="0" w:line="121" w:lineRule="exact"/>
              <w:rPr>
                <w:sz w:val="20"/>
                <w:szCs w:val="20"/>
                <w:color w:val="auto"/>
              </w:rPr>
            </w:pPr>
            <w:r>
              <w:rPr>
                <w:rFonts w:ascii="Arial" w:cs="Arial" w:eastAsia="Arial" w:hAnsi="Arial"/>
                <w:sz w:val="13"/>
                <w:szCs w:val="13"/>
                <w:color w:val="auto"/>
              </w:rPr>
              <w:t>Accumulated</w:t>
            </w: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Deficit</w:t>
            </w:r>
          </w:p>
        </w:tc>
        <w:tc>
          <w:tcPr>
            <w:tcW w:w="28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95,318,070</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0"/>
              </w:rPr>
              <w:t>(176,202)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425,041</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316,241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293,430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520" w:hanging="161"/>
        <w:spacing w:after="0" w:line="247" w:lineRule="auto"/>
        <w:rPr>
          <w:sz w:val="20"/>
          <w:szCs w:val="20"/>
          <w:color w:val="auto"/>
        </w:rPr>
      </w:pPr>
      <w:r>
        <w:rPr>
          <w:rFonts w:ascii="Arial" w:cs="Arial" w:eastAsia="Arial" w:hAnsi="Arial"/>
          <w:sz w:val="16"/>
          <w:szCs w:val="16"/>
          <w:color w:val="auto"/>
        </w:rPr>
        <w:t>Net loss attributable to nCino, Inc., including adjustment to redeemable non-controlling</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July 31, 2021</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(13,683)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95,927,741</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8"/>
              </w:rPr>
              <w:t>419,893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 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gridSpan w:val="3"/>
          </w:tcPr>
          <w:p>
            <w:pPr>
              <w:jc w:val="right"/>
              <w:ind w:right="379"/>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jc w:val="center"/>
              <w:ind w:right="180"/>
              <w:spacing w:after="0" w:line="122" w:lineRule="exact"/>
              <w:rPr>
                <w:sz w:val="20"/>
                <w:szCs w:val="20"/>
                <w:color w:val="auto"/>
              </w:rPr>
            </w:pPr>
            <w:r>
              <w:rPr>
                <w:rFonts w:ascii="Arial" w:cs="Arial" w:eastAsia="Arial" w:hAnsi="Arial"/>
                <w:sz w:val="14"/>
                <w:szCs w:val="14"/>
                <w:color w:val="auto"/>
                <w:w w:val="96"/>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w w:val="91"/>
              </w:rPr>
              <w:t>Comprehensive</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w w:val="93"/>
              </w:rPr>
              <w:t>Accumulated</w:t>
            </w: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vMerge w:val="restart"/>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c>
          <w:tcPr>
            <w:tcW w:w="2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-843915</wp:posOffset>
            </wp:positionV>
            <wp:extent cx="71234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00" w:space="240"/>
            <w:col w:w="73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30,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110,128,561</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1,290,295</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1,051,837</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148,419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84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40" w:type="dxa"/>
            <w:vAlign w:val="bottom"/>
          </w:tcPr>
          <w:p>
            <w:pPr>
              <w:ind w:left="36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92,236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w:t>
            </w: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9"/>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July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110,616,050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1,306,339</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(266,392)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1,041,221</w:t>
            </w: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July 31, 2021</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11"/>
                <w:szCs w:val="11"/>
                <w:color w:val="auto"/>
              </w:rPr>
            </w:pPr>
          </w:p>
        </w:tc>
        <w:tc>
          <w:tcPr>
            <w:tcW w:w="2100" w:type="dxa"/>
            <w:vAlign w:val="bottom"/>
            <w:gridSpan w:val="3"/>
            <w:vMerge w:val="restart"/>
          </w:tcPr>
          <w:p>
            <w:pPr>
              <w:jc w:val="right"/>
              <w:ind w:right="359"/>
              <w:spacing w:after="0"/>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7" w:lineRule="exact"/>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restart"/>
          </w:tcPr>
          <w:p>
            <w:pPr>
              <w:jc w:val="center"/>
              <w:ind w:right="240"/>
              <w:spacing w:after="0" w:line="121" w:lineRule="exact"/>
              <w:rPr>
                <w:sz w:val="20"/>
                <w:szCs w:val="20"/>
                <w:color w:val="auto"/>
              </w:rPr>
            </w:pPr>
            <w:r>
              <w:rPr>
                <w:rFonts w:ascii="Arial" w:cs="Arial" w:eastAsia="Arial" w:hAnsi="Arial"/>
                <w:sz w:val="13"/>
                <w:szCs w:val="13"/>
                <w:color w:val="auto"/>
                <w:w w:val="98"/>
              </w:rPr>
              <w:t>Paid-in</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00"/>
              <w:spacing w:after="0" w:line="121" w:lineRule="exact"/>
              <w:rPr>
                <w:sz w:val="20"/>
                <w:szCs w:val="20"/>
                <w:color w:val="auto"/>
              </w:rPr>
            </w:pPr>
            <w:r>
              <w:rPr>
                <w:rFonts w:ascii="Arial" w:cs="Arial" w:eastAsia="Arial" w:hAnsi="Arial"/>
                <w:sz w:val="13"/>
                <w:szCs w:val="13"/>
                <w:color w:val="auto"/>
                <w:w w:val="98"/>
              </w:rPr>
              <w:t>Comprehensive</w:t>
            </w:r>
          </w:p>
        </w:tc>
        <w:tc>
          <w:tcPr>
            <w:tcW w:w="140" w:type="dxa"/>
            <w:vAlign w:val="bottom"/>
          </w:tcPr>
          <w:p>
            <w:pPr>
              <w:spacing w:after="0"/>
              <w:rPr>
                <w:sz w:val="7"/>
                <w:szCs w:val="7"/>
                <w:color w:val="auto"/>
              </w:rPr>
            </w:pPr>
          </w:p>
        </w:tc>
        <w:tc>
          <w:tcPr>
            <w:tcW w:w="1100" w:type="dxa"/>
            <w:vAlign w:val="bottom"/>
            <w:gridSpan w:val="2"/>
            <w:vMerge w:val="restart"/>
          </w:tcPr>
          <w:p>
            <w:pPr>
              <w:ind w:left="60"/>
              <w:spacing w:after="0" w:line="121" w:lineRule="exact"/>
              <w:rPr>
                <w:sz w:val="20"/>
                <w:szCs w:val="20"/>
                <w:color w:val="auto"/>
              </w:rPr>
            </w:pPr>
            <w:r>
              <w:rPr>
                <w:rFonts w:ascii="Arial" w:cs="Arial" w:eastAsia="Arial" w:hAnsi="Arial"/>
                <w:sz w:val="13"/>
                <w:szCs w:val="13"/>
                <w:color w:val="auto"/>
              </w:rPr>
              <w:t>Accumulated</w:t>
            </w: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color w:val="auto"/>
              </w:rPr>
              <w:t>Shares</w:t>
            </w:r>
          </w:p>
        </w:tc>
        <w:tc>
          <w:tcPr>
            <w:tcW w:w="840" w:type="dxa"/>
            <w:vAlign w:val="bottom"/>
          </w:tcPr>
          <w:p>
            <w:pPr>
              <w:jc w:val="right"/>
              <w:spacing w:after="0"/>
              <w:rPr>
                <w:sz w:val="20"/>
                <w:szCs w:val="20"/>
                <w:color w:val="auto"/>
              </w:rPr>
            </w:pPr>
            <w:r>
              <w:rPr>
                <w:rFonts w:ascii="Arial" w:cs="Arial" w:eastAsia="Arial" w:hAnsi="Arial"/>
                <w:sz w:val="14"/>
                <w:szCs w:val="14"/>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7"/>
                <w:szCs w:val="17"/>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31,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93,643,759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(161,064)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425,179</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1,967,584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Stock issuance upon vesting of restricted stock</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316,398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520" w:hanging="161"/>
        <w:spacing w:after="0" w:line="247" w:lineRule="auto"/>
        <w:rPr>
          <w:sz w:val="20"/>
          <w:szCs w:val="20"/>
          <w:color w:val="auto"/>
        </w:rPr>
      </w:pPr>
      <w:r>
        <w:rPr>
          <w:rFonts w:ascii="Arial" w:cs="Arial" w:eastAsia="Arial" w:hAnsi="Arial"/>
          <w:sz w:val="16"/>
          <w:szCs w:val="16"/>
          <w:color w:val="auto"/>
        </w:rPr>
        <w:t>Net loss attributable to nCino, Inc., including adjustment to redeemable non-controlling</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July 31, 2021</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(28,998)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w w:val="89"/>
              </w:rPr>
              <w:t>(28,691)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95,927,741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610,166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(190,062)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95"/>
              </w:rPr>
              <w:t>419,893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July 31, 2022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480" w:type="dxa"/>
            <w:vAlign w:val="bottom"/>
            <w:gridSpan w:val="6"/>
            <w:vMerge w:val="restart"/>
          </w:tcPr>
          <w:p>
            <w:pPr>
              <w:ind w:left="72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248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color w:val="auto"/>
                <w:w w:val="96"/>
              </w:rPr>
              <w:t>Paid-in</w:t>
            </w:r>
          </w:p>
        </w:tc>
        <w:tc>
          <w:tcPr>
            <w:tcW w:w="1260" w:type="dxa"/>
            <w:vAlign w:val="bottom"/>
            <w:gridSpan w:val="3"/>
            <w:vMerge w:val="restart"/>
          </w:tcPr>
          <w:p>
            <w:pPr>
              <w:jc w:val="center"/>
              <w:ind w:right="160"/>
              <w:spacing w:after="0" w:line="122"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color w:val="auto"/>
                <w:w w:val="96"/>
              </w:rPr>
              <w:t>Accumulated</w:t>
            </w: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Deficit</w:t>
            </w:r>
          </w:p>
        </w:tc>
        <w:tc>
          <w:tcPr>
            <w:tcW w:w="26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-835025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00" w:space="220"/>
            <w:col w:w="7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31,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109,778,542</w:t>
            </w: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1,277,258</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(209,616)</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1,067,625</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305,394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820" w:type="dxa"/>
            <w:vAlign w:val="bottom"/>
          </w:tcPr>
          <w:p>
            <w:pPr>
              <w:ind w:left="360"/>
              <w:spacing w:after="0" w:line="176" w:lineRule="exact"/>
              <w:rPr>
                <w:sz w:val="20"/>
                <w:szCs w:val="20"/>
                <w:color w:val="auto"/>
              </w:rPr>
            </w:pPr>
            <w:r>
              <w:rPr>
                <w:rFonts w:ascii="Arial" w:cs="Arial" w:eastAsia="Arial" w:hAnsi="Arial"/>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20" w:type="dxa"/>
            <w:vAlign w:val="bottom"/>
          </w:tcPr>
          <w:p>
            <w:pPr>
              <w:ind w:left="36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92,236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w:t>
            </w: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176"/>
        </w:trPr>
        <w:tc>
          <w:tcPr>
            <w:tcW w:w="38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3"/>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2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9"/>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(57,933)</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Balance, July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110,616,050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1,306,339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(266,392)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1,041,221</w:t>
            </w:r>
          </w:p>
        </w:tc>
      </w:tr>
      <w:tr>
        <w:trPr>
          <w:trHeight w:val="20"/>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Arial" w:cs="Arial" w:eastAsia="Arial" w:hAnsi="Arial"/>
                <w:sz w:val="16"/>
                <w:szCs w:val="16"/>
                <w:color w:val="auto"/>
              </w:rPr>
              <w:t>Net loss attributable to nCino, Inc.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(28,691)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(57,933)</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and adjustment attributable to redeemable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20"/>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(57,427)</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16,882</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costs capitalized to obtain revenue contracts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4,031</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25,971</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Provision for (recovery of) bad debt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foreign currency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2,635</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r>
      <w:tr>
        <w:trPr>
          <w:trHeight w:val="213"/>
        </w:trPr>
        <w:tc>
          <w:tcPr>
            <w:tcW w:w="8420" w:type="dxa"/>
            <w:vAlign w:val="bottom"/>
          </w:tcPr>
          <w:p>
            <w:pPr>
              <w:ind w:left="1000"/>
              <w:spacing w:after="0"/>
              <w:rPr>
                <w:sz w:val="20"/>
                <w:szCs w:val="20"/>
                <w:color w:val="auto"/>
              </w:rPr>
            </w:pPr>
            <w:r>
              <w:rPr>
                <w:rFonts w:ascii="Arial" w:cs="Arial" w:eastAsia="Arial" w:hAnsi="Arial"/>
                <w:sz w:val="16"/>
                <w:szCs w:val="16"/>
                <w:color w:val="auto"/>
              </w:rPr>
              <w:t>Costs capitalized to obtain revenue contracts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(4,571)</w:t>
            </w:r>
          </w:p>
        </w:tc>
      </w:tr>
      <w:tr>
        <w:trPr>
          <w:trHeight w:val="246"/>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payable, related parties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8420" w:type="dxa"/>
            <w:vAlign w:val="bottom"/>
          </w:tcPr>
          <w:p>
            <w:pPr>
              <w:ind w:left="100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(9,653)</w:t>
            </w:r>
          </w:p>
        </w:tc>
      </w:tr>
      <w:tr>
        <w:trPr>
          <w:trHeight w:val="219"/>
        </w:trPr>
        <w:tc>
          <w:tcPr>
            <w:tcW w:w="842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30,327</w:t>
            </w:r>
          </w:p>
        </w:tc>
      </w:tr>
      <w:tr>
        <w:trPr>
          <w:trHeight w:val="240"/>
        </w:trPr>
        <w:tc>
          <w:tcPr>
            <w:tcW w:w="842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r>
      <w:tr>
        <w:trPr>
          <w:trHeight w:val="213"/>
        </w:trPr>
        <w:tc>
          <w:tcPr>
            <w:tcW w:w="8420" w:type="dxa"/>
            <w:vAlign w:val="bottom"/>
            <w:shd w:val="clear" w:color="auto" w:fill="CCEEFF"/>
          </w:tcPr>
          <w:p>
            <w:pPr>
              <w:ind w:left="132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10,719</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(9,303)</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(9,303)</w:t>
            </w: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Proceeds from borrowings on revolving credit facility</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on revolving credit facility</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Payments of debt issuance costs</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Exercise of stock options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w:t>
            </w: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Stock issuance under the employee stock purchase plan</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2,424</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Principal payments on financing obligations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Arial" w:cs="Arial" w:eastAsia="Arial" w:hAnsi="Arial"/>
                <w:sz w:val="16"/>
                <w:szCs w:val="16"/>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w:t>
            </w:r>
          </w:p>
        </w:tc>
      </w:tr>
      <w:tr>
        <w:trPr>
          <w:trHeight w:val="226"/>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foreign currency exchange rate changes on cash, cash equivalents, and restricted cash</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r>
      <w:tr>
        <w:trPr>
          <w:trHeight w:val="220"/>
        </w:trPr>
        <w:tc>
          <w:tcPr>
            <w:tcW w:w="8420" w:type="dxa"/>
            <w:vAlign w:val="bottom"/>
          </w:tcPr>
          <w:p>
            <w:pPr>
              <w:ind w:left="13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371,425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88,399</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399,691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91,530</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Reconciliation of cash, cash equivalents, and restricted cash, end of period:</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86,148</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Restricted cash included in other long-term assets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cash, cash equivalents, and restricted cash,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399,691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91,530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Arial" w:cs="Arial" w:eastAsia="Arial" w:hAnsi="Arial"/>
                <w:sz w:val="16"/>
                <w:szCs w:val="16"/>
                <w:color w:val="auto"/>
              </w:rPr>
              <w:t>Cash paid for taxes, net of refunds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46"/>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paid for 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r>
      <w:tr>
        <w:trPr>
          <w:trHeight w:val="233"/>
        </w:trPr>
        <w:tc>
          <w:tcPr>
            <w:tcW w:w="8420" w:type="dxa"/>
            <w:vAlign w:val="bottom"/>
          </w:tcPr>
          <w:p>
            <w:pPr>
              <w:ind w:left="36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 of property and equipment, accrued but not paid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7,359</w:t>
            </w:r>
          </w:p>
        </w:tc>
      </w:tr>
      <w:tr>
        <w:trPr>
          <w:trHeight w:val="237"/>
        </w:trPr>
        <w:tc>
          <w:tcPr>
            <w:tcW w:w="8420" w:type="dxa"/>
            <w:vAlign w:val="bottom"/>
          </w:tcPr>
          <w:p>
            <w:pPr>
              <w:ind w:left="680"/>
              <w:spacing w:after="0"/>
              <w:rPr>
                <w:sz w:val="20"/>
                <w:szCs w:val="20"/>
                <w:color w:val="auto"/>
              </w:rPr>
            </w:pPr>
            <w:r>
              <w:rPr>
                <w:rFonts w:ascii="Arial" w:cs="Arial" w:eastAsia="Arial" w:hAnsi="Arial"/>
                <w:sz w:val="16"/>
                <w:szCs w:val="16"/>
                <w:color w:val="auto"/>
              </w:rPr>
              <w:t>Net working capital receivable adjustment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676</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5" w:lineRule="exact"/>
        <w:rPr>
          <w:sz w:val="20"/>
          <w:szCs w:val="20"/>
          <w:color w:val="auto"/>
        </w:rPr>
      </w:pPr>
    </w:p>
    <w:p>
      <w:pPr>
        <w:ind w:right="20" w:firstLine="891"/>
        <w:spacing w:after="0" w:line="258" w:lineRule="auto"/>
        <w:rPr>
          <w:sz w:val="20"/>
          <w:szCs w:val="20"/>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On November 16, 2021, nCino, Inc. (now nCino OpCo, Inc., "nCino OpCo") entered into an Agreement and Plan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spacing w:after="0" w:line="183" w:lineRule="exact"/>
        <w:rPr>
          <w:sz w:val="20"/>
          <w:szCs w:val="20"/>
          <w:color w:val="auto"/>
        </w:rPr>
      </w:pPr>
    </w:p>
    <w:p>
      <w:pPr>
        <w:ind w:right="20" w:firstLine="891"/>
        <w:spacing w:after="0" w:line="256" w:lineRule="auto"/>
        <w:rPr>
          <w:sz w:val="20"/>
          <w:szCs w:val="20"/>
          <w:color w:val="auto"/>
        </w:rPr>
      </w:pPr>
      <w:r>
        <w:rPr>
          <w:rFonts w:ascii="Arial" w:cs="Arial" w:eastAsia="Arial" w:hAnsi="Arial"/>
          <w:sz w:val="18"/>
          <w:szCs w:val="18"/>
          <w:b w:val="1"/>
          <w:bCs w:val="1"/>
          <w:color w:val="auto"/>
        </w:rPr>
        <w:t xml:space="preserve">Merger: </w:t>
      </w:r>
      <w:r>
        <w:rPr>
          <w:rFonts w:ascii="Arial" w:cs="Arial" w:eastAsia="Arial" w:hAnsi="Arial"/>
          <w:sz w:val="18"/>
          <w:szCs w:val="18"/>
          <w:color w:val="auto"/>
        </w:rPr>
        <w:t>On January 7, 2022, pursuant to the Merger Agreement, nCino, Inc. and nCino OpCo completed a series of mergers in which nCino,</w:t>
      </w:r>
      <w:r>
        <w:rPr>
          <w:rFonts w:ascii="Arial" w:cs="Arial" w:eastAsia="Arial" w:hAnsi="Arial"/>
          <w:sz w:val="18"/>
          <w:szCs w:val="18"/>
          <w:b w:val="1"/>
          <w:bCs w:val="1"/>
          <w:color w:val="auto"/>
        </w:rPr>
        <w:t xml:space="preserve"> </w:t>
      </w:r>
      <w:r>
        <w:rPr>
          <w:rFonts w:ascii="Arial" w:cs="Arial" w:eastAsia="Arial" w:hAnsi="Arial"/>
          <w:sz w:val="18"/>
          <w:szCs w:val="18"/>
          <w:color w:val="auto"/>
        </w:rPr>
        <w:t>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these unaudited condensed consolidated financial statements, nCino OpCo and nCino, Inc., are collectively referred to as the "Company."</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Note 7 "Business Combinations" for additional information regarding the SimpleNexus acquisition.</w:t>
      </w:r>
    </w:p>
    <w:p>
      <w:pPr>
        <w:spacing w:after="0" w:line="221" w:lineRule="exact"/>
        <w:rPr>
          <w:sz w:val="20"/>
          <w:szCs w:val="20"/>
          <w:color w:val="auto"/>
        </w:rPr>
      </w:pPr>
    </w:p>
    <w:p>
      <w:pPr>
        <w:ind w:right="120" w:firstLine="891"/>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The Company is a software-as-a-service ("SaaS") company that provides software applications to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streamline employee and client interactions. The Company is headquartered in Wilmington, North Carolina and has offices in Lehi and Salt Lake City, Utah; Macon, Georgia; London, United Kingdom; Sydney and Melbourne, Australia; Toronto, Canada; Paris, France; Madrid, Spain; and Tokyo, Japan.</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2022 filed with the SEC on March 31, 2022. The unaudited condensed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65"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2023 or any future period.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891"/>
        <w:spacing w:after="0" w:line="266" w:lineRule="auto"/>
        <w:rPr>
          <w:sz w:val="20"/>
          <w:szCs w:val="20"/>
          <w:color w:val="auto"/>
        </w:rPr>
      </w:pPr>
      <w:r>
        <w:rPr>
          <w:rFonts w:ascii="Arial" w:cs="Arial" w:eastAsia="Arial" w:hAnsi="Arial"/>
          <w:sz w:val="18"/>
          <w:szCs w:val="18"/>
          <w:b w:val="1"/>
          <w:bCs w:val="1"/>
          <w:color w:val="auto"/>
        </w:rPr>
        <w:t xml:space="preserve">Reclassification: </w:t>
      </w:r>
      <w:r>
        <w:rPr>
          <w:rFonts w:ascii="Arial" w:cs="Arial" w:eastAsia="Arial" w:hAnsi="Arial"/>
          <w:sz w:val="18"/>
          <w:szCs w:val="18"/>
          <w:color w:val="auto"/>
        </w:rPr>
        <w:t>The Company reclassified certain prior year amounts in the unaudited condensed consolidated statement of cash flows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cash flows from operating activities to conform to the current year presentation. These reclassifications had no impact on the previously reported total assets, liabilities, stockholder’s deficit, or net loss.</w:t>
      </w:r>
    </w:p>
    <w:p>
      <w:pPr>
        <w:spacing w:after="0" w:line="176" w:lineRule="exact"/>
        <w:rPr>
          <w:sz w:val="20"/>
          <w:szCs w:val="20"/>
          <w:color w:val="auto"/>
        </w:rPr>
      </w:pPr>
    </w:p>
    <w:p>
      <w:pPr>
        <w:ind w:firstLine="891"/>
        <w:spacing w:after="0" w:line="269" w:lineRule="auto"/>
        <w:rPr>
          <w:sz w:val="20"/>
          <w:szCs w:val="20"/>
          <w:color w:val="auto"/>
        </w:rPr>
      </w:pPr>
      <w:r>
        <w:rPr>
          <w:rFonts w:ascii="Arial" w:cs="Arial" w:eastAsia="Arial" w:hAnsi="Arial"/>
          <w:sz w:val="17"/>
          <w:szCs w:val="17"/>
          <w:b w:val="1"/>
          <w:bCs w:val="1"/>
          <w:color w:val="auto"/>
        </w:rPr>
        <w:t xml:space="preserve">Variable Interest Entity: </w:t>
      </w:r>
      <w:r>
        <w:rPr>
          <w:rFonts w:ascii="Arial" w:cs="Arial" w:eastAsia="Arial" w:hAnsi="Arial"/>
          <w:sz w:val="17"/>
          <w:szCs w:val="17"/>
          <w:color w:val="auto"/>
        </w:rPr>
        <w:t>The Company holds an interest in a Japanese company (“nCino K.K.”) that is considered a variable interest entity</w:t>
      </w:r>
      <w:r>
        <w:rPr>
          <w:rFonts w:ascii="Arial" w:cs="Arial" w:eastAsia="Arial" w:hAnsi="Arial"/>
          <w:sz w:val="17"/>
          <w:szCs w:val="17"/>
          <w:b w:val="1"/>
          <w:bCs w:val="1"/>
          <w:color w:val="auto"/>
        </w:rPr>
        <w:t xml:space="preserve"> </w:t>
      </w:r>
      <w:r>
        <w:rPr>
          <w:rFonts w:ascii="Arial" w:cs="Arial" w:eastAsia="Arial" w:hAnsi="Arial"/>
          <w:sz w:val="17"/>
          <w:szCs w:val="17"/>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71" w:lineRule="auto"/>
        <w:rPr>
          <w:sz w:val="20"/>
          <w:szCs w:val="20"/>
          <w:color w:val="auto"/>
        </w:rPr>
      </w:pPr>
      <w:r>
        <w:rPr>
          <w:rFonts w:ascii="Arial" w:cs="Arial" w:eastAsia="Arial" w:hAnsi="Arial"/>
          <w:sz w:val="17"/>
          <w:szCs w:val="17"/>
          <w:b w:val="1"/>
          <w:bCs w:val="1"/>
          <w:color w:val="auto"/>
        </w:rPr>
        <w:t xml:space="preserve">Redeemable Non-Controlling Interest: </w:t>
      </w:r>
      <w:r>
        <w:rPr>
          <w:rFonts w:ascii="Arial" w:cs="Arial" w:eastAsia="Arial" w:hAnsi="Arial"/>
          <w:sz w:val="17"/>
          <w:szCs w:val="17"/>
          <w:color w:val="auto"/>
        </w:rPr>
        <w:t>Redeemable non-controlling interest relates to minority investors of nCino K.K. An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4"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unaudited condensed consolidated financial statements in conformity with GAAP requires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74" w:lineRule="exact"/>
        <w:rPr>
          <w:sz w:val="20"/>
          <w:szCs w:val="20"/>
          <w:color w:val="auto"/>
        </w:rPr>
      </w:pPr>
    </w:p>
    <w:p>
      <w:pPr>
        <w:ind w:right="140" w:firstLine="891"/>
        <w:spacing w:after="0" w:line="261" w:lineRule="auto"/>
        <w:rPr>
          <w:sz w:val="20"/>
          <w:szCs w:val="20"/>
          <w:color w:val="auto"/>
        </w:rPr>
      </w:pPr>
      <w:r>
        <w:rPr>
          <w:rFonts w:ascii="Arial" w:cs="Arial" w:eastAsia="Arial" w:hAnsi="Arial"/>
          <w:sz w:val="18"/>
          <w:szCs w:val="18"/>
          <w:b w:val="1"/>
          <w:bCs w:val="1"/>
          <w:color w:val="auto"/>
        </w:rPr>
        <w:t xml:space="preserve">Concentration of Credit Risk and Significant Customers: </w:t>
      </w:r>
      <w:r>
        <w:rPr>
          <w:rFonts w:ascii="Arial" w:cs="Arial" w:eastAsia="Arial" w:hAnsi="Arial"/>
          <w:sz w:val="18"/>
          <w:szCs w:val="18"/>
          <w:color w:val="auto"/>
        </w:rPr>
        <w:t>The Company’s financial instruments that are exposed to concentration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risk consist primarily of cash, cash equivalents, restricted cash and accounts receivable. The Company’s cash and cash equivalents exceeded federally insured limits at January 31, 2022 and July 31, 2022. The Company maintains its cash, cash equivalents and restricted cash with high-credit-quality financial institutions.</w:t>
      </w:r>
    </w:p>
    <w:p>
      <w:pPr>
        <w:spacing w:after="0" w:line="184"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As of January 31, 2022, one individual customer represented 12% of accounts receivable and, as of July 31, 2022, two customers represented 12% and 11% of accounts receivable. For the three and six months ended July 31, 2021 and 2022, no individual customer represented more than 10% of the Company’s total revenues.</w:t>
      </w:r>
    </w:p>
    <w:p>
      <w:pPr>
        <w:spacing w:after="0" w:line="180" w:lineRule="exact"/>
        <w:rPr>
          <w:sz w:val="20"/>
          <w:szCs w:val="20"/>
          <w:color w:val="auto"/>
        </w:rPr>
      </w:pPr>
    </w:p>
    <w:p>
      <w:pPr>
        <w:ind w:right="120" w:firstLine="891"/>
        <w:spacing w:after="0" w:line="266"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primarily consists of a minimum cash balance the Company maintains with a lender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The remaining restricted cash consists of deposits held as collateral for the Company's bank guarantees issued in place of security deposits for certain property leases and credit cards. Restricted cash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included in other long-term assets at January 31, 2022 and July 31, 2022 on the unaudited condensed consolidated balance sheets.</w:t>
      </w:r>
    </w:p>
    <w:p>
      <w:pPr>
        <w:spacing w:after="0" w:line="221" w:lineRule="exact"/>
        <w:rPr>
          <w:sz w:val="20"/>
          <w:szCs w:val="20"/>
          <w:color w:val="auto"/>
        </w:rPr>
      </w:pPr>
    </w:p>
    <w:p>
      <w:pPr>
        <w:ind w:right="100" w:firstLine="891"/>
        <w:spacing w:after="0" w:line="285"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 that</w:t>
      </w:r>
      <w:r>
        <w:rPr>
          <w:rFonts w:ascii="Arial" w:cs="Arial" w:eastAsia="Arial" w:hAnsi="Arial"/>
          <w:sz w:val="16"/>
          <w:szCs w:val="16"/>
          <w:b w:val="1"/>
          <w:bCs w:val="1"/>
          <w:color w:val="auto"/>
        </w:rPr>
        <w:t xml:space="preserve"> </w:t>
      </w:r>
      <w:r>
        <w:rPr>
          <w:rFonts w:ascii="Arial" w:cs="Arial" w:eastAsia="Arial" w:hAnsi="Arial"/>
          <w:sz w:val="16"/>
          <w:szCs w:val="16"/>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w:t>
      </w:r>
    </w:p>
    <w:p>
      <w:pPr>
        <w:spacing w:after="0" w:line="1" w:lineRule="exact"/>
        <w:rPr>
          <w:sz w:val="20"/>
          <w:szCs w:val="20"/>
          <w:color w:val="auto"/>
        </w:rPr>
      </w:pPr>
    </w:p>
    <w:p>
      <w:pPr>
        <w:ind w:right="60" w:firstLine="8"/>
        <w:spacing w:after="0" w:line="253"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93" w:lineRule="exact"/>
        <w:rPr>
          <w:sz w:val="20"/>
          <w:szCs w:val="20"/>
          <w:color w:val="auto"/>
        </w:rPr>
      </w:pPr>
    </w:p>
    <w:p>
      <w:pPr>
        <w:ind w:firstLine="891"/>
        <w:spacing w:after="0" w:line="263"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48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Charged to (recovery of) bad debt expense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Translation adjustments</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891"/>
        <w:spacing w:after="0" w:line="256" w:lineRule="auto"/>
        <w:rPr>
          <w:sz w:val="20"/>
          <w:szCs w:val="20"/>
          <w:color w:val="auto"/>
        </w:rPr>
      </w:pPr>
      <w:r>
        <w:rPr>
          <w:rFonts w:ascii="Arial" w:cs="Arial" w:eastAsia="Arial" w:hAnsi="Arial"/>
          <w:sz w:val="18"/>
          <w:szCs w:val="18"/>
          <w:b w:val="1"/>
          <w:bCs w:val="1"/>
          <w:color w:val="auto"/>
        </w:rPr>
        <w:t>Investment</w:t>
      </w:r>
      <w:r>
        <w:rPr>
          <w:rFonts w:ascii="Arial" w:cs="Arial" w:eastAsia="Arial" w:hAnsi="Arial"/>
          <w:sz w:val="18"/>
          <w:szCs w:val="18"/>
          <w:color w:val="auto"/>
        </w:rPr>
        <w:t>: The Company's investment is a non-marketable equity investment without readily determinable fair value and for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control or significant influence. The investment is measured at cost with adjustments for observable changes in price or impairment as permitted by the measurement alternative. The Company assesses at each reporting period if the investment continues to qualify for the measurement alternative. Gains or losses resulting from observable price changes are recognized currently in the Company's consolidated statement of operations. The Company assesses the investment whenever events or changes in circumstances indicate that the carrying value of the investment may not be recoverable.</w:t>
      </w:r>
    </w:p>
    <w:p>
      <w:pPr>
        <w:spacing w:after="0" w:line="187" w:lineRule="exact"/>
        <w:rPr>
          <w:sz w:val="20"/>
          <w:szCs w:val="20"/>
          <w:color w:val="auto"/>
        </w:rPr>
      </w:pPr>
    </w:p>
    <w:p>
      <w:pPr>
        <w:ind w:right="40" w:firstLine="891"/>
        <w:spacing w:after="0" w:line="261" w:lineRule="auto"/>
        <w:rPr>
          <w:sz w:val="20"/>
          <w:szCs w:val="20"/>
          <w:color w:val="auto"/>
        </w:rPr>
      </w:pPr>
      <w:r>
        <w:rPr>
          <w:rFonts w:ascii="Arial" w:cs="Arial" w:eastAsia="Arial" w:hAnsi="Arial"/>
          <w:sz w:val="18"/>
          <w:szCs w:val="18"/>
          <w:b w:val="1"/>
          <w:bCs w:val="1"/>
          <w:color w:val="auto"/>
        </w:rPr>
        <w:t xml:space="preserve">Debt Issuance Costs: </w:t>
      </w:r>
      <w:r>
        <w:rPr>
          <w:rFonts w:ascii="Arial" w:cs="Arial" w:eastAsia="Arial" w:hAnsi="Arial"/>
          <w:sz w:val="18"/>
          <w:szCs w:val="18"/>
          <w:color w:val="auto"/>
        </w:rPr>
        <w:t>Debt issuance costs are initially deferred and amortized to interest expense on a straight-line basis over the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debt. The Company uses the straight-line basis as it approximates the amounts calculated under the effective-interest method. Unamortized debt issuance costs related to the secured revolving credit facility are considered long-term and are included in other long-term assets in the unaudited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229" w:lineRule="exact"/>
        <w:rPr>
          <w:sz w:val="20"/>
          <w:szCs w:val="20"/>
          <w:color w:val="auto"/>
        </w:rPr>
      </w:pPr>
    </w:p>
    <w:p>
      <w:pPr>
        <w:ind w:right="180" w:firstLine="89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2022, the Company controls a majority of the outstanding common stock in nCino K.K.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891"/>
        <w:spacing w:after="0" w:line="293"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$2.4 million at July 31, 2022.</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176"/>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non-controlling interest)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Adjustment to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2,463</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3,219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nCino K.K. stock options granted in accordance with nCino K.K.'s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right="840" w:firstLine="891"/>
        <w:spacing w:after="0" w:line="277" w:lineRule="auto"/>
        <w:rPr>
          <w:sz w:val="20"/>
          <w:szCs w:val="20"/>
          <w:color w:val="auto"/>
        </w:rPr>
      </w:pPr>
      <w:r>
        <w:rPr>
          <w:rFonts w:ascii="Arial" w:cs="Arial" w:eastAsia="Arial" w:hAnsi="Arial"/>
          <w:sz w:val="18"/>
          <w:szCs w:val="18"/>
          <w:color w:val="auto"/>
        </w:rPr>
        <w:t>The carrying amounts of cash equivalents, accounts receivable, accounts payable and accrued expenses approximate fair value as of January 31, 2022 and July 31, 2022 because of the relatively short duration of these instruments.</w:t>
      </w:r>
    </w:p>
    <w:p>
      <w:pPr>
        <w:spacing w:after="0" w:line="170" w:lineRule="exact"/>
        <w:rPr>
          <w:sz w:val="20"/>
          <w:szCs w:val="20"/>
          <w:color w:val="auto"/>
        </w:rPr>
      </w:pPr>
    </w:p>
    <w:p>
      <w:pPr>
        <w:ind w:right="120" w:firstLine="89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2022 and July 31, 2022 and indicates the fair value hierarchy of the valuation: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deposits (included in other long-term assets)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Fair value measurements on a recurring basis as of January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31, 2022</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4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11,129</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7540"/>
        <w:spacing w:after="0"/>
        <w:rPr>
          <w:sz w:val="20"/>
          <w:szCs w:val="20"/>
          <w:color w:val="auto"/>
        </w:rPr>
      </w:pPr>
      <w:r>
        <w:rPr>
          <w:rFonts w:ascii="Arial" w:cs="Arial" w:eastAsia="Arial" w:hAnsi="Arial"/>
          <w:sz w:val="13"/>
          <w:szCs w:val="13"/>
          <w:b w:val="1"/>
          <w:bCs w:val="1"/>
          <w:color w:val="auto"/>
        </w:rPr>
        <w:t>Fair value measurements on a recurring basis as of July</w:t>
      </w:r>
    </w:p>
    <w:p>
      <w:pPr>
        <w:spacing w:after="0" w:line="15"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1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Money market accounts (included in 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12,622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 (included in other long-term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Non-Recurring Basis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Company's assets measured at fair value on a nonrecurring basis include the investment accounted for under the measurement alternative.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adjustment or impairment recognized for the three and six months ended July 31, 2021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Area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Revenues by geographic region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5"/>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83"/>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55,706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164,607</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29,231</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Amounts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receivable, less allowance for doubtful accounts, is as follows as of January 31, 2022 and July 31,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As of July 31, 2022</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accounts receivable</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$0.5 million and $0.3 million income tax receivable of as of January 31, 2022 and July 31, 2022, respectively.</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Deferred Revenue and Remaining Performance Obligations</w:t>
      </w:r>
    </w:p>
    <w:p>
      <w:pPr>
        <w:spacing w:after="0" w:line="225" w:lineRule="exact"/>
        <w:rPr>
          <w:sz w:val="20"/>
          <w:szCs w:val="20"/>
          <w:color w:val="auto"/>
        </w:rPr>
      </w:pPr>
    </w:p>
    <w:p>
      <w:pPr>
        <w:ind w:right="60" w:firstLine="891"/>
        <w:spacing w:after="0" w:line="311" w:lineRule="auto"/>
        <w:rPr>
          <w:sz w:val="20"/>
          <w:szCs w:val="20"/>
          <w:color w:val="auto"/>
        </w:rPr>
      </w:pPr>
      <w:r>
        <w:rPr>
          <w:rFonts w:ascii="Arial" w:cs="Arial" w:eastAsia="Arial" w:hAnsi="Arial"/>
          <w:sz w:val="16"/>
          <w:szCs w:val="16"/>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six months ended July 31, 2022, $89.5 million of revenues were recognized out of the deferred revenue balance as of January 31, 2022.</w:t>
      </w:r>
    </w:p>
    <w:p>
      <w:pPr>
        <w:spacing w:after="0" w:line="149"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right="340" w:firstLine="891"/>
        <w:spacing w:after="0" w:line="263" w:lineRule="auto"/>
        <w:rPr>
          <w:sz w:val="20"/>
          <w:szCs w:val="20"/>
          <w:color w:val="auto"/>
        </w:rPr>
      </w:pPr>
      <w:r>
        <w:rPr>
          <w:rFonts w:ascii="Arial" w:cs="Arial" w:eastAsia="Arial" w:hAnsi="Arial"/>
          <w:sz w:val="18"/>
          <w:szCs w:val="18"/>
          <w:color w:val="auto"/>
        </w:rPr>
        <w:t>Remaining performance obligations were $907.4 million as of July 31, 2022. The Company expects to recognize approximately 65% of its remaining performance obligation as revenues in the next 24 months, approximately 29% more in the following 25 to 48 months, and the remainder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13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As of July 31, 2022</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14,298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90,776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40" w:firstLine="891"/>
        <w:spacing w:after="0" w:line="23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increase in construction in progress is primarily due to construction for an additional office building that is on the property of our existing headquarters for which the Company is considered the owner for accounting purposes. See Note 14 "Commitments and Contingencies" for additional details including future commitments.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depreciation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Pr>
          <w:p>
            <w:pPr>
              <w:spacing w:after="0"/>
              <w:rPr>
                <w:sz w:val="16"/>
                <w:szCs w:val="16"/>
                <w:color w:val="auto"/>
              </w:rPr>
            </w:pPr>
          </w:p>
        </w:tc>
      </w:tr>
      <w:tr>
        <w:trPr>
          <w:trHeight w:val="26"/>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1,084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1,394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2,482</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2,821</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SimpleNexus</w:t>
      </w:r>
    </w:p>
    <w:p>
      <w:pPr>
        <w:spacing w:after="0" w:line="225" w:lineRule="exact"/>
        <w:rPr>
          <w:sz w:val="20"/>
          <w:szCs w:val="20"/>
          <w:color w:val="auto"/>
        </w:rPr>
      </w:pPr>
    </w:p>
    <w:p>
      <w:pPr>
        <w:ind w:right="60" w:firstLine="891"/>
        <w:spacing w:after="0" w:line="289" w:lineRule="auto"/>
        <w:rPr>
          <w:sz w:val="20"/>
          <w:szCs w:val="20"/>
          <w:color w:val="auto"/>
        </w:rPr>
      </w:pPr>
      <w:r>
        <w:rPr>
          <w:rFonts w:ascii="Arial" w:cs="Arial" w:eastAsia="Arial" w:hAnsi="Arial"/>
          <w:sz w:val="16"/>
          <w:szCs w:val="16"/>
          <w:color w:val="auto"/>
        </w:rPr>
        <w:t>On January 7, 2022 (the "Acquisition Date") through a series of mergers, the Company acquired all outstanding membership interests of SimpleNexus which provides mobile-first homeownership software that spans engagement, 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were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the Acquisition Date. The transaction costs associated with the acquisition were approximately $10.0 million and were recorded in general and administrative expenses for the fiscal year ended January 31, 2022. The Company also recognized $0.2 million in stock issuance costs associated with the share consideration that were reported as a reduction of additional paid-in capital within stockholders' equity.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891"/>
        <w:spacing w:after="0" w:line="263" w:lineRule="auto"/>
        <w:rPr>
          <w:sz w:val="20"/>
          <w:szCs w:val="20"/>
          <w:color w:val="auto"/>
        </w:rPr>
      </w:pPr>
      <w:r>
        <w:rPr>
          <w:rFonts w:ascii="Arial" w:cs="Arial" w:eastAsia="Arial" w:hAnsi="Arial"/>
          <w:sz w:val="18"/>
          <w:szCs w:val="18"/>
          <w:color w:val="auto"/>
        </w:rPr>
        <w:t>The fair value of the consideration transferred was $933.6 million on the Acquisition Date, subject to a net working capital adjustment. The net working capital adjustment was finalized in July 2022, resulting in a decrease to the purchase price of $0.7 million which was recorded to goodwill. The total consideration transferred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Total Consideration</w:t>
            </w:r>
          </w:p>
        </w:tc>
      </w:tr>
      <w:tr>
        <w:trPr>
          <w:trHeight w:val="26"/>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to members</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286,086</w:t>
            </w:r>
          </w:p>
        </w:tc>
      </w:tr>
      <w:tr>
        <w:trPr>
          <w:trHeight w:val="230"/>
        </w:trPr>
        <w:tc>
          <w:tcPr>
            <w:tcW w:w="9800" w:type="dxa"/>
            <w:vAlign w:val="bottom"/>
          </w:tcPr>
          <w:p>
            <w:pPr>
              <w:ind w:left="20"/>
              <w:spacing w:after="0" w:line="230" w:lineRule="exact"/>
              <w:rPr>
                <w:sz w:val="20"/>
                <w:szCs w:val="20"/>
                <w:color w:val="auto"/>
              </w:rPr>
            </w:pPr>
            <w:r>
              <w:rPr>
                <w:rFonts w:ascii="Arial" w:cs="Arial" w:eastAsia="Arial" w:hAnsi="Arial"/>
                <w:sz w:val="18"/>
                <w:szCs w:val="18"/>
                <w:color w:val="auto"/>
              </w:rPr>
              <w:t>Voting common stock issued (12,762,146 shares)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647,509</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 adjustment</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932,919</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20" w:firstLine="891"/>
        <w:spacing w:after="0" w:line="236"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assumed a restricted stock award with an estimated fair value of $1.4 million. $0.3 million was allocated to the purchase consideration and $1.1 million was allocated to future services and will be expensed over the service period remaining in fiscal 2023 on a straight-line basis.</w:t>
      </w:r>
    </w:p>
    <w:p>
      <w:pPr>
        <w:spacing w:after="0" w:line="202"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number of shares for stock consideration was based on a 20-day volume weighted average price fair value of $72.53 established prior to and including November 12, 2021 to determine the number of shares to be issued on the Acquisition Date. On the Acquisition Date, the Company's closing stock price was $50.82 per share.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the preliminary fair values of assets acquired and liabilities assumed as of July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1"/>
              <w:spacing w:after="0"/>
              <w:rPr>
                <w:sz w:val="20"/>
                <w:szCs w:val="20"/>
                <w:color w:val="auto"/>
              </w:rPr>
            </w:pPr>
            <w:r>
              <w:rPr>
                <w:rFonts w:ascii="Arial" w:cs="Arial" w:eastAsia="Arial" w:hAnsi="Arial"/>
                <w:sz w:val="14"/>
                <w:szCs w:val="14"/>
                <w:b w:val="1"/>
                <w:bCs w:val="1"/>
                <w:color w:val="auto"/>
              </w:rPr>
              <w:t>Fair Value</w:t>
            </w:r>
          </w:p>
        </w:tc>
      </w:tr>
      <w:tr>
        <w:trPr>
          <w:trHeight w:val="25"/>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17,038</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3,549</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162,000</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784,480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Operating lease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(25,485)</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932,919</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tangible and intangible assets acquired and liabilities assumed were recorded at their estimated fair values at the Acquisition Date. Any excess consideration over the fair value of the assets acquired and liabilities assumed was recognized as goodwill and is subject to revision as the purchase price allocation is completed.</w:t>
      </w:r>
    </w:p>
    <w:p>
      <w:pPr>
        <w:spacing w:after="0" w:line="184" w:lineRule="exact"/>
        <w:rPr>
          <w:sz w:val="20"/>
          <w:szCs w:val="20"/>
          <w:color w:val="auto"/>
        </w:rPr>
      </w:pPr>
    </w:p>
    <w:p>
      <w:pPr>
        <w:jc w:val="both"/>
        <w:ind w:right="60" w:firstLine="891"/>
        <w:spacing w:after="0" w:line="285" w:lineRule="auto"/>
        <w:rPr>
          <w:sz w:val="20"/>
          <w:szCs w:val="20"/>
          <w:color w:val="auto"/>
        </w:rPr>
      </w:pPr>
      <w:r>
        <w:rPr>
          <w:rFonts w:ascii="Arial" w:cs="Arial" w:eastAsia="Arial" w:hAnsi="Arial"/>
          <w:sz w:val="16"/>
          <w:szCs w:val="16"/>
          <w:color w:val="auto"/>
        </w:rPr>
        <w:t>Due to the timing and the magnitude of the transaction, initial accounting for the acquisition is not complete, and further measurement period adjustments may occur in fiscal year 2023, but no later than one year from the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and the tax returns for the pre-acquisition period are completed. The primary areas of the acquisition accounting that remain preliminary relate to, but are not limited to, (i) finalizing the Company's review of certain assets acquired and liabilities assumed,</w:t>
      </w:r>
    </w:p>
    <w:p>
      <w:pPr>
        <w:spacing w:after="0" w:line="2" w:lineRule="exact"/>
        <w:rPr>
          <w:sz w:val="20"/>
          <w:szCs w:val="20"/>
          <w:color w:val="auto"/>
        </w:rPr>
      </w:pPr>
    </w:p>
    <w:p>
      <w:pPr>
        <w:ind w:right="60" w:firstLine="8"/>
        <w:spacing w:after="0" w:line="253"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finalizing the evaluation and valuation of certain legal matters and/or loss contingencies, including those that the Company may not yet be aware of but meet the requirement to qualify as a pre-acquisition contingency, and (iii) finalizing our estimate of the impact of acquisition accounting on deferred income taxes or liabilities. As the initial acquisition accounting is based on preliminary assessments, actual values may differ materially when final information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4" w:lineRule="exact"/>
        <w:rPr>
          <w:sz w:val="20"/>
          <w:szCs w:val="20"/>
          <w:color w:val="auto"/>
        </w:rPr>
      </w:pPr>
    </w:p>
    <w:p>
      <w:pPr>
        <w:jc w:val="both"/>
        <w:ind w:right="20" w:firstLine="891"/>
        <w:spacing w:after="0" w:line="263" w:lineRule="auto"/>
        <w:rPr>
          <w:sz w:val="20"/>
          <w:szCs w:val="20"/>
          <w:color w:val="auto"/>
        </w:rPr>
      </w:pPr>
      <w:r>
        <w:rPr>
          <w:rFonts w:ascii="Arial" w:cs="Arial" w:eastAsia="Arial" w:hAnsi="Arial"/>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Arial" w:cs="Arial" w:eastAsia="Arial" w:hAnsi="Arial"/>
                <w:sz w:val="14"/>
                <w:szCs w:val="14"/>
                <w:b w:val="1"/>
                <w:bCs w:val="1"/>
                <w:color w:val="auto"/>
              </w:rPr>
              <w:t>Useful Life</w:t>
            </w:r>
          </w:p>
        </w:tc>
      </w:tr>
      <w:tr>
        <w:trPr>
          <w:trHeight w:val="26"/>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340" w:firstLine="891"/>
        <w:spacing w:after="0" w:line="263" w:lineRule="auto"/>
        <w:rPr>
          <w:sz w:val="20"/>
          <w:szCs w:val="20"/>
          <w:color w:val="auto"/>
        </w:rPr>
      </w:pPr>
      <w:r>
        <w:rPr>
          <w:rFonts w:ascii="Arial" w:cs="Arial" w:eastAsia="Arial" w:hAnsi="Arial"/>
          <w:sz w:val="18"/>
          <w:szCs w:val="18"/>
          <w:color w:val="auto"/>
        </w:rPr>
        <w:t>Developed technology represents the preliminarily estimated fair value of SimpleNexus’ technology. Customer relationships represent the preliminarily estimated fair value of the underlying relationships with SimpleNexus' customers. Trade names represents the preliminarily estimated fair value of SimpleNexus’ company name.</w:t>
      </w:r>
    </w:p>
    <w:p>
      <w:pPr>
        <w:spacing w:after="0" w:line="184"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Goodwill is primarily attributable to expanded market opportunities, synergies expected from the acquisition, and assembled workforce and approximately $189.2 million is expected to be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 in the carrying amounts of goodwill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31, 2022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841,487</w:t>
            </w:r>
          </w:p>
        </w:tc>
        <w:tc>
          <w:tcPr>
            <w:tcW w:w="0" w:type="dxa"/>
            <w:vAlign w:val="bottom"/>
          </w:tcPr>
          <w:p>
            <w:pPr>
              <w:spacing w:after="0"/>
              <w:rPr>
                <w:sz w:val="1"/>
                <w:szCs w:val="1"/>
                <w:color w:val="auto"/>
              </w:rPr>
            </w:pPr>
          </w:p>
        </w:tc>
      </w:tr>
      <w:tr>
        <w:trPr>
          <w:trHeight w:val="229"/>
        </w:trPr>
        <w:tc>
          <w:tcPr>
            <w:tcW w:w="4340" w:type="dxa"/>
            <w:vAlign w:val="bottom"/>
            <w:gridSpan w:val="3"/>
          </w:tcPr>
          <w:p>
            <w:pPr>
              <w:ind w:left="360"/>
              <w:spacing w:after="0"/>
              <w:rPr>
                <w:sz w:val="20"/>
                <w:szCs w:val="20"/>
                <w:color w:val="auto"/>
              </w:rPr>
            </w:pPr>
            <w:r>
              <w:rPr>
                <w:rFonts w:ascii="Arial" w:cs="Arial" w:eastAsia="Arial" w:hAnsi="Arial"/>
                <w:sz w:val="18"/>
                <w:szCs w:val="18"/>
                <w:color w:val="auto"/>
                <w:w w:val="91"/>
              </w:rPr>
              <w:t>SimpleNexus net working capital purchase adjustment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adjustments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Balance, July 31, 2022</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840,726</w:t>
            </w:r>
          </w:p>
        </w:tc>
        <w:tc>
          <w:tcPr>
            <w:tcW w:w="0" w:type="dxa"/>
            <w:vAlign w:val="bottom"/>
          </w:tcPr>
          <w:p>
            <w:pPr>
              <w:spacing w:after="0"/>
              <w:rPr>
                <w:sz w:val="1"/>
                <w:szCs w:val="1"/>
                <w:color w:val="auto"/>
              </w:rPr>
            </w:pPr>
          </w:p>
        </w:tc>
      </w:tr>
      <w:tr>
        <w:trPr>
          <w:trHeight w:val="21"/>
        </w:trPr>
        <w:tc>
          <w:tcPr>
            <w:tcW w:w="30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January 31, 2022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7"/>
              </w:rPr>
              <w:t>As of July 31,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76"/>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82,627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180,122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189,941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(23,885)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8260" w:type="dxa"/>
            <w:vAlign w:val="bottom"/>
            <w:gridSpan w:val="8"/>
          </w:tcPr>
          <w:p>
            <w:pPr>
              <w:ind w:left="880"/>
              <w:spacing w:after="0"/>
              <w:rPr>
                <w:sz w:val="20"/>
                <w:szCs w:val="20"/>
                <w:color w:val="auto"/>
              </w:rPr>
            </w:pPr>
            <w:r>
              <w:rPr>
                <w:rFonts w:ascii="Arial" w:cs="Arial" w:eastAsia="Arial" w:hAnsi="Arial"/>
                <w:sz w:val="18"/>
                <w:szCs w:val="18"/>
                <w:color w:val="auto"/>
                <w:w w:val="96"/>
              </w:rPr>
              <w:t>The expected future amortization expense for intangible assets as of July 31, 2022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27,415</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26,586</w:t>
            </w: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26,586</w:t>
            </w: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25,545</w:t>
            </w: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Reseller Agreement</w:t>
      </w:r>
    </w:p>
    <w:p>
      <w:pPr>
        <w:spacing w:after="0" w:line="229"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color w:val="auto"/>
        </w:rPr>
        <w:t>The Company has a reseller agreement in place with a related party to utilize their platform and to develop the Company’s cloud-based banking software as an application within the related party’s hosted environment. This agreement expires in June 2027 and will automatically renew in annual increments thereafter unless either party gives notice of non-renewal before the end of the initial term or the respective renewal term. Cost of subscription revenues in each of the three and six months ended July 31, 2021 and 2022 substantially consists of fees paid for access to the related party’s platform, including their hosting infrastructure and data center operations. Based solely on information reported in a Schedule 13G/A filed with the SEC on February 11, 2022, the reseller is no longer considered a related party as of December 31, 2021 and the amounts disclosed related to them are accordingly presented while the reseller was considered a related party. The reseller was considered a related party for the three and six months ended July 31, 2021 and was no longer considered a related party for the three and six months ended July 31, 2022. The Company has recorded expenses of $11.2 million for the three months ended July 31, 2021 and $21.7 million for the six months ended July 31, 2021. The Company continues to do business with the reseller. See also Note 15 "Related-Party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 July 31, 2022, the Company committed a total of 30,562,508 shares of common stock for future issuance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and outstanding stock options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2,308,091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w w:val="97"/>
              </w:rPr>
              <w:t>Nonvested issued and outstanding restricted stock units ("RSUs")</w:t>
            </w:r>
          </w:p>
        </w:tc>
        <w:tc>
          <w:tcPr>
            <w:tcW w:w="6100" w:type="dxa"/>
            <w:vAlign w:val="bottom"/>
            <w:gridSpan w:val="2"/>
          </w:tcPr>
          <w:p>
            <w:pPr>
              <w:jc w:val="right"/>
              <w:spacing w:after="0"/>
              <w:rPr>
                <w:sz w:val="20"/>
                <w:szCs w:val="20"/>
                <w:color w:val="auto"/>
              </w:rPr>
            </w:pPr>
            <w:r>
              <w:rPr>
                <w:rFonts w:ascii="Arial" w:cs="Arial" w:eastAsia="Arial" w:hAnsi="Arial"/>
                <w:sz w:val="18"/>
                <w:szCs w:val="18"/>
                <w:color w:val="auto"/>
              </w:rPr>
              <w:t>3,865,041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Possible issuance under stock plans</w:t>
            </w:r>
          </w:p>
        </w:tc>
        <w:tc>
          <w:tcPr>
            <w:tcW w:w="6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24,389,376</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30,562,508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660" w:type="dxa"/>
            <w:vAlign w:val="bottom"/>
            <w:vMerge w:val="restart"/>
          </w:tcPr>
          <w:p>
            <w:pPr>
              <w:jc w:val="right"/>
              <w:ind w:right="3990"/>
              <w:spacing w:after="0"/>
              <w:rPr>
                <w:sz w:val="20"/>
                <w:szCs w:val="20"/>
                <w:color w:val="auto"/>
              </w:rPr>
            </w:pPr>
            <w:r>
              <w:rPr>
                <w:rFonts w:ascii="Arial" w:cs="Arial" w:eastAsia="Arial" w:hAnsi="Arial"/>
                <w:sz w:val="18"/>
                <w:szCs w:val="18"/>
                <w:color w:val="auto"/>
              </w:rPr>
              <w:t>16</w:t>
            </w: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option activity for the six months ended July 31, 2022 was as follows:</w:t>
      </w:r>
    </w:p>
    <w:p>
      <w:pPr>
        <w:spacing w:after="0" w:line="200" w:lineRule="exact"/>
        <w:rPr>
          <w:sz w:val="20"/>
          <w:szCs w:val="20"/>
          <w:color w:val="auto"/>
        </w:rPr>
      </w:pPr>
    </w:p>
    <w:p>
      <w:pPr>
        <w:spacing w:after="0" w:line="206" w:lineRule="exact"/>
        <w:rPr>
          <w:sz w:val="20"/>
          <w:szCs w:val="20"/>
          <w:color w:val="auto"/>
        </w:rPr>
      </w:pPr>
    </w:p>
    <w:p>
      <w:pPr>
        <w:jc w:val="center"/>
        <w:ind w:left="8440"/>
        <w:spacing w:after="0"/>
        <w:rPr>
          <w:sz w:val="20"/>
          <w:szCs w:val="20"/>
          <w:color w:val="auto"/>
        </w:rPr>
      </w:pPr>
      <w:r>
        <w:rPr>
          <w:rFonts w:ascii="Arial" w:cs="Arial" w:eastAsia="Arial" w:hAnsi="Arial"/>
          <w:sz w:val="13"/>
          <w:szCs w:val="13"/>
          <w:b w:val="1"/>
          <w:bCs w:val="1"/>
          <w:color w:val="auto"/>
        </w:rPr>
        <w:t>Number of</w:t>
      </w:r>
    </w:p>
    <w:p>
      <w:pPr>
        <w:spacing w:after="0" w:line="15"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Weighted</w:t>
      </w:r>
    </w:p>
    <w:p>
      <w:pPr>
        <w:ind w:left="200"/>
        <w:spacing w:after="0" w:line="206" w:lineRule="auto"/>
        <w:rPr>
          <w:sz w:val="20"/>
          <w:szCs w:val="20"/>
          <w:color w:val="auto"/>
        </w:rPr>
      </w:pPr>
      <w:r>
        <w:rPr>
          <w:rFonts w:ascii="Arial" w:cs="Arial" w:eastAsia="Arial" w:hAnsi="Arial"/>
          <w:sz w:val="14"/>
          <w:szCs w:val="14"/>
          <w:b w:val="1"/>
          <w:bCs w:val="1"/>
          <w:color w:val="auto"/>
        </w:rPr>
        <w:t>Average</w:t>
      </w:r>
    </w:p>
    <w:p>
      <w:pPr>
        <w:spacing w:after="0"/>
        <w:rPr>
          <w:sz w:val="20"/>
          <w:szCs w:val="20"/>
          <w:color w:val="auto"/>
        </w:rPr>
      </w:pPr>
      <w:r>
        <w:rPr>
          <w:rFonts w:ascii="Arial" w:cs="Arial" w:eastAsia="Arial" w:hAnsi="Arial"/>
          <w:sz w:val="12"/>
          <w:szCs w:val="12"/>
          <w:b w:val="1"/>
          <w:bCs w:val="1"/>
          <w:color w:val="auto"/>
        </w:rPr>
        <w:t>Exercise Price</w:t>
      </w:r>
    </w:p>
    <w:p>
      <w:pPr>
        <w:spacing w:after="0" w:line="45" w:lineRule="exact"/>
        <w:rPr>
          <w:sz w:val="20"/>
          <w:szCs w:val="20"/>
          <w:color w:val="auto"/>
        </w:rPr>
      </w:pPr>
    </w:p>
    <w:p>
      <w:pPr>
        <w:sectPr>
          <w:pgSz w:w="11900" w:h="16838" w:orient="portrait"/>
          <w:cols w:equalWidth="0" w:num="2">
            <w:col w:w="9320" w:space="720"/>
            <w:col w:w="120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35"/>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2,629,109</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81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(305,394)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6.09</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2,308,091</w:t>
            </w:r>
          </w:p>
        </w:tc>
        <w:tc>
          <w:tcPr>
            <w:tcW w:w="6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Exercisable, July 31, 2022</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2,108,538</w:t>
            </w:r>
          </w:p>
        </w:tc>
        <w:tc>
          <w:tcPr>
            <w:tcW w:w="660" w:type="dxa"/>
            <w:vAlign w:val="bottom"/>
            <w:gridSpan w:val="2"/>
          </w:tcPr>
          <w:p>
            <w:pPr>
              <w:jc w:val="right"/>
              <w:ind w:right="37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5.88</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Fully vested or expected to vest, July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2,288,136</w:t>
            </w:r>
          </w:p>
        </w:tc>
        <w:tc>
          <w:tcPr>
            <w:tcW w:w="66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As of July 31, 2022, there was $0.4 million of total unrecognized compensation expense related to unvested stock-based compensation arrangements under the 2014 Stock Plan ("2014 Plan") and 2019 Equity Incentive Plan (as amended and restated, "2019 Plan"). That cost is expected to be recognized over a weighted average period of 0.89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RSU activity during the six months ended July 31, 2022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January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1,601,973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July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3,865,041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891"/>
        <w:spacing w:after="0" w:line="263" w:lineRule="auto"/>
        <w:rPr>
          <w:sz w:val="20"/>
          <w:szCs w:val="20"/>
          <w:color w:val="auto"/>
        </w:rPr>
      </w:pPr>
      <w:r>
        <w:rPr>
          <w:rFonts w:ascii="Arial" w:cs="Arial" w:eastAsia="Arial" w:hAnsi="Arial"/>
          <w:sz w:val="18"/>
          <w:szCs w:val="18"/>
          <w:color w:val="auto"/>
        </w:rPr>
        <w:t>As of July 31, 2022, total unrecognized compensation expense related to non-vested RSUs was $142.0 million, adjusted for estimated forfeitures, based on the estimated fair value of the Company’s common stock at the time of grant. That cost is expected to be recognized over a weighted average period of 3.26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The first offering period for the Employee Stock Purchase Plan ("ESPP") began on July 1, 2021 and ended on December 31, 2021. Thereafter, offering periods will begin on January 1 and July 1.</w:t>
      </w:r>
    </w:p>
    <w:p>
      <w:pPr>
        <w:spacing w:after="0" w:line="170" w:lineRule="exact"/>
        <w:rPr>
          <w:sz w:val="20"/>
          <w:szCs w:val="20"/>
          <w:color w:val="auto"/>
        </w:rPr>
      </w:pPr>
    </w:p>
    <w:p>
      <w:pPr>
        <w:ind w:right="340" w:firstLine="891"/>
        <w:spacing w:after="0" w:line="263" w:lineRule="auto"/>
        <w:rPr>
          <w:sz w:val="20"/>
          <w:szCs w:val="20"/>
          <w:color w:val="auto"/>
        </w:rPr>
      </w:pPr>
      <w:r>
        <w:rPr>
          <w:rFonts w:ascii="Arial" w:cs="Arial" w:eastAsia="Arial" w:hAnsi="Arial"/>
          <w:sz w:val="18"/>
          <w:szCs w:val="18"/>
          <w:color w:val="auto"/>
        </w:rPr>
        <w:t>The fair value of ESPP shares during the six months ended July 31, 2022 was estimated at the date of grant using the Black-Scholes option valuation model based on assumptions as follows for ESPP awards: (i) expected life of 0.5 years, (ii) expected volatility of 49.65% to 84.59%, (iii) expected dividends of 0.00%, (iv) risk-free interest rate of 0.22% to 2.52%.</w:t>
      </w:r>
    </w:p>
    <w:p>
      <w:pPr>
        <w:spacing w:after="0" w:line="184" w:lineRule="exact"/>
        <w:rPr>
          <w:sz w:val="20"/>
          <w:szCs w:val="20"/>
          <w:color w:val="auto"/>
        </w:rPr>
      </w:pPr>
    </w:p>
    <w:p>
      <w:pPr>
        <w:ind w:right="300" w:firstLine="891"/>
        <w:spacing w:after="0" w:line="277" w:lineRule="auto"/>
        <w:rPr>
          <w:sz w:val="20"/>
          <w:szCs w:val="20"/>
          <w:color w:val="auto"/>
        </w:rPr>
      </w:pPr>
      <w:r>
        <w:rPr>
          <w:rFonts w:ascii="Arial" w:cs="Arial" w:eastAsia="Arial" w:hAnsi="Arial"/>
          <w:sz w:val="18"/>
          <w:szCs w:val="18"/>
          <w:color w:val="auto"/>
        </w:rPr>
        <w:t>As of July 31, 2022, total unrecognized compensation expense related to the ESPP was $0.8 million. That cost is expected to be recognized over the remaining term of the offering period that began on July 1, 2022 and will end on December 31, 2022.</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 stock-based compensation expense included in our consolidated statements of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The Company leases its facilities and a portion of its equipment under various non-cancellable agreements, which expire at various times through July 2028, some of which include options to extend the leases for up to five years.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lease expense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Arial" w:cs="Arial" w:eastAsia="Arial" w:hAnsi="Arial"/>
                <w:sz w:val="14"/>
                <w:szCs w:val="14"/>
                <w:b w:val="1"/>
                <w:bCs w:val="1"/>
                <w:color w:val="auto"/>
                <w:w w:val="95"/>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Pr>
          <w:p>
            <w:pPr>
              <w:spacing w:after="0"/>
              <w:rPr>
                <w:sz w:val="16"/>
                <w:szCs w:val="16"/>
                <w:color w:val="auto"/>
              </w:rPr>
            </w:pPr>
          </w:p>
        </w:tc>
      </w:tr>
      <w:tr>
        <w:trPr>
          <w:trHeight w:val="25"/>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1,421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1,961</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2,732</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Supplemental cash flow information related to operating leases were as follows:</w:t>
      </w:r>
    </w:p>
    <w:p>
      <w:pPr>
        <w:spacing w:after="0" w:line="25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32385</wp:posOffset>
            </wp:positionV>
            <wp:extent cx="18770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r>
    </w:tbl>
    <w:p>
      <w:pPr>
        <w:spacing w:after="0" w:line="295"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The weighted-average remaining lease term and weighted-average discount rate for the Company's operating lease liabilities as of July 31, 2022 were 4.07 years and 4.4%,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nCino,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40" w:type="dxa"/>
            <w:vAlign w:val="bottom"/>
          </w:tcPr>
          <w:p>
            <w:pPr>
              <w:jc w:val="center"/>
              <w:ind w:right="41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(In thousands, except share and per share amounts and unless otherwise indicated)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9780" w:type="dxa"/>
            <w:vAlign w:val="bottom"/>
            <w:gridSpan w:val="2"/>
          </w:tcPr>
          <w:p>
            <w:pPr>
              <w:ind w:left="880"/>
              <w:spacing w:after="0"/>
              <w:rPr>
                <w:sz w:val="20"/>
                <w:szCs w:val="20"/>
                <w:color w:val="auto"/>
              </w:rPr>
            </w:pPr>
            <w:r>
              <w:rPr>
                <w:rFonts w:ascii="Arial" w:cs="Arial" w:eastAsia="Arial" w:hAnsi="Arial"/>
                <w:sz w:val="18"/>
                <w:szCs w:val="18"/>
                <w:color w:val="auto"/>
              </w:rPr>
              <w:t>Future minimum lease payments as of July 31, 2022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Fiscal Year Ending January 31,</w:t>
            </w: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Operating Leases</w:t>
            </w: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4,025</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2,559</w:t>
            </w: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Revolving Credit Facility</w:t>
      </w:r>
    </w:p>
    <w:p>
      <w:pPr>
        <w:spacing w:after="0" w:line="229"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8" w:lineRule="exact"/>
        <w:rPr>
          <w:sz w:val="20"/>
          <w:szCs w:val="20"/>
          <w:color w:val="auto"/>
        </w:rPr>
      </w:pPr>
    </w:p>
    <w:p>
      <w:pPr>
        <w:ind w:right="260" w:firstLine="891"/>
        <w:spacing w:after="0" w:line="257" w:lineRule="auto"/>
        <w:rPr>
          <w:sz w:val="20"/>
          <w:szCs w:val="20"/>
          <w:color w:val="auto"/>
        </w:rPr>
      </w:pPr>
      <w:r>
        <w:rPr>
          <w:rFonts w:ascii="Arial" w:cs="Arial" w:eastAsia="Arial" w:hAnsi="Arial"/>
          <w:sz w:val="18"/>
          <w:szCs w:val="18"/>
          <w:color w:val="auto"/>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spacing w:after="0" w:line="188"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Borrowings under the Credit Facility are scheduled to mature on February 11, 2024, and the Company may repay amounts borrowed any time without penalty. Borrowings under the Credit Facility may be reborrowed.</w:t>
      </w:r>
    </w:p>
    <w:p>
      <w:pPr>
        <w:spacing w:after="0" w:line="170" w:lineRule="exact"/>
        <w:rPr>
          <w:sz w:val="20"/>
          <w:szCs w:val="20"/>
          <w:color w:val="auto"/>
        </w:rPr>
      </w:pPr>
    </w:p>
    <w:p>
      <w:pPr>
        <w:ind w:right="140" w:firstLine="891"/>
        <w:spacing w:after="0" w:line="254" w:lineRule="auto"/>
        <w:rPr>
          <w:sz w:val="20"/>
          <w:szCs w:val="20"/>
          <w:color w:val="auto"/>
        </w:rPr>
      </w:pPr>
      <w:r>
        <w:rPr>
          <w:rFonts w:ascii="Arial" w:cs="Arial" w:eastAsia="Arial" w:hAnsi="Arial"/>
          <w:sz w:val="18"/>
          <w:szCs w:val="18"/>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at July 31, 2022 on the unaudited condensed consolidated balance sheets.</w:t>
      </w:r>
    </w:p>
    <w:p>
      <w:pPr>
        <w:spacing w:after="0" w:line="195"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July 31, 2022, unamortized debt issuance costs were $0.3 million and are included in other long-term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891"/>
        <w:spacing w:after="0" w:line="277" w:lineRule="auto"/>
        <w:rPr>
          <w:sz w:val="20"/>
          <w:szCs w:val="20"/>
          <w:color w:val="auto"/>
        </w:rPr>
      </w:pPr>
      <w:r>
        <w:rPr>
          <w:rFonts w:ascii="Arial" w:cs="Arial" w:eastAsia="Arial" w:hAnsi="Arial"/>
          <w:sz w:val="18"/>
          <w:szCs w:val="18"/>
          <w:color w:val="auto"/>
        </w:rPr>
        <w:t>As of July 31, 2022, the Company had no amounts outstanding or letters of credit issued on the Credit Facility and was in compliance with all covenants. The available borrowing capacity under the Credit Facility was $50.0 million as of July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The Company’s purchase commitments consist of non-cancellable agreements to purchase goods and services, primarily licenses and hosting services, entered into in the ordinary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Construction Liabilities</w:t>
      </w:r>
    </w:p>
    <w:p>
      <w:pPr>
        <w:spacing w:after="0" w:line="225"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The Company entered into a new lease agreement for the Company's headquarters in November 2020 with a new lessor. The lease goes through 2035 with options to renew. Due to a purchase option contained in the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obligations on the unaudited condensed consolidated balance sheets, respectively.</w:t>
      </w:r>
    </w:p>
    <w:p>
      <w:pPr>
        <w:spacing w:after="0" w:line="195"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In January 2021, the Company entered into an agreement for a parking deck which is an addition to the Company's existing headquarters building.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 Upon expiration of the purchase option in the lease, the lease will be analyzed for applicable lease accounting.</w:t>
      </w:r>
    </w:p>
    <w:p>
      <w:pPr>
        <w:spacing w:after="0" w:line="164" w:lineRule="exact"/>
        <w:rPr>
          <w:sz w:val="20"/>
          <w:szCs w:val="20"/>
          <w:color w:val="auto"/>
        </w:rPr>
      </w:pPr>
    </w:p>
    <w:p>
      <w:pPr>
        <w:ind w:right="80" w:firstLine="891"/>
        <w:spacing w:after="0" w:line="272" w:lineRule="auto"/>
        <w:rPr>
          <w:sz w:val="20"/>
          <w:szCs w:val="20"/>
          <w:color w:val="auto"/>
        </w:rPr>
      </w:pPr>
      <w:r>
        <w:rPr>
          <w:rFonts w:ascii="Arial" w:cs="Arial" w:eastAsia="Arial" w:hAnsi="Arial"/>
          <w:sz w:val="17"/>
          <w:szCs w:val="17"/>
          <w:color w:val="auto"/>
        </w:rPr>
        <w:t>In April 2021, the Company entered into a new lease agreement for the construction of an additional office building that is on the property of the Company's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unaudited condensed consolidated balance sheets, respectively.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Purchase commitments and future minimum lease payments required under financing obligations as of July 31, 2022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Ending January 31,</w:t>
            </w:r>
          </w:p>
        </w:tc>
        <w:tc>
          <w:tcPr>
            <w:tcW w:w="20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Financing obligations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2"/>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w w:val="95"/>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120" w:firstLine="89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From time to time, the Company is involved in legal proceedings or is subject to claims arising in the ordinary course of business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right="260" w:firstLine="891"/>
        <w:spacing w:after="0" w:line="301" w:lineRule="auto"/>
        <w:rPr>
          <w:sz w:val="20"/>
          <w:szCs w:val="20"/>
          <w:color w:val="auto"/>
        </w:rPr>
      </w:pPr>
      <w:r>
        <w:rPr>
          <w:rFonts w:ascii="Arial" w:cs="Arial" w:eastAsia="Arial" w:hAnsi="Arial"/>
          <w:sz w:val="16"/>
          <w:szCs w:val="16"/>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57"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178" w:lineRule="exact"/>
        <w:rPr>
          <w:sz w:val="20"/>
          <w:szCs w:val="20"/>
          <w:color w:val="auto"/>
        </w:rPr>
      </w:pPr>
    </w:p>
    <w:p>
      <w:pPr>
        <w:jc w:val="both"/>
        <w:ind w:right="40" w:firstLine="891"/>
        <w:spacing w:after="0" w:line="286" w:lineRule="auto"/>
        <w:rPr>
          <w:sz w:val="20"/>
          <w:szCs w:val="20"/>
          <w:color w:val="auto"/>
        </w:rPr>
      </w:pPr>
      <w:r>
        <w:rPr>
          <w:rFonts w:ascii="Arial" w:cs="Arial" w:eastAsia="Arial" w:hAnsi="Arial"/>
          <w:sz w:val="17"/>
          <w:szCs w:val="17"/>
          <w:color w:val="auto"/>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Given the uncertainty and preliminary stages of these matters, the Company is unable to reasonably estimate any possible loss or range of loss that may result.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25" w:lineRule="exact"/>
        <w:rPr>
          <w:sz w:val="20"/>
          <w:szCs w:val="20"/>
          <w:color w:val="auto"/>
        </w:rPr>
      </w:pPr>
    </w:p>
    <w:p>
      <w:pPr>
        <w:jc w:val="both"/>
        <w:ind w:right="320" w:firstLine="891"/>
        <w:spacing w:after="0" w:line="263" w:lineRule="auto"/>
        <w:rPr>
          <w:sz w:val="20"/>
          <w:szCs w:val="20"/>
          <w:color w:val="auto"/>
        </w:rPr>
      </w:pPr>
      <w:r>
        <w:rPr>
          <w:rFonts w:ascii="Arial" w:cs="Arial" w:eastAsia="Arial" w:hAnsi="Arial"/>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Related-Party Transactions</w:t>
      </w:r>
    </w:p>
    <w:p>
      <w:pPr>
        <w:spacing w:after="0" w:line="229"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The Company’s largest vendor is also an equityholder in the Company. Total payments related to the agreement with this party are disclosed in Note 9 "Reseller Agreement." The Company also purchases services from this party to assist in managing its own sales cycle, customer relationship management, and other business functions. The Company has a non-cancellable agreement for the purchase of services. In December 2021, this agreement was renewed for one year and expires in December 2022. Based solely on information reported in a Schedule 13G/A filed with the SEC on February 11, 2022, this vendor is no longer considered a related party as of December 31, 2021, and the amounts disclosed related to them are accordingly presented while the vendor was considered a related party. The vendor was considered a related party for the three and six months ended July 31, 2021 and was no longer considered a related party for the three and six months ended July 31, 2022. Total payments for these services recorded to expenses were $0.4 million for the three months ended July 31, 2021 and $0.8 million for the six months ended July 31, 2021. The Company continues to do business with the vendor.</w:t>
      </w:r>
    </w:p>
    <w:p>
      <w:pPr>
        <w:spacing w:after="0" w:line="181" w:lineRule="exact"/>
        <w:rPr>
          <w:sz w:val="20"/>
          <w:szCs w:val="20"/>
          <w:color w:val="auto"/>
        </w:rPr>
      </w:pPr>
    </w:p>
    <w:p>
      <w:pPr>
        <w:ind w:right="40" w:firstLine="891"/>
        <w:spacing w:after="0" w:line="286" w:lineRule="auto"/>
        <w:rPr>
          <w:sz w:val="20"/>
          <w:szCs w:val="20"/>
          <w:color w:val="auto"/>
        </w:rPr>
      </w:pPr>
      <w:r>
        <w:rPr>
          <w:rFonts w:ascii="Arial" w:cs="Arial" w:eastAsia="Arial" w:hAnsi="Arial"/>
          <w:sz w:val="17"/>
          <w:szCs w:val="17"/>
          <w:color w:val="auto"/>
        </w:rPr>
        <w:t>The Company entered into a Merger Agreement on January 7, 2022, as disclosed in Note 1 "Organization and Description of Business" and Note 7 "Business Combinations." Affiliates of Insight Partners were equityholders of SimpleNexus and certain other parties in connection with the Merger Agreement transaction, and other affiliates of Insight Partners are currently significant stockholders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229"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July 31, 2021 and 2022 and for the six months ended July 31, 2021 and 2022 is the same as the basic loss per share as there was a net loss for those periods, and inclusion of potentially issuable shares was anti-dilutive.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(57,933)</w:t>
            </w: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95,661,756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95,042,448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110,198,509</w:t>
            </w: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 and diluted loss per share attributable to nCino, Inc.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(0.53)</w:t>
            </w:r>
          </w:p>
        </w:tc>
      </w:tr>
    </w:tbl>
    <w:p>
      <w:pPr>
        <w:spacing w:after="0" w:line="295" w:lineRule="exact"/>
        <w:rPr>
          <w:sz w:val="20"/>
          <w:szCs w:val="20"/>
          <w:color w:val="auto"/>
        </w:rPr>
      </w:pPr>
    </w:p>
    <w:p>
      <w:pPr>
        <w:ind w:right="640" w:firstLine="891"/>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42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3,465,303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2,308,091</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Nonvested RSUs issued and outstanding</w:t>
            </w:r>
          </w:p>
        </w:tc>
        <w:tc>
          <w:tcPr>
            <w:tcW w:w="5480" w:type="dxa"/>
            <w:vAlign w:val="bottom"/>
            <w:gridSpan w:val="2"/>
          </w:tcPr>
          <w:p>
            <w:pPr>
              <w:jc w:val="right"/>
              <w:ind w:right="2"/>
              <w:spacing w:after="0"/>
              <w:rPr>
                <w:sz w:val="20"/>
                <w:szCs w:val="20"/>
                <w:color w:val="auto"/>
              </w:rPr>
            </w:pPr>
            <w:r>
              <w:rPr>
                <w:rFonts w:ascii="Arial" w:cs="Arial" w:eastAsia="Arial" w:hAnsi="Arial"/>
                <w:sz w:val="18"/>
                <w:szCs w:val="18"/>
                <w:color w:val="auto"/>
              </w:rPr>
              <w:t>2,294,314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3,865,041</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pursuant to the ESPP</w:t>
            </w:r>
          </w:p>
        </w:tc>
        <w:tc>
          <w:tcPr>
            <w:tcW w:w="54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7,753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w:t>
            </w:r>
          </w:p>
        </w:tc>
      </w:tr>
      <w:tr>
        <w:trPr>
          <w:trHeight w:val="891"/>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Arial" w:cs="Arial" w:eastAsia="Arial" w:hAnsi="Arial"/>
                <w:sz w:val="18"/>
                <w:szCs w:val="18"/>
                <w:color w:val="auto"/>
              </w:rPr>
              <w:t>23</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891"/>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2022 filed with the SEC on March 31, 2022</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2023" refer to the fiscal year ended January 31,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891"/>
        <w:spacing w:after="0" w:line="288"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credit unions, and independent mortgage banks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banks and credit unions to more effectively onboard new clients, make loans and manage the entire loan life cycle, open deposit and other accounts, and manage regulatory compliance. Additionally, SimpleNexus' digital homeownership platform, which we acquired on January 7, 2022 (the "Acquisition Date"), unites people, systems, and stages of the mortgage process into a seamless end-to-end journey. We serve financial institution customers of all sizes and complexities, including global financial institutions, enterprise banks, regional banks, community banks, credit unions, new market entrants, such as challenger banks, and, through SimpleNexus, independent mortgage banks. Our customers deploy and utilize our technology, which can be accessed anytime, anywhere, and from any internet-enabled device, for mission critical functions across their organizations.</w:t>
      </w:r>
    </w:p>
    <w:p>
      <w:pPr>
        <w:spacing w:after="0" w:line="168" w:lineRule="exact"/>
        <w:rPr>
          <w:sz w:val="20"/>
          <w:szCs w:val="20"/>
          <w:color w:val="auto"/>
        </w:rPr>
      </w:pPr>
    </w:p>
    <w:p>
      <w:pPr>
        <w:ind w:right="380" w:firstLine="89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banks and credit unions operate, go to market, and interact with their clients, while delivering measurable return on investment by enabling them to:</w:t>
      </w:r>
    </w:p>
    <w:p>
      <w:pPr>
        <w:spacing w:after="0" w:line="170"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right="100" w:firstLine="891"/>
        <w:spacing w:after="0" w:line="289"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this solution to enterprise banks in the United States in 2014, and then internationally in 2017, and have subsequently expanded across North America, Europe, and APAC. In fiscal 2020, we acquired nCino Portfolio Analytics, LLC (formerly Visible Equity) and FinSuite and combined the acquired technology with certain of our internally-developed technology to launch nCino IQ ("nIQ"). nIQ helps our customers improve operational and financial performance by using AI/ML to increase efficiency through automation and analytics to gain greater insights into their operations and client interactions. In January 2022, we acquired SimpleNexus, a leading cloud-based mobile-first homeownership software company in the United States.</w:t>
      </w:r>
    </w:p>
    <w:p>
      <w:pPr>
        <w:spacing w:after="0" w:line="166" w:lineRule="exact"/>
        <w:rPr>
          <w:sz w:val="20"/>
          <w:szCs w:val="20"/>
          <w:color w:val="auto"/>
        </w:rPr>
      </w:pPr>
    </w:p>
    <w:p>
      <w:pPr>
        <w:ind w:right="40" w:firstLine="891"/>
        <w:spacing w:after="0" w:line="277" w:lineRule="auto"/>
        <w:rPr>
          <w:sz w:val="20"/>
          <w:szCs w:val="20"/>
          <w:color w:val="auto"/>
        </w:rPr>
      </w:pPr>
      <w:r>
        <w:rPr>
          <w:rFonts w:ascii="Arial" w:cs="Arial" w:eastAsia="Arial" w:hAnsi="Arial"/>
          <w:sz w:val="18"/>
          <w:szCs w:val="18"/>
          <w:color w:val="auto"/>
        </w:rPr>
        <w:t>We offer our solution on a SaaS basis under multi-year contracts and recognize subscription revenues ratably over the term of the contract. Our customers may initially purchase the nCino Bank Operating System for client onboarding, loan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origination, and/or deposit account opening for a single line of business or geography. Once this initial solution is in production, we seek to deploy additional solutions and expand within and across additional lines of business or geographies. The expansion from our original focus on commercial and small business loan origination to retail loan origination, client onboarding, deposit account opening, and, most recently, analytics and AI/ML solutions, has enhanced our ability to increase adoption of the nCino Bank Operating System by our customers.</w:t>
      </w:r>
    </w:p>
    <w:p>
      <w:pPr>
        <w:spacing w:after="0" w:line="187" w:lineRule="exact"/>
        <w:rPr>
          <w:sz w:val="20"/>
          <w:szCs w:val="20"/>
          <w:color w:val="auto"/>
        </w:rPr>
      </w:pPr>
    </w:p>
    <w:p>
      <w:pPr>
        <w:ind w:right="60" w:firstLine="891"/>
        <w:spacing w:after="0" w:line="255" w:lineRule="auto"/>
        <w:rPr>
          <w:sz w:val="20"/>
          <w:szCs w:val="20"/>
          <w:color w:val="auto"/>
        </w:rPr>
      </w:pPr>
      <w:r>
        <w:rPr>
          <w:rFonts w:ascii="Arial" w:cs="Arial" w:eastAsia="Arial" w:hAnsi="Arial"/>
          <w:sz w:val="18"/>
          <w:szCs w:val="18"/>
          <w:color w:val="auto"/>
        </w:rPr>
        <w:t>We sell our solutions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2022, we had 288 sales and sales support personnel in the United States, including SimpleNexus, and 83 sales and support personnel in offices outside the United States.</w:t>
      </w:r>
    </w:p>
    <w:p>
      <w:pPr>
        <w:spacing w:after="0" w:line="192" w:lineRule="exact"/>
        <w:rPr>
          <w:sz w:val="20"/>
          <w:szCs w:val="20"/>
          <w:color w:val="auto"/>
        </w:rPr>
      </w:pPr>
    </w:p>
    <w:p>
      <w:pPr>
        <w:ind w:right="100" w:firstLine="891"/>
        <w:spacing w:after="0" w:line="273" w:lineRule="auto"/>
        <w:rPr>
          <w:sz w:val="20"/>
          <w:szCs w:val="20"/>
          <w:color w:val="auto"/>
        </w:rPr>
      </w:pPr>
      <w:r>
        <w:rPr>
          <w:rFonts w:ascii="Arial" w:cs="Arial" w:eastAsia="Arial" w:hAnsi="Arial"/>
          <w:sz w:val="17"/>
          <w:szCs w:val="17"/>
          <w:color w:val="auto"/>
        </w:rPr>
        <w:t>To help customers go live with the nCino Bank Operating System, we offer professional services including configuration and implementation, training and advisory services. For larger financial institutions, we generally work with system integrators ("SIs") such as Accenture, Deloitte, PwC, and West Monroe Partners for the delivery of professional services for the nCino Bank Operating System, while we have historically performed professional services for smaller financial institutions ourselves. We expect larger financial institutions to make up a greater proportion of our nCino Bank Operating System sales and to increasingly outsource professional services for smaller banks and credit unions to SIs in the future. As a result, we expect the mix of our total revenues to become more heavily weighted toward subscription revenues.</w:t>
      </w:r>
    </w:p>
    <w:p>
      <w:pPr>
        <w:spacing w:after="0" w:line="178"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of the nCino Bank Operating System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public company.</w:t>
      </w:r>
    </w:p>
    <w:p>
      <w:pPr>
        <w:spacing w:after="0" w:line="192" w:lineRule="exact"/>
        <w:rPr>
          <w:sz w:val="20"/>
          <w:szCs w:val="20"/>
          <w:color w:val="auto"/>
        </w:rPr>
      </w:pPr>
    </w:p>
    <w:p>
      <w:pPr>
        <w:ind w:right="100" w:firstLine="891"/>
        <w:spacing w:after="0" w:line="280" w:lineRule="auto"/>
        <w:rPr>
          <w:sz w:val="20"/>
          <w:szCs w:val="20"/>
          <w:color w:val="auto"/>
        </w:rPr>
      </w:pPr>
      <w:r>
        <w:rPr>
          <w:rFonts w:ascii="Arial" w:cs="Arial" w:eastAsia="Arial" w:hAnsi="Arial"/>
          <w:sz w:val="16"/>
          <w:szCs w:val="16"/>
          <w:color w:val="auto"/>
        </w:rPr>
        <w:t>On the Acquisition Date, we acquired SimpleNexus, a leading cloud-based mobile-first homeownership software company in the United States, for an aggregate purchase price of $933.6 million. As a result of the acquisition, SimpleNexus became a wholly owned subsidiary of nCino, Inc. Our consolidated results of operations for the three and six months ended July 31, 2022 include the operating results of SimpleNexus from the Acquisition Date. See Note 7 "Business Combinations" of the notes to our consolidated financial statements included in of Part I, Item I of this Quarterly Report on Form 10-Q for additional information. Given it was prior to the Acquisition Date, no operating results for SimpleNexus are included in the comparative period for the three and six months ended July 31, 2021. SimpleNexus offers a suite of products that enables loan officers, borrowers, real estate agents, settlement agents and others to easily engage in the homeownership process from any internet-enabled device.</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For the three months ended July 31, 2021 and 2022, our total revenues were $66.5 million and $99.6 million, respectively, representing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49.8% increase. Our revenues for the three months ended July 31, 2022 include $16.5 million in revenues from SimpleNexus.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31, 2021 and 2022, our subscription revenues were $53.9 million and $84.4 million, respectively, representing a 56.6% increase. Our subscription-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revenues for the three months ended July 31, 2022 include $15.0 million from SimpleNexus. Due to our continuing investment in growth,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net losses attributable to nCino, Inc. of $13.7 million and $27.2 million for the three months ended July 31, 2021 and 2022, respectively.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July 31, 2021 and 2022, our total revenues were $128.9 million and $193.8 million, respectively, representing a 50.4% increase.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six months ended July 31, 2022 include $31.3 million in revenues from SimpleNexus. For the six months ended July 31, 2021 and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subscription revenues were $105.0 million and $163.6 million, respectively, representing a 55.9% increase. Our subscription-based revenues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July 31, 2022 include $28.6 million from SimpleNexus. Due to our continuing investment in growth, we recorded net losses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nCino, Inc. of $28.7 million and $57.9 million for the six months ended July 31, 2021 and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right="260" w:firstLine="891"/>
        <w:spacing w:after="0" w:line="259" w:lineRule="auto"/>
        <w:rPr>
          <w:sz w:val="20"/>
          <w:szCs w:val="20"/>
          <w:color w:val="auto"/>
        </w:rPr>
      </w:pPr>
      <w:r>
        <w:rPr>
          <w:rFonts w:ascii="Arial" w:cs="Arial" w:eastAsia="Arial" w:hAnsi="Arial"/>
          <w:sz w:val="18"/>
          <w:szCs w:val="18"/>
          <w:b w:val="1"/>
          <w:bCs w:val="1"/>
          <w:i w:val="1"/>
          <w:iCs w:val="1"/>
          <w:color w:val="auto"/>
        </w:rPr>
        <w:t>Market Adoption of Our Solution</w:t>
      </w:r>
      <w:r>
        <w:rPr>
          <w:rFonts w:ascii="Arial" w:cs="Arial" w:eastAsia="Arial" w:hAnsi="Arial"/>
          <w:sz w:val="18"/>
          <w:szCs w:val="18"/>
          <w:color w:val="auto"/>
        </w:rPr>
        <w:t>. Our future growth depends on our ability to expand our reach to new financial institution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financial institutions to replace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legacy third-party point solutions or internally developed software with our solutions. In addition, growing our customer base will require us to increasingly penetrate markets outside the United States, which markets accounted for 15.0% of total revenues for the three months ended July 31, 2022, and 15.1% for the six months ended July 31, 2022.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78" w:lineRule="exact"/>
        <w:rPr>
          <w:sz w:val="20"/>
          <w:szCs w:val="20"/>
          <w:color w:val="auto"/>
        </w:rPr>
      </w:pPr>
    </w:p>
    <w:p>
      <w:pPr>
        <w:ind w:right="20" w:firstLine="891"/>
        <w:spacing w:after="0" w:line="273" w:lineRule="auto"/>
        <w:rPr>
          <w:sz w:val="20"/>
          <w:szCs w:val="20"/>
          <w:color w:val="auto"/>
        </w:rPr>
      </w:pPr>
      <w:r>
        <w:rPr>
          <w:rFonts w:ascii="Arial" w:cs="Arial" w:eastAsia="Arial" w:hAnsi="Arial"/>
          <w:sz w:val="17"/>
          <w:szCs w:val="17"/>
          <w:b w:val="1"/>
          <w:bCs w:val="1"/>
          <w:i w:val="1"/>
          <w:iCs w:val="1"/>
          <w:color w:val="auto"/>
        </w:rPr>
        <w:t xml:space="preserve">Mix of Subscription and Professional Services Revenues. </w:t>
      </w:r>
      <w:r>
        <w:rPr>
          <w:rFonts w:ascii="Arial" w:cs="Arial" w:eastAsia="Arial" w:hAnsi="Arial"/>
          <w:sz w:val="17"/>
          <w:szCs w:val="17"/>
          <w:color w:val="auto"/>
        </w:rPr>
        <w:t>The initial deployment of our solutions by our customers requires a period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and configuration services that can generally range from as little as three months to over 18 months for global financial institutions. As a result,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78" w:lineRule="exact"/>
        <w:rPr>
          <w:sz w:val="20"/>
          <w:szCs w:val="20"/>
          <w:color w:val="auto"/>
        </w:rPr>
      </w:pPr>
    </w:p>
    <w:p>
      <w:pPr>
        <w:ind w:right="240" w:firstLine="891"/>
        <w:spacing w:after="0" w:line="279" w:lineRule="auto"/>
        <w:rPr>
          <w:sz w:val="20"/>
          <w:szCs w:val="20"/>
          <w:color w:val="auto"/>
        </w:rPr>
      </w:pPr>
      <w:r>
        <w:rPr>
          <w:rFonts w:ascii="Arial" w:cs="Arial" w:eastAsia="Arial" w:hAnsi="Arial"/>
          <w:sz w:val="17"/>
          <w:szCs w:val="17"/>
          <w:b w:val="1"/>
          <w:bCs w:val="1"/>
          <w:i w:val="1"/>
          <w:iCs w:val="1"/>
          <w:color w:val="auto"/>
        </w:rPr>
        <w:t>COVID-19 Effects on Demand for Our Solutions</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Coronavirus Aid, Relief, and Economic Security Act, also known as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w:t>
      </w:r>
    </w:p>
    <w:p>
      <w:pPr>
        <w:spacing w:after="0" w:line="171" w:lineRule="exact"/>
        <w:rPr>
          <w:sz w:val="20"/>
          <w:szCs w:val="20"/>
          <w:color w:val="auto"/>
        </w:rPr>
      </w:pPr>
    </w:p>
    <w:p>
      <w:pPr>
        <w:ind w:right="20" w:firstLine="891"/>
        <w:spacing w:after="0" w:line="293"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had the effect of moderating revenue growth rates in fiscal 2022. In addition, our revenue growth rates in fiscal 2023 and our subscription revenue retention rates may be adversely affected upon the expiration of access and use rights to our PPP solution to the extent such rights are not re-purposed for other applications.</w:t>
      </w:r>
    </w:p>
    <w:p>
      <w:pPr>
        <w:spacing w:after="0" w:line="164" w:lineRule="exact"/>
        <w:rPr>
          <w:sz w:val="20"/>
          <w:szCs w:val="20"/>
          <w:color w:val="auto"/>
        </w:rPr>
      </w:pPr>
    </w:p>
    <w:p>
      <w:pPr>
        <w:ind w:right="280" w:firstLine="891"/>
        <w:spacing w:after="0" w:line="263" w:lineRule="auto"/>
        <w:rPr>
          <w:sz w:val="20"/>
          <w:szCs w:val="20"/>
          <w:color w:val="auto"/>
        </w:rPr>
      </w:pPr>
      <w:r>
        <w:rPr>
          <w:rFonts w:ascii="Arial" w:cs="Arial" w:eastAsia="Arial" w:hAnsi="Arial"/>
          <w:sz w:val="18"/>
          <w:szCs w:val="18"/>
          <w:b w:val="1"/>
          <w:bCs w:val="1"/>
          <w:i w:val="1"/>
          <w:iCs w:val="1"/>
          <w:color w:val="auto"/>
        </w:rPr>
        <w:t xml:space="preserve">Interest Rate Environment. </w:t>
      </w:r>
      <w:r>
        <w:rPr>
          <w:rFonts w:ascii="Arial" w:cs="Arial" w:eastAsia="Arial" w:hAnsi="Arial"/>
          <w:sz w:val="18"/>
          <w:szCs w:val="18"/>
          <w:color w:val="auto"/>
        </w:rPr>
        <w:t>We are continuing to operate in a rising interest rate environment. To date, we have not suffered a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impact as a result of rising interest rates, including with respect to our digital homeownership platform revenue, but we continue to monitor the impact the rise in interest rates and any future rise in interest rates may have on our business.</w:t>
      </w:r>
    </w:p>
    <w:p>
      <w:pPr>
        <w:spacing w:after="0" w:line="184" w:lineRule="exact"/>
        <w:rPr>
          <w:sz w:val="20"/>
          <w:szCs w:val="20"/>
          <w:color w:val="auto"/>
        </w:rPr>
      </w:pPr>
    </w:p>
    <w:p>
      <w:pPr>
        <w:ind w:right="60" w:firstLine="89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derive our revenues from subscription and professional services and other revenues.</w:t>
      </w:r>
    </w:p>
    <w:p>
      <w:pPr>
        <w:spacing w:after="0" w:line="225"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our solutions and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that we generally offer under non-cancellable multi-year contracts, which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typically range from three to five years for the nCino Bank Operating System and one to three years for SimpleNexus. Specifically, we offer:</w:t>
      </w:r>
    </w:p>
    <w:p>
      <w:pPr>
        <w:spacing w:after="0" w:line="225" w:lineRule="exact"/>
        <w:rPr>
          <w:sz w:val="20"/>
          <w:szCs w:val="20"/>
          <w:color w:val="auto"/>
        </w:rPr>
      </w:pPr>
    </w:p>
    <w:p>
      <w:pPr>
        <w:ind w:left="1300" w:right="48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nIQ for which we generally charge based on the asset size of the customer or on a usage basis.</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SimpleNexus, digital homeownership platform uniting people, systems, and stages of the mortgage process into a seamless end-to-end journey for which we generally charge on a per seat basis.</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1" w:lineRule="exact"/>
        <w:rPr>
          <w:sz w:val="20"/>
          <w:szCs w:val="20"/>
          <w:color w:val="auto"/>
        </w:rPr>
      </w:pPr>
    </w:p>
    <w:p>
      <w:pPr>
        <w:ind w:right="20" w:firstLine="891"/>
        <w:spacing w:after="0" w:line="269" w:lineRule="auto"/>
        <w:rPr>
          <w:sz w:val="20"/>
          <w:szCs w:val="20"/>
          <w:color w:val="auto"/>
        </w:rPr>
      </w:pPr>
      <w:r>
        <w:rPr>
          <w:rFonts w:ascii="Arial" w:cs="Arial" w:eastAsia="Arial" w:hAnsi="Arial"/>
          <w:sz w:val="17"/>
          <w:szCs w:val="17"/>
          <w:i w:val="1"/>
          <w:iCs w:val="1"/>
          <w:color w:val="auto"/>
        </w:rPr>
        <w:t>Professional Services and Other Revenues</w:t>
      </w:r>
      <w:r>
        <w:rPr>
          <w:rFonts w:ascii="Arial" w:cs="Arial" w:eastAsia="Arial" w:hAnsi="Arial"/>
          <w:sz w:val="17"/>
          <w:szCs w:val="17"/>
          <w:color w:val="auto"/>
        </w:rPr>
        <w:t>. Professional services and other revenues consist of fees for implementation and configuration</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training, and advisory services. For enterprise and larger regional financial institutions, we generally work with SIs to provide the majority of implementation services for the nCino Bank Operating System, for which these SIs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right="60" w:firstLine="891"/>
        <w:spacing w:after="0" w:line="291" w:lineRule="auto"/>
        <w:rPr>
          <w:sz w:val="20"/>
          <w:szCs w:val="20"/>
          <w:color w:val="auto"/>
        </w:rPr>
      </w:pPr>
      <w:r>
        <w:rPr>
          <w:rFonts w:ascii="Arial" w:cs="Arial" w:eastAsia="Arial" w:hAnsi="Arial"/>
          <w:sz w:val="16"/>
          <w:szCs w:val="16"/>
          <w:i w:val="1"/>
          <w:iCs w:val="1"/>
          <w:color w:val="auto"/>
        </w:rPr>
        <w:t>Cost of Subscription Revenues</w:t>
      </w:r>
      <w:r>
        <w:rPr>
          <w:rFonts w:ascii="Arial" w:cs="Arial" w:eastAsia="Arial" w:hAnsi="Arial"/>
          <w:sz w:val="16"/>
          <w:szCs w:val="16"/>
          <w:color w:val="auto"/>
        </w:rPr>
        <w:t>. Cost of subscription revenues consists of fees paid to Salesforce for access to the Salesforce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66" w:lineRule="exact"/>
        <w:rPr>
          <w:sz w:val="20"/>
          <w:szCs w:val="20"/>
          <w:color w:val="auto"/>
        </w:rPr>
      </w:pPr>
    </w:p>
    <w:p>
      <w:pPr>
        <w:ind w:right="20" w:firstLine="891"/>
        <w:spacing w:after="0" w:line="301" w:lineRule="auto"/>
        <w:rPr>
          <w:sz w:val="20"/>
          <w:szCs w:val="20"/>
          <w:color w:val="auto"/>
        </w:rPr>
      </w:pPr>
      <w:r>
        <w:rPr>
          <w:rFonts w:ascii="Arial" w:cs="Arial" w:eastAsia="Arial" w:hAnsi="Arial"/>
          <w:sz w:val="16"/>
          <w:szCs w:val="16"/>
          <w:i w:val="1"/>
          <w:iCs w:val="1"/>
          <w:color w:val="auto"/>
        </w:rPr>
        <w:t>Cost of Professional Services and Other Revenues</w:t>
      </w:r>
      <w:r>
        <w:rPr>
          <w:rFonts w:ascii="Arial" w:cs="Arial" w:eastAsia="Arial" w:hAnsi="Arial"/>
          <w:sz w:val="16"/>
          <w:szCs w:val="16"/>
          <w:color w:val="auto"/>
        </w:rPr>
        <w:t>. Cost of professional services and other revenues consists primarily of personnel-related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professional services and built-out our international professional services capabilities. Realized effective billing and utilization rates drive fluctuations in our professional services and other gross margin on a period-to-period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costs of our sales and marketing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continue to increase as we expand our direct sales teams in the United States and internationally to address our market opportunity.</w:t>
      </w:r>
    </w:p>
    <w:p>
      <w:pPr>
        <w:spacing w:after="0" w:line="195" w:lineRule="exact"/>
        <w:rPr>
          <w:sz w:val="20"/>
          <w:szCs w:val="20"/>
          <w:color w:val="auto"/>
        </w:rPr>
      </w:pPr>
    </w:p>
    <w:p>
      <w:pPr>
        <w:ind w:right="140" w:firstLine="891"/>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our solutions.</w:t>
      </w:r>
    </w:p>
    <w:p>
      <w:pPr>
        <w:spacing w:after="0" w:line="187" w:lineRule="exact"/>
        <w:rPr>
          <w:sz w:val="20"/>
          <w:szCs w:val="20"/>
          <w:color w:val="auto"/>
        </w:rPr>
      </w:pPr>
    </w:p>
    <w:p>
      <w:pPr>
        <w:ind w:right="80" w:firstLine="891"/>
        <w:spacing w:after="0" w:line="273"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primarily consists of third-party expenses related to the acquisition of SimpleNexus, such as legal and other professional services fees. We expect that general and administrative expenses will continue to increase as we scale our business and as we incur costs associated with being a publicly-traded company, including legal, audit, and consulting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primarily of interest earned on our cash and cash equivalents.</w:t>
      </w:r>
    </w:p>
    <w:p>
      <w:pPr>
        <w:spacing w:after="0" w:line="225" w:lineRule="exact"/>
        <w:rPr>
          <w:sz w:val="20"/>
          <w:szCs w:val="20"/>
          <w:color w:val="auto"/>
        </w:rPr>
      </w:pPr>
    </w:p>
    <w:p>
      <w:pPr>
        <w:ind w:right="60" w:firstLine="891"/>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related to our financing obligations along with interest expense on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fees, and amortization of debt issuance costs associated with our secured revolving credit facility.</w:t>
      </w:r>
    </w:p>
    <w:p>
      <w:pPr>
        <w:spacing w:after="0" w:line="170" w:lineRule="exact"/>
        <w:rPr>
          <w:sz w:val="20"/>
          <w:szCs w:val="20"/>
          <w:color w:val="auto"/>
        </w:rPr>
      </w:pPr>
    </w:p>
    <w:p>
      <w:pPr>
        <w:ind w:right="20" w:firstLine="891"/>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consists primarily of foreign currency gains and losses, the majority of which is due</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intercompany loans that are denominated in currencies other than the underlying functional currency of the applicable entity.</w:t>
      </w:r>
    </w:p>
    <w:p>
      <w:pPr>
        <w:spacing w:after="0" w:line="146" w:lineRule="exact"/>
        <w:rPr>
          <w:sz w:val="20"/>
          <w:szCs w:val="20"/>
          <w:color w:val="auto"/>
        </w:rPr>
      </w:pPr>
    </w:p>
    <w:p>
      <w:pPr>
        <w:ind w:right="620" w:firstLine="891"/>
        <w:spacing w:after="0" w:line="27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consists of federal and state income taxes in the United States and income taxes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firstLine="89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Quarterly Report on Form 10-Q. The following tables present our selected consolidated statements of operations data for three and six months ended July 31, 2021 and 2022 in both dollars and as a percentage of total revenues, except as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3"/>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104,967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128,874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193,838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81,523</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112,315</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61,851</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43,885</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(57,427)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 attributable to redeemable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Net loss attributable to nCino,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attributable to nCino, Inc.: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95,661,756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110,391,865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95,042,448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110,198,509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stock-based compensation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Cost of professional services and other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recognized amortization expense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40" w:type="dxa"/>
            <w:vAlign w:val="bottom"/>
            <w:gridSpan w:val="3"/>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296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220" w:type="dxa"/>
            <w:vAlign w:val="bottom"/>
            <w:vMerge w:val="continue"/>
          </w:tcPr>
          <w:p>
            <w:pPr>
              <w:spacing w:after="0"/>
              <w:rPr>
                <w:sz w:val="15"/>
                <w:szCs w:val="15"/>
                <w:color w:val="auto"/>
              </w:rPr>
            </w:pPr>
          </w:p>
        </w:tc>
        <w:tc>
          <w:tcPr>
            <w:tcW w:w="1480" w:type="dxa"/>
            <w:vAlign w:val="bottom"/>
          </w:tcPr>
          <w:p>
            <w:pPr>
              <w:ind w:left="580"/>
              <w:spacing w:after="0"/>
              <w:rPr>
                <w:sz w:val="20"/>
                <w:szCs w:val="20"/>
                <w:color w:val="auto"/>
              </w:rPr>
            </w:pPr>
            <w:r>
              <w:rPr>
                <w:rFonts w:ascii="Arial" w:cs="Arial" w:eastAsia="Arial" w:hAnsi="Arial"/>
                <w:sz w:val="14"/>
                <w:szCs w:val="14"/>
                <w:b w:val="1"/>
                <w:bCs w:val="1"/>
                <w:color w:val="auto"/>
              </w:rPr>
              <w:t>2021</w:t>
            </w:r>
          </w:p>
        </w:tc>
        <w:tc>
          <w:tcPr>
            <w:tcW w:w="1460" w:type="dxa"/>
            <w:vAlign w:val="bottom"/>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 revenues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 July 31,</w:t>
            </w:r>
          </w:p>
        </w:tc>
        <w:tc>
          <w:tcPr>
            <w:tcW w:w="310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9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1500" w:type="dxa"/>
            <w:vAlign w:val="bottom"/>
          </w:tcPr>
          <w:p>
            <w:pPr>
              <w:jc w:val="right"/>
              <w:spacing w:after="0"/>
              <w:rPr>
                <w:sz w:val="20"/>
                <w:szCs w:val="20"/>
                <w:color w:val="auto"/>
              </w:rPr>
            </w:pPr>
            <w:r>
              <w:rPr>
                <w:rFonts w:ascii="Arial" w:cs="Arial" w:eastAsia="Arial" w:hAnsi="Arial"/>
                <w:sz w:val="18"/>
                <w:szCs w:val="18"/>
                <w:color w:val="auto"/>
              </w:rPr>
              <w:t>81.1 %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84.8 %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81.4 %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84.4 %</w:t>
            </w: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15.6</w:t>
            </w:r>
          </w:p>
        </w:tc>
      </w:tr>
      <w:tr>
        <w:trPr>
          <w:trHeight w:val="223"/>
        </w:trPr>
        <w:tc>
          <w:tcPr>
            <w:tcW w:w="494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100.0</w:t>
            </w:r>
          </w:p>
        </w:tc>
      </w:tr>
      <w:tr>
        <w:trPr>
          <w:trHeight w:val="188"/>
        </w:trPr>
        <w:tc>
          <w:tcPr>
            <w:tcW w:w="4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Cost of revenues (percentage shown in comparison to related</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31.6</w:t>
            </w: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94.6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98.9</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revenues</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42.1</w:t>
            </w:r>
          </w:p>
        </w:tc>
      </w:tr>
      <w:tr>
        <w:trPr>
          <w:trHeight w:val="223"/>
        </w:trPr>
        <w:tc>
          <w:tcPr>
            <w:tcW w:w="49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57.9</w:t>
            </w:r>
          </w:p>
        </w:tc>
      </w:tr>
      <w:tr>
        <w:trPr>
          <w:trHeight w:val="210"/>
        </w:trPr>
        <w:tc>
          <w:tcPr>
            <w:tcW w:w="4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31.9</w:t>
            </w: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30.3</w:t>
            </w:r>
          </w:p>
        </w:tc>
      </w:tr>
      <w:tr>
        <w:trPr>
          <w:trHeight w:val="229"/>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22.6</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81.2</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84.8</w:t>
            </w:r>
          </w:p>
        </w:tc>
      </w:tr>
      <w:tr>
        <w:trPr>
          <w:trHeight w:val="223"/>
        </w:trPr>
        <w:tc>
          <w:tcPr>
            <w:tcW w:w="49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Loss from operations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(26.9)</w:t>
            </w:r>
          </w:p>
        </w:tc>
      </w:tr>
      <w:tr>
        <w:trPr>
          <w:trHeight w:val="209"/>
        </w:trPr>
        <w:tc>
          <w:tcPr>
            <w:tcW w:w="49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(0.7)</w:t>
            </w: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r>
      <w:tr>
        <w:trPr>
          <w:trHeight w:val="223"/>
        </w:trPr>
        <w:tc>
          <w:tcPr>
            <w:tcW w:w="4940" w:type="dxa"/>
            <w:vAlign w:val="bottom"/>
          </w:tcPr>
          <w:p>
            <w:pPr>
              <w:ind w:left="1000"/>
              <w:spacing w:after="0"/>
              <w:rPr>
                <w:sz w:val="20"/>
                <w:szCs w:val="20"/>
                <w:color w:val="auto"/>
              </w:rPr>
            </w:pPr>
            <w:r>
              <w:rPr>
                <w:rFonts w:ascii="Arial" w:cs="Arial" w:eastAsia="Arial" w:hAnsi="Arial"/>
                <w:sz w:val="18"/>
                <w:szCs w:val="18"/>
                <w:color w:val="auto"/>
              </w:rPr>
              <w:t>Loss before income taxes</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(28.9)</w:t>
            </w:r>
          </w:p>
        </w:tc>
      </w:tr>
      <w:tr>
        <w:trPr>
          <w:trHeight w:val="23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r>
      <w:tr>
        <w:trPr>
          <w:trHeight w:val="223"/>
        </w:trPr>
        <w:tc>
          <w:tcPr>
            <w:tcW w:w="4940" w:type="dxa"/>
            <w:vAlign w:val="bottom"/>
          </w:tcPr>
          <w:p>
            <w:pPr>
              <w:ind w:left="100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98"/>
        </w:trPr>
        <w:tc>
          <w:tcPr>
            <w:tcW w:w="49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July 31, 2021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8"/>
              </w:rPr>
              <w:t>Three Months Ended July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53,934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104,967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163,634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84.4 %</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30,204</w:t>
            </w:r>
          </w:p>
        </w:tc>
        <w:tc>
          <w:tcPr>
            <w:tcW w:w="11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3200" w:type="dxa"/>
            <w:vAlign w:val="bottom"/>
          </w:tcPr>
          <w:p>
            <w:pPr>
              <w:ind w:left="6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128,874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193,838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Subscription revenues increased $30.5 million for the three months ended July 31, 2022 compared to the three months ended July 31, 2021, due to initial revenues from customers who did not contribute to subscription revenues during the prior period, including customers added as a result of our acquisition of SimpleNexus, and growth from existing customers within and across lines of business. Of the increase, 36.0% was attributable to increased revenues from existing customers as additional seats were activated in accordance with contractual terms and customers expanded their adoption of our solutions, 14.8% was attributable to initial revenues from customers who did not contribute to subscription revenues during the three months ended July 31, 2021, and 49.2% was attributable to revenues from SimpleNexus. Subscription revenues were 84.8% of total revenues for the three months ended July 31, 2022 compared to 81.1% of total revenues for the three months ended July 31, 2021, primarily due to growth in our installed base and SimpleNexus.</w:t>
      </w:r>
    </w:p>
    <w:p>
      <w:pPr>
        <w:spacing w:after="0" w:line="166" w:lineRule="exact"/>
        <w:rPr>
          <w:sz w:val="20"/>
          <w:szCs w:val="20"/>
          <w:color w:val="auto"/>
        </w:rPr>
      </w:pPr>
    </w:p>
    <w:p>
      <w:pPr>
        <w:ind w:right="100" w:firstLine="891"/>
        <w:spacing w:after="0" w:line="291" w:lineRule="auto"/>
        <w:rPr>
          <w:sz w:val="20"/>
          <w:szCs w:val="20"/>
          <w:color w:val="auto"/>
        </w:rPr>
      </w:pPr>
      <w:r>
        <w:rPr>
          <w:rFonts w:ascii="Arial" w:cs="Arial" w:eastAsia="Arial" w:hAnsi="Arial"/>
          <w:sz w:val="16"/>
          <w:szCs w:val="16"/>
          <w:color w:val="auto"/>
        </w:rPr>
        <w:t>Subscription revenues increased $58.7 million for the six months ended July 31, 2022 compared to the six months ended July 31, 2021, due to initial revenues from customers who did not contribute to subscription revenues during the prior period, including customers added as a result of our acquisition of SimpleNexus, and growth from existing customers within and across lines of business. Of the increase, 38.6% was attributable to increased revenues from existing customers as additional seats were activated in accordance with contractual terms and customers expanded their adoption of our solutions, 12.7% was attributable to initial revenues from customers who did not contribute to subscription revenues during the six months ended July 31, 2021, and 48.7% was attributable to revenues from SimpleNexus. Subscription revenues were 84.4% of total revenues for the six months ended July 31, 2022 compared to 81.4% of total revenues for the six months ended July 31, 2021, primarily due to growth in our installed base and SimpleNexus.</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Professional Services and Other Revenues</w:t>
      </w:r>
    </w:p>
    <w:p>
      <w:pPr>
        <w:spacing w:after="0" w:line="225" w:lineRule="exact"/>
        <w:rPr>
          <w:sz w:val="20"/>
          <w:szCs w:val="20"/>
          <w:color w:val="auto"/>
        </w:rPr>
      </w:pPr>
    </w:p>
    <w:p>
      <w:pPr>
        <w:ind w:firstLine="891"/>
        <w:spacing w:after="0" w:line="311" w:lineRule="auto"/>
        <w:rPr>
          <w:sz w:val="20"/>
          <w:szCs w:val="20"/>
          <w:color w:val="auto"/>
        </w:rPr>
      </w:pPr>
      <w:r>
        <w:rPr>
          <w:rFonts w:ascii="Arial" w:cs="Arial" w:eastAsia="Arial" w:hAnsi="Arial"/>
          <w:sz w:val="16"/>
          <w:szCs w:val="16"/>
          <w:color w:val="auto"/>
        </w:rPr>
        <w:t>Professional services and other revenues increased $2.6 million for the three months ended July 31, 2022 compared to the three months ended July 31, 2021, primarily due to the addition of new customers as well as expanded adoption by existing customers within and across lines of business where implementation, configuration, and training services were required. 56.7% of the increase was attributable to revenues from SimpleNexus.</w:t>
      </w:r>
    </w:p>
    <w:p>
      <w:pPr>
        <w:spacing w:after="0" w:line="149" w:lineRule="exact"/>
        <w:rPr>
          <w:sz w:val="20"/>
          <w:szCs w:val="20"/>
          <w:color w:val="auto"/>
        </w:rPr>
      </w:pPr>
    </w:p>
    <w:p>
      <w:pPr>
        <w:ind w:right="80" w:firstLine="891"/>
        <w:spacing w:after="0" w:line="311" w:lineRule="auto"/>
        <w:rPr>
          <w:sz w:val="20"/>
          <w:szCs w:val="20"/>
          <w:color w:val="auto"/>
        </w:rPr>
      </w:pPr>
      <w:r>
        <w:rPr>
          <w:rFonts w:ascii="Arial" w:cs="Arial" w:eastAsia="Arial" w:hAnsi="Arial"/>
          <w:sz w:val="16"/>
          <w:szCs w:val="16"/>
          <w:color w:val="auto"/>
        </w:rPr>
        <w:t>Professional services and other revenues increased $6.3 million for the six months ended July 31, 2022 compared to the six months ended July 31, 2021, primarily due to the addition of new customers as well as expanded adoption by existing customers within and across lines of business where implementation, configuration, and training services were required. 43.2% of the increase was attributable to revenues from SimpleNexus.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 July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Arial" w:cs="Arial" w:eastAsia="Arial" w:hAnsi="Arial"/>
                <w:sz w:val="14"/>
                <w:szCs w:val="14"/>
                <w:b w:val="1"/>
                <w:bCs w:val="1"/>
                <w:color w:val="auto"/>
                <w:w w:val="93"/>
              </w:rPr>
              <w:t>Six Months Ended July 31,</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Cost of revenues (percentage shown in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comparison to related 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15,308</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w w:val="92"/>
              </w:rPr>
              <w:t>28.4 %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26,145</w:t>
            </w:r>
          </w:p>
        </w:tc>
        <w:tc>
          <w:tcPr>
            <w:tcW w:w="40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w w:val="92"/>
              </w:rPr>
              <w:t>31.0 %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30,254</w:t>
            </w:r>
          </w:p>
        </w:tc>
        <w:tc>
          <w:tcPr>
            <w:tcW w:w="26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w w:val="92"/>
              </w:rPr>
              <w:t>28.8 %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51,655</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w w:val="92"/>
              </w:rPr>
              <w:t>31.6 %</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Cost of 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29,868</w:t>
            </w:r>
          </w:p>
        </w:tc>
        <w:tc>
          <w:tcPr>
            <w:tcW w:w="60" w:type="dxa"/>
            <w:vAlign w:val="bottom"/>
            <w:tcBorders>
              <w:bottom w:val="single" w:sz="8" w:color="auto"/>
            </w:tcBorders>
            <w:shd w:val="clear" w:color="auto" w:fill="CCEEFF"/>
          </w:tcPr>
          <w:p>
            <w:pPr>
              <w:spacing w:after="0"/>
              <w:rPr>
                <w:sz w:val="21"/>
                <w:szCs w:val="21"/>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3"/>
        </w:trPr>
        <w:tc>
          <w:tcPr>
            <w:tcW w:w="3260" w:type="dxa"/>
            <w:vAlign w:val="bottom"/>
          </w:tcPr>
          <w:p>
            <w:pPr>
              <w:ind w:left="680"/>
              <w:spacing w:after="0"/>
              <w:rPr>
                <w:sz w:val="20"/>
                <w:szCs w:val="20"/>
                <w:color w:val="auto"/>
              </w:rPr>
            </w:pPr>
            <w:r>
              <w:rPr>
                <w:rFonts w:ascii="Arial" w:cs="Arial" w:eastAsia="Arial" w:hAnsi="Arial"/>
                <w:sz w:val="18"/>
                <w:szCs w:val="18"/>
                <w:color w:val="auto"/>
              </w:rPr>
              <w:t>Total cost of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26,575</w:t>
            </w:r>
          </w:p>
        </w:tc>
        <w:tc>
          <w:tcPr>
            <w:tcW w:w="380" w:type="dxa"/>
            <w:vAlign w:val="bottom"/>
          </w:tcPr>
          <w:p>
            <w:pPr>
              <w:spacing w:after="0"/>
              <w:rPr>
                <w:sz w:val="19"/>
                <w:szCs w:val="19"/>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41,221</w:t>
            </w:r>
          </w:p>
        </w:tc>
        <w:tc>
          <w:tcPr>
            <w:tcW w:w="40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52,874</w:t>
            </w:r>
          </w:p>
        </w:tc>
        <w:tc>
          <w:tcPr>
            <w:tcW w:w="26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81,523</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60.0 %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58.6 %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59.0 %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112,315</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2"/>
              </w:rPr>
              <w:t>57.9 %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right="200" w:firstLine="891"/>
        <w:spacing w:after="0" w:line="289" w:lineRule="auto"/>
        <w:rPr>
          <w:sz w:val="20"/>
          <w:szCs w:val="20"/>
          <w:color w:val="auto"/>
        </w:rPr>
      </w:pPr>
      <w:r>
        <w:rPr>
          <w:rFonts w:ascii="Arial" w:cs="Arial" w:eastAsia="Arial" w:hAnsi="Arial"/>
          <w:sz w:val="16"/>
          <w:szCs w:val="16"/>
          <w:color w:val="auto"/>
        </w:rPr>
        <w:t>Cost of subscription revenues increased $10.8 million for the three months ended July 31, 2022 compared to the three months ended July 31, 2021, generating a gross margin for subscription revenues of 69.0% compared to a gross margin of 71.6% for the three months ended July 31, 2021. The decrease in gross margin percentage is primarily due to an increase of $3.8 million in amortization expense for acquired developed technology related to the acquisition of SimpleNexus. Costs related to Salesforce user fees increased $2.8 million as we continued to add new customers and sell additional functionality to existing customers and other costs of subscription revenues increased $2.8 million due to costs associated with access to other platforms and data center costs. Personnel costs, including stock-based compensation expense, increased $1.1 million as we added new employees, including the headcount from the acquisition of SimpleNexus. The increase in cost of subscription revenues also included an increase of $0.2 million in allocated overhead costs due to growth supporting our continued business expansion. We expect the cost of subscription revenues will continue to increase in absolute dollars as the number of users of the nCino Bank Operating System grows.</w:t>
      </w:r>
    </w:p>
    <w:p>
      <w:pPr>
        <w:spacing w:after="0" w:line="166" w:lineRule="exact"/>
        <w:rPr>
          <w:sz w:val="20"/>
          <w:szCs w:val="20"/>
          <w:color w:val="auto"/>
        </w:rPr>
      </w:pPr>
    </w:p>
    <w:p>
      <w:pPr>
        <w:ind w:right="60" w:firstLine="891"/>
        <w:spacing w:after="0" w:line="270" w:lineRule="auto"/>
        <w:rPr>
          <w:sz w:val="20"/>
          <w:szCs w:val="20"/>
          <w:color w:val="auto"/>
        </w:rPr>
      </w:pPr>
      <w:r>
        <w:rPr>
          <w:rFonts w:ascii="Arial" w:cs="Arial" w:eastAsia="Arial" w:hAnsi="Arial"/>
          <w:sz w:val="17"/>
          <w:szCs w:val="17"/>
          <w:color w:val="auto"/>
        </w:rPr>
        <w:t>Cost of subscription revenues increased $21.4 million for the six months ended July 31, 2022 compared to the six months ended July 31, 2021, generating a gross margin for subscription revenues of 68.4% compared to a gross margin of 71.2% for the six months ended July 31, 2021. The decrease in gross margin percentage is primarily due to an increase of $7.7 million in amortization expense for acquired developed technology related to the acquisition of SimpleNexus. Costs related to Salesforce user fees increased $5.5 million as we continued to add new customers and sell additional functionality to existing customers and other costs of subscription revenues increased $5.3 million due to costs associated with access to other platforms and data center costs. Personnel costs, including stock-based compensation expense, increased $2.2 million as we added new employees, including the headcount from the acquisition of SimpleNexus. The increase in cost of subscription revenues also included an increase of $0.4 million in allocated overhead costs due to growth supporting our continued business expansion. We expect the cost of subscription revenues will continue to increase in absolute dollars as the number of users of the nCino Bank Operating System grows.</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Cost of Professional Services and Other Revenues</w:t>
      </w:r>
    </w:p>
    <w:p>
      <w:pPr>
        <w:spacing w:after="0" w:line="225" w:lineRule="exact"/>
        <w:rPr>
          <w:sz w:val="20"/>
          <w:szCs w:val="20"/>
          <w:color w:val="auto"/>
        </w:rPr>
      </w:pPr>
    </w:p>
    <w:p>
      <w:pPr>
        <w:ind w:firstLine="891"/>
        <w:spacing w:after="0" w:line="271" w:lineRule="auto"/>
        <w:rPr>
          <w:sz w:val="20"/>
          <w:szCs w:val="20"/>
          <w:color w:val="auto"/>
        </w:rPr>
      </w:pPr>
      <w:r>
        <w:rPr>
          <w:rFonts w:ascii="Arial" w:cs="Arial" w:eastAsia="Arial" w:hAnsi="Arial"/>
          <w:sz w:val="17"/>
          <w:szCs w:val="17"/>
          <w:color w:val="auto"/>
        </w:rPr>
        <w:t>Cost of professional services and other revenues increased $3.8 million for the three months ended July 31, 2022 compared to the three months ended July 31, 2021, generating a gross margin for professional services and other revenues of 0.7% compared to a gross margin of 10.5% for the three months ended July 31, 2021. For the three months ended July 31, 2022, personnel costs, including stock-based compensation expense, increased $3.2 million for the professional services team compared to the three months ended July 31, 2021, due to increased headcount, including the headcount from the acquisition of SimpleNexus. The increase in cost of professional services and other revenues also included an increase of $0.2 million in travel-related costs and an increase of $0.1 million in allocated overhead costs due to growth supporting our continued business expansion. The decrease in our professional services and other gross margin for the three months ended July 31, 2022 was primarily due to a decline in realized effective billing and utilization rates on our professional services teams.</w:t>
      </w:r>
    </w:p>
    <w:p>
      <w:pPr>
        <w:spacing w:after="0" w:line="178" w:lineRule="exact"/>
        <w:rPr>
          <w:sz w:val="20"/>
          <w:szCs w:val="20"/>
          <w:color w:val="auto"/>
        </w:rPr>
      </w:pPr>
    </w:p>
    <w:p>
      <w:pPr>
        <w:ind w:firstLine="891"/>
        <w:spacing w:after="0" w:line="273" w:lineRule="auto"/>
        <w:rPr>
          <w:sz w:val="20"/>
          <w:szCs w:val="20"/>
          <w:color w:val="auto"/>
        </w:rPr>
      </w:pPr>
      <w:r>
        <w:rPr>
          <w:rFonts w:ascii="Arial" w:cs="Arial" w:eastAsia="Arial" w:hAnsi="Arial"/>
          <w:sz w:val="17"/>
          <w:szCs w:val="17"/>
          <w:color w:val="auto"/>
        </w:rPr>
        <w:t>Cost of professional services and other revenues increased $7.2 million for the six months ended July 31, 2022 compared to the six months ended July 31, 2021, generating a gross margin for professional services and other revenues of 1.1% compared to a gross margin of 5.4% for the six months ended July 31, 2021. For the six months ended July 31, 2022, personnel costs, including stock-based compensation expense, increased $6.1 million for the professional services team compared to the six months ended July 31, 2021, due to increased headcount, including the headcount from the acquisition of SimpleNexus. The increase in cost of professional services and other revenues also included an increase of $0.4 million in travel-related costs and an increase of $0.4 million in allocated overhead costs due to growth supporting our continued business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expansion. The decrease in our professional services and other gross margin for the six months ended July 31, 2022 was primarily due to a decline in realized effective billing and utilization rates on our professional services teams.</w:t>
      </w:r>
    </w:p>
    <w:p>
      <w:pPr>
        <w:spacing w:after="0" w:line="170" w:lineRule="exact"/>
        <w:rPr>
          <w:sz w:val="20"/>
          <w:szCs w:val="20"/>
          <w:color w:val="auto"/>
        </w:rPr>
      </w:pPr>
    </w:p>
    <w:p>
      <w:pPr>
        <w:ind w:right="680" w:firstLine="891"/>
        <w:spacing w:after="0" w:line="277" w:lineRule="auto"/>
        <w:rPr>
          <w:sz w:val="20"/>
          <w:szCs w:val="20"/>
          <w:color w:val="auto"/>
        </w:rPr>
      </w:pPr>
      <w:r>
        <w:rPr>
          <w:rFonts w:ascii="Arial" w:cs="Arial" w:eastAsia="Arial" w:hAnsi="Arial"/>
          <w:sz w:val="18"/>
          <w:szCs w:val="18"/>
          <w:color w:val="auto"/>
        </w:rPr>
        <w:t>We expect the cost of professional services and other revenues to increase in absolute dollars in the near term as we add new customer subscriptions where we provide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9"/>
              </w:rPr>
              <w:t>Three Months Ended July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July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19,216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28.9 %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32,512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32.6 %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Arial" w:cs="Arial" w:eastAsia="Arial" w:hAnsi="Arial"/>
                <w:sz w:val="18"/>
                <w:szCs w:val="18"/>
                <w:color w:val="auto"/>
                <w:w w:val="89"/>
              </w:rPr>
              <w:t>29.2 %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2"/>
              </w:rPr>
              <w:t>31.9 %</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18,609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15,287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53,112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83,412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104,642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164,552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3160" w:type="dxa"/>
            <w:vAlign w:val="bottom"/>
          </w:tcPr>
          <w:p>
            <w:pPr>
              <w:ind w:left="11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(13,168)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(19.9)%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(25,006)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5"/>
              </w:rPr>
              <w:t>(25.1)%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(28,642)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(22.2)%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(26.9)%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firstLine="891"/>
        <w:spacing w:after="0" w:line="255" w:lineRule="auto"/>
        <w:rPr>
          <w:sz w:val="20"/>
          <w:szCs w:val="20"/>
          <w:color w:val="auto"/>
        </w:rPr>
      </w:pPr>
      <w:r>
        <w:rPr>
          <w:rFonts w:ascii="Arial" w:cs="Arial" w:eastAsia="Arial" w:hAnsi="Arial"/>
          <w:sz w:val="18"/>
          <w:szCs w:val="18"/>
          <w:color w:val="auto"/>
        </w:rPr>
        <w:t>Sales and marketing expenses increased $13.3 million for the three months ended July 31, 2022 compared to the three months ended July 31, 2021, primarily due to an increase of $6.7 million in personnel costs, including stock-based compensation expense, resulting mainly from an increase in headcount on the sales and marketing teams, including the headcount from the acquisition of SimpleNexus. Amortization expense for acquired customer relationships and trade name increased $2.3 million related to the acquisition of SimpleNexus. The increase in sales and marketing expenses also included an increase of $2.1 million in marketing costs primarily attributable to in person conferences, an increase of $1.5 million in sales-related travel costs, and an increase of $0.7 million in allocated overhead costs.</w:t>
      </w:r>
    </w:p>
    <w:p>
      <w:pPr>
        <w:spacing w:after="0" w:line="192" w:lineRule="exact"/>
        <w:rPr>
          <w:sz w:val="20"/>
          <w:szCs w:val="20"/>
          <w:color w:val="auto"/>
        </w:rPr>
      </w:pPr>
    </w:p>
    <w:p>
      <w:pPr>
        <w:ind w:firstLine="891"/>
        <w:spacing w:after="0" w:line="254" w:lineRule="auto"/>
        <w:rPr>
          <w:sz w:val="20"/>
          <w:szCs w:val="20"/>
          <w:color w:val="auto"/>
        </w:rPr>
      </w:pPr>
      <w:r>
        <w:rPr>
          <w:rFonts w:ascii="Arial" w:cs="Arial" w:eastAsia="Arial" w:hAnsi="Arial"/>
          <w:sz w:val="18"/>
          <w:szCs w:val="18"/>
          <w:color w:val="auto"/>
        </w:rPr>
        <w:t>Sales and marketing expenses increased $24.2 million for the six months ended July 31, 2022 compared to the six months ended July 31, 2021, primarily due to an increase of $12.9 million in personnel costs, including stock-based compensation expense, resulting mainly from an increase in headcount on the sales and marketing teams, including the headcount from the acquisition of SimpleNexus. This increase was partially offset by a decrease in expatriate tax equalization expenses compared to the six months ended July 31, 2021. Amortization expense for acquired customer relationships and trade name increased $4.7 million related to the acquisition of SimpleNexus. The increase in sales and marketing expenses also included an increase of $2.8 million in marketing costs primarily attributable to in person conferences, an increase of $2.6 million in sales-related travel costs, and an increase of $1.3 million in allocated overhead costs.</w:t>
      </w:r>
    </w:p>
    <w:p>
      <w:pPr>
        <w:spacing w:after="0" w:line="195" w:lineRule="exact"/>
        <w:rPr>
          <w:sz w:val="20"/>
          <w:szCs w:val="20"/>
          <w:color w:val="auto"/>
        </w:rPr>
      </w:pPr>
    </w:p>
    <w:p>
      <w:pPr>
        <w:ind w:right="480" w:firstLine="891"/>
        <w:spacing w:after="0" w:line="263" w:lineRule="auto"/>
        <w:rPr>
          <w:sz w:val="20"/>
          <w:szCs w:val="20"/>
          <w:color w:val="auto"/>
        </w:rPr>
      </w:pPr>
      <w:r>
        <w:rPr>
          <w:rFonts w:ascii="Arial" w:cs="Arial" w:eastAsia="Arial" w:hAnsi="Arial"/>
          <w:sz w:val="18"/>
          <w:szCs w:val="18"/>
          <w:color w:val="auto"/>
        </w:rPr>
        <w:t>Our sales and marketing headcount grew by 155 from July 31, 2021 to July 31, 2022. Our acquisition of SimpleNexus contributed to this increase in headcount. We expect sales and marketing expenses to increase in absolute dollars as we invest in expanding our customer base and user adoption.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20" w:firstLine="891"/>
        <w:spacing w:after="0" w:line="296" w:lineRule="auto"/>
        <w:rPr>
          <w:sz w:val="20"/>
          <w:szCs w:val="20"/>
          <w:color w:val="auto"/>
        </w:rPr>
      </w:pPr>
      <w:r>
        <w:rPr>
          <w:rFonts w:ascii="Arial" w:cs="Arial" w:eastAsia="Arial" w:hAnsi="Arial"/>
          <w:sz w:val="16"/>
          <w:szCs w:val="16"/>
          <w:color w:val="auto"/>
        </w:rPr>
        <w:t>Research and development expenses increased $11.1 million for the three months ended July 31, 2022 compared to the three months ended July 31, 2021, primarily due to an increase of $10.6 million in personnel costs, including stock-based compensation expense, resulting mainly from an increase in headcount, including the headcount from the acquisition of SimpleNexus. The increase in research and development expenses also included an increase of $0.9 million in allocated overhead costs due to growth supporting our continued business expansion and an increase of $0.3 million in travel-related costs, partially offset by a $0.7 million decrease in third-party professional fees primarily attributable to contract research and development spend.</w:t>
      </w:r>
    </w:p>
    <w:p>
      <w:pPr>
        <w:spacing w:after="0" w:line="161" w:lineRule="exact"/>
        <w:rPr>
          <w:sz w:val="20"/>
          <w:szCs w:val="20"/>
          <w:color w:val="auto"/>
        </w:rPr>
      </w:pPr>
    </w:p>
    <w:p>
      <w:pPr>
        <w:ind w:firstLine="891"/>
        <w:spacing w:after="0" w:line="296" w:lineRule="auto"/>
        <w:rPr>
          <w:sz w:val="20"/>
          <w:szCs w:val="20"/>
          <w:color w:val="auto"/>
        </w:rPr>
      </w:pPr>
      <w:r>
        <w:rPr>
          <w:rFonts w:ascii="Arial" w:cs="Arial" w:eastAsia="Arial" w:hAnsi="Arial"/>
          <w:sz w:val="16"/>
          <w:szCs w:val="16"/>
          <w:color w:val="auto"/>
        </w:rPr>
        <w:t>Research and development expenses increased $22.8 million for the six months ended July 31, 2022 compared to the six months ended July 31, 2021, primarily due to an increase of $21.8 million in personnel costs, including stock-based compensation expense, resulting mainly from a continued increase in headcount, including the headcount from the acquisition of SimpleNexus. The increase in research and development expenses also included an increase of $2.0 million in allocated overhead costs due to growth supporting our continued business expansion and an increase of $0.6 million in travel-related costs, partially offset by a $1.6 million decrease in third-party professional fees primarily attributable to contract research and development spend.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91"/>
        <w:spacing w:after="0" w:line="263" w:lineRule="auto"/>
        <w:rPr>
          <w:sz w:val="20"/>
          <w:szCs w:val="20"/>
          <w:color w:val="auto"/>
        </w:rPr>
      </w:pPr>
      <w:r>
        <w:rPr>
          <w:rFonts w:ascii="Arial" w:cs="Arial" w:eastAsia="Arial" w:hAnsi="Arial"/>
          <w:sz w:val="18"/>
          <w:szCs w:val="18"/>
          <w:color w:val="auto"/>
        </w:rPr>
        <w:t>Our research and development headcount grew by 217 from July 31, 2021 to July 31, 2022. Our acquisition of SimpleNexus contributed to this increase in headcount. We expect research and development expenses to increase in absolute dollars due to higher headcount as we continue to develop new, and further enhance our current solutions.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891"/>
        <w:spacing w:after="0" w:line="271" w:lineRule="auto"/>
        <w:rPr>
          <w:sz w:val="20"/>
          <w:szCs w:val="20"/>
          <w:color w:val="auto"/>
        </w:rPr>
      </w:pPr>
      <w:r>
        <w:rPr>
          <w:rFonts w:ascii="Arial" w:cs="Arial" w:eastAsia="Arial" w:hAnsi="Arial"/>
          <w:sz w:val="17"/>
          <w:szCs w:val="17"/>
          <w:color w:val="auto"/>
        </w:rPr>
        <w:t>General and administrative expenses increased $5.9 million for the three months ended July 31, 2022 compared to the three months ended July 31, 2021, primarily due to an increase of $5.3 million in personnel costs, including stock-based compensation expense, from additional headcount as we continued to scale our business, including headcount from the acquisition of SimpleNexus. The increase in general and administrative spend also included an increase of $0.8 million in allocated overhead and other general and administrative costs and an increase of $0.2 million in travel-related costs. Third party professional fees decreased $0.4 million for the three months ended July 31, 2022 compared to the three months ended July 31, 2021, mostly attributable to a decrease in third party professional fees and expenses related to the government antitrust investigation and related civil action disclosed in Note 14 "Commitments and Contingencies" of Part I, Item I of this Quarterly Report on Form 10-Q (the "Antitrust Matters"), partially offset by an increase in fees and expenses related to acquisition costs and other professional fees.</w:t>
      </w:r>
    </w:p>
    <w:p>
      <w:pPr>
        <w:spacing w:after="0" w:line="178" w:lineRule="exact"/>
        <w:rPr>
          <w:sz w:val="20"/>
          <w:szCs w:val="20"/>
          <w:color w:val="auto"/>
        </w:rPr>
      </w:pPr>
    </w:p>
    <w:p>
      <w:pPr>
        <w:ind w:right="100" w:firstLine="891"/>
        <w:spacing w:after="0" w:line="254" w:lineRule="auto"/>
        <w:rPr>
          <w:sz w:val="20"/>
          <w:szCs w:val="20"/>
          <w:color w:val="auto"/>
        </w:rPr>
      </w:pPr>
      <w:r>
        <w:rPr>
          <w:rFonts w:ascii="Arial" w:cs="Arial" w:eastAsia="Arial" w:hAnsi="Arial"/>
          <w:sz w:val="18"/>
          <w:szCs w:val="18"/>
          <w:color w:val="auto"/>
        </w:rPr>
        <w:t>General and administrative expenses increased $12.9 million for the six months ended July 31, 2022 compared to the six months ended July 31, 2021, primarily due to an increase of $11.4 million in personnel costs, including stock-based compensation expense, from additional headcount as we continued to scale our business, including headcount from the acquisition of SimpleNexus. The increase in general and administrative spend also included an increase of $1.7 million in allocated overhead and other general and administrative costs and an increase of $0.4 million in travel-related costs. Third party professional fees decreased $0.5 million for the six months ended July 31, 2022 compared to the six months ended July 31, 2021, mostly attributable to a decrease in third party professional fees and expenses related to the Antitrust Matters, partially offset by an increase in fees and expenses related to acquisition costs and other professional fees.</w:t>
      </w:r>
    </w:p>
    <w:p>
      <w:pPr>
        <w:spacing w:after="0" w:line="195" w:lineRule="exact"/>
        <w:rPr>
          <w:sz w:val="20"/>
          <w:szCs w:val="20"/>
          <w:color w:val="auto"/>
        </w:rPr>
      </w:pPr>
    </w:p>
    <w:p>
      <w:pPr>
        <w:jc w:val="both"/>
        <w:ind w:right="80" w:firstLine="891"/>
        <w:spacing w:after="0" w:line="311" w:lineRule="auto"/>
        <w:rPr>
          <w:sz w:val="20"/>
          <w:szCs w:val="20"/>
          <w:color w:val="auto"/>
        </w:rPr>
      </w:pPr>
      <w:r>
        <w:rPr>
          <w:rFonts w:ascii="Arial" w:cs="Arial" w:eastAsia="Arial" w:hAnsi="Arial"/>
          <w:sz w:val="16"/>
          <w:szCs w:val="16"/>
          <w:color w:val="auto"/>
        </w:rPr>
        <w:t>Our general and administrative headcount grew by 63 from July 31, 2021 to July 31, 2022. Our acquisition of SimpleNexus contributed to this increase in headcount. We expect general and administrative expenses to increase in absolute dollars in the near term, primarily due to higher headcount to support our continued growth, fees and expenses related to the Antitrust Matters, and additional expenses of being a public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jc w:val="right"/>
              <w:ind w:right="315"/>
              <w:spacing w:after="0"/>
              <w:rPr>
                <w:sz w:val="20"/>
                <w:szCs w:val="20"/>
                <w:color w:val="auto"/>
              </w:rPr>
            </w:pPr>
            <w:r>
              <w:rPr>
                <w:rFonts w:ascii="Arial" w:cs="Arial" w:eastAsia="Arial" w:hAnsi="Arial"/>
                <w:sz w:val="14"/>
                <w:szCs w:val="14"/>
                <w:b w:val="1"/>
                <w:bCs w:val="1"/>
                <w:color w:val="auto"/>
              </w:rPr>
              <w:t>Three Months Ended July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w w:val="93"/>
              </w:rPr>
              <w:t>Six Months Ended July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97"/>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ind w:right="357"/>
              <w:spacing w:after="0"/>
              <w:rPr>
                <w:sz w:val="20"/>
                <w:szCs w:val="20"/>
                <w:color w:val="auto"/>
              </w:rPr>
            </w:pPr>
            <w:r>
              <w:rPr>
                <w:rFonts w:ascii="Arial" w:cs="Arial" w:eastAsia="Arial" w:hAnsi="Arial"/>
                <w:sz w:val="18"/>
                <w:szCs w:val="18"/>
                <w:color w:val="auto"/>
              </w:rPr>
              <w:t>(330)</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Arial" w:cs="Arial" w:eastAsia="Arial" w:hAnsi="Arial"/>
                <w:sz w:val="18"/>
                <w:szCs w:val="18"/>
                <w:color w:val="auto"/>
              </w:rPr>
              <w:t>(631)</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35"/>
              <w:spacing w:after="0"/>
              <w:rPr>
                <w:sz w:val="20"/>
                <w:szCs w:val="20"/>
                <w:color w:val="auto"/>
              </w:rPr>
            </w:pPr>
            <w:r>
              <w:rPr>
                <w:rFonts w:ascii="Arial" w:cs="Arial" w:eastAsia="Arial" w:hAnsi="Arial"/>
                <w:sz w:val="18"/>
                <w:szCs w:val="18"/>
                <w:color w:val="auto"/>
              </w:rPr>
              <w:t>(598)</w:t>
            </w:r>
          </w:p>
        </w:tc>
        <w:tc>
          <w:tcPr>
            <w:tcW w:w="800" w:type="dxa"/>
            <w:vAlign w:val="bottom"/>
          </w:tcPr>
          <w:p>
            <w:pPr>
              <w:jc w:val="right"/>
              <w:ind w:right="95"/>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Arial" w:cs="Arial" w:eastAsia="Arial" w:hAnsi="Arial"/>
                <w:sz w:val="18"/>
                <w:szCs w:val="18"/>
                <w:color w:val="auto"/>
              </w:rPr>
              <w:t>(1,269)</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(337)</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(1,014)</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(70)</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(2,587)</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firstLine="891"/>
        <w:spacing w:after="0" w:line="279" w:lineRule="auto"/>
        <w:rPr>
          <w:sz w:val="20"/>
          <w:szCs w:val="20"/>
          <w:color w:val="auto"/>
        </w:rPr>
      </w:pPr>
      <w:r>
        <w:rPr>
          <w:rFonts w:ascii="Arial" w:cs="Arial" w:eastAsia="Arial" w:hAnsi="Arial"/>
          <w:sz w:val="17"/>
          <w:szCs w:val="17"/>
          <w:color w:val="auto"/>
        </w:rPr>
        <w:t>Interest expense increased $0.3 million for the three months ended July 31, 2022 compared to the three months ended July 31, 2021, primarily due to a larger balance on our financing obligations for leases for which we are considered the owners for accounting purposes. The increase of $0.7 million in other income (expense), net for the three months ended July 31, 2022 compared to the three months ended July 31, 2021 was primarily driven by intercompany loans that are denominated in currencies other than the underlying functional currency of the applicable entity.</w:t>
      </w:r>
    </w:p>
    <w:p>
      <w:pPr>
        <w:spacing w:after="0" w:line="171" w:lineRule="exact"/>
        <w:rPr>
          <w:sz w:val="20"/>
          <w:szCs w:val="20"/>
          <w:color w:val="auto"/>
        </w:rPr>
      </w:pPr>
    </w:p>
    <w:p>
      <w:pPr>
        <w:jc w:val="both"/>
        <w:ind w:right="60" w:firstLine="891"/>
        <w:spacing w:after="0" w:line="279" w:lineRule="auto"/>
        <w:rPr>
          <w:sz w:val="20"/>
          <w:szCs w:val="20"/>
          <w:color w:val="auto"/>
        </w:rPr>
      </w:pPr>
      <w:r>
        <w:rPr>
          <w:rFonts w:ascii="Arial" w:cs="Arial" w:eastAsia="Arial" w:hAnsi="Arial"/>
          <w:sz w:val="17"/>
          <w:szCs w:val="17"/>
          <w:color w:val="auto"/>
        </w:rPr>
        <w:t>Interest expense increased $0.7 million for the six months ended July 31, 2022 compared to the six months ended July 31, 2021, primarily due to a larger balance on our financing obligations for leases for which we are considered the owners for accounting purposes. The increase of $2.5 million in other income (expense), net for the six months ended July 31, 2022 compared to the six months ended July 31, 2021 was primarily driven by intercompany loans that are denominated in currencies other than the underlying functional currency of the applicable entity.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jc w:val="right"/>
              <w:ind w:right="339"/>
              <w:spacing w:after="0"/>
              <w:rPr>
                <w:sz w:val="20"/>
                <w:szCs w:val="20"/>
                <w:color w:val="auto"/>
              </w:rPr>
            </w:pPr>
            <w:r>
              <w:rPr>
                <w:rFonts w:ascii="Arial" w:cs="Arial" w:eastAsia="Arial" w:hAnsi="Arial"/>
                <w:sz w:val="14"/>
                <w:szCs w:val="14"/>
                <w:b w:val="1"/>
                <w:bCs w:val="1"/>
                <w:color w:val="auto"/>
              </w:rPr>
              <w:t>Three Months Ended July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 July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487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799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674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60" w:firstLine="891"/>
        <w:spacing w:after="0" w:line="277" w:lineRule="auto"/>
        <w:rPr>
          <w:sz w:val="20"/>
          <w:szCs w:val="20"/>
          <w:color w:val="auto"/>
        </w:rPr>
      </w:pPr>
      <w:r>
        <w:rPr>
          <w:rFonts w:ascii="Arial" w:cs="Arial" w:eastAsia="Arial" w:hAnsi="Arial"/>
          <w:sz w:val="18"/>
          <w:szCs w:val="18"/>
          <w:color w:val="auto"/>
        </w:rPr>
        <w:t>Income tax provision was $0.8 million for the three months ended July 31, 2022 compared to a provision of $0.5 million for the three months ended July 31, 2021, and resulted in an effective tax rate of (3.0)% and (3.5)%, respectively.</w:t>
      </w:r>
    </w:p>
    <w:p>
      <w:pPr>
        <w:spacing w:after="0" w:line="170" w:lineRule="exact"/>
        <w:rPr>
          <w:sz w:val="20"/>
          <w:szCs w:val="20"/>
          <w:color w:val="auto"/>
        </w:rPr>
      </w:pPr>
    </w:p>
    <w:p>
      <w:pPr>
        <w:ind w:right="460" w:firstLine="891"/>
        <w:spacing w:after="0" w:line="277" w:lineRule="auto"/>
        <w:rPr>
          <w:sz w:val="20"/>
          <w:szCs w:val="20"/>
          <w:color w:val="auto"/>
        </w:rPr>
      </w:pPr>
      <w:r>
        <w:rPr>
          <w:rFonts w:ascii="Arial" w:cs="Arial" w:eastAsia="Arial" w:hAnsi="Arial"/>
          <w:sz w:val="18"/>
          <w:szCs w:val="18"/>
          <w:color w:val="auto"/>
        </w:rPr>
        <w:t>Income tax provision was $1.4 million for the six months ended July 31, 2022 compared to a provision of $0.7 million for the six months ended July 31, 2021, and resulted in an effective tax rate of (2.4)% compared to (2.3)%, respectively.</w:t>
      </w:r>
    </w:p>
    <w:p>
      <w:pPr>
        <w:spacing w:after="0" w:line="170" w:lineRule="exact"/>
        <w:rPr>
          <w:sz w:val="20"/>
          <w:szCs w:val="20"/>
          <w:color w:val="auto"/>
        </w:rPr>
      </w:pPr>
    </w:p>
    <w:p>
      <w:pPr>
        <w:ind w:right="440" w:firstLine="891"/>
        <w:spacing w:after="0" w:line="277" w:lineRule="auto"/>
        <w:rPr>
          <w:sz w:val="20"/>
          <w:szCs w:val="20"/>
          <w:color w:val="auto"/>
        </w:rPr>
      </w:pPr>
      <w:r>
        <w:rPr>
          <w:rFonts w:ascii="Arial" w:cs="Arial" w:eastAsia="Arial" w:hAnsi="Arial"/>
          <w:sz w:val="18"/>
          <w:szCs w:val="18"/>
          <w:color w:val="auto"/>
        </w:rPr>
        <w:t>We continue to maintain a valuation allowance against our deferred tax assets in most jurisdictions, including the U.S. It is determined by management when a valuation allowance should be recorded, utilizing significant judgement and the use of estimates.</w:t>
      </w:r>
    </w:p>
    <w:p>
      <w:pPr>
        <w:spacing w:after="0" w:line="170" w:lineRule="exact"/>
        <w:rPr>
          <w:sz w:val="20"/>
          <w:szCs w:val="20"/>
          <w:color w:val="auto"/>
        </w:rPr>
      </w:pPr>
    </w:p>
    <w:p>
      <w:pPr>
        <w:ind w:right="60" w:firstLine="891"/>
        <w:spacing w:after="0" w:line="275" w:lineRule="auto"/>
        <w:rPr>
          <w:sz w:val="20"/>
          <w:szCs w:val="20"/>
          <w:color w:val="auto"/>
        </w:rPr>
      </w:pPr>
      <w:r>
        <w:rPr>
          <w:rFonts w:ascii="Arial" w:cs="Arial" w:eastAsia="Arial" w:hAnsi="Arial"/>
          <w:sz w:val="17"/>
          <w:szCs w:val="17"/>
          <w:color w:val="auto"/>
        </w:rPr>
        <w:t>Beginning with the six months ended July 31, 2022, we have adopted, as required, Internal Revenue Code Section 174, as amended by the Tax Cuts and Jobs Act of 2017. For U.S. income tax purposes, the option to deduct research and development expenditures is no longer available and thus requires us to capitalize and amortize these expenditures over either a five- or fifteen-year period. This will result in the repartition of our deferred tax asset balances from net operating losses and tax credit carryforwards to non-tax attribute deferred tax balances. In addition, this could reduce our operating cash flows in future periods through cash remittances of U.S. federal and state income tax.</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225" w:lineRule="exact"/>
        <w:rPr>
          <w:sz w:val="20"/>
          <w:szCs w:val="20"/>
          <w:color w:val="auto"/>
        </w:rPr>
      </w:pPr>
    </w:p>
    <w:p>
      <w:pPr>
        <w:ind w:right="20" w:firstLine="891"/>
        <w:spacing w:after="0" w:line="286"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eased some of these restrictions, and now operate under a hybrid work model which allows for voluntary work-related travel. Employees have the choice to work remotely, voluntarily at an nCino office building location, or both, subject to health and safety protocols and any local ordinances.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“Management’s Discussion and Analysis of Financial Condition and Results of Operations—Factors Affecting Our Operating Results—COVID-19 Effects on Demand for Our Solutions” and “Risk Factors— Uncertain or weakened economic conditions, including as a result of COVID-19, may adversely affect our industry, business, and results of operations," included in our Annual Report on Form 10-K for the fiscal year ended January 31, 2022 filed with the SEC on March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60" w:firstLine="891"/>
        <w:spacing w:after="0" w:line="275" w:lineRule="auto"/>
        <w:rPr>
          <w:sz w:val="20"/>
          <w:szCs w:val="20"/>
          <w:color w:val="auto"/>
        </w:rPr>
      </w:pPr>
      <w:r>
        <w:rPr>
          <w:rFonts w:ascii="Arial" w:cs="Arial" w:eastAsia="Arial" w:hAnsi="Arial"/>
          <w:sz w:val="17"/>
          <w:szCs w:val="17"/>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76" w:lineRule="exact"/>
        <w:rPr>
          <w:sz w:val="20"/>
          <w:szCs w:val="20"/>
          <w:color w:val="auto"/>
        </w:rPr>
      </w:pPr>
    </w:p>
    <w:p>
      <w:pPr>
        <w:ind w:right="300" w:firstLine="891"/>
        <w:spacing w:after="0" w:line="257" w:lineRule="auto"/>
        <w:rPr>
          <w:sz w:val="20"/>
          <w:szCs w:val="20"/>
          <w:color w:val="auto"/>
        </w:rPr>
      </w:pPr>
      <w:r>
        <w:rPr>
          <w:rFonts w:ascii="Arial" w:cs="Arial" w:eastAsia="Arial" w:hAnsi="Arial"/>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companies, many of which use a similar non-GAAP financial measure to supplement their GAAP results in their public disclosures. This non-GAAP financial measure is non-GAAP operating loss, as discussed below.</w:t>
      </w:r>
    </w:p>
    <w:p>
      <w:pPr>
        <w:spacing w:after="0" w:line="170" w:lineRule="exact"/>
        <w:rPr>
          <w:sz w:val="20"/>
          <w:szCs w:val="20"/>
          <w:color w:val="auto"/>
        </w:rPr>
      </w:pPr>
    </w:p>
    <w:p>
      <w:pPr>
        <w:ind w:right="60" w:firstLine="891"/>
        <w:spacing w:after="0" w:line="293" w:lineRule="auto"/>
        <w:rPr>
          <w:sz w:val="20"/>
          <w:szCs w:val="20"/>
          <w:color w:val="auto"/>
        </w:rPr>
      </w:pPr>
      <w:r>
        <w:rPr>
          <w:rFonts w:ascii="Arial" w:cs="Arial" w:eastAsia="Arial" w:hAnsi="Arial"/>
          <w:sz w:val="16"/>
          <w:szCs w:val="16"/>
          <w:i w:val="1"/>
          <w:iCs w:val="1"/>
          <w:color w:val="auto"/>
        </w:rPr>
        <w:t xml:space="preserve">Non-GAAP operating loss. </w:t>
      </w:r>
      <w:r>
        <w:rPr>
          <w:rFonts w:ascii="Arial" w:cs="Arial" w:eastAsia="Arial" w:hAnsi="Arial"/>
          <w:sz w:val="16"/>
          <w:szCs w:val="16"/>
          <w:color w:val="auto"/>
        </w:rPr>
        <w:t>Non-GAAP operating loss is defined as loss from operations as reported in our unaudited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excluding the impact of amortization of intangible assets, stock-based compensation expense, acquisition-related expenses, and expenses related to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acquisition-related expenses and fees and expenses related to the Antitrust Matters are indicative of the Company's ongoing operating performance and hinder comparability with prior and future performance.</w:t>
      </w:r>
    </w:p>
    <w:p>
      <w:pPr>
        <w:spacing w:after="0" w:line="164" w:lineRule="exact"/>
        <w:rPr>
          <w:sz w:val="20"/>
          <w:szCs w:val="20"/>
          <w:color w:val="auto"/>
        </w:rPr>
      </w:pPr>
    </w:p>
    <w:p>
      <w:pPr>
        <w:ind w:right="20" w:firstLine="891"/>
        <w:spacing w:after="0" w:line="296" w:lineRule="auto"/>
        <w:rPr>
          <w:sz w:val="20"/>
          <w:szCs w:val="20"/>
          <w:color w:val="auto"/>
        </w:rPr>
      </w:pPr>
      <w:r>
        <w:rPr>
          <w:rFonts w:ascii="Arial" w:cs="Arial" w:eastAsia="Arial" w:hAnsi="Arial"/>
          <w:sz w:val="16"/>
          <w:szCs w:val="16"/>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61" w:lineRule="exact"/>
        <w:rPr>
          <w:sz w:val="20"/>
          <w:szCs w:val="20"/>
          <w:color w:val="auto"/>
        </w:rPr>
      </w:pPr>
    </w:p>
    <w:p>
      <w:pPr>
        <w:ind w:right="220" w:firstLine="89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loss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25,971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Fees and expenses related to the Antitrust Matters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Non-GAAP operating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891"/>
        <w:spacing w:after="0" w:line="286" w:lineRule="auto"/>
        <w:rPr>
          <w:sz w:val="20"/>
          <w:szCs w:val="20"/>
          <w:color w:val="auto"/>
        </w:rPr>
      </w:pPr>
      <w:r>
        <w:rPr>
          <w:rFonts w:ascii="Arial" w:cs="Arial" w:eastAsia="Arial" w:hAnsi="Arial"/>
          <w:sz w:val="17"/>
          <w:szCs w:val="17"/>
          <w:color w:val="auto"/>
        </w:rPr>
        <w:t>As of July 31, 2022, we had $86.1 million in cash and cash equivalents, and an accumulated deficit of $266.4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65" w:lineRule="exact"/>
        <w:rPr>
          <w:sz w:val="20"/>
          <w:szCs w:val="20"/>
          <w:color w:val="auto"/>
        </w:rPr>
      </w:pPr>
    </w:p>
    <w:p>
      <w:pPr>
        <w:ind w:firstLine="891"/>
        <w:spacing w:after="0" w:line="289" w:lineRule="auto"/>
        <w:rPr>
          <w:sz w:val="20"/>
          <w:szCs w:val="20"/>
          <w:color w:val="auto"/>
        </w:rPr>
      </w:pPr>
      <w:r>
        <w:rPr>
          <w:rFonts w:ascii="Arial" w:cs="Arial" w:eastAsia="Arial" w:hAnsi="Arial"/>
          <w:sz w:val="16"/>
          <w:szCs w:val="16"/>
          <w:color w:val="auto"/>
        </w:rPr>
        <w:t>To date, we have funded our capital needs through issuances of common stock and operating cash flows. Beginning in the three months ended April 30, 2022, we supplemented our liquidity with our revolving line of credit.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used a majority of the proceeds from our initial public offering in July 2020, which were in our cash and cash equivalents on the balance sheet, to consummate the acquisition of SimpleNexus in January 2022.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66" w:lineRule="exact"/>
        <w:rPr>
          <w:sz w:val="20"/>
          <w:szCs w:val="20"/>
          <w:color w:val="auto"/>
        </w:rPr>
      </w:pPr>
    </w:p>
    <w:p>
      <w:pPr>
        <w:ind w:right="80" w:firstLine="891"/>
        <w:spacing w:after="0" w:line="263" w:lineRule="auto"/>
        <w:rPr>
          <w:sz w:val="20"/>
          <w:szCs w:val="20"/>
          <w:color w:val="auto"/>
        </w:rPr>
      </w:pPr>
      <w:r>
        <w:rPr>
          <w:rFonts w:ascii="Arial" w:cs="Arial" w:eastAsia="Arial" w:hAnsi="Arial"/>
          <w:sz w:val="18"/>
          <w:szCs w:val="18"/>
          <w:color w:val="auto"/>
        </w:rPr>
        <w:t>On February 11, 2022, we entered into a credit agreement for a senior secured revolving credit facility (the "Credit Facility") of up to $50.0 million. We borrowed and repaid an amount of $20.0 million under such credit facility during the six months ended July 31, 2022. As of July 31, 2022, the Company had no amounts outstanding or letters of credit issued on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Credit Facility and was in compliance with all covenants. See Note 13 "Revolving Credit Facility" of Part I, Item I of this Quarterly Report on Form 10-Q for more information.</w:t>
      </w:r>
    </w:p>
    <w:p>
      <w:pPr>
        <w:spacing w:after="0" w:line="170" w:lineRule="exact"/>
        <w:rPr>
          <w:sz w:val="20"/>
          <w:szCs w:val="20"/>
          <w:color w:val="auto"/>
        </w:rPr>
      </w:pPr>
    </w:p>
    <w:p>
      <w:pPr>
        <w:ind w:right="80" w:firstLine="891"/>
        <w:spacing w:after="0" w:line="289" w:lineRule="auto"/>
        <w:rPr>
          <w:sz w:val="20"/>
          <w:szCs w:val="20"/>
          <w:color w:val="auto"/>
        </w:rPr>
      </w:pPr>
      <w:r>
        <w:rPr>
          <w:rFonts w:ascii="Arial" w:cs="Arial" w:eastAsia="Arial" w:hAnsi="Arial"/>
          <w:sz w:val="16"/>
          <w:szCs w:val="16"/>
          <w:color w:val="auto"/>
        </w:rPr>
        <w:t>We believe that current cash and cash equivalents as well as borrowings available under our revolving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investments in office facilities and other capital expenditure requirements, and any potential future acquisitions. We expect capital expenditures will be appreciably higher in absolute dollars in fiscal 2023 for planned office build-outs compared to prior fiscal years to accommodate our growth, which we estimate to be approximately $8.5 million remaining to complete at July 31, 2022.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right="20" w:firstLine="891"/>
        <w:spacing w:after="0" w:line="291" w:lineRule="auto"/>
        <w:rPr>
          <w:sz w:val="20"/>
          <w:szCs w:val="20"/>
          <w:color w:val="auto"/>
        </w:rPr>
      </w:pPr>
      <w:r>
        <w:rPr>
          <w:rFonts w:ascii="Arial" w:cs="Arial" w:eastAsia="Arial" w:hAnsi="Arial"/>
          <w:sz w:val="16"/>
          <w:szCs w:val="16"/>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2022 and July 31, 2022, the redeemable non-controlling interest was $2.9 million and $3.2 million, respectively.</w:t>
      </w:r>
    </w:p>
    <w:p>
      <w:pPr>
        <w:spacing w:after="0" w:line="166"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As part of our joint venture obligations, we expect we may be required to make an additional cash capital contribution of up to $5.0 million to nCino K.K. during the course of the current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Summary Cash Flow information for the six months ended July 31, 2021 and 2022 are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5"/>
        </w:trPr>
        <w:tc>
          <w:tcPr>
            <w:tcW w:w="8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80" w:firstLine="891"/>
        <w:spacing w:after="0" w:line="290" w:lineRule="auto"/>
        <w:rPr>
          <w:sz w:val="20"/>
          <w:szCs w:val="20"/>
          <w:color w:val="auto"/>
        </w:rPr>
      </w:pPr>
      <w:r>
        <w:rPr>
          <w:rFonts w:ascii="Arial" w:cs="Arial" w:eastAsia="Arial" w:hAnsi="Arial"/>
          <w:sz w:val="16"/>
          <w:szCs w:val="16"/>
          <w:color w:val="auto"/>
        </w:rPr>
        <w:t>The $10.7 million provided by operating activities in the six months ended July 31, 2022 reflects our net loss of $57.4 million, offset by $52.2 million in non-cash charges and $15.9 million generated by changes in working capital accounts. 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$30.3 million increase in deferred revenue, as we expanded our customer base and renewed existing customers, and a $5.4 million decrease in accounts receivable. The cash generated by working capital accounts was partially offset by a $9.7 million decrease in accrued expenses and other current liabilities, payments of $4.6 million of capitalized costs to obtain revenue contracts, which consisted primarily of sales commissions, a $2.1 million decrease in operating lease liabilities, a $1.9 million decrease in accounts payable, and a $1.7 million increase in prepaid expenses and other assets.</w:t>
      </w:r>
    </w:p>
    <w:p>
      <w:pPr>
        <w:spacing w:after="0" w:line="165" w:lineRule="exact"/>
        <w:rPr>
          <w:sz w:val="20"/>
          <w:szCs w:val="20"/>
          <w:color w:val="auto"/>
        </w:rPr>
      </w:pPr>
    </w:p>
    <w:p>
      <w:pPr>
        <w:ind w:right="120" w:firstLine="891"/>
        <w:spacing w:after="0" w:line="259" w:lineRule="auto"/>
        <w:rPr>
          <w:sz w:val="20"/>
          <w:szCs w:val="20"/>
          <w:color w:val="auto"/>
        </w:rPr>
      </w:pPr>
      <w:r>
        <w:rPr>
          <w:rFonts w:ascii="Arial" w:cs="Arial" w:eastAsia="Arial" w:hAnsi="Arial"/>
          <w:sz w:val="18"/>
          <w:szCs w:val="18"/>
          <w:color w:val="auto"/>
        </w:rPr>
        <w:t>The $20.9 million provided by operating activities in the six months ended July 31, 2021 reflects our net loss of $29.9 million, offset by $23.2 million in non-cash charges and $27.6 million generated by changes in working capital accounts. Non-cash charges primarily consisted of stock-based compensation, depreciation and amortization, amortization of costs capitalized to obtain revenue contracts, and non-cash operating lease costs. Cash generated by working capital accounts was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principally a function of a $26.0 million increase in our deferred revenue, as we expanded our customer base and renewed existing customers, a $3.8 million decrease in accounts receivable, a $2.4 million increase in accounts payable, and a $1.7 million decrease in prepaid expenses and other assets. The cash generated by working capital accounts was partially offset by payments of $4.4 million of capitalized costs to obtain revenue contracts, which consisted primarily of sales commissions, a $1.3 million decrease in operating lease liabilities, and a $0.7 million decrease in accrued expenses and other current liabilities.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120" w:firstLine="891"/>
        <w:spacing w:after="0" w:line="277" w:lineRule="auto"/>
        <w:rPr>
          <w:sz w:val="20"/>
          <w:szCs w:val="20"/>
          <w:color w:val="auto"/>
        </w:rPr>
      </w:pPr>
      <w:r>
        <w:rPr>
          <w:rFonts w:ascii="Arial" w:cs="Arial" w:eastAsia="Arial" w:hAnsi="Arial"/>
          <w:sz w:val="18"/>
          <w:szCs w:val="18"/>
          <w:color w:val="auto"/>
        </w:rPr>
        <w:t>We used $9.3 million and $1.3 million in investing activities in the six months ended July 31, 2022 and 2021, respectively, for the purchase of property and equipment and leasehold improvements to support the expansion of our business.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00" w:firstLine="891"/>
        <w:spacing w:after="0" w:line="255" w:lineRule="auto"/>
        <w:rPr>
          <w:sz w:val="20"/>
          <w:szCs w:val="20"/>
          <w:color w:val="auto"/>
        </w:rPr>
      </w:pPr>
      <w:r>
        <w:rPr>
          <w:rFonts w:ascii="Arial" w:cs="Arial" w:eastAsia="Arial" w:hAnsi="Arial"/>
          <w:sz w:val="18"/>
          <w:szCs w:val="18"/>
          <w:color w:val="auto"/>
        </w:rPr>
        <w:t>The $3.6 million provided by financing activities in the six months ended July 31, 2022 was comprised principally of $2.4 million of proceeds from stock issuances under the employee stock purchase plan and $1.9 million of proceeds from the exercise of stock options, partially reduced by payments of debt issuance costs of $0.4 million and principal payments of $0.3 million on financing obligations. We borrowed and repaid $20.0 million under our revolving credit facility during the six months ended July 31, 2022. The $9.1 million provided by financing activities in the six months ended July 31, 2021 was comprised principally of $9.2 million of proceeds from the exercise of stock options, partially reduced by principal payments of $0.1 million on the financing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0" w:firstLine="891"/>
        <w:spacing w:after="0" w:line="301" w:lineRule="auto"/>
        <w:rPr>
          <w:sz w:val="20"/>
          <w:szCs w:val="20"/>
          <w:color w:val="auto"/>
        </w:rPr>
      </w:pPr>
      <w:r>
        <w:rPr>
          <w:rFonts w:ascii="Arial" w:cs="Arial" w:eastAsia="Arial" w:hAnsi="Arial"/>
          <w:sz w:val="16"/>
          <w:szCs w:val="16"/>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our revolving credit facility when we have outstanding borrowings. See Note 12 "Leases," Note 13 "Revolving Credit Facility," and Note 14 "Commitments and Contingencies" of the notes to our unaudited condensed consolidated financial statements included in Part 1, Item 1 of this Quarterly Report on Form 10-Q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79" w:lineRule="exact"/>
        <w:rPr>
          <w:sz w:val="20"/>
          <w:szCs w:val="20"/>
          <w:color w:val="auto"/>
        </w:rPr>
      </w:pPr>
    </w:p>
    <w:p>
      <w:pPr>
        <w:ind w:firstLine="891"/>
        <w:spacing w:after="0" w:line="246" w:lineRule="auto"/>
        <w:rPr>
          <w:sz w:val="20"/>
          <w:szCs w:val="20"/>
          <w:color w:val="auto"/>
        </w:rPr>
      </w:pPr>
      <w:r>
        <w:rPr>
          <w:rFonts w:ascii="Arial" w:cs="Arial" w:eastAsia="Arial" w:hAnsi="Arial"/>
          <w:sz w:val="18"/>
          <w:szCs w:val="18"/>
          <w:color w:val="auto"/>
        </w:rPr>
        <w:t>There have been no material changes in our critical accounting policies or estimates as compared to those disclosed in the Annual Report on Form 10-K for the fiscal year ended January 31, 2022 filed with the SEC on March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891"/>
        <w:spacing w:after="0" w:line="263" w:lineRule="auto"/>
        <w:rPr>
          <w:sz w:val="20"/>
          <w:szCs w:val="20"/>
          <w:color w:val="auto"/>
        </w:rPr>
      </w:pPr>
      <w:r>
        <w:rPr>
          <w:rFonts w:ascii="Arial" w:cs="Arial" w:eastAsia="Arial" w:hAnsi="Arial"/>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20" w:firstLine="89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80" w:firstLine="891"/>
        <w:spacing w:after="0" w:line="277" w:lineRule="auto"/>
        <w:rPr>
          <w:sz w:val="20"/>
          <w:szCs w:val="20"/>
          <w:color w:val="auto"/>
        </w:rPr>
      </w:pPr>
      <w:r>
        <w:rPr>
          <w:rFonts w:ascii="Arial" w:cs="Arial" w:eastAsia="Arial" w:hAnsi="Arial"/>
          <w:sz w:val="18"/>
          <w:szCs w:val="18"/>
          <w:color w:val="auto"/>
        </w:rPr>
        <w:t>At July 31, 2022, we had cash, cash equivalents and restricted cash of $91.5 million, which consisted primarily of bank deposits and money market funds. Interest-earning instruments carry a degree of interest rate risk. However, our historical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4" w:lineRule="exact"/>
        <w:rPr>
          <w:sz w:val="20"/>
          <w:szCs w:val="20"/>
          <w:color w:val="auto"/>
        </w:rPr>
      </w:pPr>
    </w:p>
    <w:p>
      <w:pPr>
        <w:ind w:right="20" w:firstLine="891"/>
        <w:spacing w:after="0" w:line="257" w:lineRule="auto"/>
        <w:rPr>
          <w:sz w:val="20"/>
          <w:szCs w:val="20"/>
          <w:color w:val="auto"/>
        </w:rPr>
      </w:pPr>
      <w:r>
        <w:rPr>
          <w:rFonts w:ascii="Arial" w:cs="Arial" w:eastAsia="Arial" w:hAnsi="Arial"/>
          <w:sz w:val="18"/>
          <w:szCs w:val="18"/>
          <w:color w:val="auto"/>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July 31, 2022, we had no outstanding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891"/>
        <w:spacing w:after="0" w:line="270" w:lineRule="auto"/>
        <w:rPr>
          <w:sz w:val="20"/>
          <w:szCs w:val="20"/>
          <w:color w:val="auto"/>
        </w:rPr>
      </w:pPr>
      <w:r>
        <w:rPr>
          <w:rFonts w:ascii="Arial" w:cs="Arial" w:eastAsia="Arial" w:hAnsi="Arial"/>
          <w:sz w:val="17"/>
          <w:szCs w:val="17"/>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891"/>
        <w:spacing w:after="0" w:line="290" w:lineRule="auto"/>
        <w:rPr>
          <w:sz w:val="20"/>
          <w:szCs w:val="20"/>
          <w:color w:val="auto"/>
        </w:rPr>
      </w:pPr>
      <w:r>
        <w:rPr>
          <w:rFonts w:ascii="Arial" w:cs="Arial" w:eastAsia="Arial" w:hAnsi="Arial"/>
          <w:sz w:val="16"/>
          <w:szCs w:val="16"/>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July 31, 2022, the last day of the period covered by this Quarterly Report on Form 10-Q. Based on this evaluation, our Chief Executive Officer and Chief Financial Officer have concluded that, at July 31, 2022,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8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the Effectiveness of Controls</w:t>
      </w:r>
    </w:p>
    <w:p>
      <w:pPr>
        <w:spacing w:after="0" w:line="225" w:lineRule="exact"/>
        <w:rPr>
          <w:sz w:val="20"/>
          <w:szCs w:val="20"/>
          <w:color w:val="auto"/>
        </w:rPr>
      </w:pPr>
    </w:p>
    <w:p>
      <w:pPr>
        <w:ind w:right="40" w:firstLine="891"/>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891"/>
        <w:spacing w:after="0" w:line="263" w:lineRule="auto"/>
        <w:rPr>
          <w:sz w:val="20"/>
          <w:szCs w:val="20"/>
          <w:color w:val="auto"/>
        </w:rPr>
      </w:pPr>
      <w:r>
        <w:rPr>
          <w:rFonts w:ascii="Arial" w:cs="Arial" w:eastAsia="Arial" w:hAnsi="Arial"/>
          <w:sz w:val="18"/>
          <w:szCs w:val="18"/>
          <w:color w:val="auto"/>
        </w:rPr>
        <w:t>See Note 14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There are no material changes to the risk factors in the Company's Annual Report on Form 10-K for the fiscal year ended January 31, 2022 filed with the SEC on March 31, 2022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0" w:type="dxa"/>
            <w:vAlign w:val="bottom"/>
            <w:gridSpan w:val="2"/>
          </w:tcPr>
          <w:p>
            <w:pPr>
              <w:ind w:left="560"/>
              <w:spacing w:after="0"/>
              <w:rPr>
                <w:sz w:val="20"/>
                <w:szCs w:val="20"/>
                <w:color w:val="auto"/>
              </w:rPr>
            </w:pPr>
            <w:r>
              <w:rPr>
                <w:rFonts w:ascii="Arial" w:cs="Arial" w:eastAsia="Arial" w:hAnsi="Arial"/>
                <w:sz w:val="14"/>
                <w:szCs w:val="14"/>
                <w:b w:val="1"/>
                <w:bCs w:val="1"/>
                <w:color w:val="auto"/>
                <w:w w:val="91"/>
              </w:rPr>
              <w:t>Incorporated by Reference</w:t>
            </w: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980" w:type="dxa"/>
            <w:vAlign w:val="bottom"/>
            <w:vMerge w:val="continue"/>
          </w:tcPr>
          <w:p>
            <w:pPr>
              <w:spacing w:after="0"/>
              <w:rPr>
                <w:sz w:val="10"/>
                <w:szCs w:val="10"/>
                <w:color w:val="auto"/>
              </w:rPr>
            </w:pPr>
          </w:p>
        </w:tc>
        <w:tc>
          <w:tcPr>
            <w:tcW w:w="4300" w:type="dxa"/>
            <w:vAlign w:val="bottom"/>
            <w:gridSpan w:val="12"/>
            <w:vMerge w:val="restart"/>
          </w:tcPr>
          <w:p>
            <w:pPr>
              <w:ind w:left="1460"/>
              <w:spacing w:after="0"/>
              <w:rPr>
                <w:sz w:val="20"/>
                <w:szCs w:val="20"/>
                <w:color w:val="auto"/>
              </w:rPr>
            </w:pPr>
            <w:r>
              <w:rPr>
                <w:rFonts w:ascii="Arial" w:cs="Arial" w:eastAsia="Arial" w:hAnsi="Arial"/>
                <w:sz w:val="14"/>
                <w:szCs w:val="14"/>
                <w:b w:val="1"/>
                <w:bCs w:val="1"/>
                <w:color w:val="auto"/>
              </w:rPr>
              <w:t>Description of Exhibit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8"/>
              </w:rPr>
              <w:t>Exhibit</w:t>
            </w:r>
          </w:p>
        </w:tc>
        <w:tc>
          <w:tcPr>
            <w:tcW w:w="14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4"/>
              </w:rPr>
              <w:t>Filing Date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92"/>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4300" w:type="dxa"/>
            <w:vAlign w:val="bottom"/>
            <w:tcBorders>
              <w:bottom w:val="single" w:sz="8" w:color="auto"/>
            </w:tcBorders>
            <w:gridSpan w:val="1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3720" w:type="dxa"/>
            <w:vAlign w:val="bottom"/>
            <w:tcBorders>
              <w:bottom w:val="single" w:sz="8" w:color="0000FF"/>
            </w:tcBorders>
            <w:gridSpan w:val="5"/>
          </w:tcPr>
          <w:p>
            <w:pPr>
              <w:spacing w:after="0" w:line="189"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Amended and Restated Certificate of Incorporation</w:t>
              </w:r>
            </w:hyperlink>
          </w:p>
        </w:tc>
        <w:tc>
          <w:tcPr>
            <w:tcW w:w="580" w:type="dxa"/>
            <w:vAlign w:val="bottom"/>
            <w:gridSpan w:val="7"/>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6"/>
              </w:rPr>
              <w:t>8-K12B</w:t>
            </w:r>
          </w:p>
        </w:tc>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90"/>
              </w:rPr>
              <w:t>001-41211</w:t>
            </w:r>
          </w:p>
        </w:tc>
        <w:tc>
          <w:tcPr>
            <w:tcW w:w="1040" w:type="dxa"/>
            <w:vAlign w:val="bottom"/>
          </w:tcPr>
          <w:p>
            <w:pPr>
              <w:jc w:val="center"/>
              <w:ind w:right="96"/>
              <w:spacing w:after="0" w:line="189" w:lineRule="exact"/>
              <w:rPr>
                <w:sz w:val="20"/>
                <w:szCs w:val="20"/>
                <w:color w:val="auto"/>
              </w:rPr>
            </w:pPr>
            <w:r>
              <w:rPr>
                <w:rFonts w:ascii="Arial" w:cs="Arial" w:eastAsia="Arial" w:hAnsi="Arial"/>
                <w:sz w:val="18"/>
                <w:szCs w:val="18"/>
                <w:color w:val="auto"/>
                <w:w w:val="87"/>
              </w:rPr>
              <w:t>3.1</w:t>
            </w:r>
          </w:p>
        </w:tc>
        <w:tc>
          <w:tcPr>
            <w:tcW w:w="1440" w:type="dxa"/>
            <w:vAlign w:val="bottom"/>
          </w:tcPr>
          <w:p>
            <w:pPr>
              <w:jc w:val="center"/>
              <w:ind w:right="116"/>
              <w:spacing w:after="0" w:line="189" w:lineRule="exact"/>
              <w:rPr>
                <w:sz w:val="20"/>
                <w:szCs w:val="20"/>
                <w:color w:val="auto"/>
              </w:rPr>
            </w:pPr>
            <w:r>
              <w:rPr>
                <w:rFonts w:ascii="Arial" w:cs="Arial" w:eastAsia="Arial" w:hAnsi="Arial"/>
                <w:sz w:val="18"/>
                <w:szCs w:val="18"/>
                <w:color w:val="auto"/>
                <w:w w:val="89"/>
              </w:rPr>
              <w:t>January 10, 2022</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3.2</w:t>
            </w:r>
          </w:p>
        </w:tc>
        <w:tc>
          <w:tcPr>
            <w:tcW w:w="2260" w:type="dxa"/>
            <w:vAlign w:val="bottom"/>
            <w:tcBorders>
              <w:bottom w:val="single" w:sz="8" w:color="0000FF"/>
            </w:tcBorders>
          </w:tcPr>
          <w:p>
            <w:pPr>
              <w:spacing w:after="0"/>
              <w:rPr>
                <w:rFonts w:ascii="Arial" w:cs="Arial" w:eastAsia="Arial" w:hAnsi="Arial"/>
                <w:sz w:val="18"/>
                <w:szCs w:val="18"/>
                <w:color w:val="0000FF"/>
                <w:w w:val="89"/>
              </w:rPr>
            </w:pPr>
            <w:hyperlink r:id="rId64">
              <w:r>
                <w:rPr>
                  <w:rFonts w:ascii="Arial" w:cs="Arial" w:eastAsia="Arial" w:hAnsi="Arial"/>
                  <w:sz w:val="18"/>
                  <w:szCs w:val="18"/>
                  <w:color w:val="0000FF"/>
                  <w:w w:val="89"/>
                </w:rPr>
                <w:t>Amended and Restated Bylaws</w:t>
              </w:r>
            </w:hyperlink>
          </w:p>
        </w:tc>
        <w:tc>
          <w:tcPr>
            <w:tcW w:w="2040" w:type="dxa"/>
            <w:vAlign w:val="bottom"/>
            <w:gridSpan w:val="11"/>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8-K12B</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001-41211</w:t>
            </w:r>
          </w:p>
        </w:tc>
        <w:tc>
          <w:tcPr>
            <w:tcW w:w="1040" w:type="dxa"/>
            <w:vAlign w:val="bottom"/>
          </w:tcPr>
          <w:p>
            <w:pPr>
              <w:jc w:val="center"/>
              <w:ind w:right="96"/>
              <w:spacing w:after="0"/>
              <w:rPr>
                <w:sz w:val="20"/>
                <w:szCs w:val="20"/>
                <w:color w:val="auto"/>
              </w:rPr>
            </w:pPr>
            <w:r>
              <w:rPr>
                <w:rFonts w:ascii="Arial" w:cs="Arial" w:eastAsia="Arial" w:hAnsi="Arial"/>
                <w:sz w:val="18"/>
                <w:szCs w:val="18"/>
                <w:color w:val="auto"/>
                <w:w w:val="87"/>
              </w:rPr>
              <w:t>3.2</w:t>
            </w:r>
          </w:p>
        </w:tc>
        <w:tc>
          <w:tcPr>
            <w:tcW w:w="1440" w:type="dxa"/>
            <w:vAlign w:val="bottom"/>
          </w:tcPr>
          <w:p>
            <w:pPr>
              <w:jc w:val="center"/>
              <w:ind w:right="116"/>
              <w:spacing w:after="0"/>
              <w:rPr>
                <w:sz w:val="20"/>
                <w:szCs w:val="20"/>
                <w:color w:val="auto"/>
              </w:rPr>
            </w:pPr>
            <w:r>
              <w:rPr>
                <w:rFonts w:ascii="Arial" w:cs="Arial" w:eastAsia="Arial" w:hAnsi="Arial"/>
                <w:sz w:val="18"/>
                <w:szCs w:val="18"/>
                <w:color w:val="auto"/>
                <w:w w:val="89"/>
              </w:rPr>
              <w:t>January 10, 2022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31.1</w:t>
            </w:r>
          </w:p>
        </w:tc>
        <w:tc>
          <w:tcPr>
            <w:tcW w:w="430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8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00" w:type="dxa"/>
            <w:vAlign w:val="bottom"/>
            <w:gridSpan w:val="12"/>
          </w:tcPr>
          <w:p>
            <w:pPr>
              <w:spacing w:after="0" w:line="169" w:lineRule="exact"/>
              <w:rPr>
                <w:sz w:val="20"/>
                <w:szCs w:val="20"/>
                <w:color w:val="auto"/>
              </w:rPr>
            </w:pPr>
            <w:r>
              <w:rPr>
                <w:rFonts w:ascii="Arial" w:cs="Arial" w:eastAsia="Arial" w:hAnsi="Arial"/>
                <w:sz w:val="18"/>
                <w:szCs w:val="18"/>
                <w:color w:val="0000FF"/>
                <w:w w:val="97"/>
              </w:rPr>
              <w:t>Exchange Act of 1934, as Adopted Pursuant to Section</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40"/>
              <w:spacing w:after="0"/>
              <w:rPr>
                <w:sz w:val="20"/>
                <w:szCs w:val="20"/>
                <w:color w:val="auto"/>
              </w:rPr>
            </w:pPr>
            <w:r>
              <w:rPr>
                <w:rFonts w:ascii="Arial" w:cs="Arial" w:eastAsia="Arial" w:hAnsi="Arial"/>
                <w:sz w:val="18"/>
                <w:szCs w:val="18"/>
                <w:color w:val="auto"/>
              </w:rPr>
              <w:t>31.2</w:t>
            </w:r>
          </w:p>
        </w:tc>
        <w:tc>
          <w:tcPr>
            <w:tcW w:w="430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Rules 13a-14(a) and 15d-14(a) under the Securities</w:t>
            </w:r>
          </w:p>
        </w:tc>
        <w:tc>
          <w:tcPr>
            <w:tcW w:w="240" w:type="dxa"/>
            <w:vAlign w:val="bottom"/>
            <w:tcBorders>
              <w:top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00" w:type="dxa"/>
            <w:vAlign w:val="bottom"/>
            <w:gridSpan w:val="12"/>
          </w:tcPr>
          <w:p>
            <w:pPr>
              <w:spacing w:after="0" w:line="169" w:lineRule="exact"/>
              <w:rPr>
                <w:sz w:val="20"/>
                <w:szCs w:val="20"/>
                <w:color w:val="auto"/>
              </w:rPr>
            </w:pPr>
            <w:r>
              <w:rPr>
                <w:rFonts w:ascii="Arial" w:cs="Arial" w:eastAsia="Arial" w:hAnsi="Arial"/>
                <w:sz w:val="18"/>
                <w:szCs w:val="18"/>
                <w:color w:val="0000FF"/>
                <w:w w:val="97"/>
              </w:rPr>
              <w:t>Exchange Act of 1934, as Adopted Pursuant to Section</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32.1*</w:t>
            </w:r>
          </w:p>
        </w:tc>
        <w:tc>
          <w:tcPr>
            <w:tcW w:w="4300" w:type="dxa"/>
            <w:vAlign w:val="bottom"/>
            <w:gridSpan w:val="12"/>
          </w:tcPr>
          <w:p>
            <w:pPr>
              <w:spacing w:after="0"/>
              <w:rPr>
                <w:sz w:val="20"/>
                <w:szCs w:val="20"/>
                <w:color w:val="auto"/>
              </w:rPr>
            </w:pPr>
            <w:r>
              <w:rPr>
                <w:rFonts w:ascii="Arial" w:cs="Arial" w:eastAsia="Arial" w:hAnsi="Arial"/>
                <w:sz w:val="18"/>
                <w:szCs w:val="18"/>
                <w:color w:val="0000FF"/>
                <w:w w:val="94"/>
              </w:rPr>
              <w:t>Certification of Principal Executive Officer Pursuant to 18</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1"/>
              </w:rPr>
              <w:t>U.S.C. Section 1350, as Adopted Pursuant to Section 906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40"/>
              <w:spacing w:after="0"/>
              <w:rPr>
                <w:sz w:val="20"/>
                <w:szCs w:val="20"/>
                <w:color w:val="auto"/>
              </w:rPr>
            </w:pPr>
            <w:r>
              <w:rPr>
                <w:rFonts w:ascii="Arial" w:cs="Arial" w:eastAsia="Arial" w:hAnsi="Arial"/>
                <w:sz w:val="18"/>
                <w:szCs w:val="18"/>
                <w:color w:val="auto"/>
              </w:rPr>
              <w:t>32.2*</w:t>
            </w:r>
          </w:p>
        </w:tc>
        <w:tc>
          <w:tcPr>
            <w:tcW w:w="4300" w:type="dxa"/>
            <w:vAlign w:val="bottom"/>
            <w:gridSpan w:val="12"/>
          </w:tcPr>
          <w:p>
            <w:pPr>
              <w:spacing w:after="0"/>
              <w:rPr>
                <w:sz w:val="20"/>
                <w:szCs w:val="20"/>
                <w:color w:val="auto"/>
              </w:rPr>
            </w:pPr>
            <w:r>
              <w:rPr>
                <w:rFonts w:ascii="Arial" w:cs="Arial" w:eastAsia="Arial" w:hAnsi="Arial"/>
                <w:sz w:val="18"/>
                <w:szCs w:val="18"/>
                <w:color w:val="0000FF"/>
                <w:w w:val="95"/>
              </w:rPr>
              <w:t>Certification of Principal Financial Officer Pursuant to 18</w:t>
            </w: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89"/>
              </w:rPr>
              <w:t>U.S.C. Section 1350, as Adopted Pursuant to Section 906</w:t>
            </w: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of the Sarbanes-Oxley Act of 2002.</w:t>
            </w:r>
          </w:p>
        </w:tc>
        <w:tc>
          <w:tcPr>
            <w:tcW w:w="1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980" w:type="dxa"/>
            <w:vAlign w:val="bottom"/>
          </w:tcPr>
          <w:p>
            <w:pPr>
              <w:ind w:left="40"/>
              <w:spacing w:after="0"/>
              <w:rPr>
                <w:sz w:val="20"/>
                <w:szCs w:val="20"/>
                <w:color w:val="auto"/>
              </w:rPr>
            </w:pPr>
            <w:r>
              <w:rPr>
                <w:rFonts w:ascii="Arial" w:cs="Arial" w:eastAsia="Arial" w:hAnsi="Arial"/>
                <w:sz w:val="18"/>
                <w:szCs w:val="18"/>
                <w:color w:val="auto"/>
              </w:rPr>
              <w:t>101.INS</w:t>
            </w:r>
          </w:p>
        </w:tc>
        <w:tc>
          <w:tcPr>
            <w:tcW w:w="25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gridSpan w:val="10"/>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101.SCH</w:t>
            </w:r>
          </w:p>
        </w:tc>
        <w:tc>
          <w:tcPr>
            <w:tcW w:w="43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101.CAL</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Calculation Linkbase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40"/>
              <w:spacing w:after="0" w:line="189" w:lineRule="exact"/>
              <w:rPr>
                <w:sz w:val="20"/>
                <w:szCs w:val="20"/>
                <w:color w:val="auto"/>
              </w:rPr>
            </w:pPr>
            <w:r>
              <w:rPr>
                <w:rFonts w:ascii="Arial" w:cs="Arial" w:eastAsia="Arial" w:hAnsi="Arial"/>
                <w:sz w:val="18"/>
                <w:szCs w:val="18"/>
                <w:color w:val="auto"/>
              </w:rPr>
              <w:t>101.DEF</w:t>
            </w:r>
          </w:p>
        </w:tc>
        <w:tc>
          <w:tcPr>
            <w:tcW w:w="4300" w:type="dxa"/>
            <w:vAlign w:val="bottom"/>
            <w:gridSpan w:val="12"/>
          </w:tcPr>
          <w:p>
            <w:pPr>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80" w:type="dxa"/>
            <w:vAlign w:val="bottom"/>
          </w:tcPr>
          <w:p>
            <w:pPr>
              <w:ind w:left="40"/>
              <w:spacing w:after="0"/>
              <w:rPr>
                <w:sz w:val="20"/>
                <w:szCs w:val="20"/>
                <w:color w:val="auto"/>
              </w:rPr>
            </w:pPr>
            <w:r>
              <w:rPr>
                <w:rFonts w:ascii="Arial" w:cs="Arial" w:eastAsia="Arial" w:hAnsi="Arial"/>
                <w:sz w:val="18"/>
                <w:szCs w:val="18"/>
                <w:color w:val="auto"/>
              </w:rPr>
              <w:t>101.LAB</w:t>
            </w:r>
          </w:p>
        </w:tc>
        <w:tc>
          <w:tcPr>
            <w:tcW w:w="4300" w:type="dxa"/>
            <w:vAlign w:val="bottom"/>
            <w:gridSpan w:val="12"/>
          </w:tcPr>
          <w:p>
            <w:pPr>
              <w:spacing w:after="0"/>
              <w:rPr>
                <w:sz w:val="20"/>
                <w:szCs w:val="20"/>
                <w:color w:val="auto"/>
              </w:rPr>
            </w:pPr>
            <w:r>
              <w:rPr>
                <w:rFonts w:ascii="Arial" w:cs="Arial" w:eastAsia="Arial" w:hAnsi="Arial"/>
                <w:sz w:val="18"/>
                <w:szCs w:val="18"/>
                <w:color w:val="auto"/>
                <w:w w:val="98"/>
              </w:rPr>
              <w:t>XBRL Taxonomy Extension Label Linkbase 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980" w:type="dxa"/>
            <w:vAlign w:val="bottom"/>
          </w:tcPr>
          <w:p>
            <w:pPr>
              <w:ind w:left="40"/>
              <w:spacing w:after="0" w:line="176" w:lineRule="exact"/>
              <w:rPr>
                <w:sz w:val="20"/>
                <w:szCs w:val="20"/>
                <w:color w:val="auto"/>
              </w:rPr>
            </w:pPr>
            <w:r>
              <w:rPr>
                <w:rFonts w:ascii="Arial" w:cs="Arial" w:eastAsia="Arial" w:hAnsi="Arial"/>
                <w:sz w:val="18"/>
                <w:szCs w:val="18"/>
                <w:color w:val="auto"/>
              </w:rPr>
              <w:t>101.PRE</w:t>
            </w:r>
          </w:p>
        </w:tc>
        <w:tc>
          <w:tcPr>
            <w:tcW w:w="4300" w:type="dxa"/>
            <w:vAlign w:val="bottom"/>
            <w:gridSpan w:val="12"/>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4300" w:type="dxa"/>
            <w:vAlign w:val="bottom"/>
            <w:gridSpan w:val="12"/>
          </w:tcPr>
          <w:p>
            <w:pPr>
              <w:spacing w:after="0" w:line="189" w:lineRule="exact"/>
              <w:rPr>
                <w:sz w:val="20"/>
                <w:szCs w:val="20"/>
                <w:color w:val="auto"/>
              </w:rPr>
            </w:pPr>
            <w:r>
              <w:rPr>
                <w:rFonts w:ascii="Arial" w:cs="Arial" w:eastAsia="Arial" w:hAnsi="Arial"/>
                <w:sz w:val="18"/>
                <w:szCs w:val="18"/>
                <w:color w:val="auto"/>
                <w:w w:val="97"/>
              </w:rPr>
              <w:t>Cover Page Interactive Data File (embedded within the</w:t>
            </w:r>
          </w:p>
        </w:tc>
        <w:tc>
          <w:tcPr>
            <w:tcW w:w="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980" w:right="300" w:hanging="954"/>
        <w:spacing w:after="0" w:line="22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91"/>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07"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nCino, Inc.</w:t>
      </w:r>
    </w:p>
    <w:p>
      <w:pPr>
        <w:spacing w:after="0" w:line="189"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September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Pierre Naudé</w:t>
      </w:r>
    </w:p>
    <w:p>
      <w:pPr>
        <w:ind w:left="6880"/>
        <w:spacing w:after="0" w:line="232" w:lineRule="auto"/>
        <w:rPr>
          <w:sz w:val="20"/>
          <w:szCs w:val="20"/>
          <w:color w:val="auto"/>
        </w:rPr>
      </w:pPr>
      <w:r>
        <w:rPr>
          <w:rFonts w:ascii="Arial" w:cs="Arial" w:eastAsia="Arial" w:hAnsi="Arial"/>
          <w:sz w:val="17"/>
          <w:szCs w:val="17"/>
          <w:color w:val="auto"/>
        </w:rPr>
        <w:t>Chairman and Chief Executive Officer; Director</w:t>
      </w:r>
    </w:p>
    <w:p>
      <w:pPr>
        <w:ind w:left="6880"/>
        <w:spacing w:after="0"/>
        <w:rPr>
          <w:sz w:val="20"/>
          <w:szCs w:val="20"/>
          <w:color w:val="auto"/>
        </w:rPr>
      </w:pPr>
      <w:r>
        <w:rPr>
          <w:rFonts w:ascii="Arial" w:cs="Arial" w:eastAsia="Arial" w:hAnsi="Arial"/>
          <w:sz w:val="18"/>
          <w:szCs w:val="18"/>
          <w:color w:val="auto"/>
        </w:rPr>
        <w:t>(Principal Executive Officer)</w:t>
      </w:r>
    </w:p>
    <w:p>
      <w:pPr>
        <w:spacing w:after="0" w:line="263" w:lineRule="exact"/>
        <w:rPr>
          <w:sz w:val="20"/>
          <w:szCs w:val="20"/>
          <w:color w:val="auto"/>
        </w:rPr>
      </w:pPr>
    </w:p>
    <w:p>
      <w:pPr>
        <w:ind w:left="20"/>
        <w:spacing w:after="0"/>
        <w:tabs>
          <w:tab w:leader="none" w:pos="6320" w:val="left"/>
          <w:tab w:leader="none" w:pos="6860" w:val="left"/>
        </w:tabs>
        <w:rPr>
          <w:sz w:val="20"/>
          <w:szCs w:val="20"/>
          <w:color w:val="auto"/>
        </w:rPr>
      </w:pPr>
      <w:r>
        <w:rPr>
          <w:rFonts w:ascii="Arial" w:cs="Arial" w:eastAsia="Arial" w:hAnsi="Arial"/>
          <w:sz w:val="18"/>
          <w:szCs w:val="18"/>
          <w:color w:val="auto"/>
        </w:rPr>
        <w:t>Date: September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David Rudow</w:t>
      </w:r>
    </w:p>
    <w:p>
      <w:pPr>
        <w:ind w:left="6880"/>
        <w:spacing w:after="0" w:line="219" w:lineRule="auto"/>
        <w:rPr>
          <w:sz w:val="20"/>
          <w:szCs w:val="20"/>
          <w:color w:val="auto"/>
        </w:rPr>
      </w:pPr>
      <w:r>
        <w:rPr>
          <w:rFonts w:ascii="Arial" w:cs="Arial" w:eastAsia="Arial" w:hAnsi="Arial"/>
          <w:sz w:val="18"/>
          <w:szCs w:val="18"/>
          <w:color w:val="auto"/>
        </w:rPr>
        <w:t>Chief Financial Officer and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420"/>
          </w:cols>
          <w:pgMar w:left="320" w:top="125" w:right="115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spacing w:after="0" w:line="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Pierre Naudé, certify that:</w:t>
      </w:r>
    </w:p>
    <w:p>
      <w:pPr>
        <w:spacing w:after="0" w:line="256"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56" w:lineRule="exact"/>
        <w:rPr>
          <w:rFonts w:ascii="Arial" w:cs="Arial" w:eastAsia="Arial" w:hAnsi="Arial"/>
          <w:sz w:val="20"/>
          <w:szCs w:val="20"/>
          <w:color w:val="auto"/>
        </w:rPr>
      </w:pPr>
    </w:p>
    <w:p>
      <w:pPr>
        <w:ind w:left="660" w:right="40" w:hanging="652"/>
        <w:spacing w:after="0" w:line="25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660" w:right="20" w:hanging="652"/>
        <w:spacing w:after="0" w:line="264"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660" w:right="220" w:hanging="652"/>
        <w:spacing w:after="0" w:line="25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20"/>
          <w:szCs w:val="20"/>
          <w:color w:val="auto"/>
        </w:rPr>
      </w:pPr>
    </w:p>
    <w:p>
      <w:pPr>
        <w:ind w:left="1300" w:right="100" w:hanging="644"/>
        <w:spacing w:after="0" w:line="299"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300" w:right="560" w:hanging="644"/>
        <w:spacing w:after="0" w:line="351" w:lineRule="auto"/>
        <w:tabs>
          <w:tab w:leader="none" w:pos="1288"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6"/>
          <w:szCs w:val="16"/>
          <w:color w:val="auto"/>
        </w:rPr>
      </w:pPr>
    </w:p>
    <w:p>
      <w:pPr>
        <w:jc w:val="both"/>
        <w:ind w:left="1300" w:right="80" w:hanging="644"/>
        <w:spacing w:after="0" w:line="257" w:lineRule="auto"/>
        <w:tabs>
          <w:tab w:leader="none" w:pos="1290" w:val="left"/>
        </w:tabs>
        <w:numPr>
          <w:ilvl w:val="1"/>
          <w:numId w:val="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9" w:lineRule="exact"/>
        <w:rPr>
          <w:rFonts w:ascii="Arial" w:cs="Arial" w:eastAsia="Arial" w:hAnsi="Arial"/>
          <w:sz w:val="20"/>
          <w:szCs w:val="20"/>
          <w:color w:val="auto"/>
        </w:rPr>
      </w:pPr>
    </w:p>
    <w:p>
      <w:pPr>
        <w:ind w:left="1300" w:right="120" w:hanging="644"/>
        <w:spacing w:after="0" w:line="299"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7" w:name="page48"/>
    <w:bookmarkEnd w:id="47"/>
    <w:p>
      <w:pPr>
        <w:ind w:left="652" w:hanging="652"/>
        <w:spacing w:after="0" w:line="257" w:lineRule="auto"/>
        <w:tabs>
          <w:tab w:leader="none" w:pos="65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ind w:left="1292" w:right="260" w:hanging="644"/>
        <w:spacing w:after="0" w:line="257" w:lineRule="auto"/>
        <w:tabs>
          <w:tab w:leader="none" w:pos="1282"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6" w:lineRule="exact"/>
        <w:rPr>
          <w:rFonts w:ascii="Arial" w:cs="Arial" w:eastAsia="Arial" w:hAnsi="Arial"/>
          <w:sz w:val="20"/>
          <w:szCs w:val="20"/>
          <w:color w:val="auto"/>
        </w:rPr>
      </w:pPr>
    </w:p>
    <w:p>
      <w:pPr>
        <w:ind w:left="1292" w:right="680" w:hanging="644"/>
        <w:spacing w:after="0" w:line="238" w:lineRule="auto"/>
        <w:tabs>
          <w:tab w:leader="none" w:pos="1287" w:val="left"/>
        </w:tabs>
        <w:numPr>
          <w:ilvl w:val="1"/>
          <w:numId w:val="9"/>
        </w:numPr>
        <w:rPr>
          <w:rFonts w:ascii="Arial" w:cs="Arial" w:eastAsia="Arial" w:hAnsi="Arial"/>
          <w:sz w:val="22"/>
          <w:szCs w:val="22"/>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4" w:lineRule="exact"/>
        <w:rPr>
          <w:sz w:val="20"/>
          <w:szCs w:val="20"/>
          <w:color w:val="auto"/>
        </w:rPr>
      </w:pPr>
    </w:p>
    <w:p>
      <w:pPr>
        <w:ind w:left="12"/>
        <w:spacing w:after="0"/>
        <w:tabs>
          <w:tab w:leader="none" w:pos="5312" w:val="left"/>
          <w:tab w:leader="none" w:pos="7832" w:val="left"/>
        </w:tabs>
        <w:rPr>
          <w:sz w:val="20"/>
          <w:szCs w:val="20"/>
          <w:color w:val="auto"/>
        </w:rPr>
      </w:pPr>
      <w:r>
        <w:rPr>
          <w:rFonts w:ascii="Arial" w:cs="Arial" w:eastAsia="Arial" w:hAnsi="Arial"/>
          <w:sz w:val="20"/>
          <w:szCs w:val="20"/>
          <w:color w:val="auto"/>
        </w:rPr>
        <w:t>Date: September 1, 2022</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36195</wp:posOffset>
            </wp:positionV>
            <wp:extent cx="332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20"/>
          <w:szCs w:val="20"/>
          <w:color w:val="auto"/>
        </w:rPr>
        <w:t>Pierre Naudé</w:t>
      </w:r>
    </w:p>
    <w:p>
      <w:pPr>
        <w:spacing w:after="0" w:line="67" w:lineRule="exact"/>
        <w:rPr>
          <w:sz w:val="20"/>
          <w:szCs w:val="20"/>
          <w:color w:val="auto"/>
        </w:rPr>
      </w:pPr>
    </w:p>
    <w:p>
      <w:pPr>
        <w:jc w:val="center"/>
        <w:ind w:left="5740"/>
        <w:spacing w:after="0"/>
        <w:rPr>
          <w:sz w:val="20"/>
          <w:szCs w:val="20"/>
          <w:color w:val="auto"/>
        </w:rPr>
      </w:pPr>
      <w:r>
        <w:rPr>
          <w:rFonts w:ascii="Arial" w:cs="Arial" w:eastAsia="Arial" w:hAnsi="Arial"/>
          <w:sz w:val="20"/>
          <w:szCs w:val="20"/>
          <w:color w:val="auto"/>
        </w:rPr>
        <w:t>Chairman and Chief Executive Officer; Director</w:t>
      </w:r>
    </w:p>
    <w:p>
      <w:pPr>
        <w:sectPr>
          <w:pgSz w:w="11900" w:h="16838" w:orient="portrait"/>
          <w:cols w:equalWidth="0" w:num="1">
            <w:col w:w="11152"/>
          </w:cols>
          <w:pgMar w:left="328" w:top="1419"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RULES 13a-14(a) AND 15d-14(a) UNDER THE SECURITIES EXCHANGE ACT OF 1934,</w:t>
      </w:r>
    </w:p>
    <w:p>
      <w:pPr>
        <w:spacing w:after="0" w:line="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AS ADOPTED PURSUANT TO SECTION 302 OF THE SARBANES-OXLEY ACT OF 2002</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Rudow, certify that:</w:t>
      </w:r>
    </w:p>
    <w:p>
      <w:pPr>
        <w:spacing w:after="0" w:line="256"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nCino, Inc.;</w:t>
      </w:r>
    </w:p>
    <w:p>
      <w:pPr>
        <w:spacing w:after="0" w:line="256" w:lineRule="exact"/>
        <w:rPr>
          <w:rFonts w:ascii="Arial" w:cs="Arial" w:eastAsia="Arial" w:hAnsi="Arial"/>
          <w:sz w:val="20"/>
          <w:szCs w:val="20"/>
          <w:color w:val="auto"/>
        </w:rPr>
      </w:pPr>
    </w:p>
    <w:p>
      <w:pPr>
        <w:ind w:left="660" w:right="40" w:hanging="652"/>
        <w:spacing w:after="0" w:line="257"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20"/>
          <w:szCs w:val="20"/>
          <w:color w:val="auto"/>
        </w:rPr>
      </w:pPr>
    </w:p>
    <w:p>
      <w:pPr>
        <w:ind w:left="660" w:right="20" w:hanging="652"/>
        <w:spacing w:after="0" w:line="264"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left="660" w:right="220" w:hanging="652"/>
        <w:spacing w:after="0" w:line="257" w:lineRule="auto"/>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Arial" w:cs="Arial" w:eastAsia="Arial" w:hAnsi="Arial"/>
          <w:sz w:val="20"/>
          <w:szCs w:val="20"/>
          <w:color w:val="auto"/>
        </w:rPr>
      </w:pPr>
    </w:p>
    <w:p>
      <w:pPr>
        <w:ind w:left="1300" w:right="100" w:hanging="644"/>
        <w:spacing w:after="0" w:line="299"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300" w:right="560" w:hanging="644"/>
        <w:spacing w:after="0" w:line="351" w:lineRule="auto"/>
        <w:tabs>
          <w:tab w:leader="none" w:pos="12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1300" w:right="80" w:hanging="644"/>
        <w:spacing w:after="0" w:line="264" w:lineRule="auto"/>
        <w:tabs>
          <w:tab w:leader="none" w:pos="1290" w:val="left"/>
        </w:tabs>
        <w:numPr>
          <w:ilvl w:val="1"/>
          <w:numId w:val="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300" w:right="120" w:hanging="644"/>
        <w:spacing w:after="0" w:line="299"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13" w:right="339" w:bottom="1440" w:gutter="0" w:footer="0" w:header="0"/>
        </w:sectPr>
      </w:pPr>
    </w:p>
    <w:bookmarkStart w:id="49" w:name="page50"/>
    <w:bookmarkEnd w:id="49"/>
    <w:p>
      <w:pPr>
        <w:ind w:left="652" w:right="80" w:hanging="652"/>
        <w:spacing w:after="0" w:line="257" w:lineRule="auto"/>
        <w:tabs>
          <w:tab w:leader="none" w:pos="652"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9" w:lineRule="exact"/>
        <w:rPr>
          <w:rFonts w:ascii="Arial" w:cs="Arial" w:eastAsia="Arial" w:hAnsi="Arial"/>
          <w:sz w:val="20"/>
          <w:szCs w:val="20"/>
          <w:color w:val="auto"/>
        </w:rPr>
      </w:pPr>
    </w:p>
    <w:p>
      <w:pPr>
        <w:ind w:left="1292" w:right="340" w:hanging="644"/>
        <w:spacing w:after="0" w:line="257" w:lineRule="auto"/>
        <w:tabs>
          <w:tab w:leader="none" w:pos="1282" w:val="left"/>
        </w:tabs>
        <w:numPr>
          <w:ilvl w:val="1"/>
          <w:numId w:val="1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20"/>
          <w:szCs w:val="20"/>
          <w:color w:val="auto"/>
        </w:rPr>
      </w:pPr>
    </w:p>
    <w:p>
      <w:pPr>
        <w:ind w:left="1292" w:right="760" w:hanging="644"/>
        <w:spacing w:after="0" w:line="260" w:lineRule="auto"/>
        <w:tabs>
          <w:tab w:leader="none" w:pos="12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2" w:type="dxa"/>
        <w:tblCellMar>
          <w:top w:w="0" w:type="dxa"/>
          <w:left w:w="0" w:type="dxa"/>
          <w:bottom w:w="0" w:type="dxa"/>
          <w:right w:w="0" w:type="dxa"/>
        </w:tblCellMar>
      </w:tblPr>
      <w:tr>
        <w:trPr>
          <w:trHeight w:val="255"/>
        </w:trPr>
        <w:tc>
          <w:tcPr>
            <w:tcW w:w="3640" w:type="dxa"/>
            <w:vAlign w:val="bottom"/>
          </w:tcPr>
          <w:p>
            <w:pPr>
              <w:spacing w:after="0"/>
              <w:rPr>
                <w:sz w:val="20"/>
                <w:szCs w:val="20"/>
                <w:color w:val="auto"/>
              </w:rPr>
            </w:pPr>
            <w:r>
              <w:rPr>
                <w:rFonts w:ascii="Arial" w:cs="Arial" w:eastAsia="Arial" w:hAnsi="Arial"/>
                <w:sz w:val="20"/>
                <w:szCs w:val="20"/>
                <w:color w:val="auto"/>
              </w:rPr>
              <w:t>Date: September 1, 2022</w:t>
            </w:r>
          </w:p>
        </w:tc>
        <w:tc>
          <w:tcPr>
            <w:tcW w:w="2240" w:type="dxa"/>
            <w:vAlign w:val="bottom"/>
          </w:tcPr>
          <w:p>
            <w:pPr>
              <w:ind w:left="1680"/>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49"/>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3"/>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232"/>
          </w:cols>
          <w:pgMar w:left="328" w:top="141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00" w:firstLine="516"/>
        <w:spacing w:after="0" w:line="257"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2022 as filed with the Securities and Exchange Commission on the date hereof (the “Report”), I certify, pursuant to 18 U.S.C. § 1350, as adopted pursuant to § 906 of the Sarbanes-Oxley Act of 2002, that, to my knowledge:</w:t>
      </w:r>
    </w:p>
    <w:p>
      <w:pPr>
        <w:spacing w:after="0" w:line="193" w:lineRule="exact"/>
        <w:rPr>
          <w:sz w:val="20"/>
          <w:szCs w:val="20"/>
          <w:color w:val="auto"/>
        </w:rPr>
      </w:pPr>
    </w:p>
    <w:p>
      <w:pPr>
        <w:ind w:left="1300" w:hanging="776"/>
        <w:spacing w:after="0"/>
        <w:tabs>
          <w:tab w:leader="none" w:pos="1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74" w:lineRule="auto"/>
        <w:tabs>
          <w:tab w:leader="none" w:pos="129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640" w:type="dxa"/>
            <w:vAlign w:val="bottom"/>
          </w:tcPr>
          <w:p>
            <w:pPr>
              <w:spacing w:after="0"/>
              <w:rPr>
                <w:sz w:val="20"/>
                <w:szCs w:val="20"/>
                <w:color w:val="auto"/>
              </w:rPr>
            </w:pPr>
            <w:r>
              <w:rPr>
                <w:rFonts w:ascii="Arial" w:cs="Arial" w:eastAsia="Arial" w:hAnsi="Arial"/>
                <w:sz w:val="20"/>
                <w:szCs w:val="20"/>
                <w:color w:val="auto"/>
              </w:rPr>
              <w:t>Date: September 1, 2022</w:t>
            </w:r>
          </w:p>
        </w:tc>
        <w:tc>
          <w:tcPr>
            <w:tcW w:w="2220" w:type="dxa"/>
            <w:vAlign w:val="bottom"/>
          </w:tcPr>
          <w:p>
            <w:pPr>
              <w:ind w:left="1680"/>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/s/ Pierre Naudé</w:t>
            </w:r>
          </w:p>
        </w:tc>
      </w:tr>
      <w:tr>
        <w:trPr>
          <w:trHeight w:val="249"/>
        </w:trPr>
        <w:tc>
          <w:tcPr>
            <w:tcW w:w="36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8"/>
              </w:rPr>
              <w:t>Pierre Naudé</w:t>
            </w:r>
          </w:p>
        </w:tc>
      </w:tr>
      <w:tr>
        <w:trPr>
          <w:trHeight w:val="253"/>
        </w:trPr>
        <w:tc>
          <w:tcPr>
            <w:tcW w:w="36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92"/>
              </w:rPr>
              <w:t>Chairman and Chief Executive Officer; Director</w:t>
            </w:r>
          </w:p>
        </w:tc>
      </w:tr>
    </w:tbl>
    <w:p>
      <w:pPr>
        <w:sectPr>
          <w:pgSz w:w="11900" w:h="16838" w:orient="portrait"/>
          <w:cols w:equalWidth="0" w:num="1">
            <w:col w:w="11240"/>
          </w:cols>
          <w:pgMar w:left="320" w:top="141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6"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100" w:firstLine="516"/>
        <w:spacing w:after="0" w:line="257" w:lineRule="auto"/>
        <w:rPr>
          <w:sz w:val="20"/>
          <w:szCs w:val="20"/>
          <w:color w:val="auto"/>
        </w:rPr>
      </w:pPr>
      <w:r>
        <w:rPr>
          <w:rFonts w:ascii="Arial" w:cs="Arial" w:eastAsia="Arial" w:hAnsi="Arial"/>
          <w:sz w:val="20"/>
          <w:szCs w:val="20"/>
          <w:color w:val="auto"/>
        </w:rPr>
        <w:t>In connection with the Quarterly Report of nCino, Inc. (the “Company”) on Form 10-Q for the period ending July 31, 2022 as filed with the Securities and Exchange Commission on the date hereof (the “Report”), I certify, pursuant to 18 U.S.C. § 1350, as adopted pursuant to § 906 of the Sarbanes-Oxley Act of 2002, that, to my knowledge:</w:t>
      </w:r>
    </w:p>
    <w:p>
      <w:pPr>
        <w:spacing w:after="0" w:line="193" w:lineRule="exact"/>
        <w:rPr>
          <w:sz w:val="20"/>
          <w:szCs w:val="20"/>
          <w:color w:val="auto"/>
        </w:rPr>
      </w:pPr>
    </w:p>
    <w:p>
      <w:pPr>
        <w:ind w:left="1300" w:hanging="776"/>
        <w:spacing w:after="0"/>
        <w:tabs>
          <w:tab w:leader="none" w:pos="1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54" w:lineRule="exact"/>
        <w:rPr>
          <w:rFonts w:ascii="Arial" w:cs="Arial" w:eastAsia="Arial" w:hAnsi="Arial"/>
          <w:sz w:val="19"/>
          <w:szCs w:val="19"/>
          <w:color w:val="auto"/>
        </w:rPr>
      </w:pPr>
    </w:p>
    <w:p>
      <w:pPr>
        <w:ind w:left="1300" w:right="700" w:hanging="776"/>
        <w:spacing w:after="0" w:line="274" w:lineRule="auto"/>
        <w:tabs>
          <w:tab w:leader="none" w:pos="1292"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3640" w:type="dxa"/>
            <w:vAlign w:val="bottom"/>
          </w:tcPr>
          <w:p>
            <w:pPr>
              <w:spacing w:after="0"/>
              <w:rPr>
                <w:sz w:val="20"/>
                <w:szCs w:val="20"/>
                <w:color w:val="auto"/>
              </w:rPr>
            </w:pPr>
            <w:r>
              <w:rPr>
                <w:rFonts w:ascii="Arial" w:cs="Arial" w:eastAsia="Arial" w:hAnsi="Arial"/>
                <w:sz w:val="20"/>
                <w:szCs w:val="20"/>
                <w:color w:val="auto"/>
              </w:rPr>
              <w:t>Date: September 1, 2022</w:t>
            </w:r>
          </w:p>
        </w:tc>
        <w:tc>
          <w:tcPr>
            <w:tcW w:w="2240" w:type="dxa"/>
            <w:vAlign w:val="bottom"/>
          </w:tcPr>
          <w:p>
            <w:pPr>
              <w:ind w:left="1680"/>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/s/ David Rudow</w:t>
            </w:r>
          </w:p>
        </w:tc>
      </w:tr>
      <w:tr>
        <w:trPr>
          <w:trHeight w:val="249"/>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2"/>
              </w:rPr>
              <w:t>David Rudow</w:t>
            </w:r>
          </w:p>
        </w:tc>
      </w:tr>
      <w:tr>
        <w:trPr>
          <w:trHeight w:val="253"/>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Arial" w:cs="Arial" w:eastAsia="Arial" w:hAnsi="Arial"/>
                <w:sz w:val="20"/>
                <w:szCs w:val="20"/>
                <w:color w:val="auto"/>
                <w:w w:val="90"/>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lowerRoman"/>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5"/>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5"/>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3" Type="http://schemas.openxmlformats.org/officeDocument/2006/relationships/hyperlink" Target="https://www.sec.gov/Archives/edgar/data/1902733/000119312522005239/d246602dex31.htm" TargetMode="External"/><Relationship Id="rId64" Type="http://schemas.openxmlformats.org/officeDocument/2006/relationships/hyperlink" Target="https://www.sec.gov/Archives/edgar/data/1902733/000119312522005239/d24660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2022-09-01T16:48:54Z</dcterms:created>
  <dcterms:modified xsi:type="dcterms:W3CDTF">2022-09-01T16:48:54Z</dcterms:modified>
</cp:coreProperties>
</file>