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FORM 10-K</w:t>
      </w:r>
    </w:p>
    <w:p>
      <w:pPr>
        <w:pStyle w:val="TextBody"/>
        <w:bidi w:val="0"/>
        <w:spacing w:before="0" w:after="0"/>
        <w:jc w:val="center"/>
        <w:rPr/>
      </w:pPr>
      <w:r>
        <w:rPr/>
      </w:r>
    </w:p>
    <w:p>
      <w:pPr>
        <w:pStyle w:val="TextBody"/>
        <w:bidi w:val="0"/>
        <w:spacing w:lineRule="auto" w:line="288" w:before="120" w:after="283"/>
        <w:jc w:val="center"/>
        <w:rPr/>
      </w:pPr>
      <w:r>
        <w:rPr>
          <w:color w:val="000000"/>
        </w:rPr>
        <w:t>☒    </w:t>
      </w:r>
      <w:r>
        <w:rPr>
          <w:rFonts w:ascii="Times New Roman;sans-serif" w:hAnsi="Times New Roman;sans-serif"/>
          <w:b/>
          <w:color w:val="000000"/>
          <w:sz w:val="16"/>
        </w:rPr>
        <w:t xml:space="preserve">ANNUAL REPORT PURSUANT TO SECTION 13 OR 15(d) OF THE SECURITIES EXCHANGE ACT OF 1934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fiscal year ended January 31, 2025</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16"/>
        </w:rPr>
        <w:t>TRANSITION REPORT PURSUANT TO SECTION 13 OR 15(d) OF THE SECURITIES EXCHANGE ACT OF 1934</w:t>
      </w:r>
    </w:p>
    <w:p>
      <w:pPr>
        <w:pStyle w:val="TextBody"/>
        <w:bidi w:val="0"/>
        <w:spacing w:lineRule="auto" w:line="288" w:before="0" w:after="0"/>
        <w:jc w:val="center"/>
        <w:rPr/>
      </w:pPr>
      <w:r>
        <w:rPr>
          <w:rFonts w:ascii="Times New Roman;sans-serif" w:hAnsi="Times New Roman;sans-serif"/>
          <w:b/>
          <w:color w:val="000000"/>
          <w:sz w:val="16"/>
        </w:rPr>
        <w:t>For the transition period from __to __</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001-41211</w:t>
      </w:r>
    </w:p>
    <w:p>
      <w:pPr>
        <w:pStyle w:val="TextBody"/>
        <w:bidi w:val="0"/>
        <w:spacing w:before="0" w:after="0"/>
        <w:jc w:val="center"/>
        <w:rPr/>
      </w:pPr>
      <w:r>
        <w:rPr/>
      </w:r>
    </w:p>
    <w:p>
      <w:pPr>
        <w:pStyle w:val="TextBody"/>
        <w:bidi w:val="0"/>
        <w:spacing w:lineRule="auto" w:line="288" w:before="40" w:after="283"/>
        <w:jc w:val="center"/>
        <w:rPr>
          <w:rFonts w:ascii="Times New Roman;sans-serif" w:hAnsi="Times New Roman;sans-serif"/>
          <w:b/>
          <w:color w:val="000000"/>
          <w:sz w:val="34"/>
        </w:rPr>
      </w:pPr>
      <w:r>
        <w:rPr>
          <w:rFonts w:ascii="Times New Roman;sans-serif" w:hAnsi="Times New Roman;sans-serif"/>
          <w:b/>
          <w:color w:val="000000"/>
          <w:sz w:val="34"/>
        </w:rPr>
        <w:t>nCino, Inc.</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tbl>
      <w:tblPr>
        <w:tblW w:w="4105" w:type="dxa"/>
        <w:jc w:val="center"/>
        <w:tblInd w:w="0" w:type="dxa"/>
        <w:tblLayout w:type="fixed"/>
        <w:tblCellMar>
          <w:top w:w="28" w:type="dxa"/>
          <w:left w:w="28" w:type="dxa"/>
          <w:bottom w:w="28" w:type="dxa"/>
          <w:right w:w="28" w:type="dxa"/>
        </w:tblCellMar>
      </w:tblPr>
      <w:tblGrid>
        <w:gridCol w:w="844"/>
        <w:gridCol w:w="745"/>
        <w:gridCol w:w="750"/>
        <w:gridCol w:w="109"/>
        <w:gridCol w:w="109"/>
        <w:gridCol w:w="109"/>
        <w:gridCol w:w="419"/>
        <w:gridCol w:w="419"/>
        <w:gridCol w:w="601"/>
      </w:tblGrid>
      <w:tr>
        <w:trPr/>
        <w:tc>
          <w:tcPr>
            <w:tcW w:w="84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87-4154342</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w:t>
              <w:br/>
              <w:t>Identification No.)</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6770 Parker Farm Drive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Wilmington, North Carolina 28405</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offices including zip code)</w:t>
      </w:r>
    </w:p>
    <w:p>
      <w:pPr>
        <w:pStyle w:val="TextBody"/>
        <w:bidi w:val="0"/>
        <w:spacing w:before="40" w:after="283"/>
        <w:jc w:val="center"/>
        <w:rPr/>
      </w:pPr>
      <w:r>
        <w:rPr/>
      </w:r>
    </w:p>
    <w:p>
      <w:pPr>
        <w:pStyle w:val="TextBody"/>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(888) 676-2466</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(Registrant’s telephone number, including area code)</w:t>
      </w:r>
    </w:p>
    <w:p>
      <w:pPr>
        <w:pStyle w:val="TextBody"/>
        <w:bidi w:val="0"/>
        <w:spacing w:before="40" w:after="283"/>
        <w:jc w:val="center"/>
        <w:rPr/>
      </w:pPr>
      <w:r>
        <w:rPr/>
      </w:r>
    </w:p>
    <w:p>
      <w:pPr>
        <w:pStyle w:val="TextBody"/>
        <w:bidi w:val="0"/>
        <w:spacing w:lineRule="auto" w:line="288" w:before="4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977" w:type="dxa"/>
        <w:jc w:val="center"/>
        <w:tblInd w:w="0" w:type="dxa"/>
        <w:tblLayout w:type="fixed"/>
        <w:tblCellMar>
          <w:top w:w="28" w:type="dxa"/>
          <w:left w:w="28" w:type="dxa"/>
          <w:bottom w:w="28" w:type="dxa"/>
          <w:right w:w="28" w:type="dxa"/>
        </w:tblCellMar>
      </w:tblPr>
      <w:tblGrid>
        <w:gridCol w:w="1160"/>
        <w:gridCol w:w="1018"/>
        <w:gridCol w:w="1031"/>
        <w:gridCol w:w="484"/>
        <w:gridCol w:w="484"/>
        <w:gridCol w:w="486"/>
        <w:gridCol w:w="970"/>
        <w:gridCol w:w="970"/>
        <w:gridCol w:w="1374"/>
      </w:tblGrid>
      <w:tr>
        <w:trPr/>
        <w:tc>
          <w:tcPr>
            <w:tcW w:w="11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$0.0005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NCNO</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16"/>
        </w:rPr>
        <w:t xml:space="preserve">Securities registered pursuant to Section 12(g) of the Act: </w:t>
      </w:r>
      <w:r>
        <w:rPr>
          <w:rFonts w:ascii="Times New Roman;sans-serif" w:hAnsi="Times New Roman;sans-serif"/>
          <w:b/>
          <w:color w:val="000000"/>
          <w:sz w:val="16"/>
        </w:rPr>
        <w:t>None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 xml:space="preserve">Indicate by check mark if the registrant is a well-known seasoned issuer, as defined in Rule 405 of the Securities Act. Yes ☒ No </w:t>
      </w:r>
      <w:r>
        <w:rPr>
          <w:rFonts w:ascii="Wingdings;sans-serif" w:hAnsi="Wingdings;sans-serif"/>
          <w:b w:val="false"/>
          <w:color w:val="000000"/>
          <w:sz w:val="16"/>
        </w:rPr>
        <w:t>o</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 xml:space="preserve">Indicate by check mark if the registrant is not required to file reports pursuant to Section 13 or Section 15(d) of the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No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xml:space="preserve"> </w:t>
      </w:r>
      <w:r>
        <w:rPr>
          <w:rFonts w:ascii="Times New Roman;sans-serif" w:hAnsi="Times New Roman;sans-serif"/>
          <w:b w:val="false"/>
          <w:color w:val="000000"/>
          <w:sz w:val="16"/>
        </w:rPr>
        <w:t>Yes ☒</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before="0" w:after="0"/>
        <w:ind w:left="0" w:right="0" w:firstLine="990"/>
        <w:jc w:val="left"/>
        <w:rPr/>
      </w:pPr>
      <w:r>
        <w:rPr/>
      </w:r>
    </w:p>
    <w:p>
      <w:pPr>
        <w:pStyle w:val="TextBody"/>
        <w:bidi w:val="0"/>
        <w:spacing w:lineRule="auto" w:line="288" w:before="0" w:after="0"/>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xml:space="preserve"> </w:t>
      </w:r>
      <w:r>
        <w:rPr>
          <w:rFonts w:ascii="Times New Roman;sans-serif" w:hAnsi="Times New Roman;sans-serif"/>
          <w:b w:val="false"/>
          <w:color w:val="000000"/>
          <w:sz w:val="16"/>
        </w:rPr>
        <w:t>Yes ☒</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before="0" w:after="0"/>
        <w:ind w:left="0" w:right="0" w:firstLine="99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5076"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before="0" w:after="0"/>
        <w:ind w:left="0" w:right="0" w:firstLine="990"/>
        <w:jc w:val="left"/>
        <w:rPr/>
      </w:pPr>
      <w:r>
        <w:rPr/>
      </w:r>
    </w:p>
    <w:p>
      <w:pPr>
        <w:pStyle w:val="TextBody"/>
        <w:bidi w:val="0"/>
        <w:spacing w:lineRule="auto" w:line="288" w:before="0" w:after="0"/>
        <w:jc w:val="left"/>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Indicate by check mark whether the registrant is a shell company (as defined in Rule 12b-2 of the Exchange Act).</w:t>
      </w:r>
      <w:r>
        <w:rPr>
          <w:color w:val="000000"/>
        </w:rPr>
        <w:t xml:space="preserve"> </w:t>
      </w:r>
      <w:r>
        <w:rPr>
          <w:rFonts w:ascii="Times New Roman;sans-serif" w:hAnsi="Times New Roman;sans-serif"/>
          <w:b w:val="false"/>
          <w:color w:val="000000"/>
          <w:sz w:val="16"/>
        </w:rPr>
        <w:t xml:space="preserve">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registrant’s common stock held by non-affiliates of the registrant, based on the closing price of a share of the registrant’s common stock on July 31, 2024, which was the last business day of the registrant's most recently completed second fiscal quarter, as reported by The Nasdaq Global Select Market on such date, was $2.4 billion. Shares of the registrant’s common stock held by each executive officer, director, and holders of 5% or more of the outstanding common stock who have been deemed to be affiliates have been excluded. This determination of affiliate status is not necessarily a conclusive determination for other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There were 116,449,936 shares of the registrant's common stock outstanding as of March 27, 2025.</w:t>
      </w:r>
    </w:p>
    <w:p>
      <w:pPr>
        <w:pStyle w:val="TextBody"/>
        <w:bidi w:val="0"/>
        <w:spacing w:before="40" w:after="283"/>
        <w:jc w:val="left"/>
        <w:rPr/>
      </w:pPr>
      <w:r>
        <w:rPr/>
      </w:r>
    </w:p>
    <w:p>
      <w:pPr>
        <w:pStyle w:val="TextBody"/>
        <w:bidi w:val="0"/>
        <w:spacing w:before="40" w:after="283"/>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16"/>
        </w:rPr>
        <w:t>Portions of the registrant’s Definitive Proxy Statement for the 2025 Annual Meeting of Stockholders (the "Proxy Statement") are incorporated herein by reference in Part II and Part III of this Annual Report on Form 10-K to the extent stated herein. Such Definitive Proxy Statement will be filed with the Securities and Exchange Commission within 120 days of the registrant’s fiscal year ended January 31, 2025</w:t>
      </w:r>
      <w:r>
        <w:rPr>
          <w:rFonts w:ascii="Times New Roman;sans-serif" w:hAnsi="Times New Roman;sans-serif"/>
          <w:b/>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5"/>
        <w:gridCol w:w="251"/>
        <w:gridCol w:w="252"/>
        <w:gridCol w:w="2973"/>
        <w:gridCol w:w="2962"/>
        <w:gridCol w:w="2969"/>
        <w:gridCol w:w="149"/>
        <w:gridCol w:w="149"/>
        <w:gridCol w:w="215"/>
      </w:tblGrid>
      <w:tr>
        <w:trPr/>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2962"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16">
              <w:r>
                <w:rPr>
                  <w:rStyle w:val="InternetLink"/>
                  <w:rFonts w:ascii="Times New Roman;sans-serif" w:hAnsi="Times New Roman;sans-serif"/>
                  <w:b w:val="false"/>
                  <w:color w:val="0000FF"/>
                  <w:sz w:val="20"/>
                  <w:u w:val="single"/>
                </w:rPr>
                <w:t>Business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16">
              <w:r>
                <w:rPr>
                  <w:rStyle w:val="InternetLink"/>
                  <w:rFonts w:ascii="Times New Roman;sans-serif" w:hAnsi="Times New Roman;sans-serif"/>
                  <w:b w:val="false"/>
                  <w:strike w:val="false"/>
                  <w:dstrike w:val="false"/>
                  <w:color w:val="000000"/>
                  <w:sz w:val="20"/>
                  <w:u w:val="none"/>
                  <w:effect w:val="none"/>
                </w:rPr>
                <w:t>1</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22">
              <w:r>
                <w:rPr>
                  <w:rStyle w:val="InternetLink"/>
                  <w:rFonts w:ascii="Times New Roman;sans-serif" w:hAnsi="Times New Roman;sans-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22">
              <w:r>
                <w:rPr>
                  <w:rStyle w:val="InternetLink"/>
                  <w:rFonts w:ascii="Times New Roman;sans-serif" w:hAnsi="Times New Roman;sans-serif"/>
                  <w:b w:val="false"/>
                  <w:strike w:val="false"/>
                  <w:dstrike w:val="false"/>
                  <w:color w:val="000000"/>
                  <w:sz w:val="20"/>
                  <w:u w:val="none"/>
                  <w:effect w:val="none"/>
                </w:rPr>
                <w:t>7</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28">
              <w:r>
                <w:rPr>
                  <w:rStyle w:val="InternetLink"/>
                  <w:rFonts w:ascii="Times New Roman;sans-serif" w:hAnsi="Times New Roman;sans-serif"/>
                  <w:b w:val="false"/>
                  <w:color w:val="0000FF"/>
                  <w:sz w:val="20"/>
                  <w:u w:val="single"/>
                </w:rPr>
                <w:t>Unresolved Staff Comments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28">
              <w:r>
                <w:rPr>
                  <w:rStyle w:val="InternetLink"/>
                  <w:rFonts w:ascii="Times New Roman;sans-serif" w:hAnsi="Times New Roman;sans-serif"/>
                  <w:b w:val="false"/>
                  <w:strike w:val="false"/>
                  <w:dstrike w:val="false"/>
                  <w:color w:val="000000"/>
                  <w:sz w:val="20"/>
                  <w:u w:val="none"/>
                  <w:effect w:val="none"/>
                </w:rPr>
                <w:t>31</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31">
              <w:r>
                <w:rPr>
                  <w:rStyle w:val="InternetLink"/>
                  <w:rFonts w:ascii="Times New Roman;sans-serif" w:hAnsi="Times New Roman;sans-serif"/>
                  <w:b w:val="false"/>
                  <w:color w:val="0000FF"/>
                  <w:sz w:val="20"/>
                  <w:u w:val="single"/>
                </w:rPr>
                <w:t>Cybersecurity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31">
              <w:r>
                <w:rPr>
                  <w:rStyle w:val="InternetLink"/>
                  <w:rFonts w:ascii="Times New Roman;sans-serif" w:hAnsi="Times New Roman;sans-serif"/>
                  <w:b w:val="false"/>
                  <w:strike w:val="false"/>
                  <w:dstrike w:val="false"/>
                  <w:color w:val="000000"/>
                  <w:sz w:val="20"/>
                  <w:u w:val="none"/>
                  <w:effect w:val="none"/>
                </w:rPr>
                <w:t>31</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34">
              <w:r>
                <w:rPr>
                  <w:rStyle w:val="InternetLink"/>
                  <w:rFonts w:ascii="Times New Roman;sans-serif" w:hAnsi="Times New Roman;sans-serif"/>
                  <w:b w:val="false"/>
                  <w:color w:val="0000FF"/>
                  <w:sz w:val="20"/>
                  <w:u w:val="single"/>
                </w:rPr>
                <w:t>Properties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34">
              <w:r>
                <w:rPr>
                  <w:rStyle w:val="InternetLink"/>
                  <w:rFonts w:ascii="Times New Roman;sans-serif" w:hAnsi="Times New Roman;sans-serif"/>
                  <w:b w:val="false"/>
                  <w:strike w:val="false"/>
                  <w:dstrike w:val="false"/>
                  <w:color w:val="000000"/>
                  <w:sz w:val="20"/>
                  <w:u w:val="none"/>
                  <w:effect w:val="none"/>
                </w:rPr>
                <w:t>32</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37">
              <w:r>
                <w:rPr>
                  <w:rStyle w:val="InternetLink"/>
                  <w:rFonts w:ascii="Times New Roman;sans-serif" w:hAnsi="Times New Roman;sans-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37">
              <w:r>
                <w:rPr>
                  <w:rStyle w:val="InternetLink"/>
                  <w:rFonts w:ascii="Times New Roman;sans-serif" w:hAnsi="Times New Roman;sans-serif"/>
                  <w:b w:val="false"/>
                  <w:strike w:val="false"/>
                  <w:dstrike w:val="false"/>
                  <w:color w:val="000000"/>
                  <w:sz w:val="20"/>
                  <w:u w:val="none"/>
                  <w:effect w:val="none"/>
                </w:rPr>
                <w:t>32</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40">
              <w:r>
                <w:rPr>
                  <w:rStyle w:val="InternetLink"/>
                  <w:rFonts w:ascii="Times New Roman;sans-serif" w:hAnsi="Times New Roman;sans-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40">
              <w:r>
                <w:rPr>
                  <w:rStyle w:val="InternetLink"/>
                  <w:rFonts w:ascii="Times New Roman;sans-serif" w:hAnsi="Times New Roman;sans-serif"/>
                  <w:b w:val="false"/>
                  <w:strike w:val="false"/>
                  <w:dstrike w:val="false"/>
                  <w:color w:val="000000"/>
                  <w:sz w:val="20"/>
                  <w:u w:val="none"/>
                  <w:effect w:val="none"/>
                </w:rPr>
                <w:t>32</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46">
              <w:r>
                <w:rPr>
                  <w:rStyle w:val="InternetLink"/>
                  <w:rFonts w:ascii="Times New Roman;sans-serif" w:hAnsi="Times New Roman;sans-serif"/>
                  <w:b w:val="false"/>
                  <w:color w:val="0000FF"/>
                  <w:sz w:val="20"/>
                  <w:u w:val="single"/>
                </w:rPr>
                <w:t>Market for the Registrant’s Common Equity, Related Stockholder Matters and Issuer Purchases of Equity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46">
              <w:r>
                <w:rPr>
                  <w:rStyle w:val="InternetLink"/>
                  <w:rFonts w:ascii="Times New Roman;sans-serif" w:hAnsi="Times New Roman;sans-serif"/>
                  <w:b w:val="false"/>
                  <w:strike w:val="false"/>
                  <w:dstrike w:val="false"/>
                  <w:color w:val="000000"/>
                  <w:sz w:val="20"/>
                  <w:u w:val="none"/>
                  <w:effect w:val="none"/>
                </w:rPr>
                <w:t>33</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49">
              <w:r>
                <w:rPr>
                  <w:rStyle w:val="InternetLink"/>
                  <w:rFonts w:ascii="Times New Roman;sans-serif" w:hAnsi="Times New Roman;sans-serif"/>
                  <w:b w:val="false"/>
                  <w:color w:val="0000FF"/>
                  <w:sz w:val="20"/>
                  <w:u w:val="single"/>
                </w:rPr>
                <w:t>[Reserved]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49">
              <w:r>
                <w:rPr>
                  <w:rStyle w:val="InternetLink"/>
                  <w:rFonts w:ascii="Times New Roman;sans-serif" w:hAnsi="Times New Roman;sans-serif"/>
                  <w:b w:val="false"/>
                  <w:strike w:val="false"/>
                  <w:dstrike w:val="false"/>
                  <w:color w:val="000000"/>
                  <w:sz w:val="20"/>
                  <w:u w:val="none"/>
                  <w:effect w:val="none"/>
                </w:rPr>
                <w:t>34</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5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52">
              <w:r>
                <w:rPr>
                  <w:rStyle w:val="InternetLink"/>
                  <w:rFonts w:ascii="Times New Roman;sans-serif" w:hAnsi="Times New Roman;sans-serif"/>
                  <w:b w:val="false"/>
                  <w:strike w:val="false"/>
                  <w:dstrike w:val="false"/>
                  <w:color w:val="000000"/>
                  <w:sz w:val="20"/>
                  <w:u w:val="none"/>
                  <w:effect w:val="none"/>
                </w:rPr>
                <w:t>34</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94">
              <w:r>
                <w:rPr>
                  <w:rStyle w:val="InternetLink"/>
                  <w:rFonts w:ascii="Times New Roman;sans-serif" w:hAnsi="Times New Roman;sans-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94">
              <w:r>
                <w:rPr>
                  <w:rStyle w:val="InternetLink"/>
                  <w:rFonts w:ascii="Times New Roman;sans-serif" w:hAnsi="Times New Roman;sans-serif"/>
                  <w:b w:val="false"/>
                  <w:strike w:val="false"/>
                  <w:dstrike w:val="false"/>
                  <w:color w:val="000000"/>
                  <w:sz w:val="20"/>
                  <w:u w:val="none"/>
                  <w:effect w:val="none"/>
                </w:rPr>
                <w:t>50</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100">
              <w:r>
                <w:rPr>
                  <w:rStyle w:val="InternetLink"/>
                  <w:rFonts w:ascii="Times New Roman;sans-serif" w:hAnsi="Times New Roman;sans-serif"/>
                  <w:b w:val="false"/>
                  <w:color w:val="0000FF"/>
                  <w:sz w:val="20"/>
                  <w:u w:val="single"/>
                </w:rPr>
                <w:t>Financial Statements and Supplementary Data</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100">
              <w:r>
                <w:rPr>
                  <w:rStyle w:val="InternetLink"/>
                  <w:rFonts w:ascii="Times New Roman;sans-serif" w:hAnsi="Times New Roman;sans-serif"/>
                  <w:b w:val="false"/>
                  <w:strike w:val="false"/>
                  <w:dstrike w:val="false"/>
                  <w:color w:val="000000"/>
                  <w:sz w:val="20"/>
                  <w:u w:val="none"/>
                  <w:effect w:val="none"/>
                </w:rPr>
                <w:t>52</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208">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208">
              <w:r>
                <w:rPr>
                  <w:rStyle w:val="InternetLink"/>
                  <w:rFonts w:ascii="Times New Roman;sans-serif" w:hAnsi="Times New Roman;sans-serif"/>
                  <w:b w:val="false"/>
                  <w:strike w:val="false"/>
                  <w:dstrike w:val="false"/>
                  <w:color w:val="000000"/>
                  <w:sz w:val="20"/>
                  <w:u w:val="none"/>
                  <w:effect w:val="none"/>
                </w:rPr>
                <w:t>95</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211">
              <w:r>
                <w:rPr>
                  <w:rStyle w:val="InternetLink"/>
                  <w:rFonts w:ascii="Times New Roman;sans-serif" w:hAnsi="Times New Roman;sans-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211">
              <w:r>
                <w:rPr>
                  <w:rStyle w:val="InternetLink"/>
                  <w:rFonts w:ascii="Times New Roman;sans-serif" w:hAnsi="Times New Roman;sans-serif"/>
                  <w:b w:val="false"/>
                  <w:strike w:val="false"/>
                  <w:dstrike w:val="false"/>
                  <w:color w:val="000000"/>
                  <w:sz w:val="20"/>
                  <w:u w:val="none"/>
                  <w:effect w:val="none"/>
                </w:rPr>
                <w:t>95</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214">
              <w:r>
                <w:rPr>
                  <w:rStyle w:val="InternetLink"/>
                  <w:rFonts w:ascii="Times New Roman;sans-serif" w:hAnsi="Times New Roman;sans-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214">
              <w:r>
                <w:rPr>
                  <w:rStyle w:val="InternetLink"/>
                  <w:rFonts w:ascii="Times New Roman;sans-serif" w:hAnsi="Times New Roman;sans-serif"/>
                  <w:b w:val="false"/>
                  <w:strike w:val="false"/>
                  <w:dstrike w:val="false"/>
                  <w:color w:val="000000"/>
                  <w:sz w:val="20"/>
                  <w:u w:val="none"/>
                  <w:effect w:val="none"/>
                </w:rPr>
                <w:t>96</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220">
              <w:r>
                <w:rPr>
                  <w:rStyle w:val="InternetLink"/>
                  <w:rFonts w:ascii="Times New Roman;sans-serif" w:hAnsi="Times New Roman;sans-serif"/>
                  <w:b w:val="false"/>
                  <w:color w:val="0000FF"/>
                  <w:sz w:val="20"/>
                  <w:u w:val="single"/>
                </w:rPr>
                <w:t>Disclosure Regarding Foreign Jurisdictions that Prevent Inspections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220">
              <w:r>
                <w:rPr>
                  <w:rStyle w:val="InternetLink"/>
                  <w:rFonts w:ascii="Times New Roman;sans-serif" w:hAnsi="Times New Roman;sans-serif"/>
                  <w:b w:val="false"/>
                  <w:strike w:val="false"/>
                  <w:dstrike w:val="false"/>
                  <w:color w:val="000000"/>
                  <w:sz w:val="20"/>
                  <w:u w:val="none"/>
                  <w:effect w:val="none"/>
                </w:rPr>
                <w:t>96</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III</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226">
              <w:r>
                <w:rPr>
                  <w:rStyle w:val="InternetLink"/>
                  <w:rFonts w:ascii="Times New Roman;sans-serif" w:hAnsi="Times New Roman;sans-serif"/>
                  <w:b w:val="false"/>
                  <w:color w:val="0000FF"/>
                  <w:sz w:val="20"/>
                  <w:u w:val="single"/>
                </w:rPr>
                <w:t>Directors, Executive Officers, and Corporate Governance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226">
              <w:r>
                <w:rPr>
                  <w:rStyle w:val="InternetLink"/>
                  <w:rFonts w:ascii="Times New Roman;sans-serif" w:hAnsi="Times New Roman;sans-serif"/>
                  <w:b w:val="false"/>
                  <w:strike w:val="false"/>
                  <w:dstrike w:val="false"/>
                  <w:color w:val="000000"/>
                  <w:sz w:val="20"/>
                  <w:u w:val="none"/>
                  <w:effect w:val="none"/>
                </w:rPr>
                <w:t>96</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229">
              <w:r>
                <w:rPr>
                  <w:rStyle w:val="InternetLink"/>
                  <w:rFonts w:ascii="Times New Roman;sans-serif" w:hAnsi="Times New Roman;sans-serif"/>
                  <w:b w:val="false"/>
                  <w:color w:val="0000FF"/>
                  <w:sz w:val="20"/>
                  <w:u w:val="single"/>
                </w:rPr>
                <w:t>Executive Compensation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229">
              <w:r>
                <w:rPr>
                  <w:rStyle w:val="InternetLink"/>
                  <w:rFonts w:ascii="Times New Roman;sans-serif" w:hAnsi="Times New Roman;sans-serif"/>
                  <w:b w:val="false"/>
                  <w:strike w:val="false"/>
                  <w:dstrike w:val="false"/>
                  <w:color w:val="000000"/>
                  <w:sz w:val="20"/>
                  <w:u w:val="none"/>
                  <w:effect w:val="none"/>
                </w:rPr>
                <w:t>97</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232">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232">
              <w:r>
                <w:rPr>
                  <w:rStyle w:val="InternetLink"/>
                  <w:rFonts w:ascii="Times New Roman;sans-serif" w:hAnsi="Times New Roman;sans-serif"/>
                  <w:b w:val="false"/>
                  <w:strike w:val="false"/>
                  <w:dstrike w:val="false"/>
                  <w:color w:val="000000"/>
                  <w:sz w:val="20"/>
                  <w:u w:val="none"/>
                  <w:effect w:val="none"/>
                </w:rPr>
                <w:t>97</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235">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235">
              <w:r>
                <w:rPr>
                  <w:rStyle w:val="InternetLink"/>
                  <w:rFonts w:ascii="Times New Roman;sans-serif" w:hAnsi="Times New Roman;sans-serif"/>
                  <w:b w:val="false"/>
                  <w:strike w:val="false"/>
                  <w:dstrike w:val="false"/>
                  <w:color w:val="000000"/>
                  <w:sz w:val="20"/>
                  <w:u w:val="none"/>
                  <w:effect w:val="none"/>
                </w:rPr>
                <w:t>97</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238">
              <w:r>
                <w:rPr>
                  <w:rStyle w:val="InternetLink"/>
                  <w:rFonts w:ascii="Times New Roman;sans-serif" w:hAnsi="Times New Roman;sans-serif"/>
                  <w:b w:val="false"/>
                  <w:color w:val="0000FF"/>
                  <w:sz w:val="20"/>
                  <w:u w:val="single"/>
                </w:rPr>
                <w:t>Principal Accountant Fees and Services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238">
              <w:r>
                <w:rPr>
                  <w:rStyle w:val="InternetLink"/>
                  <w:rFonts w:ascii="Times New Roman;sans-serif" w:hAnsi="Times New Roman;sans-serif"/>
                  <w:b w:val="false"/>
                  <w:strike w:val="false"/>
                  <w:dstrike w:val="false"/>
                  <w:color w:val="000000"/>
                  <w:sz w:val="20"/>
                  <w:u w:val="none"/>
                  <w:effect w:val="none"/>
                </w:rPr>
                <w:t>97</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IV</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244">
              <w:r>
                <w:rPr>
                  <w:rStyle w:val="InternetLink"/>
                  <w:rFonts w:ascii="Times New Roman;sans-serif" w:hAnsi="Times New Roman;sans-serif"/>
                  <w:b w:val="false"/>
                  <w:color w:val="0000FF"/>
                  <w:sz w:val="20"/>
                  <w:u w:val="single"/>
                </w:rPr>
                <w:t>Exhibits and Financial Statement Schedules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244">
              <w:r>
                <w:rPr>
                  <w:rStyle w:val="InternetLink"/>
                  <w:rFonts w:ascii="Times New Roman;sans-serif" w:hAnsi="Times New Roman;sans-serif"/>
                  <w:b w:val="false"/>
                  <w:strike w:val="false"/>
                  <w:dstrike w:val="false"/>
                  <w:color w:val="000000"/>
                  <w:sz w:val="20"/>
                  <w:u w:val="none"/>
                  <w:effect w:val="none"/>
                </w:rPr>
                <w:t>98</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253">
              <w:r>
                <w:rPr>
                  <w:rStyle w:val="InternetLink"/>
                  <w:rFonts w:ascii="Times New Roman;sans-serif" w:hAnsi="Times New Roman;sans-serif"/>
                  <w:b w:val="false"/>
                  <w:color w:val="0000FF"/>
                  <w:sz w:val="20"/>
                  <w:u w:val="single"/>
                </w:rPr>
                <w:t>Form 10-K Summary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253">
              <w:r>
                <w:rPr>
                  <w:rStyle w:val="InternetLink"/>
                  <w:rFonts w:ascii="Times New Roman;sans-serif" w:hAnsi="Times New Roman;sans-serif"/>
                  <w:b w:val="false"/>
                  <w:strike w:val="false"/>
                  <w:dstrike w:val="false"/>
                  <w:color w:val="000000"/>
                  <w:sz w:val="20"/>
                  <w:u w:val="none"/>
                  <w:effect w:val="none"/>
                </w:rPr>
                <w:t>101</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256">
              <w:r>
                <w:rPr>
                  <w:rStyle w:val="InternetLink"/>
                  <w:rFonts w:ascii="Times New Roman;sans-serif" w:hAnsi="Times New Roman;sans-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256">
              <w:r>
                <w:rPr>
                  <w:rStyle w:val="InternetLink"/>
                  <w:rFonts w:ascii="Times New Roman;sans-serif" w:hAnsi="Times New Roman;sans-serif"/>
                  <w:b w:val="false"/>
                  <w:strike w:val="false"/>
                  <w:dstrike w:val="false"/>
                  <w:color w:val="000000"/>
                  <w:sz w:val="20"/>
                  <w:u w:val="none"/>
                  <w:effect w:val="none"/>
                </w:rPr>
                <w:t>102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99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that are based on our beliefs and assumptions and on information currently available to us. Forward-looking statements include information concerning our possible or assumed future results of operations,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“could,” “estimates,” “expects,” “goal,” “intends,” “may,” “plans,” “potential,” “predicts,” “projects,” “seeks,” “should,” “strive,” “will,” “would,” or similar expressions and the negatives of those terms. As used in this report, the terms “nCino,” the “Company,” “we,” “us,” and “our” mean nCino, Inc. and its subsidiaries unless the context indicates otherwise.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not guarantees of future performance and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 Some of the key factors that could cause actual results to differ from our expectations include, but are not limited to: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future financial performance, including our expectations regarding our revenues, cost of revenues, operating expenses, and our ability to achieve and maintain future profitability;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execute strategies, plans, objectives, and goals;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compete with existing and new competitors in existing and new markets and offerings;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develop and protect our brand;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effectively manage privacy and information and data security;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costs associated with research and development and building out our sales, professional services and customer support teams;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concentration of our customer base in the financial institution ("FI") sector and their spending on cloud-based technology;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add and retain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expand internationally and associated costs;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comply with laws and regulations;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expectations and management of future growth based on subscription revenues over the term of our customer contracts;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expectations concerning relationships with our customers, partners, and other third parties;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geopolitical conflicts, economic uncertainties, trade sanctions, inflationary pressures and fluctuating interest rates;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economic and industry trends;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projected growth or trend analysis;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relationship with Salesforce and our system integration ("SI") partners;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seasonal sales fluctuations and our ability to successfully implement our new pricing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add capacity and automation to our operations and solutions, including artificial intelligence ("AI");</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attract and retain key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integrate and realize the benefits from acquisitions and other strategic transactions;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service our debt obligations;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defend litigation or other proceedings brought against us.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 In addition, statements such as “we believe” and similar statements reflect our beliefs and opinions on the relevant subject. These statements are based upon information available to us as of the date on which it is made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timeframe, or at all. Except as required by applicable law, we do not plan to publicly update or revise any forward-looking statements contained herein, whether as a result of any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employees at financial institutions do their daily work and serve their clients, they often face inefficiencies due to disparate systems, broken workflows, manual processes, and the inability to harness and utilize data effectively. This negatively impacts risk management, decision making and the experiences of bankers and their clients.</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 solve the problem, FIs need technology that helps them reengineer every experience, intelligently and with agility as market needs shift, and a partner with the experience to help advise on best practices.</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nCino's trusted platform enables FIs to consolidate vendors while optimizing operations by integrating AI and actionable insights to cohesively bring together people and data and thereby enhance strategic decision-making, risk management, and customer satisfaction. </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From managing complex credit portfolios to streamlining account onboarding and originating loans, nCino helps FIs of all sizes globally deliver faster, intelligent, and more connected experiences. With the nCino Platform, FIs can: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Embrace the Power of Intelligent Automation and Uncover Data-Driven Insights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AI is rapidly changing the financial services industry. As AI creates new value streams within banking, nCino is simplifying FIs' navigation through this transformative technology by infusing AI into every stage of the banking lifecycle and creating intelligent automation across the nCino Platform.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Improve Efficiency</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nCino customers leverage the platform’s capabilities to drive process and knowledge efficiency by connecting previously disjointed functions, breaking down internal silos, and infusing intelligent automation into key workflows across multiple lines of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Elevate Employee and Customer Experience</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The nCino Platform's automation, workflow and digitization capabilities help eliminate manual processes and redundant efforts, freeing an FI's employees to focus on their clients’ experiences rather than their transactions.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Manage Risk and Compliance More Effectively</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nCino Platform can help FIs reduce regulatory, credit and operational risk through workflow and automation, data reporting, standardized risk rating calculations and financial modeling. Because nCino is highly configurable, it can adjust as regulations and the FI's risk requirements evolve, including regulatory changes and economic headwinds.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Our Journey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nCino was originally founded in a bank to improve that institution's operations and client service. After realizing that virtually all banks and credit unions were dealing with the same problems—cumbersome legacy technology, fragmented data, disconnected business functions, and a disengaged workforce that made it difficult to maintain relevancy in their clients' lives—nCino was spun out as a separate company in late 2011 to help more institutions solve these challenges using cloud-based technology.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initially focused on developing the nCino Platform to transform commercial and small business lending for community and regional banks in the United States ("U.S."). We scaled the platform to enterprise banks in the U.S. in 2014, and then internationally in 2017. We have subsequently expanded across North America, Europe, the Middle East, Japan and Asia-Pacific ("APAC").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nCino's approach to market expansion includes strategically building products and acquiring technology to continue to fulfill a platform vision. Over the years, we built and enhanced products internally to ensure innovation and seamless integration across key solution lines of commercial, small business and consumer banking. Through the strategic acquisitions of SimpleNexus, DocFox, FullCircl, ILT, Visible Equity, FinSuite, and our recent acquisition of Sandbox Banking, we significantly augmented the nCino's Platform's capabilities for mortgage lending, onboarding, account opening, indirect auto lending, and advanced analytics and AI. This strategic approach has allowed us to create a unified platform of best-in-class intelligent solutions, enabling FIs to replace multiple legacy systems, connect their operations, and streamline workflows and processes across various business lines to achieve desired business impact and process improvement.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How the nCino Platform Works</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nCino offers a trusted platform that brings together people and data and enables FIs to enhance strategic decision-making, risk management, and customer satisfaction through the selection of best-in-class intelligent solutions that create experiences to fit their needs. With the flexibility to select and implement multiple solutions simultaneously, or one at a time, institutions have the autonomy to create the experiences they desire with the benefit of an agile platform that scales with their needs and provides integrated functionality with every new product or feature added.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Once implemented, the nCino Platform becomes deeply embedded in our customers’ business processes, enabling mission critical workflow across the FI and allowing our customers to serve their clients anytime, anywhere, from any internet-enabled device.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nCino Platform combines industry, customer, and process data with advanced analytics, predictive AI, and generative AI to deliver best-in-class, intelligent solutions. These solutions empower FIs with process, knowledge, and platform efficiency to optimize operations, enhance decision-making, and enrich banker and client experiences for accelerated growth.</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Fundamental elements of the nCino platform are built on Salesforce (the "Salesforce Platform"), which allows the Company to focus product development efforts on building deep vertical functionality specifically for FIs, while leveraging Salesforce's global infrastructure, reliability, and scalability. nCino also has solutions that leverage the Amazon Web Services ("AWS") platform.</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nCino has evolved from being a single product workflow solution to a platform that offers best-in-class, intelligent solutions. As a result, we have shifted from a seat-based pricing model to a pricing framework that helps ensure value-based positioning and pricing of our products primarily based on the asset size of the FI. This also enables us to embed and monetize intelligence across all our solutions. Through this evolution, we are aligning our revenues to the value of the nCino Platform and encouraging customer growth as nCino creates more efficiencies for our customers.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Solutions on the nCino Platform</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nCino Platform is embedded with data and AI that help FIs digitize and reengineer business processes across multiple lines of business from commercial, consumer and small business banking to mortgage lending to boost efficiencies across the full customer lifecycle. </w:t>
      </w:r>
    </w:p>
    <w:p>
      <w:pPr>
        <w:pStyle w:val="TextBody"/>
        <w:bidi w:val="0"/>
        <w:spacing w:before="0" w:after="0"/>
        <w:ind w:left="0" w:right="0" w:firstLine="99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i/>
          <w:color w:val="000000"/>
          <w:sz w:val="20"/>
        </w:rPr>
        <w:t xml:space="preserve">Onboarding. </w:t>
      </w:r>
      <w:r>
        <w:rPr>
          <w:rFonts w:ascii="Times New Roman;sans-serif" w:hAnsi="Times New Roman;sans-serif"/>
          <w:b w:val="false"/>
          <w:color w:val="000000"/>
          <w:sz w:val="20"/>
        </w:rPr>
        <w:t>nCino's onboarding streamlines and enhances the customer onboarding process for FIs through a unified, digital platform. It supports both credit and non-credit onboarding, commercial account opening, and enterprise-level onboarding, offering features like automation, centralized data, and compliance tools (CDD/KYC). The platform eliminates manual processes, accelerates account opening, and provides a 360-degree customer view, ensuring transparency and efficiency. With intelligent document management, seamless integrations, and personalized customer experiences, nCino helps institutions boost customer satisfaction, operational efficiency, and revenue growth while helping to maintain compliance and reducing errors.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i/>
          <w:color w:val="000000"/>
          <w:sz w:val="20"/>
        </w:rPr>
        <w:t xml:space="preserve">Account Opening. </w:t>
      </w:r>
      <w:r>
        <w:rPr>
          <w:rFonts w:ascii="Times New Roman;sans-serif" w:hAnsi="Times New Roman;sans-serif"/>
          <w:b w:val="false"/>
          <w:color w:val="000000"/>
          <w:sz w:val="20"/>
        </w:rPr>
        <w:t xml:space="preserve">nCino's account opening capabilities are designed to provide a seamless, fast, and user-friendly experience for both consumers and small businesses. The Deposit Account Opening (DAO) solution allows customers to open accounts in minutes, whether online or in-branch, with a multi-channel approach that provides data continuity. Key features include automated identity verification, helping to maintain compliance with KYC/AML regulations, and partnerships with companies like Plaid and Alloy to streamline authentication and reduce fraud. The solution also integrates digital customer service options, such as chat, audio, and video, to enhance engagement and reduce abandonment rates.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i/>
          <w:color w:val="000000"/>
          <w:sz w:val="20"/>
        </w:rPr>
        <w:t xml:space="preserve">Lending. </w:t>
      </w:r>
      <w:r>
        <w:rPr>
          <w:rFonts w:ascii="Times New Roman;sans-serif" w:hAnsi="Times New Roman;sans-serif"/>
          <w:b w:val="false"/>
          <w:color w:val="000000"/>
          <w:sz w:val="20"/>
        </w:rPr>
        <w:t>nCino provides a comprehensive loan origination platform for commercial, consumer, small business, and mortgage lending, that streamlines processes and enhances customer experiences. Our Commercial Loan Origination System automates the entire loan lifecycle, improving collaboration, compliance, and efficiency. The Consumer Lending solution, offers an omnichannel solution with automated credit decisioning and integrations to reduce cycle times. The Small Business Loan Origination solution leverages automation and machine learning to simplify applications and accelerate approvals, while the Mortgage solution unifies the home buying process, reducing closing times. These capabilities enhance operational efficiency, help ensure compliance, and deliver seamless, customer-centric experiences.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i/>
          <w:color w:val="000000"/>
          <w:sz w:val="20"/>
        </w:rPr>
        <w:t>Portfolio Management.</w:t>
      </w:r>
      <w:r>
        <w:rPr>
          <w:color w:val="000000"/>
        </w:rPr>
        <w:t xml:space="preserve"> </w:t>
      </w:r>
      <w:r>
        <w:rPr>
          <w:rFonts w:ascii="Times New Roman;sans-serif" w:hAnsi="Times New Roman;sans-serif"/>
          <w:b w:val="false"/>
          <w:color w:val="000000"/>
          <w:sz w:val="20"/>
        </w:rPr>
        <w:t xml:space="preserve">nCino's portfolio management solution empowers FIs to efficiently manage credit risks, monitor performance, and uncover growth opportunities through a unified, data-driven platform.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solution centralizes data, automates workflows, and provides real-time insights to enhance decision-making and operational efficiency. Key features include continuous credit monitoring, risk analysis, and profitability optimization, supported by tools like automated spreading and commercial pricing. nCino's Portfolio Analytics solution offers customizable dashboards to track loan, deposit, and application data, helping to ensure compliance with regulations like CECL and Fair Lending. By integrating front, middle, and back-office processes, nCino enhances transparency, reduces manual tasks, and supports proactive risk management, enabling institutions to adapt to market changes and drive strategic growth.</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Our Customers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a pioneer in cloud banking, we have developed trusted relationships and a reputation for successfully implementing our solutions with FIs of all sizes in multiple geographies. Our diverse customer base ranges from global FIs, such as Bank of America, Barclays, Santander, and TD Bank; to enterprise banks, such as Truist Bank and U.S. Bank; to regional and community banks, like WaFd Bank, and ConnectOne Bank; to credit unions, such as Navy Federal Credit Union, SAFE Credit Union, Marine Credit Union, and Conexus Credit Union; to new market entrants, such as challenger banks like Recognise Bank and Judo Bank; to independent mortgage banks like Synergy One Lending and Fairway Independent Mortgage Corporation. These companies represent a cross-section of FIs across asset classes and geographies and each of these customers represent a substantial level of Annual Contract Value ("ACV") in its respective category.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ended fiscal 2025 with 2,789 customers, of which in fiscal 2025 we had 549 that generated more than $100,000 in subscription revenues, 105 that generated more than $1.0 million and 14 that generated more than $5.0 million. No single customer represented more than 10% of total revenues in fiscal 2025.</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How nCino Will Grow</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continue growing our business by executing on the following strategies:</w:t>
      </w:r>
    </w:p>
    <w:p>
      <w:pPr>
        <w:pStyle w:val="TextBody"/>
        <w:bidi w:val="0"/>
        <w:spacing w:lineRule="auto" w:line="268" w:before="240" w:after="283"/>
        <w:ind w:left="0" w:right="0" w:hanging="360"/>
        <w:jc w:val="left"/>
        <w:rPr/>
      </w:pPr>
      <w:r>
        <w:rPr>
          <w:color w:val="000000"/>
        </w:rPr>
        <w:t>•</w:t>
      </w:r>
      <w:r>
        <w:rPr>
          <w:rFonts w:ascii="Times New Roman;sans-serif" w:hAnsi="Times New Roman;sans-serif"/>
          <w:b/>
          <w:i/>
          <w:color w:val="000000"/>
          <w:sz w:val="20"/>
        </w:rPr>
        <w:t>Expand Within and Across Our Existing Customers.</w:t>
      </w:r>
      <w:r>
        <w:rPr>
          <w:color w:val="000000"/>
        </w:rPr>
        <w:t xml:space="preserve"> </w:t>
      </w:r>
      <w:r>
        <w:rPr>
          <w:rFonts w:ascii="Times New Roman;sans-serif" w:hAnsi="Times New Roman;sans-serif"/>
          <w:b w:val="false"/>
          <w:color w:val="000000"/>
          <w:sz w:val="20"/>
        </w:rPr>
        <w:t xml:space="preserve">We believe there is a significant opportunity to further expand within our existing customer base both vertically within and horizontally across, business lines. </w:t>
      </w:r>
      <w:r>
        <w:rPr>
          <w:rFonts w:ascii="Times New Roman;sans-serif" w:hAnsi="Times New Roman;sans-serif"/>
          <w:b w:val="false"/>
          <w:color w:val="1F0400"/>
          <w:sz w:val="20"/>
        </w:rPr>
        <w:t>Our customer expansion opportunities are now further enhanced with our focus on embedding AI capabilities within our Platform to further enhance efficiency and mitigate risk. nCino is transitioning to a new asset-based pricing strategy (as reflected in our new pricing model) where our subscription revenues from existing customers will continue to grow with their portfolio assets and artificial intelligence capability consumption, which should also simplify the buying experience for our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Expand Our Customer Base.</w:t>
      </w:r>
      <w:r>
        <w:rPr>
          <w:color w:val="000000"/>
        </w:rPr>
        <w:t xml:space="preserve"> </w:t>
      </w:r>
      <w:r>
        <w:rPr>
          <w:rFonts w:ascii="Times New Roman;sans-serif" w:hAnsi="Times New Roman;sans-serif"/>
          <w:b w:val="false"/>
          <w:color w:val="000000"/>
          <w:sz w:val="20"/>
        </w:rPr>
        <w:t>We believe the global market for an intelligent banking platform is large and underserved. With FIs needing to replace legacy point products with modern technology and increased consumer demand for digital services and AI, we believe there is a significant opportunity to deliver our solutions and expand our customer base to FIs of all sizes and complexities around the world. Currently deployed in over 20 countries, we have made significant investments to expand our presence in EMEA and APAC. We promote sales in North America out of our offices in the U.S. and Canada, in APAC out of our offices in Australia, New Zealand, and Japan, and in EMEA out of our offices in the UK, South Africa and Spain.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Continue Strengthening and Extending Our Product Functionality.</w:t>
      </w:r>
      <w:r>
        <w:rPr>
          <w:color w:val="000000"/>
        </w:rPr>
        <w:t xml:space="preserve"> </w:t>
      </w:r>
      <w:r>
        <w:rPr>
          <w:rFonts w:ascii="Times New Roman;sans-serif" w:hAnsi="Times New Roman;sans-serif"/>
          <w:b w:val="false"/>
          <w:color w:val="000000"/>
          <w:sz w:val="20"/>
        </w:rPr>
        <w:t>We invested 23.9% of our revenues back into research and development in fiscal 2025 and expect to continue to invest in fiscal 2026 to continue to extend the breadth and depth of the nCino Platform. Current plans direct that investment across nCino's solution lines and geographies and aim to enrich experiences and drive additional efficiencies into financial processes that are foundationally underpinned by the nCino Platform. These plans include a focus on augmentation of human in the loop processes, as well as process automation, both driven by practical deployment of AI and agentic concepts that can further reduce the human resources required for routine, time-consuming tasks.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Foster and Grow Our SI and Partner Technology Ecosystem</w:t>
      </w:r>
      <w:r>
        <w:rPr>
          <w:rFonts w:ascii="Times New Roman;sans-serif" w:hAnsi="Times New Roman;sans-serif"/>
          <w:b w:val="false"/>
          <w:color w:val="000000"/>
          <w:sz w:val="20"/>
        </w:rPr>
        <w:t xml:space="preserve">. nCino is focused on attracting and managing a rapidly growing network of organizations that collaborate to achieve shared success goals for our customers across the globe. Utilizing the open architecture of the nCino Platform, an increasing number of technology partners, including Anthropic, AWS, Databricks, Salesforce, Rich Data Co, Alloy, Plaid and Docusign, are integrated within our Platform. Leveraging our recent acquisition of Sandbox Banking, we are focused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scaling our ecosystem strategy and business model to supplement our existing direct sales model. The aim is to deliver greater value to customers by leveraging the combined strengths and capabilities of all participants (customers, technology partners, and consulting partners) in our ecosystem. Expanding the ecosystem business can drive value in many different ways, including expanding our reach and access to new markets, driving new innovations and value creation, creating better customer experiences, and accelerating growth. This approach helps us address the demands we see in the market for embedded, customizable experiences and solutions that are easy to buy. We also have deep, long-standing relationships with leading consulting partners across the regional and enterprise banking space in every priority market across the globe. These partners (including Accenture, Deloitte, PwC, and West Monroe Partners, among others) assist in prospecting, marketing, co-selling, product evaluation/feedback and implementation of our solutions and have helped support our new market and global expansion.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Selectively Pursue Strategic Transactions.</w:t>
      </w:r>
      <w:r>
        <w:rPr>
          <w:color w:val="000000"/>
        </w:rPr>
        <w:t xml:space="preserve"> </w:t>
      </w:r>
      <w:r>
        <w:rPr>
          <w:rFonts w:ascii="Times New Roman;sans-serif" w:hAnsi="Times New Roman;sans-serif"/>
          <w:b w:val="false"/>
          <w:color w:val="000000"/>
          <w:sz w:val="20"/>
        </w:rPr>
        <w:t xml:space="preserve">In addition to developing our solutions organically, we may selectively pursue acquisitions, joint ventures, or other strategic transactions, such as our recent acquisitions of DocFox, FullCircl, ILT, and Sandbox Banking. We expect these transactions to focus on innovation to help strengthen and expand the functionality and features of our solutions and/or expand our global presence.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Relationship with Salesforce</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built fundamental elements of the nCino Platform on the Salesforce Platform to leverage its global infrastructure, reliability, and scalability. This allows us to benefit from continual improvement of the Salesforce Platform. We believe we have a mutually beneficial strategic relationship with Salesforce.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our agreement with Salesforce, when we sell our client onboarding, loan origination, and/or deposit account opening solutions, we include a subscription to the underlying Salesforce Platform and remit a subscription fee to Salesforce. In exchange, Salesforce provides the hosting infrastructure and data center for these applications, as well as configuration, reporting, and other functionality within the Salesforce Platform. Under our agreement with Salesforce, we are an authorized reseller of Salesforce’s CRM functionality to certain FIs in the U.S. Our original agreement with Salesforce was entered into in December 2011, which was superseded and replaced on June 19, 2020. On December 20, 2023, our agreement with Salesforce was amended and its term was extended to expire on January 31, 2031 unless earlier terminated by either party in the event of the other party’s material breach, bankruptcy, change in control in favor of a direct competitor, or intellectual property infringement. Our agreement with Salesforce automatically renews for additional one-year periods thereafter unless notice of termination is provided.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Global Revenue Organization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Global Revenue Organization includes business development representatives, account executives, field sales representatives, and marketing. These teams are responsible for demand and lead generation, driving new business, and helping to manage account relationships and renewals, to drive adoption of our solutions within and across lines of business. These teams maintain close relationships with existing customers and act as an advisor to each FI to help identify and understand their unique needs, challenges, goals, and opportunities.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In addition, our marketing team oversees all aspects of the nCino global brand including brand strategy, public relations and external communications, integrated marketing, product marketing, market strategy, marketing operations, and regional marketing. Our marketing efforts span the full buyer journey from brand awareness and pipeline generation to adoption and cross-sell</w:t>
      </w:r>
      <w:r>
        <w:rPr>
          <w:rFonts w:ascii="Calibri;sans-serif" w:hAnsi="Calibri;sans-serif"/>
          <w:b w:val="false"/>
          <w:color w:val="000000"/>
          <w:sz w:val="24"/>
        </w:rPr>
        <w:t xml:space="preserv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Customer Success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Once a customer contracts for the nCino Platform, we provide implementation services to assist in the deployment, either directly or through our SI partner ecosystem. For regional and community banks, we usually handle implementation ourselves. Most of these engagements average less than six months, significantly reducing the time-to-value for our customers. We expect to further reduce these timelines next fiscal year, given our investments in AI tooling and strategy. For our largest enterprise FIs, implementation timelines may extend beyond twelve months, primarily due to the complexity of adjacent program integrations, core conversion activities or other material infrastructure upgrades. For SI-led projects, we collaborate with SIs such as Accenture, Deloitte, and PwC, fielding a small team of advisory consultants alongside the SIs to help ensure success.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support our customers with 24/7 access to engineers and technical support personnel, outcome-based support offerings, release management, managed services, and technical support via online chat. The nCino Customer Success Management team is the central contact for our customers, focusing on adoption, FI readiness to capitalize on new innovation, and helping our customers achieve the business value they expect.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majority of our FI customers whose employees utilize our client onboarding, loan origination, and deposit account opening solutions have joined our online nCino Community. In the nCino Community, users can access product guides and technical documents, engage and share best practices with other users and nCino subject matter experts through various discussion groups, suggest and vote for future product development ideas, and access training videos, materials and product certifications.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organization is responsible for the design, development, engineering, and testing of our solutions.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industry best practices, such as continuous integration/continuous deployment, automated testing and distributed version control, to develop new functionality and enhance our existing solutions. We provide opportunities for innovation through hackathons and new technology pilots, and we encourage customers to participate in our Product Design Programs to provide us with input on our product development roadmap. Our research and development spend was $129.4 million or 23.9% of total revenues in fiscal 2025.</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the primary competition for the nCino Platform has been point solution vendors and systems developed internally by FIs. We believe our ability to provide client onboarding, loan origination, deposit account opening, analytics, portfolio management, and AI on a platform across lines of business, our deep banking domain expertise, our mortgage suite, our reputation for high-quality professional services and customer support, and our strong company culture, distinguish us from our competition. We believe our success in growing our business will depend on our ability to demonstrate to FIs that our solutions provide superior business outcomes and value to those of competitors or internally developed systems. In this regard, we are likely to be assessed on a number of factors,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breadth and depth of functionality;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ease of deployment, implementation and use;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total cost of ownership and return on investment;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level of customer satisfaction;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brand awareness and reputation;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cloud-based technology platform, availability of AI capabilities, and pricing model;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quality of implementation and customer support services;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capability for configurability, integration, and scalability;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domain expertise in banking technology;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security and reliability;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ability of our solutions to support compliance with legal and regulatory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ability to innovate and respond to customer needs quickly;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ability to provide data connectivity and integrate with third-party applications and systems;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insights and benchmarking derived from the cross-institution data and transactions that flow through our platform.</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we compete favorably with respect to these factors, but we expect competition to increase as existing competitors evolve their offerings and as new companies enter the market. Our ability to remain competitive will depend on our ongoing efforts in research and development, sales and marketing, professional services, customer support, and our business operations generally. For additional information, see Part I, Item 1A of this Annual Report on Form 10-K, “Risk Factors—The markets in which we participate are intensely competitive and highly fragmented, and pricing pressure, new technologies or other competitive dynamics could adversely affect our business and results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protect our core technology and innovations. We rely on federal, state, common law, and international rights, as well as contractual restrictions, to protect our intellectual property. We control access to our proprietary technology by entering into confidentiality and invention assignment agreements with our employees and contractors, and confidentiality agreements with third parties. We seek patent protection for certain key innovations, protocols, processes, and other inventions. We pursue the registration of our trademarks, service marks, and domain names in the U.S. and in certain other locations. These laws, procedures and restrictions provide only limited protection and the legal standards relating to the validity, enforceability, and scope of protection of intellectual property rights are uncertain and still evolving. Furthermore, effective patent, trademark, copyright, and trade secret protection may not be available in every country in which our products are available.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2025, we had 12 issued patents relating to the nCino Platform in the U.S. We file patent applications where we believe there to be a strategic technological or business reason to do so. Although we actively attempt to utilize patents to protect our technologies, we believe that none of our patents, individually or in the aggregate, are material to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nCino is in the business of helping FIs around the globe modernize their operations. To transform an industry, we believe our workplace culture is critical in fostering accountability and autonomy, enabling our employees to boldly innovate and deliver the best possible outcomes for our customers. </w:t>
      </w:r>
    </w:p>
    <w:p>
      <w:pPr>
        <w:pStyle w:val="TextBody"/>
        <w:bidi w:val="0"/>
        <w:spacing w:lineRule="auto" w:line="27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culture delivers a differentiated employee value proposition that balances innovation, accountability, continuous learning, and career growth, underpinned by a foundation of six core values: Bring Your A-Game, Do the Right Thing, Respect Each Other, Make Someone’s Day, Have Fun and Be a Winner. Our unwavering commitment to our customers and employees is reflected across external measurements and outcomes, including numerous workplace awards as well as our Net Promoter Score commentary calling out our people and partnership.</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2025, we had 1,833 employees, of which approximately 73% were in the U.S. and 27% were in other locations around the globe. We believe our employee engagement and experience remain strong.</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Employee Involvement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priority to drive success through brand reputation and excellence, we listen to our employees and develop involvement programs that foster belonging and deliver value back to our communities. Powerful examples of this inclusive programming are nCino's Employee Resource Groups (“ERGs”), which are open to all nCino team members. These groups play an important role in building camaraderie among employees, providing resources to the broader nCino community, building nCino's reputation as an employer of choice for talent, while also creating opportunities for professional development and mentorship.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nCino supports many causes and initiatives in the communities in which we operate. Combining corporate giving and matching along with employee giving, nCino has donated to numerous non-profits globally. With respect to philanthropic giving, the nCino community has broadly given back to various community groups, including those associated with STEM-focused education, social/community needs, environmental causes, and health research. Through nVolve, nCino's philanthropic and community service approach, we prioritize giving back to our communities by providing all employees paid volunteer days separate from regular leave or holidays to support organizations and causes that are important to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Total Rewards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ensure our ability to attract and retain the very best global talent, we offer market competitive compensation that is consistently evaluated, opportunities for equity ownership, savings options to help employees invest in their future, and generous, country-specific benefit packages.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Technology, Development and Cloud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deliver our solutions as secure, highly scalable cloud computing application and platform services with a multi-tenant technology and shared service-oriented architecture. Multi-tenancy is an architectural approach that allows us to operate a single application instance for multiple organizations, treating all customers as separate and virtual isolation from each other. Service-Oriented Architecture ("SOA") is a software design approach that builds applications from reusable, self-contained components called services, allowing them to communicate and interact across different platforms and technologies. This approach allows us to spread the cost of delivering our services across the globe and scale our business faster than traditional software vendors while focusing our resources on building new functionality and enhancing existing offerings.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technology and product efforts are focused on improving and enhancing the features, functionality, performance, availability, and security of our existing service offerings, as well as developing new features, functionality, and services. We also remain focused on integrating businesses, services and technologies from acquisitions and with partners.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Global Financial Service Providers Are Highly Regulated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Global financial service providers and their solutions are subject to extensive and complex data, security, privacy, and regulatory oversight by international, country, federal, state and other regulatory authorities. These laws and regulations are constantly evolving and affect the conduct of financial service providers' operations and, as a result, the business of their technology providers. The compliance process with these regulatory requirements depends on a variety of factors, including functionality and design, the classification of the financial service provider and its services, region or country of operation, and the manner in which the financial service provider and its end users utilize the solutions. In order to ensure compliance with these laws, financial service providers may be required to implement operating policies, procedures, and controls to protect the privacy and security of their, the financial service providers', and their end users' information, and to undergo periodic audits and examinations.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Security and Data Protection Is Paramount for Global Financial Service Providers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risks of cybercrime and fraud have always existed in banking and financial services. As the adoption and use of digital services increase in financial services, the incidence of cybercrime and fraud may grow substantially. The methods by which criminals seek to commit fraud are constantly changing, requiring financial services providers and their technology providers to continually modify their security protocols and best practices. Providing services to the financial services industry requires experience, constant vigilance, and continuous investment to stay informed and guard against these ever-changing threats.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website is located at www.ncino.com and our Annual Report on Form 10-K, Quarterly Reports on Form 10-Q, Current Reports on Form 8-K, and other filings with the Securities and Exchange Commission (“SEC”), and all amendments to these filings, can be obtained free of charge from our website as soon as reasonably practicable after we electronically file or furnish such materials with the SEC. The SEC maintains an Internet site that contains reports, proxy and information statements, and other information regarding issuers that file electronically with the SEC at www.sec.gov. The contents of these websites are not incorporated into this filing. Further, the Company’s references to the URLs for these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You should consider and read carefully all of the risks and uncertainties described below, as well as other information included in this Annual Report on Form 10-K, including the section titled "Management's Discussion and Analysis of Financial Condition and Results of Operations" and our consolidated financial statements and related notes before making an investment decision with respect to our common stock. The risks described below are not the only ones we face. The occurrence of any of the following risks or additional risks and uncertainties not presently known to us or that we currently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believe to be immaterial could materially and adversely affect our business, financial condition, or results of operations. In such case, the trading price of our common stock could decline, and you may lose all or part of your investment.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The below summary of risk factors provides an overview of many of the risks we are exposed to in the normal course of our business activities. As a result, the below summary risks do not contain all of the information that may be important to you, and you should read the summary risks together with the more detailed discussion of risks set forth following this section under the heading “Risk Factors,” as well as elsewhere in this Annual Report on Form 10-K. Additional risks, beyond those summarized below or discussed elsewhere in this Annual Report on Form 10-K, may apply to our activities or operations as currently conducted or as we may conduct them in the future or in the markets in which we operate or may in the future operate. Consistent with the foregoing, we are exposed to a variety of risks, including risks associated with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We derive most of our revenues from customers in the financial services industry, and any downturn or consolidation or decrease in technology spend in the financial services industry could adversely affect our business.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future operating results are difficult to predict, in part because we do not have an extensive operating history at the current scale of our business, and we may not achieve our expected operating results in the future.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have a history of losses and while we have achieved profitability in a quarterly period, we may not be able to achieve or sustain profitability on a generally accepted accounting principles in the United States of America ("GAAP") basis in the future.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are unable to attract new customers or continue to broaden our existing customers’ use of our solutions, our revenue growth will be adversely affected.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As the market for cloud-based banking technology continues to develop, it may do so more slowly than we expect or changes in a way that we fail to anticipate, in which case our sales would suffer and our results of operations would be adversely affected.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not be able to sustain our revenue growth rate in the future.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quarterly results may fluctuate significantly and may not fully reflect the underlying performance of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have recently changed our pricing model, and that and other factors may not accurately predict the long-term rate of customer subscription renewals or adoption of our solutions, or any resulting impact on our revenues or operating results.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breach of our security or privacy measures or those we rely on could result in unauthorized access to, or disclosure of, customer or their clients’ data, which may materially and adversely impact our reputation, business, and results of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Fundamental elements of the nCino Platform are built on the Salesforce Platform and we rely on our agreement with Salesforce to provide this solution to our customers.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Because we recognize subscription revenues over the term of the contract, downturns or upturns in our business may not be reflected in our results of operations until future periods.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markets in which we participate are intensely competitive and highly fragmented, and pricing pressure, new technologies, including the increasing adoption of artificial intelligence and machine learning ("AI/ML") offerings by our competitors, or other competitive dynamics could adversely affect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increased focus on the development and use of AI/ML technologies in our solutions and our business, as well as our potential failure to effectively implement, use, and market these technologies, may result in reputational harm or liability, or could otherwise adversely affect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depend on data centers operated by or on behalf of Salesforce, AWS and other third parties, and any disruption in the operation of these facilities could adversely affect our business and subject us to liability.</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We have and may continue to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customers are highly regulated. Our failure to comply with laws and regulations applicable to us as a technology provider to FIs could adversely affect our business and results of operations, increase costs and impose constraints on the way we conduct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legal proceedings against us could adversely affect our operations and prospects, damage our reputation, and be costly and time-consuming to defend.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Relating to Our Business and Industry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derive most of our revenues from customers in the financial services industry, and any downturn or consolidation or decrease in technology spend in the financial services industry could adversely affect our business.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revenues are derived from FIs whose industry has experienced significant pressure in recent years due to economic uncertainty, fluctuating interest rates, liquidity concerns and increased regulation. In the past, FIs have experienced consolidation, distress and failure, including notably recently in March 2023 when the FDIC took control of Silicon Valley Bank and Signature Bank due to liquidity concerns and a number of other FIs experienced turbulence and a precipitous decline in market value. It is possible these conditions may persist, deteriorate or reoccur. If, as a result of these or other factors, any of our customers merge with or are acquired by other entities, such as FIs that have internally developed banking technology solutions or that are not our customers or use our solutions less, we may lose business. Additionally, changes in management of our customers could result in delays or cancellations of the implementation of our solutions. It is also possible that the larger FIs that result from business combinations could have greater leverage in negotiating price or other terms with us or could decide to replace some or all of the elements of our solutions. Our business may also be materially and adversely affected by weak economic conditions in the financial services industry. Any downturn or prolonged disruption in the financial services industry may cause our customers to reduce their spending on technology or cloud-based banking solutions or to seek to terminate or renegotiate their contracts with us. Moreover, economic fluctuations caused by factors such as the U.S. Federal Reserve changing interest rates may cause potential new customers and existing customers to forego or delay purchasing our solutions or reduce the amount of spend with us, which would materially and adversely affect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future operating results are difficult to predict, in part because we do not have an extensive operating history at the current scale of our business, and we may not achieve our expected operating results in the future.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limited operating history at the current scale of our business, our ability to forecast our future operating results, including revenues, cash flows, and profitability, is limited and subject to a number of uncertainties. We have encountered and will encounter risks and uncertainties frequently experienced by growing companies in the technology industry, such as the risks and uncertainties described in this Annual Report on Form 10-K and others we may not be able to presently identify. If our assumptions regarding these risks and uncertainties are incorrect or change due to changes in our markets, or if we do not address these risks successfully, our operating and financial results may differ materially from our expectations and our business may suffer.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a history of losses, and while we have achieved profitability in a quarterly period, we may not be able to achieve or sustain profitability on a GAAP basis in the future.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began operations in late 2011 and have experienced net losses since inception. We generated net losses attributable to nCino of $102.7 million, $42.3 million, and $37.9 million for the fiscal years ended January 31, 2023, 2024, and 2025, respectively. We had an accumulated deficit of $385.3 million at January 31, 2025. While we have been profitable on a GAAP basis for a quarter, we may not be able to maintain or increase our level of profitability. We intend to continue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support further growth and extend the functionality of our solutions in future periods. We will also continue to face increased costs associated with growth and the expansion of our customer base and the costs of being a public company. Our continuing efforts to grow our business may be more costly than we expect, and we may not be able to increase our revenues enough to offset our increased operating expenses. We expect, depending on a number of factors, to continue to incur losses on a GAAP basis as we continue to invest in product development, and we cannot predict whether or when we will achieve or sustain profitability on a GAAP basis. If we are unable to achieve and sustain profitability, the value of our business and common stock may significantly decrease.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attract new customers or continue to broaden our existing customers’ use of our solutions, our revenue growth will be adversely affected.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 increase our revenues, we will need to continue to attract new customers and succeed in having our current customers expand the use of our solutions across their institution. For example, our revenue growth strategy includes increased penetration of markets outside the U.S. as well as selling our solutions to existing and new customers, and failure in either respect would adversely affect our revenue growth. In addition, for us to maintain or improve our results of operations, it is important that our customers renew their subscriptions with us on the same or more favorable terms to us when their existing subscription term expires. Our revenue growth rates may decline or fluctuate as a result of a number of factors, including customer spending levels, customer dissatisfaction with our solutions, decreases in the number of users at our customers, changes in the type and size of our customers, pricing changes, competitive conditions, the loss of our customers to other companies, and general economic conditions. Our customers may also require fewer subscriptions for our solutions as their use may enable them to operate more efficiently over time. Therefore, we cannot assure you that our current customers will renew or expand their use of our solutions. If we are unable to sign new customers or retain or attract new business from current customers, our business and results of operations may be materially and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As the market for cloud-based banking technology continues to develop, it may do so more slowly than we expect or changes in a way that we fail to anticipate. If that occurs, or we fail to market our solutions effectively, our sales would suffer and our results of operations would be adversely affected.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Use of, and reliance on, cloud-based banking technology continues to evolve and we do not know whether FIs will continue to adopt cloud-based banking technology such as the nCino Platform in the future, or whether the market will change in ways we do not anticipate. Many FIs have invested substantial personnel and financial resources in legacy software, and these FIs may be reluctant, unwilling, or unable to convert from their existing systems to our solutions. Furthermore, these FIs may be reluctant, unwilling, or unable to use cloud-based banking technology due to various concerns, such as the security of their data and reliability of the delivery model. These concerns or other considerations may cause FIs to choose not to adopt cloud-based banking technology such as ours or to adopt them more slowly than we anticipate, either of which would adversely affect us. Our future success also depends on our ability to sell additional solutions and functionality to our current and prospective customers. As we create new solutions and enhance our existing solutions, these solutions and enhancements may not be attractive to customers. In addition, promoting and selling new and enhanced functionality may require increasingly costly sales and marketing efforts and if customers choose not to adopt this functionality, our business and results of operations could suffer. If FIs are unwilling or unable to transition from their legacy systems, or if the demand for our solutions does not meet our expectations, our results of operations and financial condition will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sustain our revenue growth rate in the future.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revenues increased from $408.3 million for fiscal 2023 to $476.5 million for fiscal 2024 and to $540.7 million for fiscal 2025. However, we may not be able to sustain revenue growth consistent with our recent history, if at all. Our revenue growth in recent periods may not be indicative of our future performance. Furthermore, to the extent we grow in future periods, maintaining consistent rates of revenue growth may be difficult. Our revenue growth may also slow or even reverse in future periods due to a number of factors, which may include slowing demand for our solutions, our ability to successfully sell and implement new solutions, such as our retail solutions, increasing competition, decreasing growth of our overall market, the adoption of our new asset-based pricing model, our inability to attract and retain a sufficient number of FI customers, concerns over data security, our failure, for any reason, to capitalize on growth opportunities, or general economic conditions. If we are unable to maintain consistent revenue growth, our business could be adversely affected, the price of our common stock could decline or otherwise be volatile and it may be difficult for us to achieve and maintain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quarterly results may fluctuate significantly and may not fully reflect the underlying performance of our business.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results of operations, including the levels of our revenues, gross margin, profitability, cash flow, and deferred revenue, may vary significantly in the future and, accordingly, period-to-period comparisons of our results of operations may not be meaningful. Thus, the results of any one quarter should not be relied upon as an indication of future performance. Our quarterly financial results may fluctuate as a result of a variety of factors, many of which are outside of our control, and may not fully or accurately reflect the underlying performance of our business. Further, while subscriptions with our customers generally include multi-year non-cancellable terms, in a limited number of contracts, customers have an option to buy out of the contract for a specified termination fee. If such customers exercise this buy-out option, or if we negotiate an early termination of a contract at a customer’s request, any termination fee would be recognized in full at the time of termination, which would favorably affect subscription revenues in that period and unfavorably affect subscription revenues in subsequent periods. Fluctuation in quarterly results may negatively impact the value of our common stock. Factors that may cause fluctuations in our quarterly financial results include, without limitation, those listed below:</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our ability to retain current customers or attract new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activation, delay in activation, or cancellation of large blocks of users by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of recognition of professional services revenues;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amount and timing of operating expenses related to the maintenance and expansion of our business, operations, and infrastructure;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acquisitions of our customers, to the extent the acquirer elects not to continue using our solutions or reduces subscriptions to our solutions;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significant disruptions or distress in the FI industry;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customer renewal rates;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increases or decreases in the number of users licensed or pricing changes upon renewals of customer contracts (including as a result of our new asset-based pricing model);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network outages or security breaches;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general economic, industry, and market conditions;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our pricing policies or those of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seasonal variations in sales of our solutions, which have historically been highest in the fourth quarter of our fiscal year;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amount of litigation and litigation-related expenses;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success of new product introductions by us or our competitors or any other change in the competitive dynamics of our industry, including consolidation among competitors, customers, or strategic partners;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of expenses related to the development or acquisition of technologies or businesses and potential future charges for impairment of goodwill or intangible assets from acquired companies.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accurately predict the long-term rate of customer subscription renewals or adoption of our solutions, or any resulting impact on our revenues or operating results.</w:t>
      </w:r>
    </w:p>
    <w:p>
      <w:pPr>
        <w:pStyle w:val="TextBody"/>
        <w:bidi w:val="0"/>
        <w:spacing w:before="240" w:after="283"/>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recently adopted a new pricing model, which sets the pricing for our solutions primarily on the asset size of the FI customer, and began implementing it in fiscal 2025. While we believe this new model responds to how we have observed customers using our solutions and evolving market conditions, there is no assurance that our existing customers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react favorably to it, or that potential new customers will adopt it. It is also possible that the new pricing model will not generate the revenues we expect from it for other reasons. Any of these factors could lead to an adverse effect on our results of operations or financial conditions and have a negative impact on the price of our common stock.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have no obligation to renew their subscriptions for our solutions after the expiration of the initial or current subscription term, and our customers, if they choose to renew at all, may renew for fewer users or on less favorable pricing terms, particularly if they seek to negotiate alternatives to our asset-based pricing model. The historic average initial term of our customer agreements has been generally three to five years in length, billed annually in advance, and our fees and services have generally been non-cancelable and have not contained refund-type provisions. U.S. mortgage contracts are generally billed monthly in advance. Subscription arrangements that are cancelable generally have penalty clauses. Although we have observed some trends at our current scale with respect to customer subscription renewals, we cannot be certain of how actual renewal rates will compare to what we anticipate. Our renewal rates may decline or fluctuate as a result of a number of factors, including our customers’ satisfaction with our pricing or our solutions or their ability to continue their operations or spending levels.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large or influential FI customers may demand more favorable pricing or other contract terms from us. As a result, we may in the future be required to implement further changes to our pricing model, reduce our prices, or accept other unfavorable contract terms, any of which could adversely affect our revenues, gross margin, profitability, financial position, and/or cash flow.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faces significant risks from diverse security threats. A breach of our security or privacy measures or those we rely on could result in unauthorized access to, or disclosure of, customer or their clients’ data, which may materially and adversely impact our reputation, business,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elements of our solutions, particularly our analytics and mortgage solutions, process and store personally identifiable information (“PII”), such as banking and personal information of our customers’ clients, and we may also have access to PII during various stages of the implementation process or during the course of providing customer support. Furthermore, as we develop or acquire additional functionality, we may gain greater access to PII. We maintain policies, procedures, and technological safeguards designed to protect the confidentiality, integrity, and availability of this information and our information technology systems. However, we and our third party service providers, frequently defend against and respond to data security incidents. We cannot entirely eliminate the risk of improper or unauthorized access to or disclosure of PII or other security or privacy events that impact the integrity or availability of PII or our systems and operations, or the related costs we may incur to mitigate the consequences from such events. Further, our products are flexible and complex software solutions and there is a risk that configurations of, or defects in, our solutions or errors in implementation could create vulnerabilities to security breaches. There may be continued unlawful attempts to disrupt or gain access to our information technology systems or the PII or other data of our customers or their clients that may disrupt our or our customers’ operations.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because we leverage third-party providers, including cloud, software, data center, and other critical technology vendors to deliver our solutions to our customers and their clients, we rely heavily on the data security technology practices and policies adopted by these third-party providers. A vulnerability in a third-party provider’s software or systems, a failure of our third-party providers’ safeguards, policies or procedures, or a breach of a third-party provider’s software or systems could result in the compromise of the confidentiality, integrity, or availability of our systems or the data housed in our solutions.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Cyberattacks and other malicious internet-based activity, including increased threats from the use of AI, continue to increase and evolve, and cloud-based providers of products and services have been and are expected to continue to be targeted. In addition to traditional computer “hackers,” malicious code (such as viruses and worms), phishing, employee theft or misuse, and denial-of-service attacks, sophisticated criminal networks as well as nation-state and nation-state supported actors now engage in attacks, including advanced persistent threat intrusions. Current or future criminal capabilities, discovery of existing or new vulnerabilities, and attempts to exploit those vulnerabilities or other developments, may compromise or breach our systems or solutions. In the event our or our third-party providers’ protection efforts are unsuccessful and our systems or solutions are compromised, we could suffer substantial harm. A security breach could result in operational disruptions, loss, compromise or corruption of customer or client data or data we rely on to provide our solutions, including our analytics initiatives and offerings that impair our ability to provide our solutions and meet our customers’ requirements resulting in decreased revenues and otherwise materially negatively impacting our financial results. Also, our reputation could suffer irreparable harm, causing our current and prospective customers to decline to use our solutions in the future. Further, we could be forced to expend significant financial and operational resources in response to a security breach, including repairing system damage, increasing security protection costs by deploying additional personnel and protection technologies, and defending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against and resolving legal and regulatory claims, all of which could be costly and divert resources and the attention of our management and key personnel away from our business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Federal and state regulations may require us or our customers to notify individuals of data security or privacy incidents involving certain types of personal data or information technology systems, and those laws and regulations continue to evolve to add more reporting requirements on faster timelines. Security compromises experienced by others in our industry, our customers, or us may lead to public disclosures and widespread negative publicity. Any security compromise in our industry, whether actual or perceived, could erode customer confidence in the effectiveness of our security measures, negatively impact our ability to attract new customers, cause existing customers to elect not to renew or expand their use of our solutions, or subject us to third-party lawsuits, regulatory fines, or other actions or liabilities, which could materially and adversely affect our business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some of our customers contractually require notification of data security compromises and include representations and warranties in their contracts with us that our solutions comply with certain legal and technical standards related to data security and privacy and meets certain service levels. In certain of our contracts, a data security compromise or operational disruption impacting us or one of our critical vendors, or system unavailability or damage due to other circumstances, may constitute a material breach and give rise to a customer’s right to terminate their contract with us. In these circumstances, it may be difficult or impossible to cure such a breach in order to prevent customers from potentially terminating their contracts with us. Furthermore, although our customer contracts typically include limitations on our potential liability, there can be no assurance that such limitations of liability would be adequate. We also cannot be sure that our existing general liability insurance coverage and coverage for errors or omissions will be available on acceptable terms or will be available in sufficient amounts to cover one or more claims, or that our insurers will not deny or attempt to deny coverage as to any future claim. The successful assertion of one or more claims against us, the inadequacy or denial of coverage under our insurance policies, litigation to pursue claims under our policies, or the occurrence of changes in our insurance policies, including premium increases or the imposition of large deductible or coinsurance requirements, could materially and adversely affect our business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cyber threats have evolved and continue to evolve, vulnerabilities in our solutions and information technology systems have been and will in the future be detected, and we expect to expend additional resources to continue to modify or enhance our layers of defense to remediate such vulnerabilities. System enhancements and updates create risks associated with implementing new systems and integrating them with existing ones, including risks associated with the effectiveness of our, our customers' and our third-party providers' software development lifecycles. Due to the complexity and interconnectedness of our systems and solutions, the process of enhancing our layers of defense, including addressing hardware-based vulnerabilities, can itself create a risk of systems disruptions and security issues. Customer utilization of older versions of our solutions can increase the risk and complexity of security vulnerabilities and the resources and time required to address them.</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Fundamental elements of the nCino Platform are built on the Salesforce Platform and we rely on our agreement with Salesforce to provide this solution to our customers.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Fundamental elements of the nCino Platform, including our client onboarding, loan origination, and deposit account opening solutions, are built on the Salesforce Platform and we rely on our agreement with Salesforce to use the Salesforce Platform in conjunction with these solutions, including for hosting infrastructure and data center operations. Any termination of our relationship with Salesforce would result in a materially adverse impact on our business model.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agreement with Salesforce expires on January 31, 2031, unless earlier terminated by either party in the event of the other party’s material breach, bankruptcy, change in control in favor of a direct competitor, or intellectual property infringement, and thereafter automatically renews for additional one-year periods unless notice of non-renewal is provided by either party. If we are unable to renew our agreement with Salesforce, there would be, absent a termination for cause, a wind-down period during which existing customers would be able to continue using the nCino Platform in conjunction with the Salesforce Platform, but we would be unable to provide this solution to new customers and could be limited in our ability to allow current customers to add additional users. In addition, if we are unable to renew our agreement with Salesforce upon its expiration, our customers would need to obtain a separate subscription from Salesforce in order to access the nCino Platform. This could cause a significant delay in the time required to enter into agreements with customers, place us and our customers at a disadvantage in negotiating with Salesforce, and lead customers not to renew or enter into agreements with us. We also cannot assure you that the pricing or other terms in any renewal with Salesforce would be favorable to us, and if they are not, our business and operating results may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Salesforce has the right to terminate their agreement with us in certain circumstances, including in the event of a material breach by us. If Salesforce terminates our agreement for cause, it would not be required to provide the wind-down period described above. We are also required to indemnify Salesforce for claims made against Salesforce by a third party alleging that the nCino Platform infringes the intellectual property rights of such third party.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 expiration or termination of our agreement with Salesforce would cause us to incur significant time and expense to acquire rights to, or develop, a replacement solution and we may not be successful in these efforts, which could cause the nCino Platform to become obsolete. Even if we were to successfully acquire or develop a replacement solution, some customers may decide not to adopt such solution and may, as a result, decide to use a different solution. If we were unsuccessful in acquiring or developing a replacement solution or acquire or develop a replacement solution that our customers do not adopt, our business, results of operations, and brand would be materially and adversely affected.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there are no exclusivity arrangements in place with Salesforce that would prevent them from developing their own offerings that compete directly with ours, acquiring a company with offerings similar to ours, or investing greater resources in our competitors. While we believe our relationship with Salesforce is strong, Salesforce competing with us could materially and adversely affect our business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Privacy and data security concerns, data collection and transfer restrictions and related domestic or foreign regulations may limit the use and adoption of our solutions and adversely affect our business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Personal privacy, information security, and data protection are significant issues in the U.S., the European Union (“EU”), the United Kingdom ("UK") and a number of other jurisdictions where we offer our solutions. The regulatory framework governing the collection, processing, storage, and use of certain information, particularly financial and other PII, is rapidly evolving. Any failure or perceived failure by us to comply with applicable privacy, security, or data protection laws, regulations, or industry standards may materially and adversely affect our business and results of operations.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We expect that there will continue to be new proposed and adopted laws, regulations, and industry standards concerning privacy, data protection, and information security in the U.S., the EU, and other jurisdictions in which we operate. For instance, the California Consumer Privacy Act (the "CCPA") became effective on January 1, 2020. The CCPA gives California residents expanded rights to access and delete their personal information, receive detailed information about how their personal information is used and shared by requiring covered companies to provide new disclosures to California consumers (as that term is broadly defined), and provide such consumers rights to opt-out of certain sales of personal information. The CCPA provides for potential civil penalties for violations, as well as a private right of action for data breaches that is expected to increase data breach litigation. The California Privacy Rights Act (the "CPRA"), which expands the CCPA, passed in November 2020 and went into effect on January 1, 2023, potentially requiring still to be determined additional compliance investment and potential business process changes. Among other things, the CPRA imposes additional data protection obligations on companies doing business in California, including additional consumer rights processes, limitations on data uses, new audit requirements for higher risk data, and opt outs for certain uses of sensitive data. It has also created a new California data protection agency authorized to issue substantive regulations which could result in increased privacy and information security enforcement. The CCPA includes a number of limited exceptions, including an exception for data that is collected, processed, sold or disclosed pursuant to the Gramm-Leach-Bliley-Act (“GLBA”) and an exemption that includes some types of data covered by the Fair Credit Recording Act (“FCRA”).</w:t>
      </w:r>
      <w:r>
        <w:rPr>
          <w:color w:val="000000"/>
        </w:rPr>
        <w:t xml:space="preserve"> </w:t>
      </w:r>
      <w:r>
        <w:rPr>
          <w:rFonts w:ascii="Times New Roman;sans-serif" w:hAnsi="Times New Roman;sans-serif"/>
          <w:b w:val="false"/>
          <w:color w:val="000000"/>
          <w:sz w:val="20"/>
        </w:rPr>
        <w:t>These exceptions, however, do not apply to the private cause of action afforded to individuals for negligent information security incidents.</w:t>
      </w:r>
      <w:r>
        <w:rPr>
          <w:color w:val="000000"/>
        </w:rPr>
        <w:t xml:space="preserve"> </w:t>
      </w:r>
      <w:r>
        <w:rPr>
          <w:rFonts w:ascii="Times New Roman;sans-serif" w:hAnsi="Times New Roman;sans-serif"/>
          <w:b w:val="false"/>
          <w:color w:val="000000"/>
          <w:sz w:val="20"/>
        </w:rPr>
        <w:t>Additionally, the CCPA applies to the personal information of California residents collected in the employment, job applicant and business-to-business settings.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Twenty U.S. states have enacted comprehensive privacy laws and several others are proposing and enacting laws and regulations that impose obligations similar to the CCPA or that otherwise involve significant obligations and restrictions. Although many such state laws do not apply to FIs (or to data) subject to the GLBA, and some exempt all commercial- and employment-related data, these are evolving laws and regulations that add layers of complexity to compliance in the U.S. market. If passed, such laws will require additional resources to ensure compliance, and may have potentially conflicting requirements that would make compliance challenging. </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pPr>
      <w:r>
        <w:rPr>
          <w:rFonts w:ascii="Times New Roman;sans-serif" w:hAnsi="Times New Roman;sans-serif"/>
          <w:b w:val="false"/>
          <w:color w:val="000000"/>
          <w:sz w:val="20"/>
        </w:rPr>
        <w:t>GLBA and FCRA impose privacy and information security requirements on FIs, including obligations to protect and safeguard consumers’ nonpublic personal information and creditworthiness information, respectively, and limitations on the use and disclosure of such information.</w:t>
      </w:r>
      <w:r>
        <w:rPr>
          <w:color w:val="000000"/>
        </w:rPr>
        <w:t xml:space="preserve"> </w:t>
      </w:r>
      <w:r>
        <w:rPr>
          <w:rFonts w:ascii="Times New Roman;sans-serif" w:hAnsi="Times New Roman;sans-serif"/>
          <w:b w:val="false"/>
          <w:color w:val="000000"/>
          <w:sz w:val="20"/>
        </w:rPr>
        <w:t xml:space="preserve">The GLBA requires appropriate administrative, technical and physical safeguards to ensure the security, confidentiality, integrity, availability and the proper disposal of nonpublic personal information, and the FCRA imposes similar information security requirements regarding the protection of creditworthiness information. </w:t>
      </w:r>
    </w:p>
    <w:p>
      <w:pPr>
        <w:pStyle w:val="TextBody"/>
        <w:bidi w:val="0"/>
        <w:spacing w:before="0" w:after="0"/>
        <w:ind w:left="0" w:right="0" w:firstLine="9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Trade Commission (“FTC”) and many state attorneys general are interpreting existing federal and state consumer protection laws to impose evolving standards for the collection, use, dissemination and security of health-related and other personal information and in particular health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 of the FTC Act.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Privacy and cybersecurity laws continue to evolve to impose ever stricter standards for the collection, use, dissemination and security of personally identifiable information, including financial information. Actual, potential, or perceived violations of such laws could result in regulatory investigations, fines, orders to cease/change our use of such technologies and processing of personal data, as well as civil claims including class actions, reputational damage and ongoing compliance costs, any of which could harm our business, results of operations and financial condition. Moreover, federal, and state regulation around AI may be enacted in the near future.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Similarly, the European Economic Area (the "EEA") (comprised of the EU Member States and Iceland, Liechtenstein and Norway) adopted the General Data Protection Regulation (2016/679) (the "EU GDPR") in May 2018 and the UK implemented the EU GDPR by virtue of section 3 of the European Union (Withdrawal) Act 2018 which sits alongside the UK Data Protection Act 2018 (known as the "UK GDPR", and together with the "EU GDPR", the "GDPR"). The GDPR has a direct effect where an entity is established in the EEA or the UK and has extra-territorial effect where an entity established outside of the EEA or UK processes personal data in relation to the offering of goods or services to individuals in the EEA and/or the UK or the monitoring of their behavior. The GDPR imposes a number of obligations on controllers, including, among others: (i) accountability and transparency requirements which require controllers to demonstrate and record compliance with the GDPR and to provide more detailed information to data subjects regarding processing; (ii) enhanced requirements for obtaining valid consent where consent is the lawful basis for processing; (iii) obligations to consider data protection as any new products or services are developed and to limit the amount of personal data processed; (iv) obligations to comply with data protection rights of data subjects including a right of access to and rectification of personal data, a right to obtain restriction of processing or to object to processing of personal data and a right to ask for a copy of personal data to be provided to a third party in a useable format and erasing personal data in certain circumstances and the right not to be subject to solely automated decision-making; (v) obligations to implement appropriate technical and organizational security measures to safeguard personal data; and (vi) obligations to report certain personal data breaches to the relevant supervisory authority without undue delay (and no later than 72 hours where feasible) and affected individuals, where the personal data breach is likely to result in a high risk to their rights and freedoms. Processors are required to notify the controller without undue delay after becoming aware of a personal data breach.</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EU GDPR prohibits the international transfer of personal data from the EEA to countries outside of the EEA unless made to a country deemed to have adequate data privacy laws by the European Commission or a data transfer mechanism in accordance with the EU GDPR has been put in place (e.g., Standard Contractual Clauses or “SCCs”) or a derogation under the EU GDPR can be relied on. In certain cases (e.g. where transfers are made in reliance on SCCs) it is also necessary to carry out a transfer impact assessment ("TIA") which, among other things, assesses laws governing access to personal data in the recipient country and considers whether supplementary measures that provide privacy protections additional to those provided under SCCs will need to be implemented to ensure an ‘essentially equivalent’ level of data protection to that afforded in the EEA. On July 10, 2023, the European Commission adopted its Final Implementing Decision granting the U.S. adequacy (“Adequacy Decision”) for EU-US transfers of personal data for entities self-certified to the EU-US Data Privacy Framework (“DPF”). Entities relying on EU SCCs for transfers to the U.S. are also able to rely on the analysis in the Adequacy Decision as support for their TIA regarding the equivalence of U.S. national security safeguards and redress.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UK GDPR also imposes similar restrictions on transfers of personal data from the UK to jurisdictions that the UK government does not consider adequate. The UK Government has published its own form of the EU SCCs, known as the International Data Transfer Agreement and an International Data Transfer Addendum to the new SCCs. The UK Information Commissioner's Office ("ICO") has also published its own version of the TIA, although entities may choose to adopt either the EU or UK-style TIA. Further, on September 21, 2023, the UK Secretary of State for Science, Innovation and Technology established a UK-U.S. data bridge (i.e., a UK equivalent of the Adequacy Decision) and adopted UK regulations to implement the UK-U.S. data bridge. Personal data may now be transferred from the UK under the UK-U.S. data bridge through the UK extension to the DPF to organizations self-certified under the UK extension to DPF. This may have implications for our cross-border data flows and may result in additional compliance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Data protection supervisory authorities have the power under the GDPR to (amongst other things) impose fines of up to €20 million (under the EU GDPR) or £17.5 million (under the UK GDPR) or up to 4% of the annual global revenue of the noncompliant company, whichever is greater, for serious violations of certain of the GDPR’s requirements. Data subjects also have a right to compensation, as a result of an organization's breach of the GDPR which has affected them for financial or non-financial losses (e.g., distress). Complying with the GDPR may cause us to incur substantial operational and compliance costs or require us to change our business practices. Despite our efforts to bring practices into compliance with the GDPR, we may not be successful either due to internal or external factors such as resource allocation limitations or a lack of vendor cooperation. Non-compliance could result in proceedings against us by governmental entities, regulators, customers, data subjects, suppliers, vendors or other parties. Further, there is a risk that the measures will not be implemented correctly or that individuals within the business will not be fully compliant with the new procedures. If there are breaches of these measures, we could face significant administrative and monetary sanctions as well as reputational damage which may have a material adverse effect on our operations, financial condition and prospects.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From a cybersecurity perspective, the GDPR does not provide for a specific set of cybersecurity requirements or measures to be implemented but rather requires a controller or processor to implement appropriate cyber and data security measures in accordance with the then-current risk, the state of the art, the costs of implementation and the nature, scope, context and purposes of the processing. The GDPR however does explicitly require that controllers notify personal data breaches as described above.</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17, 2023, the EU Network and Information Systems Security 2 Directive (“NISD2”) entered into force. Member States had until October 17, 2024 to transpose NISD2 into EU Member State law. The European Commission initiated infringement procedures, by sending letters of formal notice to 23 Member States for failing to fully transpose NISD2 by this deadline. Under the NISD2, stringent cybersecurity and incident reporting requirements are imposed on ‘essential’ and ‘important’ entities, which include information and communication technology (“ICT”) managed service providers.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NISD2 states that any maximum fine which national implementing law provides for should at least be set at €10 million or 2% of total worldwide turnover, whichever is higher, where essential entities are concerned. Other sanctions may include (i) a temporary suspension to provide services in the EU (by suspending relevant authorizations/certifications); (ii) an order to make public certain elements of the infringement and/or inform customers; and (iii) injunctions to immediately cease infringing conduct. Importantly, NISD2 also provides that senior members of staff can be held personally liable, and face administrative fines or be temporarily suspended from exercising managerial functions at the legal representative or chief executive officer level.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EU Digital Operational Resilience Act (“DORA”), which applied from January 17, 2025, imposes regulatory obligations to reinforce the digital operational resilience of entities operating in the financial services industry, and to adequately manage and remediate risks related to the engagement of ICT third-party service providers. DORA only imposes direct regulatory obligations on ICT third-party service providers that are considered ‘critical’ within the meaning of DORA. Non-critical ICT third-party service providers are only indirectly impacted by DORA, by virtue of the mandatory contractual terms that DORA requires financial entities to implement with ICT third-party service providers.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DORA does not provide for minimum or maximum monetary sanctions but empowers EU Member State competent authorities to enforce DORA and determine the appropriate sanction on the basis of the factors set out in DORA, including the gravity and duration of the infringement. Sanctions may be administrative or criminal in nature, and DORA also provides that individual members of the management body can be held personally liable for any non-compliance.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cannot yet fully determine the impact these or future laws, rules, and regulations may have on our business or operations. Any such laws, rules, and regulations may be inconsistent among different jurisdictions, subject to differing interpretations or may conflict with our current or future practices. Additionally, we may be bound by contractual requirements applicable to our collection, use, processing, and disclosure of various types of information including financial and PII, and may be bound by, or voluntarily comply with, self-regulatory or other industry standards relating to these matters that may further change as laws, rules, and regulations evolve.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Any failure or perceived failure by us, or any third parties with which we do business, to comply with these laws, rules, and regulations, or with other obligations to which we or such third parties are or may become subject, may result in actions or other claims against us by governmental entities or private actors, the expenditure of substantial costs, time, and other resources, or the incurrence of fines, penalties, or other liabilities. There is also a risk that we could be impacted by a cybersecurity incident that results in loss or unauthorized disclosure of personal data, potentially resulting in us facing harms similar to those described above. In addition, any such action, particularly to the extent we were found to be guilty of violations or otherwise liable for damages, would damage our reputation and adversely affect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Because we recognize subscription revenues over the term of the contract, downturns or upturns in our business may not be reflected in our results of operations until future periods.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recognize subscription revenues ratably over the terms of our customer contracts. Most of the subscription revenues we report each quarter are derived from the recognition of deferred revenue relating to subscriptions activated in previous quarters. Consequently, a reduction in activated subscriptions in any single quarter may only have a small impact on our subscription revenues for that quarter. However, such a decline will negatively affect our subscription revenues in future quarters. Accordingly, the effect of significant downturns in sales or market acceptance of our solutions may not be apparent in our current-quarter revenues or reflected in our results of operations until future periods.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markets in which we participate are intensely competitive and highly fragmented, and pricing pressure, new technologies or other competitive dynamics could adversely affect our business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compete with providers of technology and services in the financial services industry, primarily point solution vendors that focus on building functionality that competes with specific components of our solutions. From time to time, we also compete with systems internally developed by FIs. Many of our competitors have significantly more financial, technical, marketing and other resources than we have, may devote greater resources to the development, promotion, sale and support of their systems than we can, have more extensive customer bases and broader customer relationships than we have and have longer operating histories and greater name recognition than we do.</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may also face competition from new companies entering our markets, which may include large established businesses that decide to develop, market or resell cloud-based banking technology, acquire one of our competitors or form a strategic alliance with one of our competitors or with Salesforce. In addition, new companies entering our markets may choose to offer cloud-based banking solutions at little or no additional cost to the customer by bundling them with their existing solutions, including adjacent banking technologies. Competition from these new entrants may make attracting new customers and retaining our current customers more difficult, which may adversely affect our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as we continue to increase building AI/ML into many of our solutions, we face more competition as AI/ML technologies are increasingly integrated into the markets in which we compete. New AI/ML offerings may disrupt workforce needs and negatively impact demand for our solutions, or our competitors may be able to incorporate AI/ML into their offerings more efficiently or successfully than we are able to incorporate it into our solutions, and thereby achieve greater and faster adoption. Even if our AI/ML solutions are more effective than the products and services that our competitors offer, potential customers might select competitive products and services in lieu of purchasing our services.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compete in this environment, sales and renewals of the nCino Platform could decline and adversely affect our business and results of operations. With the introduction of new technologies and potential new entrants into the cloud-based banking technology market, we expect competition to intensify in the future, which could harm our ability to increase sales and achieve profitability.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increased focus on the development and use of AI/ML technologies in our solutions and our business, as well as our potential failure to effectively implement, use, and market these technologies, may result in reputational harm or liability, or could otherwise adversely affect our business.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envision a future where AI/ML is embedded throughout nCino’s platform to help our customers maximize their productivity. We increasingly have incorporated and may continue to incorporate AI/ML solutions and features into our solutions, and otherwise within our business, and these solutions and features continue to become more vital to our operations or to our future growth over time. There can be no assurance that we will realize the desired or anticipated benefits from AI/ML, or at all, and we may fail to properly implement or market our AI/ML solutions and features. The legal, regulatory, and policy environments around AI/ML are evolving rapidly, and we may become subject to new legal and other obligations in connection with our use of AI/ML, which could require us to make significant changes to our policies and practices, necessitating expenditure of significant time, expense, and other resources. For example, in the EU/UK, laws and regulation regarding AI are developing at a fast pace. On August 1, 2024 the EU's standalone law to govern the offering and use of AI systems in the EU (the "AI Act") entered into force - it will become enforceable in a gradual manner between 2025-2027 depending on the specific requirement and the UK has not to date adopted dedicated AI legislation instead looking to rely on a principles-based, sector-specific approach to AI regulation. However, in July 2024 it was announced that new AI regulation would in fact be introduced for certain AI. Moreover, states such as Colorado, Utah, and California, have passed or are considering legislation or regulation governing development or use of AI technologies, supplementing the existing consumer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protection and other regulatory guidance that may apply to the use of AI technologies in our business, and which may impact our use of technology.</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More generally, our use of AI/ML technologies may present additional risks and challenges that could affect their adoption and therefore our business. For example, the development of our AI/ML solutions may present ethical or social issues. If we enable or offer solutions that draw controversy due to their perceived or actual impact privacy, employment, or in other social contexts, we may experience new or enhanced governmental or regulatory scrutiny, brand or reputational harm, competitive harm or legal liability, especially in the context of an environment with heightened geopolitical volatility. Inadequate or ineffective AI/ML development, deployment, content labeling or governance by us or others that result in controversy could also impair the acceptance of AI/ML solutions or result in unintended performance of the services. This in turn could undermine confidence in the decisions, predictions, analysis or other content that our AI/ML solutions produce, subjecting us to competitive harm, legal liability and brand or reputational harm. The rapid evolution of AI/ML will require the application of resources to develop, test and maintain our products and services to help ensure that AI/ML is implemented ethically in order to minimize unintended, harmful impact. Uncertainty around new and emerging AI/ML applications such as generative AI content creation and AI/ML agents will require additional investment in compliance, governance and the licensing or development of proprietary datasets, machine learning models and systems to test for accuracy, bias and other variables, which are often complex, may be costly and could impact our results of operations and financial condition. Moreover, the development of generative AI/ML solutions brings additional risks and responsibility. Known risks of generative AI/ML currently include risks related to accuracy, bias, toxicity, privacy and security and data provenance. For example, AI/ML technologies, including generative AI, may create content that appears correct but is factually inaccurate or flawed, or contains copyrighted or other protected material, and if our customers or others use this flawed or protected content to their detriment, or the owners of such copyrighted material seek to enforce their rights, we may be exposed to brand or reputational harm, competitive harm and/or legal liability. Developing, testing and deploying AI/ML systems may also increase the cost profile of our offerings due to the nature of the computing costs involved in such systems. If we are unable to mitigate these risks, or if we incur excessive expenses in our efforts to do so, our reputation, business, operating results and financial condition may be harmed</w:t>
      </w:r>
      <w:r>
        <w:rPr>
          <w:rFonts w:ascii="Times New Roman;sans-serif" w:hAnsi="Times New Roman;sans-serif"/>
          <w:b w:val="false"/>
          <w:color w:val="000000"/>
          <w:sz w:val="22"/>
        </w:rPr>
        <w: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depend on data centers operated by or on behalf of Salesforce, Amazon Web Services ("AWS"), and other third parties, and any disruption in the operation of these facilities could adversely affect our business and subject us to liability.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solutions are primarily hosted in data centers operated by or on behalf of Salesforce, AWS, and other third parties, and we do not control the operation of these data centers. Problems associated with these data centers could adversely affect the experience of our customers. Any disruptions or other operational performance problems with these data centers could result in material interruptions in our services, adversely affect our reputation and results of operations, and subject us to liability.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and may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consider potential strategic transactions, including acquisitions of, or investments in, businesses, technologies, services, solutions, and other assets. For example, in fiscal 2025 we completed three acquisitions and have already announced one in fiscal 2026. We also may enter into relationships with other businesses to expand our solutions, which could involve preferred or exclusive licenses, additional channels of distribution, discount pricing, or investments in other companies. Negotiating these transactions can be time-consuming, difficult, and expensive, and our ability to close these transactions may be subject to approvals that are beyond our control. For instance, we have incurred significant costs in connection with our fiscal 2025 acquisitions. In addition, nCino has limited experience in acquiring other businesses. If an acquired business fails to meet our expectations, our operating results, business, and financial position may suffer. We may not be able to find and identify desirable acquisition targets, we may incorrectly estimate the value of an acquisition target, and we may not be successful in entering into an agreement with any particular target. If we are successful in acquiring additional businesses, we may not achieve the anticipated benefits from the acquired business due to a number of factors,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our inability to integrate or benefit from acquired technologies or services;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unanticipated costs or liabilities associated with the acquisition;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incurrence of acquisition-related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difficulty integrating the technology, accounting systems, operations, control environments, and personnel of the acquired business and integrating the acquired business or its employees into our culture;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difficulties and additional expenses associated with supporting legacy solutions and infrastructure of the acquired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difficulty converting the customers of the acquired business to our solutions and contract terms, including disparities in terms;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additional costs for the support or professional services model of the acquired company;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diversion of management’s attention and other resources;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adverse effects to our existing business relationships with business partners and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issuance of additional equity securities that could dilute the ownership interests of our stockholders;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incurrence of debt on terms unfavorable to us or that we are unable to repay;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incurrence of substantial liabilities;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difficulties retaining key employees of the acquired business;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adverse tax consequences, substantial depreciation, or deferred compensation charges.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customers are highly regulated. Our failure to comply with laws and regulations applicable to us as a technology provider to FIs could adversely affect our business and results of operations, increase costs, and impose constraints on the way we conduct our business.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Our customers and prospective customers are highly regulated and are generally required to comply with stringent regulations in connection with performing business functions that our solutions address. As a provider of technology to FIs, we have been, and expect to continue to be, examined on a periodic basis by various regulatory agencies and may be required to review certain of our suppliers and partners. In addition, while much of our operations are not directly subject to the same regulations applicable to FIs, we are generally obligated to our customers to provide software solutions and maintain internal systems and processes that comply with certain federal and state regulations applicable to them. For example, as a result of obligations under some of our customer contracts, we are required to comply with certain provisions of the GLBA related to the privacy of consumer information and may be subject to other privacy and data security laws because of the solutions we provide to FIs. The GLBA includes limitations on FI's disclosure of nonpublic personal information about a consumer to nonaffiliated third parties, in certain circumstances requiring FIs to limit the use and further disclosure of nonpublic personal information to nonaffiliated third parties and requiring FIs to safeguard nonpublic personal information. Banking regulations for information security and breach notification also impose obligations on us due to our relationships with customers that increase our information security obligations and customers may impose additional information security standards upon us, such as those relating to the New York Department of Financial Services Cybersecurity Regulation (“Cybersecurity Regulation) or the National Association of Insurance Commissioner’s Insurance Data Security Model Law, which are both intended to establish standards for data security and standards for the investigation and notification of data breaches applicable to insurance licensees.</w:t>
      </w:r>
      <w:r>
        <w:rPr>
          <w:color w:val="000000"/>
        </w:rPr>
        <w:t xml:space="preserve"> </w:t>
      </w:r>
      <w:r>
        <w:rPr>
          <w:rFonts w:ascii="Times New Roman;sans-serif" w:hAnsi="Times New Roman;sans-serif"/>
          <w:b w:val="false"/>
          <w:color w:val="000000"/>
          <w:sz w:val="20"/>
        </w:rPr>
        <w:t xml:space="preserve">As of February 1, 2025, a version of the Insurance Data Security Model law has been adopted in more than 25 jurisdictions. Both the Cybersecurity Regulation and Insurance Data Security Model Law require oversight of third-party service providers with respect to information security, among other things. Matters subject to review and examination by federal and state FI regulatory agencies and external auditors include our internal information technology controls in connection with our performance of data processing services, the agreements giving rise to those processing activities, and the design of our solutions. Any inability to satisfy these examinations and maintain compliance with applicable regulations could adversely affect our ability to conduct our business, including attracting and maintaining customers. If we have to make changes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processes and solutions as result of these regulations, we could be required to invest substantial additional time and funds and divert time and resources from other corporate purposes to remedy any identified deficiency.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evolving, complex, and often unpredictable regulatory environment in which our customers operate could result in our failure to provide compliant solutions, which could result in customers not purchasing our solutions or terminating their contracts with us or the imposition of fines or other liabilities for which we may be responsible. In addition, federal, state, and/or foreign agencies may attempt to further regulate our activities in the future which could adversely affect our business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Any legal proceedings against us could adversely affect our operations and prospects, damage our reputation, and be costly and time-consuming to defend.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the future, we may become subject, from time to time, to legal proceedings and claims that arise in the ordinary course of business, such as claims brought by our customers in connection with commercial disputes or employment claims made by current or former employees. Legal proceedings might result in damages and harm to our operations and prospects, reputational damage, substantial costs, and may divert management’s attention and resources, which might adversely impact our business, overall financial condition, and results of operations. Insurance might not cover such claims, might not provide sufficient payments to cover all the costs to resolve one or more such claims, and might not continue to be available on terms acceptable to us. Moreover, any negative impact to our reputation will not be adequately covered by any insurance recovery. A claim brought against us that is uninsured or underinsured could result in unanticipated costs, thereby reducing our results of operations and leading analysts or potential investors to reduce their expectations of our performance, which could reduce the value of our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corporate culture has contributed to our success, and if we cannot maintain it as we grow, particularly given our recent transition to a new Chief Executive Officer, we could lose the innovation, creativity and teamwork fostered by our culture, and our business may be adversely affected.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corporate culture is one of our fundamental strengths, as we believe it enables us to attract and retain top talent and deliver superior results for our customers. As we grow, we may find it difficult to preserve our corporate culture, which could reduce our ability to innovate and operate effectively. In turn, the failure to preserve our culture could negatively affect our ability to attract, recruit, integrate and retain employees, continue to perform at current levels and effectively execute our business strategy.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appointed Sean Desmond as our new Chief Executive Officer, effective February 1, 2025, and Pierre Naudé resigned as Chief Executive Officer, a position he had held since nCino's inception. Mr. Naudé continues to serve as Executive Chairman. As with any other company transitioning from a long-serving Chief Executive Officer, it will be important to maintain the innovation, creativity, teamwork and other elements essential to the continued growth of our business under new leadership. Any failure to do so may have an adverse impact on our results of operations and financial condition.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encounter implementation challenges, including in situations in which we rely on SIs, which would materially and adversely affect our business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face unexpected challenges related to the complexity of our customers’ implementation and configuration requirements. Implementation of our solutions may be delayed or expenses may increase when customers have unexpected data, software, or technology challenges, or unanticipated business requirements, which could adversely affect our relationship with customers and our operating results. In general, the revenues related to implementation and other professional services we provide are recognized on a proportional performance basis, and delays and difficulties in these engagements could result in losses on these contracts. In addition, our customers often require complex acceptance testing related to the implementation of our solutions. We also leverage the services of SIs, including Accenture, Deloitte, PwC, and West Monroe Partners, among others, to implement and configure the nCino Platform for our larger FI customers, while we have historically performed professional services for smaller FIs ourselves. While SI partners generally contract directly with our customers, any failure or delay by the SI partners we work with in providing adequate service and support would likely adversely affect our brand and reputation. For implementations we conduct ourselves, project delays may result in recognizing revenues later than expected. Further, because we do not fully control our customers’ implementation schedules, if our customers do not allocate the internal resources necessary to meet implementation timelines or if there are unanticipated implementation delays or difficulties, our ability to take customers live and the overall customer experience could be adversely affected. We rely on existing customers to act as references for prospective customers, and difficulties in implementation and configuration could therefore adversely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affect our ability to attract new customers. Any difficulties or delays in implementation processes could cause customers to delay or forego future purchases of our solutions.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experienced rapid growth, and if we fail to manage our growth effectively, we may be unable to execute our business plan, maintain high levels of service and customer satisfaction, or adequately address competitive challenges, any of which may materially and adversely affect our business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our business has grown rapidly, which has resulted in a large increase in our employee headcount, expansion of our infrastructure, enhancement of our internal systems, and other significant changes and additional complexities. Our revenues increased from $408.3 million for fiscal 2023 to $476.5 million for fiscal 2024 and to $540.7 million for fiscal 2025. Our total number of employees increased from 436 as of January 31, 2018 to 1,833 as of January 31, 2025. Managing and sustaining a growing workforce and customer base geographically-dispersed in the U.S. and internationally requires substantial management effort, infrastructure, and operational capabilities. To support our growth, we must continue to improve our management resources and our operational and financial controls and systems, and these improvements may increase our expenses more than anticipated and result in a more complex business. We also have to expand and enhance the capabilities of our sales, relationship management, implementation, customer service, research and development, and other personnel to support our growth and continue to achieve high levels of customer service and satisfaction. Our success depends on our ability to plan for and manage this growth effectively. If we fail to anticipate and manage our growth or are unable to continue to provide high levels of customer service, our reputation, as well as our business and results of operations, could be materially and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Defects, errors, or other performance problems in our solutions could harm our reputation, result in significant costs to us, impair our ability to sell our solutions, and subject us to substantial liability.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solutions are complex and may contain defects or errors when implemented or when new functionality is released. Despite extensive testing, from time to time we have discovered, and may in the future discover, defects or errors in our solutions. Any performance problems or defects in our solutions may materially and adversely affect our business and results of operations. Defects, errors, or other performance problems or disruptions in service to provide bug fixes or upgrades, whether in connection with day-to-day operations or otherwise, could be costly for us, damage our customers’ businesses, and harm our reputation. In addition, if we have any such errors, defects, or other performance problems, our customers could seek to terminate their contracts, elect not to renew their subscriptions, delay or withhold payment, or make claims against us. Any of these actions could result in liability, lost business, increased insurance costs, difficulty in collecting accounts receivable, costly litigation, or adverse publicity. Errors, defects, or other problems could also result in reduced sales or a loss of, or delay in, the market acceptance of our solutions.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fail to accurately anticipate and respond to rapid changes in the industry in which we operate, our ability to attract and retain customers could be impaired and our competitive position could be harmed.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services industry is subject to rapid change and the introduction of new technologies to meet the needs of this industry will continue to have a significant effect on competitive conditions in our market. If we are unable to successfully expand our product offerings beyond our current solutions, our customers could migrate to competitors who may offer a broader or more attractive range of products and services. For example, in fiscal 2025, we launched our Commercial Onboarding and Account Opening solution and we may fail to achieve market acceptance of this offering. Unexpected delays in releasing new or enhanced versions of our solutions, or errors following their release, could result in loss of sales, delay in market acceptance, or customer claims against us, any of which could adversely affect our business. The success of any new solution depends on several factors, including timely completion, adequate quality testing, and market acceptance. We may not be able to enhance aspects of our solutions successfully or introduce and gain market acceptance of new solutions or improvements in a timely manner, or at all. Additionally, we must continually modify and enhance our solutions to keep pace with changes in software solutions, database technology, and evolving technical standards and interfaces. Uncertainties related to our ability to introduce and improve functionality, announcements or introductions of a new or updated solution, or modifications by our competitors could adversely affect our business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leverage third-party software, content, and services for use with our solutions. Performance issues, errors and defects, or failure to successfully integrate or license necessary third-party software, content, or services, could cause delays, errors,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failures of our solutions, increases in our expenses, and reductions in our sales, which could materially and adversely affect our business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use software and content licensed from, and services provided by, a variety of third parties in connection with the operation of our solutions. Any performance issues, errors, bugs, or defects in third-party software, content, or services could result in errors or a failure of our solutions, which could adversely affect our business and results of operations. In the future, we might need to license other software, content, or services to enhance our solutions and meet evolving customer demands and requirements. Any limitations in our ability to use third-party software, content, or services could significantly increase our expenses and otherwise result in delays, a reduction in functionality, or errors or failures of our solutions until equivalent technology or content is either developed by us or, if available, identified, obtained through purchase or license, and integrated into our solutions. In addition, third-party licenses may expose us to increased risks, including risks associated with the integration of new technology, the diversion of resources from the development of our own proprietary technology, and our inability to generate revenues from new technology sufficient to offset associated acquisition and maintenance costs, all of which may increase our expenses and materially and adversely affect our business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fail to successfully expand internationally. In addition, sales to customers outside the U.S. or with international operations expose us to risks inherent in international sales, which may include a marked increase in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the fiscal years ended January 31, 2023, 2024, and 2025, sales to customers outside the U.S. accounted for 15.1%, 18.7% and 21.5%, respectively, of our total revenues. A key element of our growth strategy is to further expand our international operations and worldwide customer base. We have expended significant resources to build out our sales and professional services organizations outside of the U.S. and we may not realize a suitable return on this investment in the near future, if at all. We have limited operating experience in international markets, and we cannot assure you that our international expansion efforts will be successful. Our experience in the U.S. may not be relevant to our ability to expand in any international market.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 international markets requires significant resources and management attention and subjects us to regulatory, economic, and political risks that are different from those in the U.S. Export control regulations in the U.S. may increasingly be implicated in our operations as we expand internationally. These regulations may limit the export of our solutions and provision of our solutions outside of the U.S., or may require export authorizations, including by license, a license exception, or other appropriate government authorizations, including annual or semi-annual reporting and the filing of an encryption registration. Changes in export or import laws, or corresponding sanctions, may delay the introduction and sale of our solutions in international markets, or, in some cases, prevent the export or import of our solutions to certain countries, regions, governments, persons, or entities altogether, which could adversely affect our business, financial condition,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various domestic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our international presence expands and as we increase sales and operations in foreign jurisdictions.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face risks in doing business internationally that could adversely affect our business,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unanticipated costs;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need to localize and adapt our solutions for specific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complying with varying and sometimes conflicting data privacy laws and regulations;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difficulties in staffing and managing foreign operations, including employment laws and regulations;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unstable regional, economic, or political conditions;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different pricing environments, longer sales cycles, and collections issues;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new and different sources of competition;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weaker protection for intellectual property and other legal rights than in the U.S. and practical difficulties in enforcing intellectual property and other rights outside of the U.S.;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laws and business practices favoring local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compliance challenges related to the complexity of multiple, conflicting, and changing governmental laws and regulations, including employment, tax, and anti-bribery laws and regulations;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increased financial accounting and reporting burdens and complexities;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restrictions on the transfer of funds;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adverse tax consequences.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international contracts often provide for payment denominated in local currencies, and the majority of our local costs are denominated in local currencies. Therefore, fluctuations in the value of the U.S. dollar and foreign currencies may impact our results of operations when translated into U.S. dollars. We do not currently engage in currency hedging activities to limit the risk of exchange rate fluctuations.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failure to attract and retain additional qualified personnel could prevent us from executing our business strategy.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must attract and retain highly qualified personnel. In particular, we are dependent upon the services of our senior leadership team, and the loss of any member of this team could adversely affect our business. Competition for executive officers, software developers, sales personnel, and other key employees in our industry is intense. In particular, we compete with many other companies for software developers with high levels of experience in designing, developing, and managing cloud-based software, as well as for skilled sales and operations professionals. Our principal operations are in Wilmington, North Carolina, where the pool of potential employees with the skills we need is more limited than it may be in larger markets, and we are sometimes required to induce prospective employees to relocate. Many of the companies with which we compete for experienced personnel have greater resources than we do. If we fail to attract new personnel or fail to retain and motivate our current personnel, our growth prospects could be severely harmed. In addition, job candidates and existing employees often consider the actual and potential value of the equity awards they receive as part of their overall compensation. Thus, if the perceived value or future value of our stock declines, our ability to attract and retain highly skilled employees may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Failure to effectively expand our sales capabilities could harm our ability to increase our customer base.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Increasing our customer base and expanding customer adoption within and across business lines will depend, to a significant extent, on our ability to effectively expand our sales and marketing operations and activities. We plan to continue to expand our direct sales force both domestically and internationally for the foreseeable future. We believe that there is significant competition for experienced sales professionals with the sales skills and technical knowledge that we require. Newly hired employees require significant training and time before they achieve full productivity and they may not become as productive as quickly as we expect, if at all. Further, we may be unable to hire or retain sufficient numbers of qualified individuals in the future in the markets where we do business. Our business will be adversely affected if our sales expansion efforts do not generate a significant increase in revenues.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fail to provide effective customer training on our solutions and high-quality customer support, our business and reputation would suffer.</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Effective customer training and high-quality, ongoing customer support are critical to the successful marketing, sale, and adoption of our solutions and for the renewal of existing customer contracts. As we grow our customer base, we will need to further invest in and expand our customer support and training organization, which could strain our team and infrastructure and reduce profit margins. If we do not help our customers adopt our solutions, quickly resolve any post-implementation matters, and provide effective ongoing customer support and training, our ability to expand sales to existing and future customers and our reputation would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effectively integrate our solutions with other systems used by our customers, or if there are performance issues with such third-party systems, our solutions will not operate effectively and our business and reputation will be adversely affected.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solutions integrate with other third-party systems used by our customers, including core processing systems. We do not have formal arrangements with many of these third-party providers regarding our access to their application program interfaces to enable these customer integrations. If we are unable to effectively integrate with third-party systems, our customers’ operations may be disrupted, which may result in disputes with customers, negatively impact customer satisfaction and harm our business. If the software of such third-party providers has performance or other problems, such issues may reflect poorly on us and the adoption and renewal of our solutions, and our business and reputation may be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sales cycle can be unpredictable, time-consuming and costly.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sales process involves educating prospective customers and existing customers about the benefits and technical capabilities of our solutions. Prospective customers often undertake a prolonged evaluation process, which typically involves not only our solutions, but also those of our competitors. Our sales cycles are typically lengthy, generally ranging from 6 to 9 for smaller FIs and 12 to 18 months or more for larger FIs. We may spend substantial time, effort and money on our sales and marketing efforts without any assurance that our efforts will produce any sales. Events affecting our customers’ businesses may occur during the sales cycle that could affect the size or timing of a purchase, contributing to more unpredictability in our business and results of operations. As a result of these factors, we may face greater costs, longer sales cycles and less predictability in the future.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Failure to protect our proprietary technology and intellectual property rights could adversely affect our business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success and competitive position depend in part on our ability to protect our intellectual property and proprietary technologies. To safeguard these rights, we rely on a combination of patent, trademark, copyright, and trade secret laws and contractual protections in the U.S. and other jurisdictions, all of which provide only limited protection and may not now or in the future provide us with a competitive advantage.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2025, we had 12 issued patents relating to the nCino Platform in the U.S. Any patents that may issue in the future from our pending or future patent applications may not provide sufficiently broad protection and may not be enforceable in actions against alleged infringers. We have registered the “nCino” name and logo in the U.S. and certain other countries and we have registrations and/or pending applications for additional marks including “nIQ” in the U.S. and certain other countries. However, we cannot assure you that any future trademark registrations will be issued for pending or future applications or that any registered trademarks will be enforceable or provide adequate protection of our proprietary rights. We also license software from third parties for integration into our solutions, including open source software and other software available on commercially reasonable terms. We cannot assure you that such third parties will maintain such software or continue to make it available. We also rely on confidentiality agreements, consulting agreements, work-for-hire agreements, and invention assignment agreements with our employees, consultants, and others.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Despite our efforts to protect our proprietary technology and trade secrets, unauthorized parties may attempt to misappropriate, reverse engineer, or otherwise obtain and use them. In addition, others may independently discover our trade secrets, in which case we would not be able to assert trade secret rights, or develop similar technologies and processes. Further,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U.S. and where mechanisms for enforcement of intellectual property rights may be weak. We may be unable to determine the extent of any unauthorized use or infringement of our solutions, technologies, or intellectual property rights.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use “open source” software in our solutions, which may restrict how we use or distribute our solutions, require that we release the source code of certain software subject to open source licenses, or subject us to litigation or other actions that could adversely affect our business.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use in our solutions, and may use in the future, software that is licensed under “open source,” “free,” or other similar license, where the licensed software is made available to the general public on an “as-is” basis under the terms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a specific non-negotiable license. Some open source software licenses require that software subject to the license be made available to the public and that any modifications or derivative works based on the open source code be licensed in source code form under the same open source licenses. Although we monitor our use of open source software, we cannot assure you that all open source software is reviewed prior to use in our solutions, that our programmers have not incorporated open source software into our solutions, or that they will not do so in the future.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solutions may incorporate third-party software under commercial licenses. We cannot be certain whether such third-party software incorporates open source software without our knowledge. In the past, companies that incorporate open source software into their products have faced claims alleging noncompliance with open source license terms or infringement or misappropriation of proprietary software. Therefore, we could be subject to suits by parties claiming noncompliance with open source licensing terms or infringement or misappropriation of proprietary software. Because few courts have interpreted open source licenses, the manner in which these licenses may be interpreted and enforced is subject to some uncertainty. There is a risk that open source software licenses could be construed in a manner that imposes unanticipated conditions or restrictions on our ability to market or provide our solutions. As a result of using open source software subject to such licenses, we could be required to release proprietary source code, pay damages, re-engineer our solutions, limit or discontinue sales, or take other remedial action, any of which could adversely affect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Assertions by third parties of infringement or other violations by us of their intellectual property rights, whether or not correct, could result in significant costs and adversely affect our business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Intellectual property disputes are common in our industry. We may be subject to claims in the future alleging that we have misappropriated, misused, or infringed other parties’ intellectual property rights. Some companies, including certain of our competitors, own a larger number of patents, copyrights, and trademarks than we do, which they may use to assert claims against us. This disparity may also increase the risk that third parties may sue us for patent infringement and may limit our ability to counterclaim for patent infringement or settle through patent cross-licenses. In addition, future assertions of patent rights by third parties, and any resulting litigation, may involve patent holding companies, non-practicing entities, or other adverse patent owners who have no relevant product revenues and against whom our own patents may provide little or no deterrence or protection. Our solutions utilize third-party licensed software, and any failure to comply with the terms of one or more of these licenses could adversely affect our business. Third parties may also assert claims of intellectual property rights infringement against our customers, whom we are typically required to indemnify. As competition increases,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could distract our management from our business, and could deter customers or potential customers from purchasing our solutions.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successfully defend third-party intellectual property claims. An adverse outcome of a dispute may require us to:</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pay substantial damages, including treble or statutory damages, if we are found to have willfully infringed a third party’s patents or copyrights, respectively;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cease developing or selling any elements of our solutions that rely on technology that is alleged to infringe or misappropriate the intellectual property of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enter into potentially unfavorable royalty or license agreements in order to obtain the right to use necessary technologies or intellectual property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expend additional development resources to attempt to redesign our solutions or otherwise develop non-infringing technology, which may not be successful;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indemnify our customers and other third parties.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Any license we may enter into as a result of litigation may be non-exclusive, and therefore our competitors may have access to the same technology licensed to us. Any of the foregoing events could adversely affect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raise capital in a timely manner if needed in the future may be limited, or such capital may be unavailable on acceptable terms, if at all. Our failure to raise capital if needed could adversely affect our business and results of operations, and any debt or equity issued to raise additional capital may reduce the value of our common stock.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funded our operations since inception primarily through equity financings and receipts generated from customers. During our fiscal year 2024, we supplemented our liquidity with a revolving credit facility of up to $250.0 million (the "Credit Facility"). As of January 31, 2025, we had $166.0 million outstanding under our Credit Facility. In March 2024, we amended our then-existing revolving credit facility and increased our borrowing availability from $50.0 million to $100.0 million and, in October 2024, we terminated our then-existing revolving credit facility and obtained the Credit Facility. We cannot be certain when or if our operations will generate sufficient cash to fund our ongoing operations or the growth of our business. We intend to continue to make investments to support our business and may require additional funds. Additional financing may not be available on favorable terms, if at all. If adequate funds are not available on acceptable terms, we may be unable to invest in future growth opportunities, which could adversely affect our business and results of operations. If we incur debt, including under the Credit Facility, the lenders would have rights senior to holders of common stock to make claims on our assets, and the terms of any future debt could restrict our operations, and we may be unable to service or repay the debt. Furthermore, if we issue additional equity securities, stockholders may experience dilution, and the new equity securities could have rights senior to those of our common stock. Because our decision to issue securities in a future offering will depend on numerous considerations, including factors beyond our control, we cannot predict or estimate the impact any future incurrence of debt or issuance of equity securities will have on us. Any future incurrence of debt or issuance of equity securities could adversely affect the value of our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substantial net operating losses (“NOLs”), during our history. U.S. federal and certain state NOLs generated in taxable years beginning after December 31, 2017 are not subject to expiration. Federal NOLs generally may not be carried back to prior taxable years except that, under the Coronavirus Aid, Relief and Economic Security (CARES) Act, federal NOLs generated in tax years 2018, 2019, and 2020 may be carried back to each of the five taxable years preceding the taxable year in which the loss arises. Additionally, for taxable years beginning after December 31, 2020, the deductibility of federal NOLs is limited to 80% of our taxable income in such taxable year. NOLs generated in tax years before 2018 may still be used to offset future taxable income without regard to the 80% limitation, although they have the potential to expire without being utilized if we do not achieve profitability in the future. However, under the rules of Sections 382 and 383 of the Internal Revenue Code of 1986, as amended (the “Code”), if a corporation undergoes an “ownership change,” generally defined as a greater than 50% change (by value) in its equity ownership over a three-year period, the corporation’s ability to use its NOLs, pre-change tax attributes and any net unrealized built-in losses to offset its post-change taxable income or taxes may be limited. The applicable rules generally operate by focusing on changes in ownership among stockholders considered by the rules as owning, directly or indirectly, 5% or more of the stock of a company, as well as changes in ownership arising from new issuances of stock by the company. The rules of Section 382 are regularly being evaluated to determine any potential limitations. If we experience one or more ownership changes as a result of future transactions in our stock, then we may be limited in our ability to use our NOL carryforwards, pre-change tax attributes or deductions to offset our future taxable income, if any.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Amendments to existing tax laws, rules, or regulations, or enactment of new unfavorable tax laws, rules, or regulations could have an adverse effect on our business and operating results.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For example, the Tax Cuts and Jobs Act was enacted in 2017 and made a number of significant changes to the current U.S. federal income tax rules, including reducing the generally applicable corporate tax rate from 35% to 21%, imposing additional limitations on the deductibility of interest, placing limits on the utilization of NOLs, and making substantial changes to the international tax rules. In addition, on March 27, 2020, the CARES Act was signed into law, which included certain changes in tax law intended to stimulate the U.S. economy in light of the COVID-19 pandemic, including temporary beneficial changes to the treatment of net operating losses, interest deductibility limitations, and payroll tax matters. Many of the provisions of the Tax Cuts and Jobs Act still require guidance through the issuance and/or finalization of regulations by the U.S. Treasury Department in order to fully assess their effects, and there may be substantial delays before such regulations are promulgated and/or finalized, increasing the uncertainty as to the ultimate effects of the Tax Cuts and Jobs Act on us and our stockholders. There also may be technical corrections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legislation or other legislative changes proposed with respect to the Tax Cuts and Jobs Act, the effects of which cannot be predicted and may be adverse to us or our stockholders.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Relating to Ownership of Our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market price of our common stock may be volatile or may decline steeply or suddenly regardless of our operating performance and we may not be able to meet investor or analyst expectations and you may lose all or part of your investment.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may fluctuate or decline significantly in response to numerous factors, many of which are beyond our control,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variations between our actual operating results and the expectations of securities analysts, investors, and the financial community;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forward-looking financial or operating information we may provide to the public or securities analysts, any changes in this information, or our failure to meet expectations based on this information;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actions of securities analysts who initiate or maintain coverage of us, changes in financial estimates by any securities analysts who follow us, or our failure to meet these estimates or the expectations of investors;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additional shares of our common stock being sold into the market by us or our existing stockholders, or the anticipation of such sales;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hedging activities by market participants;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announcements by us or our competitors of significant products or features, technical innovations, acquisitions, strategic partnerships, joint ventures, or capital commitments;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operating performance and stock market valuations of companies in our industry, including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price and volume fluctuations in the overall stock market, including as a result of trends in the economy as a whole, including inflation and rising interest rates;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lawsuits threatened or filed against us;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developments in new legislation and pending lawsuits or regulatory actions, including interim or final rulings by judicial or regulatory bodies;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other events or factors, political conditions, election cycles, war or incidents of terrorism, or responses to these events.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extreme price and volume fluctuations in the stock markets have affected and continue to affect many technology companies’ stock prices. Stock prices often fluctuate in ways unrelated or disproportionate to a company’s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for the foreseeable future and, as a result, your ability to achieve a return on your investment will depend on appreciation in the price of our common stock.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Future securities issuances could result in significant dilution to our existing stockholders and impair the market price of our common stock.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purchasers of our common stock bear the risk that future issuances of debt or equity securities may reduce the value of our common stock and further dilute their ownership interest.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Delaware law and provisions in our amended and restated certificate of incorporation and bylaws could make a merger, tender offer, or proxy contest difficult, thereby depressing the trading price of our common stock.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establish a classified board of directors so that not all members of our board of directors are elected at one time;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permit the board of directors to establish the number of directors and fill any vacancies and newly-created directorships;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provide that directors may only be removed for cause;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require super-majority voting to amend some provisions in our amended and restated certificate of incorporation and bylaws;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authorize the issuance of “blank check” preferred stock that our board of directors could use to implement a stockholder rights plan;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prohibit stockholders from calling special meetings of stockholders;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prohibit stockholder action by written consent, which requires all stockholder actions to be taken at a meeting of our stockholders;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provide that the board of directors is expressly authorized to make, alter, or repeal our bylaws;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restrict the forum for certain litigation against us to Delaware;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provision of our amended and restated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unless we consent in writing to the selection of an alternative forum, to the fullest extent permitted by law, the sole and exclusive forum for (1) any derivative action or proceeding brought on our behalf under Delaware law, (2) any action asserting a claim of breach of a fiduciary duty owed by any of our directors, officers or other employees to us or our stockholders, (3) any action arising pursuant to any provision of the Delaware General Corporation Law (“DGCL”), our amended and restated certificate of incorporation or bylaws, (4) 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harm our results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bidi w:val="0"/>
        <w:spacing w:lineRule="auto" w:line="268" w:before="240" w:after="283"/>
        <w:jc w:val="left"/>
        <w:rPr>
          <w:rFonts w:ascii="Times New Roman;sans-serif" w:hAnsi="Times New Roman;sans-serif"/>
          <w:b/>
          <w:i/>
          <w:color w:val="000000"/>
          <w:sz w:val="20"/>
        </w:rPr>
      </w:pPr>
      <w:r>
        <w:rPr>
          <w:rFonts w:ascii="Times New Roman;sans-serif" w:hAnsi="Times New Roman;sans-serif"/>
          <w:b/>
          <w:i/>
          <w:color w:val="000000"/>
          <w:sz w:val="20"/>
        </w:rPr>
        <w:t>Uncertain, volatile, or weakened economic conditions, including inflation and rising interest rates, tariffs and trade issues, and geopolitical uncertainties, may adversely affect our industry, business,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performance depends on economic conditions, which may be challenging at various times in the future. Financial developments, monetary and other developments seemingly unrelated to us or our industry may adversely affect us. For example, the higher interest rate environment in the U.S., undertaken as a means to manage inflation, has had an impact on the real estate market in the U.S. and specifically, the demand for mortgage and mortgage-related products and services, which has had a negative impact on our U.S. mortgage business and may continue to adversely impact that business to the extent the higher interest rate environment persists.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Moreover, domestic and international economies have from time-to-time been impacted by falling demand for a variety of goods and services, tariffs and other trade issues, threatened sovereign defaults and ratings downgrades, restricted credit, threats to major multinational companies, poor liquidity, reduced corporate profitability, volatility in credit, equity and foreign exchange markets, bankruptcies, and overall uncertainty, including uncertainty as a result of geopolitical events such as the conflicts in and around Ukraine, the Middle East and other parts of the world. In particular, recent tariffs and reciprocal trade measures enacted or threatened to be enacted by the U.S. and other countries have led to increased volatility and uncertainty in certain parts of the global economy. We cannot predict the timing, strength, or duration of the current or any future potential economic volatility or slowdown in the U.S. or globally. These conditions affect the rate of technology spending generally and could adversely affect our customers’ ability or willingness to purchase our solutions, delay prospective customers’ purchasing decisions, reduce the value or duration of their subscriptions, or affect renewal rates, any of which could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Natural or man-made disasters and other similar events may significantly disrupt our business, and negatively impact our business, financial condition,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our employee base, operating facilities, and infrastructure are centralized in Wilmington, North Carolina. Any of our facilities may be harmed or rendered inoperable by natural or man-made disasters, including hurricanes, tornadoes, wildfires, floods, earthquakes, nuclear disasters, acts of terrorism or other criminal activities, infectious disease outbreaks or pandemic events,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the facilities of our third-party providers, including Salesforce and AWS, may be harmed or rendered inoperable by such natural or man-made disasters, which may cause disruptions, difficulties, or otherwise materially and adversely affect our business.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is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covers us or may cover us were to cease coverage of us or fail to regularly publish reports on us, we could lose visibility in the financial markets, which in turn could cause the trading price or trading volume of our common stock to decline.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Failure to maintain the adequacy of internal controls over financial reporting may adversely affect investor confidence in our company and, as a result, the value of our common stock.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pursuant to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controls over financial reporting. Our independent registered public accounting firm is required to annually attest to the effectiveness of our internal controls over financial reporting. We are required to disclose significant changes made in our internal controls procedure on a quarterly basis.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compliance with Section 404 has required, and will continue to require, that we incur substantial accounting expense and expend significant management efforts.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evaluation and testing process of our internal controls, if we identify one or more material weaknesses in our internal controls over financial reporting, we will be unable to assert that our internal controls over financial reporting are effective. We cannot assure you that there will not be material weaknesses or significant deficiencies in our internal controls over financial reporting in the future. Any failure to maintain internal controls over financial reporting could severely inhibit our ability to accurately report our financial condition and operating results. If we are unable to conclude that our internal controls over financial reporting are effective, or if our independent registered public accounting firm determines we have a material weakness or significant deficiency in our internal controls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controls over financial reporting, or to implement or maintain other effective control systems required of public companies, could also restrict our future access to the capital markets.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as a public company requires us to incur substantial costs and requires substantial management attention.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have incurred and will continue to incur substantial legal, accounting, and other expenses. For example, we are subject to the reporting requirements of the Exchange Act, the applicable requirements of the Sarbanes-Oxley Act and the Dodd-Frank Wall Street Reform and Consumer Protection Act, the rules and regulations of the SEC, and the rules and regulations of The Nasdaq Global Select Market. As part of these requirements, we established and maintain effective disclosure and financial controls and make changes to our corporate governance practices. Compliance with these requirements has and will continue to increase our legal and financial compliance costs and will make some activities more time-consuming.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and other personnel divert attention from other business matters to devote substantial time to the reporting and other requirements of being a public company. In particular, we incur significant expense and devote substantial management effort to complying with the requirements of Section 404 of the Sarbanes-Oxley Act.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terms of our Credit Facility contain restrictive covenants that may limit our operating flexibility.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28, 2024, we entered into a Credit Agreement by and among the Company, nCino OpCo, Inc., certain subsidiaries of the Company as guarantors, the lenders party thereto, and Bank of America, N.A. as administrative agent, pursuant to which we received access to a revolving Credit Facility of up to $250.0 million. As of January 31, 2025, we had $166.0 million outstanding under our Credit Facility. The Credit Facility contains affirmative and restrictive covenants that limit our operating ability including to, among other things, dispose of assets, merge with other companies, incur additional indebtedness and liens, engage in new businesses, acquire certain other companies and modify organizational documents. In addition, the Credit Facility is secured by substantially all of our personal property, and the Credit Facility requires us to satisfy certain covenants, including maintaining certain total leverage and interest coverage ratios under the Credit Facility. As a result of these restrictions, we will be limited as to how we conduct our business and we may be unable to raise additional debt or equity financing to compete effectively or to take advantage of new business opportunities. There is no guarantee that we will be able to meet our covenants or pay the principal and interest on any such debt. Furthermore, there is no guarantee that future working capital, borrowings or equity financing will be available to repay or refinance any such debt. Any inability to make scheduled payments, meet the financial or other covenants in our Credit Facility would adversely affect our business. Further, at any time, if we violate the terms of the Credit Facility or otherwise fail to meet our covenants, we may not be able to obtain a waiver from the lenders under satisfactory terms, if at all, which would limit our operating flexibility and/or liquidity and which would have an adverse effect on our business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nCino has implemented a variety of cybersecurity processes, technologies, and controls to aid in our efforts to identify, assess and manage material risks. Our approach includes (i) nCino’s Enterprise Risk Management Program, as managed by the Internal Audit &amp; Enterprise Risk Management Department and overseen by the Audit Committee of the Board; (ii) cybersecurity risk and threat assessments; (iii) vulnerability management programs designed to identify hardware and software vulnerabilities; (iv) variety of tools designed to monitor our networks and systems for suspicious activity; and (v) incident response plans and trainings. The Enterprise Risk Management Program includes a cybersecurity risk management process and a formal Information Security Management System ("ISMS") as foundational components of the program covering cybersecurity. Within this process, we routinely assess risks that could affect the organization's ability to meet its business objectives and provide reliable services to our customers. nCino’s Chief Information Security Officer ("CISO") is responsible for identifying, assessing, and managing material cybersecurity risks. nCino’s CISO brings over 25 years of experience in security and risk management to the Company, reporting to executive leadership, cybersecurity-focused committees, and nCino’s Board of Directors.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nCino conducts annual cybersecurity risk and threat assessments which include detailed control analyses for measuring both inherent and residual risk factors. These assessments are performed by nCino Information Security as part of ISO 27001 ISMS requirements, framework and certification. Our annual risk assessment, aligned to ISO 27001 and National Institute of Standards and Technology ("NIST"), is the basis for security risk identification, with additional assessments to address risks that threaten the achievement of established control objectives. Threats to security, confidentiality, and availability are identified and assessed as part of our annual and routine risk assessments</w:t>
      </w:r>
      <w:r>
        <w:rPr>
          <w:rFonts w:ascii="Times New Roman;sans-serif" w:hAnsi="Times New Roman;sans-serif"/>
          <w:b w:val="false"/>
          <w:color w:val="000000"/>
          <w:sz w:val="24"/>
        </w:rPr>
        <w:t xml:space="preserve">. </w:t>
      </w:r>
      <w:r>
        <w:rPr>
          <w:rFonts w:ascii="Times New Roman;sans-serif" w:hAnsi="Times New Roman;sans-serif"/>
          <w:b w:val="false"/>
          <w:color w:val="000000"/>
          <w:sz w:val="20"/>
        </w:rPr>
        <w:t>Additional information on the cybersecurity risks we face is discussed in Part I, Item 1A of this Annual Report on Form 10-K, “Risk Factors.”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nCino’s CISO reports cyber security risk assessment results at the Enterprise Risk Management Committee, Information Security, and Board and Audit Committee Meetings. nCino uses formal and informal education and training efforts to identify and mitigate cybersecurity risk, which includes external collaboration with peers and industry groups. nCino maintains a documented process for when and by whom senior management is informed of a cybersecurity incident and when such information will be reported to affected parties. These processes are detailed within our Incident Response Plan which is regularly reviewed and updated by the information security team.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headquarters are located in Wilmington, North Carolina where we lease several facilities encompassing approximately 224,000 square feet plus a 648-space parking deck. The leases relating to approximately 180,000 square feet of those facilities plus an adjacent parking deck expire in October 2037, each with options to extend and a purchase option that expires if not exercised on or before November 30, 2026. We have additional domestic offices in the U.S. and international offices in the United Kingdom, Australia, Canada, Japan, Spain, New Zealand and South Africa. All of our offices are leased, and we do not own any real property.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facilities are adequate for our current needs. We believe that we will be able to obtain additional space on commercially reasonable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become involved in various litigation matters and be subject to claims that arise in the ordinary course of business. For information regarding legal proceedings, see Note 15 "Commitments and Contingencies" of the notes to our consolidated financial statements included in Part II, Item 8 of this Annual Report on Form 10-K, which is incorporated by reference into this Part I, Item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Market Information for Common Stock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has been listed on The Nasdaq Global Select Market under the symbol “NCNO” since July 14, 2020. Prior to that date, there was no public trading market for our common stock.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Stockholders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2025, there were 90 holders of record of our common stock. Because many of such shares are held by brokers and other institutions on behalf of stockholders, we are unable to estimate the total number of stockholders represented by these record holders.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Dividends Policy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cash dividends on our common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Our ability to pay cash dividends on our capital stock may be limited by any future debt instruments or preferred securities.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 or the Exchange Act.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graph below compares the cumulative total return to our stockholders on our common stock between July 14, 2020 (the date our common stock commenced trading on the Nasdaq Global Select Market) through January 31, 2025 in comparison to the Russell 2000 Index and the S&amp;P 1500 Application Software Index. The graph assumes $100 was invested in our common stock on July 14, 2020, the Russell 2000 Index, and the S&amp;P 1500 Application Software Index and assumes the reinvestment of any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990"/>
        <w:jc w:val="center"/>
        <w:rPr>
          <w:rFonts w:ascii="Times New Roman;sans-serif" w:hAnsi="Times New Roman;sans-serif"/>
          <w:b/>
          <w:color w:val="000000"/>
          <w:sz w:val="20"/>
        </w:rPr>
      </w:pPr>
      <w:r>
        <w:rPr>
          <w:rFonts w:ascii="Times New Roman;sans-serif" w:hAnsi="Times New Roman;sans-serif"/>
          <w:b/>
          <w:color w:val="000000"/>
          <w:sz w:val="20"/>
        </w:rPr>
        <w:t>Comparison of Cumulative Total Return of nCino, Inc.</w:t>
      </w:r>
    </w:p>
    <w:p>
      <w:pPr>
        <w:pStyle w:val="TextBody"/>
        <w:bidi w:val="0"/>
        <w:spacing w:before="240" w:after="283"/>
        <w:jc w:val="center"/>
        <w:rPr/>
      </w:pPr>
      <w:r>
        <w:rPr/>
        <w:drawing>
          <wp:inline distT="0" distB="0" distL="0" distR="0">
            <wp:extent cx="6477000" cy="3619500"/>
            <wp:effectExtent l="0" t="0" r="0" b="0"/>
            <wp:docPr id="3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 descr=""/>
                    <pic:cNvPicPr>
                      <a:picLocks noChangeAspect="1" noChangeArrowheads="1"/>
                    </pic:cNvPicPr>
                  </pic:nvPicPr>
                  <pic:blipFill>
                    <a:blip r:embed="rId2"/>
                    <a:stretch>
                      <a:fillRect/>
                    </a:stretch>
                  </pic:blipFill>
                  <pic:spPr bwMode="auto">
                    <a:xfrm>
                      <a:off x="0" y="0"/>
                      <a:ext cx="6477000" cy="3619500"/>
                    </a:xfrm>
                    <a:prstGeom prst="rect">
                      <a:avLst/>
                    </a:prstGeom>
                  </pic:spPr>
                </pic:pic>
              </a:graphicData>
            </a:graphic>
          </wp:inline>
        </w:drawing>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See Part III, Item 12 “Security Ownership of Certain Beneficial Owners and Management and Related Stockholder Matters” for more information regarding securities authorized for issuance.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of our financial condition and results of operations should be read together with our consolidated financial statements and related notes and other financial information included in this Annual Report on Form 10-K.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the section titled “Risk Factors.” Our historical results are not necessarily indicative of the results that may be expected for any period in the future. Our fiscal year ends on January 31 of each year and references in this Annual Report on Form 10-K to a fiscal year mean the year in which that fiscal year ends. For example, references in this Annual Report on Form 10-K to "fiscal 2025" refer to the fiscal year ended January 31, 2025.</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section of this Form 10-K discusses our financial condition and results of operations for fiscal 2025 and 2024 and year-to-year comparisons between fiscal 2025 and fiscal 2024. Discussions of fiscal 2023 items and year-to-year comparisons between fiscal 2024 and fiscal 2023 that are not included in this Form 10-K can be found in Part II, Item 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color w:val="000000"/>
        </w:rPr>
      </w:pPr>
      <w:r>
        <w:rPr>
          <w:color w:val="000000"/>
        </w:rPr>
        <w:t>“</w:t>
      </w:r>
      <w:r>
        <w:rPr>
          <w:rFonts w:ascii="Times New Roman;sans-serif" w:hAnsi="Times New Roman;sans-serif"/>
          <w:b w:val="false"/>
          <w:i/>
          <w:color w:val="000000"/>
          <w:sz w:val="20"/>
        </w:rPr>
        <w:t>Management's Discussion and Analysis of Financial Condition and Results of Operations” of our Annual Report on Form 10-K for the fiscal year ended January 31, 2024, filed with the SEC on March 26,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employees at financial institutions do their daily work and serve their clients, they often face inefficiencies from disparate systems, broken workflows, manual processes, and the inability to harness and utilize data effectively. This negatively impacts risk management, decision making and the experiences of bankers and their clients.</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 solve the problem, FIs need technology that helps them reengineer every experience, intelligently and with agility as market needs shift, and a partner with the experience to help advise on best practices.</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nCino's trusted platform enables FIs to consolidate vendors while optimizing operations by integrating AI and actionable insights to cohesively bring together people and data and thereby enhance strategic decision-making, risk management, and customer satisfaction. </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From managing complex credit portfolios to streamlining account onboarding and originating loans, nCino helps FIs of all sizes globally deliver faster, intelligent, and more connected experiences. With the nCino Platform, FIs can: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embrace the power of intelligent automation and uncover data-driven insights,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improve efficiency,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elevate employee and customer experience,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manage risk and helping to ensure compliance more effectively,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nCino was originally founded in a bank to improve that institution's operations and client service. After realizing that virtually all banks and credit unions were dealing with the same problems—cumbersome legacy technology, fragmented data, disconnected business functions, and a disengaged workforce made it difficult to maintain relevancy in their clients' lives—nCino was spun out as a separate company in late 2011 to help more institutions solve these challenges using cloud-based technology.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initially focused on developing the nCino Platform to transform commercial and small business lending for community and regional banks in the United States ("U.S."). We scaled the platform to enterprise banks in the U.S. in 2014, and then internationally in 2017. We have subsequently expanded across North America, Europe, the Middle East, Japan and Asia-Pacific ("APAC").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nCino's approach to market expansion includes strategically building products and acquiring technology to continue to fulfill a platform vision. Over the years, we built and enhanced products internally to ensure innovation and seamless integration across key solutions lines of commercial, small business and consumer banking. Through the strategic acquisitions of SimpleNexus, DocFox, FullCircl, ILT, Visible Equity, FinSuite, and our recent acquisition of Sandbox Banking, we significantly augmented the nCino's Platform's capabilities for mortgage lending, onboarding, account opening, indirect auto lending, and advanced analytics and AI. This strategic approach has allowed us to create a unified platform of best-in-class intelligent solutions, enabling FIs to replace multiple legacy systems, connect their operations, and streamline workflows and processes across various business lines to achieve desired business impact and process improvement.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offer the nCino Platform on a subscription basis pursuant to non-cancellable multi-year contracts that are typically three to five years. nCino has evolved from being a single product workflow solution to offering a platform of best-in-class, intelligent solutions. Our new Intelligent Solution Framework pricing model helps ensure the value-based positioning and pricing of our products and creates an opportunity to embed intelligence into all our solutions. Starting in fiscal 2025, by moving away from a seat-based pricing model to pricing directly correlated to the FI's assets, we are aligning our revenues to the usefulness the nCino Platform provides as nCino creates efficiencies for our customers. For fiscal 2025, we had a subscription revenue net retention rate of 110%. See Item 7 of this Annual Report on Form 10-K, “Management’s Discussion and Analysis of Financial Condition and Results of Operations—Factors Affecting Our Operating Results—Subscription Revenue Net Retention Rate” for additional information on subscription revenue retention rates.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our solutions directly through our business development managers, account executives, field sales engineers, and customer success managers. Our sales efforts in the U.S. are organized around FIs based on size, whereas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internationally, we focus our sales efforts by geography. As of January 31, 2025, we had 194 sales and sales support personnel in the U.S. and 136 sales and support personnel in offices outside the U.S.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 help customers go live with our solutions, we offer professional services including configuration and implementation, training, and advisory services. For enterprise FIs, we generally work with SI partners such as Accenture, Deloitte, and PwC for the delivery of professional services for the nCino Platform. For regional FIs, we work with SIs such as West Monroe Partners, and for community banks, we work with SIs or perform configuration and implementation ourselves. We expect enterprise FIs to make up a greater proportion of our nCino Platform sales.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March 20, 2024 (the "DocFox Acquisition Date"), we acquired DocFox, Inc. ("DocFox") which provides a solution for automating onboarding experiences for commercial and business banking, for an aggregate preliminary purchase price of $74.3 million. We funded the purchase consideration with $75.0 million borrowed under our revolving credit facility. We acquired Integrated Lending Technologies, LLC ("ILT") on April 1, 2024 (the "ILT Acquisition Date"), which provides consumer loan origination software that streamlines direct and indirect lending operations, for an aggregate purchase price of $20.0 million in cash. On November 5, 2024 (the "FullCircl Acquisition Date"), we acquired Artesian Solutions Limited, operating as FullCircl ("FullCircl"), a UK-based SaaS platform built to help FIs automate and accelerate onboarding and improve client lifecycle management. We funded $129.2 million of the purchase consideration with borrowings made in October 2024 under our revolving credit facility. See Note 6 "Business Combinations" and Note 14 "Revolving Credit Facility" of the notes to our consolidated financial statements included in Part II, Item 8 of this Annual Report on Form 10-K for additional information. We have included the financial results of DocFox, ILT and FullCircl in the consolidated financial statements from the DocFox Acquisition Date, the ILT Acquisition Date, and the FullCircl Acquisition Date,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total revenues were $408.3 million, $476.5 million, and $540.7 million for fiscal 2023, 2024, and 2025, respectively, representing a 15.1% compound annual growth rate. Our subscription revenues were $344.8 million, $409.5 million, and $469.2 million for fiscal 2023, 2024, and 2025, representing a 16.7% compound annual growth rate. Our total subscription revenues include an aggregate of $12.3 million from DocFox, ILT, and FullCircl for fiscal 2025. We recorded net losses attributable to nCino in fiscal 2023, 2024, and 2025 of $102.7 million, $42.3 million, and $37.9 million, respectively. For fiscal 2025, our financial results include the operating results of DocFox, ILT and FullCircl from the DocFox Acquisition Date, the ILT Acquisition Date, and the FullCircl Acquisition Date,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2025, we acquired Alphapack, Co. dba Sandbox Banking ("Sandbox Banking"), a digital transformation leader serving the financial services industry, for an aggregate purchase price of $52.5 million, subject to customary adjustments, with an additional earn-out opportunity of up to $10.0 million. This acquisition strengthens our ability to enhance data connectivity and streamline operations for banks and credit unions through an industry-leading Integration Platform as a Service (iPaaS) solution for a more intelligent and harmonious technology platform. See Note 20 "Subsequent Events" of the notes to our consolidated financial statements included in Part II, Item 8 of this Annual Report on Form 10-K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Factors Affecting Our Operating Results</w:t>
      </w:r>
    </w:p>
    <w:p>
      <w:pPr>
        <w:pStyle w:val="TextBody"/>
        <w:bidi w:val="0"/>
        <w:spacing w:lineRule="auto" w:line="288" w:before="240" w:after="283"/>
        <w:ind w:left="0" w:right="0" w:firstLine="990"/>
        <w:jc w:val="left"/>
        <w:rPr/>
      </w:pPr>
      <w:r>
        <w:rPr>
          <w:rFonts w:ascii="Times New Roman;sans-serif" w:hAnsi="Times New Roman;sans-serif"/>
          <w:b/>
          <w:i/>
          <w:color w:val="000000"/>
          <w:sz w:val="20"/>
        </w:rPr>
        <w:t>Market Adoption of Our Solution</w:t>
      </w:r>
      <w:r>
        <w:rPr>
          <w:rFonts w:ascii="Times New Roman;sans-serif" w:hAnsi="Times New Roman;sans-serif"/>
          <w:b w:val="false"/>
          <w:color w:val="000000"/>
          <w:sz w:val="20"/>
        </w:rPr>
        <w:t>. Our future growth depends on our ability to expand our reach to new FI customers and increase adoption with existing customers as they broaden their use of our solutions within and across lines of business. Our success in growing our customer base and expanding adoption of our solutions by existing customers requires a focused direct sales engagement and the ability to convince key decision makers at FIs to replace legacy third-party point solutions or internally developed software with our solutions. Our ability to successfully implement our new asset-based pricing model that formally started in fiscal 2025 will also be a key driver. In addition, growing our customer base will require us to increasingly penetrate markets outside the U.S., which accounted for 21.5% of total revenues for fiscal 2025. For new customers, our sales cycles are typically lengthy, generally ranging from 6 to 9 for smaller FIs to 12 to 18 months or more for larger FIs.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our common stock.</w:t>
      </w:r>
    </w:p>
    <w:p>
      <w:pPr>
        <w:pStyle w:val="TextBody"/>
        <w:bidi w:val="0"/>
        <w:spacing w:lineRule="auto" w:line="288" w:before="240" w:after="283"/>
        <w:ind w:left="0" w:right="0" w:firstLine="990"/>
        <w:jc w:val="left"/>
        <w:rPr/>
      </w:pPr>
      <w:r>
        <w:rPr>
          <w:rFonts w:ascii="Times New Roman;sans-serif" w:hAnsi="Times New Roman;sans-serif"/>
          <w:b/>
          <w:i/>
          <w:color w:val="000000"/>
          <w:sz w:val="20"/>
        </w:rPr>
        <w:t>Mix of Subscription and Professional Services Revenues.</w:t>
      </w:r>
      <w:r>
        <w:rPr>
          <w:color w:val="000000"/>
        </w:rPr>
        <w:t xml:space="preserve"> </w:t>
      </w:r>
      <w:r>
        <w:rPr>
          <w:rFonts w:ascii="Times New Roman;sans-serif" w:hAnsi="Times New Roman;sans-serif"/>
          <w:b w:val="false"/>
          <w:color w:val="000000"/>
          <w:sz w:val="20"/>
        </w:rPr>
        <w:t xml:space="preserve">The initial deployment of our solutions by our customers requires a period of implementation and configuration services that typically average less than six months, but may extend beyond twelve months depending on scope. As a result, during the initial go-live period for a customer on the nCino Platform, professional services revenues generally make up a substantial portion of our revenues from that customer, whereas over time, revenues from established customers are more heavily weighted to subscriptions. While professional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will fluctuate as a percentage of total revenues, we expect subscription revenues will continue to make up an increasing proportion of our total revenues.</w:t>
      </w:r>
    </w:p>
    <w:p>
      <w:pPr>
        <w:pStyle w:val="TextBody"/>
        <w:bidi w:val="0"/>
        <w:spacing w:lineRule="auto" w:line="288" w:before="240" w:after="283"/>
        <w:ind w:left="0" w:right="0" w:firstLine="990"/>
        <w:jc w:val="left"/>
        <w:rPr/>
      </w:pPr>
      <w:r>
        <w:rPr>
          <w:rFonts w:ascii="Times New Roman;sans-serif" w:hAnsi="Times New Roman;sans-serif"/>
          <w:b/>
          <w:i/>
          <w:color w:val="000000"/>
          <w:sz w:val="20"/>
        </w:rPr>
        <w:t>Subscription Revenue Net Retention Rate</w:t>
      </w:r>
      <w:r>
        <w:rPr>
          <w:rFonts w:ascii="Times New Roman;sans-serif" w:hAnsi="Times New Roman;sans-serif"/>
          <w:b w:val="false"/>
          <w:color w:val="000000"/>
          <w:sz w:val="20"/>
        </w:rPr>
        <w:t>. We believe that our ability to retain and grow subscription revenues from our existing customers over time strengthens the stability and predictability of our revenue base and is reflective of both the adoption curve of customers and the value we deliver to them. We assess our performance in this area using a metric we refer to as subscription revenue net retention rate. We calculate our subscription revenue net retention rate as total subscription revenues in a fiscal year from customers who contributed subscription revenues in the prior fiscal year, expressed as a percentage of total subscription revenues for the prior fiscal year. In accordance with this definition, subscription revenues from customers obtained through an acquisition will first be included in the calculation in the fiscal year subsequent to such acquisition, for the periods they were a customer of nCino. Our subscription revenue net retention rate provides insight into the impact on current year subscription revenues of:</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number and timing of new customers, subscription fees to be charged existing customers in successive years, and phased activation of seats purchased by them in prior years, which activation schedules can span several fiscal years for larger contracts;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expanding adoption of our solutions by our existing customers during the current year;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customer attrition.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fiscal 2023, 2024, and 2025, we had subscription revenue net retention rates of 144%, 116%, and 110%, respectively. The most significant driver of changes in our subscription revenue net retention rate each year has historically been the number of new customers in prior years and the associated phased activation schedules for such customers. In addition, because larger FIs tend to make more sizable purchases, we expect variability in our subscription revenue net retention rates based on the timing and extent of our continued penetration of this portion of the market. Excluding our U.S. mortgage business, the subscription revenue net retention rate for fiscal 2023 was 124%. The moderation in our subscription revenue net retention rate for fiscal 2024 was due to a decline in revenues from customers adversely affected by an increase in mortgage interest rates, from the expiration of licenses utilized for forgiveness monitoring of Paycheck Protection Program loans, and from the acquisition of certain customers by entities that do not currently use our solutions. The moderation in our subscription revenue net retention rate for fiscal 2025 was due primarily to a decline in revenues from customers adversely affected by an increase in mortgage interest rates, and from the acquisition of certain customers by entities that do not currently use our solutions. Our use of subscription revenue net retention rate has limitations as an analytical tool, and investors should not consider it in isolation. Other companies in adjacent markets may calculate subscription revenue net retention rates or similar metrics differently, which reduces its usefulness as a comparative measure. For fiscal 2025, we refined our methodology for calculating subscription revenue net retention rate to align with the details disclosed in Item 7 of this Annual Report on Form 10-K, “Management’s Discussion and Analysis of Financial Condition and Results of Operations—Results of Operations regarding the change in subscription revenues. Using our prior calculation methodology, subscription revenue retention rate was 148%, 117%, 112% for fiscal 2023, 2024, and 2025, respectively. </w:t>
      </w:r>
    </w:p>
    <w:p>
      <w:pPr>
        <w:pStyle w:val="TextBody"/>
        <w:bidi w:val="0"/>
        <w:spacing w:lineRule="auto" w:line="288" w:before="240" w:after="283"/>
        <w:ind w:left="0" w:right="0" w:firstLine="990"/>
        <w:jc w:val="left"/>
        <w:rPr/>
      </w:pPr>
      <w:r>
        <w:rPr>
          <w:rFonts w:ascii="Times New Roman;sans-serif" w:hAnsi="Times New Roman;sans-serif"/>
          <w:b/>
          <w:i/>
          <w:color w:val="000000"/>
          <w:sz w:val="20"/>
        </w:rPr>
        <w:t>ACV Net Retention Rate</w:t>
      </w:r>
      <w:r>
        <w:rPr>
          <w:rFonts w:ascii="Times New Roman;sans-serif" w:hAnsi="Times New Roman;sans-serif"/>
          <w:b w:val="false"/>
          <w:color w:val="000000"/>
          <w:sz w:val="20"/>
        </w:rPr>
        <w:t>. A key element of our growth strategy is to expand our deployed footprint with a customer after initial adoption. Our customers typically purchase the nCino Platform for a defined line of business or to support a specific use case and, once deployed, we seek to convince the customer to adopt our solutions within and across additional lines of business. To date, we have been successful in executing our land and expand strategy as a result of the ability of our solutions to streamline workflow, generate meaningful insights for operational improvement, and help drive improved bottom line results. Our historical net retention rates may not be predictive of future results. If our customers do not continue to see the ability of our solutions to generate return on investment relative to other available solutions or at all, ACV net retention rates could suffer and our operating results could be adversely affected.</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We believe our ACV net retention rate over the long term illustrates our success in executing our land and expand strategy, as it demonstrates growing adoption by existing customers, including price increases but net of attrition. We define ACV net retention rate as total ACV at the end of a fiscal year from customers with ACV as of the end of the prior fiscal year, expressed as a percentage of ACV as of the end of the prior fiscal year, converted to U.S. dollar with foreign exchange rates in effect as of the end of the applicable period. We define ACV as the highest annualized subscription fee obligation under customer contracts in effect at the end of the reporting period. ACV net retention rate can occasionally moderate from one period to the next, from customer attrition for example. Our ACV net retention rate was 105%, 102%, and 106% for fiscal 2023, 2024, and 2025, respectively.</w:t>
      </w:r>
      <w:r>
        <w:rPr>
          <w:color w:val="000000"/>
        </w:rPr>
        <w:t xml:space="preserve"> </w:t>
      </w:r>
      <w:r>
        <w:rPr>
          <w:rFonts w:ascii="Times New Roman;sans-serif" w:hAnsi="Times New Roman;sans-serif"/>
          <w:b w:val="false"/>
          <w:color w:val="000000"/>
          <w:sz w:val="20"/>
        </w:rPr>
        <w:t xml:space="preserve">The moderation in our ACV net retention rate for fiscal 2024 was due to a decline in ACV from customers adversely affected by an increase in mortgage interest rates, from the expiration of licenses utilized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forgiveness monitoring of Paycheck Protection Program loans, and from the acquisition of customers by non-customers. The increase in our ACV net retention rate for fiscal 2025 was attributable to increased ACV from customers who expanded their adoption of our solutions, offset in part due to a decline in ACV from customers adversely affected by an increase in mortgage rates.</w:t>
      </w:r>
    </w:p>
    <w:p>
      <w:pPr>
        <w:pStyle w:val="TextBody"/>
        <w:bidi w:val="0"/>
        <w:spacing w:lineRule="auto" w:line="288" w:before="240" w:after="283"/>
        <w:ind w:left="0" w:right="0" w:firstLine="990"/>
        <w:jc w:val="left"/>
        <w:rPr/>
      </w:pPr>
      <w:r>
        <w:rPr>
          <w:rFonts w:ascii="Times New Roman;sans-serif" w:hAnsi="Times New Roman;sans-serif"/>
          <w:b/>
          <w:i/>
          <w:color w:val="000000"/>
          <w:sz w:val="20"/>
        </w:rPr>
        <w:t>Macroeconomic Environment.</w:t>
      </w:r>
      <w:r>
        <w:rPr>
          <w:color w:val="000000"/>
        </w:rPr>
        <w:t xml:space="preserve"> </w:t>
      </w:r>
      <w:r>
        <w:rPr>
          <w:rFonts w:ascii="Times New Roman;sans-serif" w:hAnsi="Times New Roman;sans-serif"/>
          <w:b w:val="false"/>
          <w:color w:val="000000"/>
          <w:sz w:val="20"/>
        </w:rPr>
        <w:t xml:space="preserve">We are currently operating in a fluctuating interest rate environment with inflationary pressures. These fluctuations have had an impact on the real estate market in the U.S. and specifically, the demand for mortgages and mortgage-related products and services, which has had a negative impact on our U.S. mortgage business.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will continue to monitor the impact the macroeconomic environment may have on our business.</w:t>
      </w:r>
    </w:p>
    <w:p>
      <w:pPr>
        <w:pStyle w:val="TextBody"/>
        <w:bidi w:val="0"/>
        <w:spacing w:lineRule="auto" w:line="288" w:before="240" w:after="283"/>
        <w:ind w:left="0" w:right="0" w:firstLine="990"/>
        <w:jc w:val="left"/>
        <w:rPr/>
      </w:pPr>
      <w:r>
        <w:rPr>
          <w:rFonts w:ascii="Times New Roman;sans-serif" w:hAnsi="Times New Roman;sans-serif"/>
          <w:b/>
          <w:i/>
          <w:color w:val="000000"/>
          <w:sz w:val="20"/>
        </w:rPr>
        <w:t>Continued Investment in Innovation and Growth</w:t>
      </w:r>
      <w:r>
        <w:rPr>
          <w:rFonts w:ascii="Times New Roman;sans-serif" w:hAnsi="Times New Roman;sans-serif"/>
          <w:b w:val="false"/>
          <w:color w:val="000000"/>
          <w:sz w:val="20"/>
        </w:rPr>
        <w:t>. We have made substantial investments in product development, sales and marketing, and 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in sales and marketing both in the U.S. and internationally to further grow our business. To capitalize on the market opportunity we see ahead of us, we expect to continue to optimize our operating plans for revenue growth and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derive our revenues from subscription and professional services and other revenues.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Subscription Revenues</w:t>
      </w:r>
      <w:r>
        <w:rPr>
          <w:rFonts w:ascii="Times New Roman;sans-serif" w:hAnsi="Times New Roman;sans-serif"/>
          <w:b w:val="false"/>
          <w:color w:val="000000"/>
          <w:sz w:val="20"/>
        </w:rPr>
        <w:t>. Our subscription revenues consist principally of fees from customers for accessing our solutions and maintenance and support services that we generally offer under non-cancellable multi-year contracts, which are typically three to five years in length, we offer: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Client onboarding, loan origination, and deposit account opening solutions targeted at a FI’s commercial, small business, and retail lines of business, as well as Banking Advisor and other ancillary products, for which we generally charge on a per seat basis or based upon the asset size of the customer. As we continue to implement our new pricing model, we expect the number of customers we charge based on asset size will increase considerably.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Through our U.S. mortgage business, a digital homeownership solution uniting people, systems, and stages of the mortgage process into a seamless end-to-end journey for which we generally charge on a per seat basis or anticipated lending volume basis.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Maintenance and support services as well as internal-use or “sandbox” development licenses, for which we generally charge as a percentage of the related subscription fees.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Where seats are activated in stages, we charge subscription fees from the date of activation through the anniversary of the initial activation date, and annually thereafter. Subscription fees are generally billed annually in advance while subscription fees for U.S. mortgage are generally billed monthly in advance.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Platform. When we resell such access, we charge a higher subscription price and remit a higher subscription fee to Salesforce for these subscriptions.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Professional Services and Other Revenues</w:t>
      </w:r>
      <w:r>
        <w:rPr>
          <w:rFonts w:ascii="Times New Roman;sans-serif" w:hAnsi="Times New Roman;sans-serif"/>
          <w:b w:val="false"/>
          <w:color w:val="000000"/>
          <w:sz w:val="20"/>
        </w:rPr>
        <w:t xml:space="preserve">. Professional services and other revenues consist of fees for implementation and configuration assistance, training, and advisory services. For enterprise and larger regional FIs, we generally work with SI partners to provide the majority of implementation services for the nCino Platform, for which these SI partners bill our customers directly. We have historically delivered professional services ourselves for community banks and smaller credit unions and our U.S. mortgage business has historically provided professional services directly to its customers. Revenues for implementation, training, and advisory services are generally recognized on a proportional performance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labor hours incurred relative to total budgeted hours. To date, our losses on professional services contracts have not been material. During the initial go-live period for a customer on the nCino Platform,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Revenues and Gross Margin</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Cost of Subscription Revenues</w:t>
      </w:r>
      <w:r>
        <w:rPr>
          <w:rFonts w:ascii="Times New Roman;sans-serif" w:hAnsi="Times New Roman;sans-serif"/>
          <w:b w:val="false"/>
          <w:color w:val="000000"/>
          <w:sz w:val="20"/>
        </w:rPr>
        <w:t>. Cost of subscription revenues consists of fees paid to Salesforce for access to the Salesforce Platform, including Salesforce’s hosting infrastructure and data center operations, along with certain integration fees paid to other third parties. When we resell access to Salesforce’s CRM solution, cost of subscription revenues also includes the subscription fees we remit to Salesforce for providing such access. We also incur costs associated with access to other platforms.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Cost of Professional Services and Other Revenues</w:t>
      </w:r>
      <w:r>
        <w:rPr>
          <w:rFonts w:ascii="Times New Roman;sans-serif" w:hAnsi="Times New Roman;sans-serif"/>
          <w:b w:val="false"/>
          <w:color w:val="000000"/>
          <w:sz w:val="20"/>
        </w:rPr>
        <w:t>. Cost of professional services and other revenues consists primarily of personnel-related costs associated with 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built-out our international professional services capabilities. Realized effective billing and utilization rates drive fluctuations in our professional services and other gross margin on a period-to-period basis.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Sales and Marketing.</w:t>
      </w:r>
      <w:r>
        <w:rPr>
          <w:color w:val="000000"/>
        </w:rPr>
        <w:t xml:space="preserve"> </w:t>
      </w:r>
      <w:r>
        <w:rPr>
          <w:rFonts w:ascii="Times New Roman;sans-serif" w:hAnsi="Times New Roman;sans-serif"/>
          <w:b w:val="false"/>
          <w:color w:val="000000"/>
          <w:sz w:val="20"/>
        </w:rPr>
        <w:t>Sales and marketing expenses consist primarily of personnel costs of our sales and marketing employees, including salaries, sales commissions and incentives, benefits and stock-based compensation expense, travel and related costs. We capitalize incremental costs incurred to obtain contracts, primarily consisting of sales commissions, and subsequently amortize these costs over the expected period of benefit, which we have determined to be approximately four years. Sales and marketing expenses also include outside consulting fees, marketing programs, including lead generation, costs of our annual user conference, advertising, trade shows, other event expenses, amortization of intangible assets, and allocated overhead. We expect sales and marketing expenses to increase as a percentage of revenues.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Research and Development.</w:t>
      </w:r>
      <w:r>
        <w:rPr>
          <w:color w:val="000000"/>
        </w:rPr>
        <w:t xml:space="preserve"> </w:t>
      </w:r>
      <w:r>
        <w:rPr>
          <w:rFonts w:ascii="Times New Roman;sans-serif" w:hAnsi="Times New Roman;sans-serif"/>
          <w:b w:val="false"/>
          <w:color w:val="000000"/>
          <w:sz w:val="20"/>
        </w:rPr>
        <w:t>Research and development expenses consist primarily of salaries, benefits and stock-based compensation 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will decrease as a percentage of revenues as we leverage the investments we have made to date.</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General and administrative expenses consist primarily of salaries, benefits and stock-based compensation associated 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as well as acquisition-related expenses, such as legal and other professional services fees. We expect general and administrative expenses will decrease as a percentage of revenues as we leverage the investments we have made to date.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Non-Operating Income (Expense)</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Interest Income. </w:t>
      </w:r>
      <w:r>
        <w:rPr>
          <w:rFonts w:ascii="Times New Roman;sans-serif" w:hAnsi="Times New Roman;sans-serif"/>
          <w:b w:val="false"/>
          <w:color w:val="000000"/>
          <w:sz w:val="20"/>
        </w:rPr>
        <w:t>Interest income consists primarily of interest earned on our cash and cash equivalents.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Interest Expense. </w:t>
      </w:r>
      <w:r>
        <w:rPr>
          <w:rFonts w:ascii="Times New Roman;sans-serif" w:hAnsi="Times New Roman;sans-serif"/>
          <w:b w:val="false"/>
          <w:color w:val="000000"/>
          <w:sz w:val="20"/>
        </w:rPr>
        <w:t>Interest expense consists primarily of interest related to our financing obligations along with interest expense on borrowings, commitment fees, and amortization of debt issuance costs associated with our secured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Other Expense, Net. </w:t>
      </w:r>
      <w:r>
        <w:rPr>
          <w:rFonts w:ascii="Times New Roman;sans-serif" w:hAnsi="Times New Roman;sans-serif"/>
          <w:b w:val="false"/>
          <w:color w:val="000000"/>
          <w:sz w:val="20"/>
        </w:rPr>
        <w:t>Other expense, net consists primarily of foreign currency gains and losses, the majority of which is due to intercompany loans that are denominated in currencies other than the underlying functional currency of the applicable entity.</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Income Tax Provision (Benefit). </w:t>
      </w:r>
      <w:r>
        <w:rPr>
          <w:rFonts w:ascii="Times New Roman;sans-serif" w:hAnsi="Times New Roman;sans-serif"/>
          <w:b w:val="false"/>
          <w:color w:val="000000"/>
          <w:sz w:val="20"/>
        </w:rPr>
        <w:t xml:space="preserve">Income tax provision (benefit) consists of federal and state income taxes in the U.S. and income taxes in foreign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presented below should be reviewed in conjunction with the financial statements and notes included elsewhere in this Annual Report on Form 10-K. The following tables present our selected consolidated statements of operations data for fiscal 2023, 2024, and 2025 in both dollars and as a percentage of total revenues, except as noted.</w:t>
      </w:r>
    </w:p>
    <w:tbl>
      <w:tblPr>
        <w:tblW w:w="9804" w:type="dxa"/>
        <w:jc w:val="left"/>
        <w:tblInd w:w="0" w:type="dxa"/>
        <w:tblLayout w:type="fixed"/>
        <w:tblCellMar>
          <w:top w:w="28" w:type="dxa"/>
          <w:left w:w="28" w:type="dxa"/>
          <w:bottom w:w="28" w:type="dxa"/>
          <w:right w:w="28" w:type="dxa"/>
        </w:tblCellMar>
      </w:tblPr>
      <w:tblGrid>
        <w:gridCol w:w="1892"/>
        <w:gridCol w:w="1661"/>
        <w:gridCol w:w="1667"/>
        <w:gridCol w:w="237"/>
        <w:gridCol w:w="949"/>
        <w:gridCol w:w="109"/>
        <w:gridCol w:w="109"/>
        <w:gridCol w:w="109"/>
        <w:gridCol w:w="109"/>
        <w:gridCol w:w="241"/>
        <w:gridCol w:w="945"/>
        <w:gridCol w:w="109"/>
        <w:gridCol w:w="109"/>
        <w:gridCol w:w="109"/>
        <w:gridCol w:w="109"/>
        <w:gridCol w:w="241"/>
        <w:gridCol w:w="945"/>
        <w:gridCol w:w="154"/>
      </w:tblGrid>
      <w:tr>
        <w:trPr/>
        <w:tc>
          <w:tcPr>
            <w:tcW w:w="1892"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 except share and per share amounts)</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2025</w:t>
            </w:r>
            <w:r>
              <w:rPr>
                <w:rFonts w:ascii="Times New Roman;sans-serif" w:hAnsi="Times New Roman;sans-serif"/>
                <w:b/>
                <w:color w:val="000000"/>
                <w:sz w:val="10"/>
              </w:rPr>
              <w:t>1</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attributable to redeemable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nCino, Inc.:</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outstanding:</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110,615,734 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112,672,397 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115,162,175 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the operating results of DocFox, ILT and FullCircl from the DocFox Acquisition Date, the ILT Acquisition Date and the FullCircl Acquisition Date, respectively, see Note 6 "Business Combinations" of the notes to our consolidated financial statements included in Part II, Item 8 of this Annual Report on Form 10-K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stock-based compensation expense as follows:</w:t>
      </w:r>
    </w:p>
    <w:tbl>
      <w:tblPr>
        <w:tblW w:w="7826" w:type="dxa"/>
        <w:jc w:val="left"/>
        <w:tblInd w:w="0" w:type="dxa"/>
        <w:tblLayout w:type="fixed"/>
        <w:tblCellMar>
          <w:top w:w="28" w:type="dxa"/>
          <w:left w:w="28" w:type="dxa"/>
          <w:bottom w:w="28" w:type="dxa"/>
          <w:right w:w="28" w:type="dxa"/>
        </w:tblCellMar>
      </w:tblPr>
      <w:tblGrid>
        <w:gridCol w:w="1448"/>
        <w:gridCol w:w="1275"/>
        <w:gridCol w:w="1281"/>
        <w:gridCol w:w="211"/>
        <w:gridCol w:w="721"/>
        <w:gridCol w:w="109"/>
        <w:gridCol w:w="109"/>
        <w:gridCol w:w="109"/>
        <w:gridCol w:w="109"/>
        <w:gridCol w:w="211"/>
        <w:gridCol w:w="721"/>
        <w:gridCol w:w="109"/>
        <w:gridCol w:w="109"/>
        <w:gridCol w:w="109"/>
        <w:gridCol w:w="109"/>
        <w:gridCol w:w="211"/>
        <w:gridCol w:w="721"/>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amortization expense for intangible assets as follows:</w:t>
      </w:r>
    </w:p>
    <w:tbl>
      <w:tblPr>
        <w:tblW w:w="7826" w:type="dxa"/>
        <w:jc w:val="left"/>
        <w:tblInd w:w="0" w:type="dxa"/>
        <w:tblLayout w:type="fixed"/>
        <w:tblCellMar>
          <w:top w:w="28" w:type="dxa"/>
          <w:left w:w="28" w:type="dxa"/>
          <w:bottom w:w="28" w:type="dxa"/>
          <w:right w:w="28" w:type="dxa"/>
        </w:tblCellMar>
      </w:tblPr>
      <w:tblGrid>
        <w:gridCol w:w="1448"/>
        <w:gridCol w:w="1275"/>
        <w:gridCol w:w="1281"/>
        <w:gridCol w:w="211"/>
        <w:gridCol w:w="721"/>
        <w:gridCol w:w="109"/>
        <w:gridCol w:w="109"/>
        <w:gridCol w:w="109"/>
        <w:gridCol w:w="109"/>
        <w:gridCol w:w="211"/>
        <w:gridCol w:w="721"/>
        <w:gridCol w:w="109"/>
        <w:gridCol w:w="109"/>
        <w:gridCol w:w="109"/>
        <w:gridCol w:w="109"/>
        <w:gridCol w:w="211"/>
        <w:gridCol w:w="721"/>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43" w:type="dxa"/>
        <w:jc w:val="left"/>
        <w:tblInd w:w="0" w:type="dxa"/>
        <w:tblLayout w:type="fixed"/>
        <w:tblCellMar>
          <w:top w:w="28" w:type="dxa"/>
          <w:left w:w="28" w:type="dxa"/>
          <w:bottom w:w="28" w:type="dxa"/>
          <w:right w:w="28" w:type="dxa"/>
        </w:tblCellMar>
      </w:tblPr>
      <w:tblGrid>
        <w:gridCol w:w="2142"/>
        <w:gridCol w:w="1881"/>
        <w:gridCol w:w="1902"/>
        <w:gridCol w:w="307"/>
        <w:gridCol w:w="309"/>
        <w:gridCol w:w="300"/>
        <w:gridCol w:w="120"/>
        <w:gridCol w:w="120"/>
        <w:gridCol w:w="120"/>
        <w:gridCol w:w="307"/>
        <w:gridCol w:w="309"/>
        <w:gridCol w:w="300"/>
        <w:gridCol w:w="120"/>
        <w:gridCol w:w="120"/>
        <w:gridCol w:w="120"/>
        <w:gridCol w:w="307"/>
        <w:gridCol w:w="309"/>
        <w:gridCol w:w="350"/>
      </w:tblGrid>
      <w:tr>
        <w:trPr/>
        <w:tc>
          <w:tcPr>
            <w:tcW w:w="2142"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(percentage shown in comparison to related revenues):</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w:t>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Fiscal Years Ended January 31, 2024 and 2025</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bl>
      <w:tblPr>
        <w:tblW w:w="8466" w:type="dxa"/>
        <w:jc w:val="left"/>
        <w:tblInd w:w="0" w:type="dxa"/>
        <w:tblLayout w:type="fixed"/>
        <w:tblCellMar>
          <w:top w:w="28" w:type="dxa"/>
          <w:left w:w="28" w:type="dxa"/>
          <w:bottom w:w="28" w:type="dxa"/>
          <w:right w:w="28" w:type="dxa"/>
        </w:tblCellMar>
      </w:tblPr>
      <w:tblGrid>
        <w:gridCol w:w="1220"/>
        <w:gridCol w:w="1074"/>
        <w:gridCol w:w="1080"/>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316"/>
      </w:tblGrid>
      <w:tr>
        <w:trPr/>
        <w:tc>
          <w:tcPr>
            <w:tcW w:w="122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540,657 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Subscription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revenues increased $59.7 million for fiscal 2025 compared to fiscal 2024, due to initial revenues from customers who did not contribute to subscription revenues during the prior period, growth from existing customers within and across lines of business, and acquisitions. Of the increase, 70.6% was attributable to increased revenues from existing customers as additional seats were activated in accordance with contractual terms and customers expanded their adoption of our solutions, and 29.4% was attributable to initial revenues from customers who did not contribute to subscription revenues during the prior period. Subscription revenues were 86.8% of total revenues for fiscal 2025 compared to 85.9% of total revenues for fiscal 2024, primarily due to growth in our installed base.</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Professional Services and Other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 increased $4.4 million for fiscal 2025 compared to fiscal 2024, primarily due to the addition of new customers as well as expanded adoption by existing customers within and across lines of business where implementation, configuration, and training services were required.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Revenues and Gross Margin</w:t>
      </w:r>
    </w:p>
    <w:tbl>
      <w:tblPr>
        <w:tblW w:w="10205" w:type="dxa"/>
        <w:jc w:val="left"/>
        <w:tblInd w:w="0" w:type="dxa"/>
        <w:tblLayout w:type="fixed"/>
        <w:tblCellMar>
          <w:top w:w="28" w:type="dxa"/>
          <w:left w:w="28" w:type="dxa"/>
          <w:bottom w:w="28" w:type="dxa"/>
          <w:right w:w="28" w:type="dxa"/>
        </w:tblCellMar>
      </w:tblPr>
      <w:tblGrid>
        <w:gridCol w:w="1867"/>
        <w:gridCol w:w="1624"/>
        <w:gridCol w:w="1620"/>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318"/>
      </w:tblGrid>
      <w:tr>
        <w:trPr/>
        <w:tc>
          <w:tcPr>
            <w:tcW w:w="1867"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5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5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(percentage shown in comparison to related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285,073 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324,788 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Subscription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 increased $14.1 million for fiscal 2025 compared to fiscal 2024, generating a gross margin for subscription revenues of 71.2% compared to a gross margin of 70.5% for fiscal 2024. Other costs of subscription revenues increased $6.3 million due to other data costs. Personnel costs, including stock-based compensation expense, increased $4.0 million, mainly from an increase in overall headcount. Costs related to Salesforce user fees increased $2.3 million as we continued to add new customers and sell additional functionality to existing customers. The increase in cost of subscription revenues also included an increase of $1.5 million in amortization expense related to acquired intangibles. We expect the cost of subscription revenues will continue to increase in absolute dollars as the number of users of the nCino Platform grows.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Professional Services and Other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professional services and other revenues increased $10.3 million for fiscal 2025 compared to fiscal 2024, generating a gross margin for professional services and other revenues of (13.2)% compared to a gross margin of (5.3)% for fiscal 2024. For fiscal 2025, personnel costs increased $9.0 million for professional services and other revenues compared to the prior year period, mainly from an increase in headcount and a $2.6 million increase in stock-based compensation expense. The increase in cost of professional services and other revenue also included an increase of $1.2 million in third-party costs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The decrease in our professional services and other gross margin for fiscal 2025 was primarily due to a decline in realized effective billing rates in our professional services teams.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7192" w:type="dxa"/>
        <w:jc w:val="left"/>
        <w:tblInd w:w="0" w:type="dxa"/>
        <w:tblLayout w:type="fixed"/>
        <w:tblCellMar>
          <w:top w:w="28" w:type="dxa"/>
          <w:left w:w="28" w:type="dxa"/>
          <w:bottom w:w="28" w:type="dxa"/>
          <w:right w:w="28" w:type="dxa"/>
        </w:tblCellMar>
      </w:tblPr>
      <w:tblGrid>
        <w:gridCol w:w="836"/>
        <w:gridCol w:w="735"/>
        <w:gridCol w:w="739"/>
        <w:gridCol w:w="211"/>
        <w:gridCol w:w="826"/>
        <w:gridCol w:w="109"/>
        <w:gridCol w:w="109"/>
        <w:gridCol w:w="109"/>
        <w:gridCol w:w="109"/>
        <w:gridCol w:w="255"/>
        <w:gridCol w:w="256"/>
        <w:gridCol w:w="271"/>
        <w:gridCol w:w="109"/>
        <w:gridCol w:w="109"/>
        <w:gridCol w:w="109"/>
        <w:gridCol w:w="211"/>
        <w:gridCol w:w="826"/>
        <w:gridCol w:w="109"/>
        <w:gridCol w:w="109"/>
        <w:gridCol w:w="109"/>
        <w:gridCol w:w="109"/>
        <w:gridCol w:w="255"/>
        <w:gridCol w:w="256"/>
        <w:gridCol w:w="316"/>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decreased $7.3 million for fiscal 2025 compared to fiscal 2024, primarily attributable to a decrease of $11.9 million due to no longer amortizing the SimpleNexus trade name intangible asset as a result of the rebranding of the SimpleNexus solution to nCino Mortgage during fiscal 2024, partially offset by an increase of $2.8 million in amortization expense for fiscal 2025 acquired intangible assets. The decrease in sales and marketing expenses also included a decrease of $0.5 million sales-related travel costs. The decrease in sales and marketing expenses was partially offset by an increase $1.2 million in personnel costs primarily due to an increase in stock-based compensation expense. The decrease in sales and marketing expenses was also partially offset by an increase of $1.1 million in marketing costs.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sales and marketing headcount increased by 54 from January 31, 2024 to January 31, 2025, primarily due to acquisitions. We expect sales and marketing expenses to increase as a percentage of revenues.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$12.1 million for fiscal 2025 compared to fiscal 2024, primarily attributable to a $9.2 million increase in personnel cost, mainly from an increase in headcount due to acquisitions and an increase in stock-based compensation expense. The increase in research and development expenses also included an increase of $2.1 million in third-party professional fees as a result of increased contract research and development spend, and an increase of $0.5 million in allocated overhead costs due to growth supporting our continued business expansion.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headcount increased by 22 from January 31, 2024 to January 31, 2025, primarily due to acquisitions. We expect research and development expenses will decrease as a percentage of revenues as we leverage the investments we have made to date.</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$13.5 million for fiscal 2025 compared to fiscal 2024, primarily due to an increase of $9.8 million in personnel costs, mostly attributable to a $6.8 million increase in stock-based compensation expense, and an increase in headcount. The increase in general and administrative expenses also included an increase of $5.2 million in third-party professional fees, mostly attributable to an increase for acquisition-related expenses for fiscal 2025 acquisitions offset by a decrease in litigation expenses and other professional fees. The increase in general and administrative spend was partially offset by a decrease of $1.6 million in allocated overheard and other general and administrative costs.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headcount increased by 18 from January 31, 2024 to January 31, 2025, primarily due to acquisitions. We expect general and administrative expenses will decrease as a percentage of revenues as we leverage the investments we have made to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Non-Operating Income (Expense)</w:t>
      </w:r>
    </w:p>
    <w:tbl>
      <w:tblPr>
        <w:tblW w:w="6020" w:type="dxa"/>
        <w:jc w:val="left"/>
        <w:tblInd w:w="0" w:type="dxa"/>
        <w:tblLayout w:type="fixed"/>
        <w:tblCellMar>
          <w:top w:w="28" w:type="dxa"/>
          <w:left w:w="28" w:type="dxa"/>
          <w:bottom w:w="28" w:type="dxa"/>
          <w:right w:w="28" w:type="dxa"/>
        </w:tblCellMar>
      </w:tblPr>
      <w:tblGrid>
        <w:gridCol w:w="586"/>
        <w:gridCol w:w="515"/>
        <w:gridCol w:w="519"/>
        <w:gridCol w:w="211"/>
        <w:gridCol w:w="616"/>
        <w:gridCol w:w="109"/>
        <w:gridCol w:w="109"/>
        <w:gridCol w:w="109"/>
        <w:gridCol w:w="109"/>
        <w:gridCol w:w="239"/>
        <w:gridCol w:w="241"/>
        <w:gridCol w:w="271"/>
        <w:gridCol w:w="109"/>
        <w:gridCol w:w="109"/>
        <w:gridCol w:w="109"/>
        <w:gridCol w:w="211"/>
        <w:gridCol w:w="616"/>
        <w:gridCol w:w="109"/>
        <w:gridCol w:w="109"/>
        <w:gridCol w:w="109"/>
        <w:gridCol w:w="109"/>
        <w:gridCol w:w="239"/>
        <w:gridCol w:w="241"/>
        <w:gridCol w:w="316"/>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20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decreased $0.8 million for fiscal 2025 compared to fiscal 2024, due to the mix of our accounts earning interest and interest rates. Interest expense increased $4.6 million for fiscal 2025 compared to fiscal 2024, due to borrowing on our revolving credit facility. The increase of $9.6 million in other expense, net was primarily driven by intercompany loans and transactions that are denominated in currencies other than the underlying functional currency of the applicable entity resulting in remeasurement losses.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 Provision (Benefit)</w:t>
      </w:r>
    </w:p>
    <w:tbl>
      <w:tblPr>
        <w:tblW w:w="6980" w:type="dxa"/>
        <w:jc w:val="left"/>
        <w:tblInd w:w="0" w:type="dxa"/>
        <w:tblLayout w:type="fixed"/>
        <w:tblCellMar>
          <w:top w:w="28" w:type="dxa"/>
          <w:left w:w="28" w:type="dxa"/>
          <w:bottom w:w="28" w:type="dxa"/>
          <w:right w:w="28" w:type="dxa"/>
        </w:tblCellMar>
      </w:tblPr>
      <w:tblGrid>
        <w:gridCol w:w="933"/>
        <w:gridCol w:w="821"/>
        <w:gridCol w:w="825"/>
        <w:gridCol w:w="211"/>
        <w:gridCol w:w="616"/>
        <w:gridCol w:w="109"/>
        <w:gridCol w:w="109"/>
        <w:gridCol w:w="109"/>
        <w:gridCol w:w="109"/>
        <w:gridCol w:w="203"/>
        <w:gridCol w:w="203"/>
        <w:gridCol w:w="271"/>
        <w:gridCol w:w="109"/>
        <w:gridCol w:w="109"/>
        <w:gridCol w:w="109"/>
        <w:gridCol w:w="211"/>
        <w:gridCol w:w="691"/>
        <w:gridCol w:w="109"/>
        <w:gridCol w:w="109"/>
        <w:gridCol w:w="109"/>
        <w:gridCol w:w="109"/>
        <w:gridCol w:w="239"/>
        <w:gridCol w:w="241"/>
        <w:gridCol w:w="316"/>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was $2.5 million for fiscal 2025 compared to a provision of $1.6 million for fiscal 2024 and resulted in an effective tax rate of 7.1% compared to (3.8)% in the prior fiscal year.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See Note 11 "Income Taxes" of the notes to our consolidated financial statements included in Part II, Item 8 of this Annual Report on Form 10-K for further details on the components of income tax and a reconciliation of the U.S. federal statutory rate to the effective tax rate.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maintain a valuation allowance against our deferred tax assets in several jurisdictions, including the U.S. It is determined by management when a valuation allowance should be recorded, utilizing significant judgement and the use of estimates. In fiscal year 2025, the Company acquired DocFox and recorded a net U.S. deferred tax liability mostly related to identifiable intangible assets. The deferred tax liability recognized provides additional positive evidence that a portion of the Company’s U.S. deferred tax assets are realizable. As a result, the Company reduced the historical valuation allowance in the U.S. by $3.6 million.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Fiscal Years Ended January 31, 2023 and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our results of operations for the fiscal year ended January 31, 2024 compared to the fiscal year ended January 31, 2023, please refer to Part II, Item 7, “Management's Discussion and Analysis of Financial Condition and Results of Operations” in our Annual Report on Form 10-K for the fiscal year ended January 31, 2024, filed with the SEC on March 26,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providing financial measurements based on generally accepted accounting principles in the United States of America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and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companies, many of which use a similar non-GAAP financial measure to supplement their GAAP results in their public disclosures. This non-GAAP financial measure is non-GAAP operating income (loss), as discussed below.</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Non-GAAP operating income (loss).</w:t>
      </w:r>
      <w:r>
        <w:rPr>
          <w:color w:val="000000"/>
        </w:rPr>
        <w:t xml:space="preserve"> </w:t>
      </w:r>
      <w:r>
        <w:rPr>
          <w:rFonts w:ascii="Times New Roman;sans-serif" w:hAnsi="Times New Roman;sans-serif"/>
          <w:b w:val="false"/>
          <w:color w:val="000000"/>
          <w:sz w:val="20"/>
        </w:rPr>
        <w:t xml:space="preserve">Non-GAAP operating income (loss) is defined as loss from operations as reported in our consolidated statements of operations excluding the following items: </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Amortization of Purchased Intangibles.</w:t>
      </w:r>
      <w:r>
        <w:rPr>
          <w:color w:val="000000"/>
        </w:rPr>
        <w:t xml:space="preserve"> </w:t>
      </w:r>
      <w:r>
        <w:rPr>
          <w:rFonts w:ascii="Times New Roman;sans-serif" w:hAnsi="Times New Roman;sans-serif"/>
          <w:b w:val="false"/>
          <w:color w:val="000000"/>
          <w:sz w:val="20"/>
        </w:rPr>
        <w:t>nCino incurs amortization expense for purchased intangible assets in connection with certain mergers and acquisitions. Because these costs have already been incurred, cannot be recovered, are non-cash, and are affected by the inherent subjective nature of purchase price allocations, nCino excludes these expenses for our internal management reporting processes. nCino’s management also finds it useful to exclude these charges when assessing the appropriate level of various operating expenses and resource allocations when budgeting, planning and forecasting future periods. Although nCino excludes amortization expense for purchased intangibles from these non-GAAP measures, management believes it is important for investors to understand that such intangible assets were recorded as part of purchase accounting and contribute to revenue generation.</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Stock-Based Compensation Expense.</w:t>
      </w:r>
      <w:r>
        <w:rPr>
          <w:color w:val="000000"/>
        </w:rPr>
        <w:t xml:space="preserve"> </w:t>
      </w:r>
      <w:r>
        <w:rPr>
          <w:rFonts w:ascii="Times New Roman;sans-serif" w:hAnsi="Times New Roman;sans-serif"/>
          <w:b w:val="false"/>
          <w:color w:val="000000"/>
          <w:sz w:val="20"/>
        </w:rPr>
        <w:t>nCino excludes stock-based compensation expenses primarily because they are non-cash expenses that nCino excludes from our internal management reporting processes. nCino’s management also finds it useful to exclude these expenses when they assess the appropriate level of various operating expenses and resource allocations when budgeting, planning and forecasting future periods. Moreover, because of varying available valuation methodologies, subjective assumptions and the variety of award types that companies can use, nCino believes excluding stock-based compensation expenses allows investors to make meaningful comparisons between our recurring core business operating results and those of other companies.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Acquisition Related Expenses.</w:t>
      </w:r>
      <w:r>
        <w:rPr>
          <w:color w:val="000000"/>
        </w:rPr>
        <w:t xml:space="preserve"> </w:t>
      </w:r>
      <w:r>
        <w:rPr>
          <w:rFonts w:ascii="Times New Roman;sans-serif" w:hAnsi="Times New Roman;sans-serif"/>
          <w:b w:val="false"/>
          <w:color w:val="000000"/>
          <w:sz w:val="20"/>
          <w:shd w:fill="FFFFFF" w:val="clear"/>
        </w:rPr>
        <w:t>nCino excludes expenses related to acquisitions as they limit comparability of operating results with prior periods. Acquisition-related expenses, include but are not limited to, costs incurred from third-party professional services firms in connection with business combination and one-time integration activities. We believe these costs are non-recurring in nature and outside the ordinary course of business.</w:t>
      </w:r>
      <w:r>
        <w:rPr>
          <w:color w:val="000000"/>
        </w:rPr>
        <w:t xml:space="preserve"> </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Litigation Expenses</w:t>
      </w:r>
      <w:r>
        <w:rPr>
          <w:rFonts w:ascii="Times New Roman;sans-serif" w:hAnsi="Times New Roman;sans-serif"/>
          <w:b w:val="false"/>
          <w:color w:val="000000"/>
          <w:sz w:val="20"/>
        </w:rPr>
        <w:t>. nCino excludes fees and expenses related to certain litigation expenses incurred from legal matters outside the ordinary course of our business as we believe their exclusion from non-GAAP operating expenses will facilitate a more meaningful explanation of operating results and comparisons with prior period results.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Restructuring Costs.</w:t>
      </w:r>
      <w:r>
        <w:rPr>
          <w:color w:val="000000"/>
        </w:rPr>
        <w:t xml:space="preserve"> </w:t>
      </w:r>
      <w:r>
        <w:rPr>
          <w:rFonts w:ascii="Times New Roman;sans-serif" w:hAnsi="Times New Roman;sans-serif"/>
          <w:b w:val="false"/>
          <w:color w:val="000000"/>
          <w:sz w:val="20"/>
          <w:shd w:fill="FFFFFF" w:val="clear"/>
        </w:rPr>
        <w:t>nCino excludes costs incurred related to bespoke restructuring plans and other one-time costs that are fundamentally different in strategic nature and frequency from ongoing initiatives. We believe excluding these costs facilitates a more consistent comparison of operating performance over time.</w:t>
      </w:r>
      <w:r>
        <w:rPr>
          <w:color w:val="000000"/>
        </w:rPr>
        <w:t xml:space="preserve"> </w:t>
      </w:r>
      <w:r>
        <w:rPr>
          <w:rFonts w:ascii="Times New Roman;sans-serif" w:hAnsi="Times New Roman;sans-serif"/>
          <w:b w:val="false"/>
          <w:color w:val="000000"/>
          <w:sz w:val="20"/>
        </w:rPr>
        <w:t>See Note 18 "Restructuring" of the notes to our consolidated financial statements included in Part II, Item 8 of this Annual Report on Form 10-K for more information on the charges related to the restructuring.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non-GAAP operating income (loss) to loss from operations, the most directly comparable financial measure, calculated and presented in accordance with GAAP (in thousands):</w:t>
      </w:r>
    </w:p>
    <w:tbl>
      <w:tblPr>
        <w:tblW w:w="7121" w:type="dxa"/>
        <w:jc w:val="left"/>
        <w:tblInd w:w="0" w:type="dxa"/>
        <w:tblLayout w:type="fixed"/>
        <w:tblCellMar>
          <w:top w:w="28" w:type="dxa"/>
          <w:left w:w="28" w:type="dxa"/>
          <w:bottom w:w="28" w:type="dxa"/>
          <w:right w:w="28" w:type="dxa"/>
        </w:tblCellMar>
      </w:tblPr>
      <w:tblGrid>
        <w:gridCol w:w="1111"/>
        <w:gridCol w:w="980"/>
        <w:gridCol w:w="983"/>
        <w:gridCol w:w="211"/>
        <w:gridCol w:w="796"/>
        <w:gridCol w:w="109"/>
        <w:gridCol w:w="109"/>
        <w:gridCol w:w="109"/>
        <w:gridCol w:w="109"/>
        <w:gridCol w:w="211"/>
        <w:gridCol w:w="796"/>
        <w:gridCol w:w="109"/>
        <w:gridCol w:w="109"/>
        <w:gridCol w:w="109"/>
        <w:gridCol w:w="109"/>
        <w:gridCol w:w="211"/>
        <w:gridCol w:w="796"/>
        <w:gridCol w:w="154"/>
      </w:tblGrid>
      <w:tr>
        <w:trPr/>
        <w:tc>
          <w:tcPr>
            <w:tcW w:w="111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GAAP loss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Litigation expenses</w:t>
            </w:r>
            <w:r>
              <w:rPr>
                <w:rFonts w:ascii="Times New Roman;sans-serif" w:hAnsi="Times New Roman;sans-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and related charges</w:t>
            </w:r>
            <w:r>
              <w:rPr>
                <w:rFonts w:ascii="Times New Roman;sans-serif" w:hAnsi="Times New Roman;sans-serif"/>
                <w:b w:val="false"/>
                <w:color w:val="000000"/>
                <w:sz w:val="13"/>
              </w:rPr>
              <w:t>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Non-GAAP operating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legal expenses related to a closed government antitrust investigation and related civil action and a dismissed shareholder derivative lawsuit.</w:t>
      </w:r>
    </w:p>
    <w:p>
      <w:pPr>
        <w:pStyle w:val="TextBody"/>
        <w:bidi w:val="0"/>
        <w:spacing w:lineRule="auto" w:line="288" w:before="120" w:after="283"/>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Stock-based compensation benefit of $0.2 million related to restructuring is included on the stock-based compensation expense line item for the fiscal year ended January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31, 2025, we had $120.9 million in cash and cash equivalents, and an accumulated deficit of $385.3 million. Our net losses have been driven by our investments in developing the nCino Platform and scaling our sales and marketing organization and finance and administrative functions to support our rapid growth.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funded our capital needs through issuances of common stock including our initial public offering in July 2020, operating cash flows, and our revolving line of credit.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2025, the Company had $166.0 million outstanding, no letters of credit issued under the 2024 Credit Facility, was in compliance with all covenants and had borrowing availability of $84.0 million. On March 17, 2024, the Company entered into the Second Amendment for the 2022 Credit Facility which, among other things, increased our borrowing availability to $100.0 million. In March 2024, we borrowed $75.0 million under the 2022 Credit Facility to fund the acquisition of DocFox. On October 28, 2024, the Company entered into the 2024 Credit Facility, which increased our borrowing availability to $250.0 million. The Company borrowed $166.0 million under the 2024 Credit Facility to fund the acquisition of FullCircl and pay the outstanding amount under the 2022 Credit Facility. The Company expects to pay an additional $15.0 million in two years for the FullCircl acquisition upon the satisfaction and performance of certain warranties and covenants. During fiscal 2025, we repaid $75.0 million on the 2022 and 2024 Credit Facilities. As of January 31, 2025, the applicable interest rate was 6.31%. See Note 14 "Revolving Credit Facility" of the notes to our consolidated financial statements included in Part II, Item 8 of this Annual Report on Form 10-K for more information. In February 2025, the Company borrowed an additional $52.5 million on the 2024 Credit Facility to fund an acquisition and in March 2025 the Company repaid $50.0 million on the 2024 Credit Facility, see Note 20 "Subsequent Events" for additional information.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current cash and cash equivalents as well as borrowings available under the 2024 Credit Facility will be sufficient to fund our operations and capital requirements for at least the next 12 months. Our future capital requirements will depend on many factors, including our growth rate, the timing and extent of spending to support research and development efforts to enhance the nCino Platform and introduce new solutions, market acceptance of our solutions, the continued expansion of our sales and marketing activities, capital expenditure requirements, and any potential future acquisitions. We expect capital expenditures will be appreciably higher in absolute dollars in fiscal 2026 for planned office build-outs, mainly for an international office, compared to prior fiscal years to accommodate our growth, which we estimate to be approximately $8.4 million. We may from time-to-time seek to raise additional capital to support our growth. Any equity financing we may undertake could be dilutive to our existing stockholders, and any debt financing we may undertake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require debt service and financial and operational covenants that could adversely affect our business. There is no assurance we would be able to obtain future financing on acceptable terms or at all.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nCino K.K.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2024 and January 31, 2025, the redeemable non-controlling interest was $3.4 million and $8.3 million, respectively.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Summary Cash Flow information for fiscal 2023, 2024, and 2025 are set forth below.</w:t>
      </w:r>
    </w:p>
    <w:tbl>
      <w:tblPr>
        <w:tblW w:w="8112" w:type="dxa"/>
        <w:jc w:val="left"/>
        <w:tblInd w:w="0" w:type="dxa"/>
        <w:tblLayout w:type="fixed"/>
        <w:tblCellMar>
          <w:top w:w="28" w:type="dxa"/>
          <w:left w:w="28" w:type="dxa"/>
          <w:bottom w:w="28" w:type="dxa"/>
          <w:right w:w="28" w:type="dxa"/>
        </w:tblCellMar>
      </w:tblPr>
      <w:tblGrid>
        <w:gridCol w:w="1524"/>
        <w:gridCol w:w="1342"/>
        <w:gridCol w:w="1349"/>
        <w:gridCol w:w="211"/>
        <w:gridCol w:w="796"/>
        <w:gridCol w:w="109"/>
        <w:gridCol w:w="109"/>
        <w:gridCol w:w="109"/>
        <w:gridCol w:w="109"/>
        <w:gridCol w:w="211"/>
        <w:gridCol w:w="721"/>
        <w:gridCol w:w="109"/>
        <w:gridCol w:w="109"/>
        <w:gridCol w:w="109"/>
        <w:gridCol w:w="109"/>
        <w:gridCol w:w="211"/>
        <w:gridCol w:w="721"/>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(219,177)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$55.2 million of net cash provided by operating activities in fiscal 2025 reflects our net loss of $33.0 million and $38.5 million used in changes in working capital accounts, offset by $126.7 million in non-cash charges. Non-cash charges primarily consisted of stock-based compensation, depreciation and amortization, amortization of costs capitalized to obtain revenue contracts, foreign currency losses related to intercompany loans and transactions, deferred income taxes, and non-cash operating lease costs. Cash used in working capital accounts was principally a function of a $31.4 million increase in accounts receivable due to the timing of billings and collections from customers, an increase of $21.5 million of capitalized costs to obtain revenue contracts, which consisted primarily of sales commissions, a $7.1 million increase in prepaid expenses and other assets, a decrease of $3.8 million in operating lease liabilities, and a $0.2 million decrease in accounts payable. The cash used in working capital accounts was partially offset by a $13.8 million increase in deferred revenue, as we expanded our customer base and renewed existing customers, a $10.2 million increase in accrued expenses and other current liabilities primarily due to acquisition costs and compensation, and a $1.4 million increase in other long-term liabilities.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$57.3 million of net cash provided by operating activities in fiscal 2024 reflects our net loss of $43.5 million and $16.4 million used in changes in working capital accounts, partially offset by $117.2 million in non-cash charges. Non-cash charges primarily consisted of stock-based compensation, depreciation and amortization, amortization of costs capitalized to obtain revenue contracts, non-cash operating lease costs, deferred income taxes, provision for bad debt, foreign currency losses related to intercompany loans and transactions, and an unrealized gain on investment. Cash used in working capital accounts was principally a function of a $14.3 million increase in accounts receivable due to the timing of billings and collections from customers, an increase of $10.3 million of capitalized costs to obtain revenue contracts, which consisted primarily of sales commissions, a $6.0 million decrease in accrued expenses and other current liabilities which includes payments of approximately $5.0 million for severance and other employee costs associated with the restructuring plan and changing commission payment plans from a quarterly basis to a monthly basis, and a decrease of $4.1 million in operating lease liabilities. The cash used in working capital accounts was partially offset by a $15.9 million increase in deferred revenue, as we expanded our customer base and renewed existing customers, a $1.9 million decrease in prepaid expenses and other assets, and a $0.5 million increase in accounts payable.</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$219.2 million of net cash used in investing activities in fiscal 2025 was comprised of $216.9 million used for the acquisition of DocFox, ILT, and FullCircl, $1.8 million for the purchase of property and equipment and leasehold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improvements to support the expansion of our business, and $0.5 million for the acquisition of certain technology. The $6.3 million of net cash used in investing activities in fiscal 2024 was comprised of $3.5 million used for the purchase of property and equipment to support the expansion of our business, $2.5 million used for the purchase of preferred stock in Rich Data Co, and $0.4 million for an asset acquisition completed in August 2022.</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(Used in) Financing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$170.5 million of net cash provided by financing activities in fiscal 2025 was comprised principally of $241.0 million proceeds from borrowings on the 2022 and 2024 Credit Facility to fund the acquisitions of DocFox and FullCircl, $4.5 million of proceeds from stock issuances under the employee stock purchase plan, and $2.8 million of proceeds from the exercise of stock options. The cash provided by financing activities was partially offset by payments of $75.0 million on the 2022 Credit Facility, payments of debt issuance costs of $1.5 million, and principal payments of $1.3 million on financing obligations. The $21.1 million of net cash used in financing activities in fiscal 2024 was comprised principally of payments of $30.0 million on the Credit Facility and principal payments of $1.2 million on the financing obligations. The cash used in financing activities was partially offset by $4.7 million in proceeds from stock issuances under the employee stock purchase plan, $4.5 million of proceeds from the exercise of stock options, and $1.0 million in proceeds from the non-controlling interest in our Japan joint venture.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estimated future obligations principally consist of an indemnity holdback associated with a business combination, leases related to our facilities, purchase obligations related primarily to licenses and hosting services, financing obligations for leases for which we are considered the owners for accounting purposes, and the Credit Facility. See Note 6 "Business Combinations," Note 13 "Leases," Note 14 "Revolving Credit Facility," and Note 15 "Commitments and Contingencies" of the notes to our consolidated financial statements included in Part II, Item 8 of this Annual Report on Form 10-K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1 "Summary of Business and Significant Accounting Policies" of the notes to our consolidated financial statements included in Part II, Item 8 of this Annual Report on Form 10-K, for a description of our other significant accounting policies. The preparation of our consolidated financial statements in conformity with accounting principles generally accepted in the U.S.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derive our revenues from subscriptions and professional services. We recognize revenues when a contract exists between the Company and a customer and upon transfer of control of promised products or services to such customer in an amount that reflects the consideration we expect to receive in exchange for those products or services. We enter into contracts that can include various combinations of subscriptions and professional services, which may be capable of being distinct and accounted for as separate performance obligations, or in the case of offerings such as subscriptions, services and support, accounted for as a single performance obligation. Revenues are recognized net of allowances and any taxes collected from customers, which are subsequently remitted to governmental authorities.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determine revenue recognition through the following steps: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Identification of the contract, or contracts, with a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Identification of the performance obligations in the contract;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Determination of the transaction price;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Recognition of revenues when, or as, the Company satisfies a performance obligation.</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Subscription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revenues primarily consist of fees for providing customers access to our solutions, with routine customer support and maintenance related to email and phone support, bug fixes, and unspecified software updates and upgrades released when and if available during the maintenance term. Revenues are generally recognized on a ratable basis over the contract term beginning on the date that our service is made available to the customer, which we believe best reflects the manner in which our customers utilize our subscription offerings. Arrangements with customers do not provide the customer with the right to take possession of the software supporting the cloud-based application service at any time and, as a result, are accounted for as a service contract. Generally, our subscription contracts are three to five years in length, billed annually in advance, are non-cancelable, and do not contain refund-type provisions. U.S. mortgage contracts are generally billed monthly in advance. Subscription arrangements that are cancelable generally have penalty clauses.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Professional Services and Other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 primarily consist of fees for deployment, configuration, and optimization services, as well as training. The majority of our professional services contracts revenues are recognized over time based on a proportional performance methodology which utilizes input methods. Professional services contracts are billed on a time and materials or fixed fee basis.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Contracts with Multiple Performance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(“SSP”) basis. We determine SSP by considering its overall pricing objectives and market conditions. Significant pricing practices taken into consideration include our discounting practices, the size and volume of our transactions, the customer demographic, the geographic area where services are sold, price lists, our go-to-market strategy, historical sales, and contract prices. As our go-to-market strategies evolve, we may modify its pricing practices in the future, which could result in changes to SSP.</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Given the variability of pricing, we use a range of SSP. We determine the SSP range using information that may include market conditions or other observable inputs. We typically have more than one SSP for individual products and services due to the stratification of products and services by customer size.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("RPOs") represent contracted revenues that have not yet been recognized, including deferred revenue and unbilled amounts that we expect will be recognized as revenues in future periods. Our reported RPO balance is influenced by several factors, including the timing of renewals, average contract terms, and foreign currency exchange rates. Because we often enter into large, multi-year contracts and the timing of renewal of these contracts varies by customer, our reported RPOs may fluctuate significantly from period to period, and we do not believe this measure is a useful gauge of our future performance. For these reasons, we do not use RPOs as a tool for managing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use our best estimates and assumptions to assign fair value to tangible and intangible assets acquired and liabilities assumed at the acquisition date. We determine the fair value of intangible assets acquired in consultation with third-party valuation advisors. The excess of the purchase price over the fair value of net assets acquired is recorded as goodwill. The determination of fair value requires management to make significant estimates, particularly with respect to intangible assets. These estimates can include, but are not limited to:</w:t>
      </w:r>
    </w:p>
    <w:p>
      <w:pPr>
        <w:pStyle w:val="TextBody"/>
        <w:bidi w:val="0"/>
        <w:spacing w:lineRule="auto" w:line="288" w:before="240" w:after="283"/>
        <w:ind w:left="0" w:right="0" w:firstLine="630"/>
        <w:jc w:val="left"/>
        <w:rPr/>
      </w:pPr>
      <w:r>
        <w:rPr>
          <w:color w:val="000000"/>
        </w:rPr>
        <w:t>•</w:t>
      </w:r>
      <w:r>
        <w:rPr>
          <w:rFonts w:ascii="Times New Roman;sans-serif" w:hAnsi="Times New Roman;sans-serif"/>
          <w:b w:val="false"/>
          <w:color w:val="000000"/>
          <w:sz w:val="20"/>
        </w:rPr>
        <w:t>future expected cash flows from subscriptions contracts and acquired developed technologies;</w:t>
      </w:r>
    </w:p>
    <w:p>
      <w:pPr>
        <w:pStyle w:val="TextBody"/>
        <w:bidi w:val="0"/>
        <w:spacing w:lineRule="auto" w:line="288" w:before="240" w:after="283"/>
        <w:ind w:left="0" w:right="0" w:firstLine="630"/>
        <w:jc w:val="left"/>
        <w:rPr/>
      </w:pPr>
      <w:r>
        <w:rPr>
          <w:color w:val="000000"/>
        </w:rPr>
        <w:t>•</w:t>
      </w:r>
      <w:r>
        <w:rPr>
          <w:rFonts w:ascii="Times New Roman;sans-serif" w:hAnsi="Times New Roman;sans-serif"/>
          <w:b w:val="false"/>
          <w:color w:val="000000"/>
          <w:sz w:val="20"/>
        </w:rPr>
        <w:t>historical and expected customer attrition rates and anticipated growth in revenue from acquired customers;</w:t>
      </w:r>
    </w:p>
    <w:p>
      <w:pPr>
        <w:pStyle w:val="TextBody"/>
        <w:bidi w:val="0"/>
        <w:spacing w:lineRule="auto" w:line="288" w:before="240" w:after="283"/>
        <w:ind w:left="0" w:right="0" w:firstLine="630"/>
        <w:jc w:val="left"/>
        <w:rPr/>
      </w:pPr>
      <w:r>
        <w:rPr>
          <w:color w:val="000000"/>
        </w:rPr>
        <w:t>•</w:t>
      </w:r>
      <w:r>
        <w:rPr>
          <w:rFonts w:ascii="Times New Roman;sans-serif" w:hAnsi="Times New Roman;sans-serif"/>
          <w:b w:val="false"/>
          <w:color w:val="000000"/>
          <w:sz w:val="20"/>
        </w:rPr>
        <w:t>royalty rates applied to acquired developed technology platforms and other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630"/>
        <w:jc w:val="left"/>
        <w:rPr/>
      </w:pPr>
      <w:r>
        <w:rPr>
          <w:color w:val="000000"/>
        </w:rPr>
        <w:t>•</w:t>
      </w:r>
      <w:r>
        <w:rPr>
          <w:rFonts w:ascii="Times New Roman;sans-serif" w:hAnsi="Times New Roman;sans-serif"/>
          <w:b w:val="false"/>
          <w:color w:val="000000"/>
          <w:sz w:val="20"/>
        </w:rPr>
        <w:t>assumptions about the period of time and intended use of acquired intangible assets;</w:t>
      </w:r>
    </w:p>
    <w:p>
      <w:pPr>
        <w:pStyle w:val="TextBody"/>
        <w:bidi w:val="0"/>
        <w:spacing w:lineRule="auto" w:line="288" w:before="240" w:after="283"/>
        <w:ind w:left="0" w:right="0" w:firstLine="630"/>
        <w:jc w:val="left"/>
        <w:rPr/>
      </w:pPr>
      <w:r>
        <w:rPr>
          <w:color w:val="000000"/>
        </w:rPr>
        <w:t>•</w:t>
      </w:r>
      <w:r>
        <w:rPr>
          <w:rFonts w:ascii="Times New Roman;sans-serif" w:hAnsi="Times New Roman;sans-serif"/>
          <w:b w:val="false"/>
          <w:color w:val="000000"/>
          <w:sz w:val="20"/>
        </w:rPr>
        <w:t>discount rates; and</w:t>
      </w:r>
    </w:p>
    <w:p>
      <w:pPr>
        <w:pStyle w:val="TextBody"/>
        <w:bidi w:val="0"/>
        <w:spacing w:lineRule="auto" w:line="288" w:before="240" w:after="283"/>
        <w:ind w:left="0" w:right="0" w:firstLine="630"/>
        <w:jc w:val="left"/>
        <w:rPr/>
      </w:pPr>
      <w:r>
        <w:rPr>
          <w:color w:val="000000"/>
        </w:rPr>
        <w:t>•</w:t>
      </w:r>
      <w:r>
        <w:rPr>
          <w:rFonts w:ascii="Times New Roman;sans-serif" w:hAnsi="Times New Roman;sans-serif"/>
          <w:b w:val="false"/>
          <w:color w:val="000000"/>
          <w:sz w:val="20"/>
        </w:rPr>
        <w:t>uncertain tax positions and tax related valuation allowances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While we use our best estimates and assumptions, our estimates are inherently uncertain and subject to refinement. As a result, during the measurement period, which may be up to one year from the acquisition date, the Company may record adjustments to the fair value of these tangible and intangible assets acquired and liabilities assumed, with the corresponding offset to goodwill. Upon conclusion of the measurement period or final determination of the fair value of assets acquired or liabilities assumed, whichever comes first, any subsequent adjustments are recorded to the Company's consolidated statements of operations. Determining the useful life of an intangible asset also requires judgment as different types of intangible assets have different lives.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 taxes are reported as a component of either prepaid expenses and other current assets or accrued expenses and other current liabilities, as appropriate, in our consolidated balance sheets and reflect our estimate of income taxes to be paid or received.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taxes represent the amount of future income taxes to be paid or refunded and are accounted for using the asset and liability method. Temporary differences are the differences between the reported amounts of assets and liabilities and their tax bases. We recognize deferred tax assets for temporary deductible differences and deferred tax liabilities for temporary taxable differences. Deferred tax assets are also recorded for any tax attributes, such as net operating losses and tax credit carryforwards.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provided against a deferred tax asset when we determine that it is more likely than not that all, or a portion of, the balance will not be realized. This requires management to utilize significant judgement and the use of estimates. Any realization of the Company’s deferred tax assets is based upon the evaluation of four sources of taxable income, the future reversals of taxable temporary differences, future taxable income exclusive of reversing temporary differences and carryforwards, taxable income in prior carryback years, and tax-planning strategies. At January 31, 2025, we determined that it is more likely than not that the majority of our deferred tax assets will not be realized and as such, recorded a valuation allowance of $160.3 million against our deferred tax assets of $218.0 million as of that date.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income tax in the U.S., multiple state and local jurisdictions and various foreign countries. The tax laws and regulations in each jurisdiction may be interpreted differently in certain situations, which could result in differing financial results. The Company is required to exercise judgement regarding the application of these tax laws and regulations. Through this judgement process, the Company will evaluate and recognize any tax liabilities related to any income tax uncertainties. Due to the complexity of any uncertainty, the ultimate resolution may result in a remittance that is different from the current estimate of any tax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See Note 1 "Summary of Business and Significant Accounting Policies" of the notes to our consolidated financial statements included in Part II, Item 8 of this Annual Report on Form 10-K for recently adopted accounting pronouncements and recently issued accounting pronouncements not yet adopted, if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January 31, 2025, we had cash, cash equivalents, and restricted cash of $121.3 million, which consisted primarily of bank deposits and money market funds. Interest-earning instruments carry a degree of interest rate risk. However, our historical interest income has not fluctuated significantly. A hypothetical 10% change in interest rates would not have had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 impact on our financial results included in this Annual Report on Form 10-K. We do not enter into investments for trading or speculative purposes and have not used any derivative financial instruments to manage our interest rate risk exposure.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2024 Credit Facility is a senior secured revolving credit facility of up to $250.0 million. Borrowings bear interest, at the Borrower’s option, at: (i) a base rate equal to the greatest of (a) the Agent’s “prime rate”, (b) the federal funds rate plus 0.50%, and (c) the Term SOFR rate plus 1.00% (provided that the base rate shall not be less than 0.00%), plus a margin of 1.00%; or (ii) the Term SOFR rate (provided that the Term SOFR shall not be less than 0.00%), plus a margin of 2.00%, in each case with such margin subject to step ups based on certain leverage ratios. As a result, we are exposed to increased interest rate risk as we make draws. At January 31, 2025, we had $166.0 million outstanding under the Credit Facility. A hypothetical 100 basis point change in interest rates would not have had a material impact on our financial results included in this Annual Report on Form 10-K. See Note 14 "Revolving Credit Facility" of the notes to our consolidated financial statements included in Part II, Item 8 of this Annual Report on Form 10-K for additional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consolidated statements of operations. Furthermore, our customers outside of the U.S.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At January 31, 2025, based on the balances of our cash, cash equivalents, and restricted cash denominated in foreign currencies, a hypothetical 10% increase or decrease in foreign currency exchange rates would have had an impact of approximately $7.5 million on our cash, cash equivalents and restricted cash at January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6841" w:type="dxa"/>
        <w:jc w:val="center"/>
        <w:tblInd w:w="0" w:type="dxa"/>
        <w:tblLayout w:type="fixed"/>
        <w:tblCellMar>
          <w:top w:w="28" w:type="dxa"/>
          <w:left w:w="28" w:type="dxa"/>
          <w:bottom w:w="28" w:type="dxa"/>
          <w:right w:w="28" w:type="dxa"/>
        </w:tblCellMar>
      </w:tblPr>
      <w:tblGrid>
        <w:gridCol w:w="2291"/>
        <w:gridCol w:w="2014"/>
        <w:gridCol w:w="2025"/>
        <w:gridCol w:w="149"/>
        <w:gridCol w:w="149"/>
        <w:gridCol w:w="213"/>
      </w:tblGrid>
      <w:tr>
        <w:trPr/>
        <w:tc>
          <w:tcPr>
            <w:tcW w:w="2291"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106">
              <w:r>
                <w:rPr>
                  <w:rStyle w:val="InternetLink"/>
                  <w:rFonts w:ascii="Times New Roman;sans-serif" w:hAnsi="Times New Roman;sans-serif"/>
                  <w:b w:val="false"/>
                  <w:color w:val="0000FF"/>
                  <w:sz w:val="20"/>
                  <w:u w:val="single"/>
                </w:rPr>
                <w:t>Reports of Independent Registered Public Accounting Firm</w:t>
              </w:r>
            </w:hyperlink>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color w:val="333333"/>
                <w:sz w:val="20"/>
              </w:rPr>
              <w:t>PCAOB</w:t>
            </w:r>
            <w:r>
              <w:rPr>
                <w:color w:val="000000"/>
              </w:rPr>
              <w:t xml:space="preserve"> </w:t>
            </w:r>
            <w:r>
              <w:rPr>
                <w:rFonts w:ascii="Times New Roman;sans-serif" w:hAnsi="Times New Roman;sans-serif"/>
                <w:b w:val="false"/>
                <w:color w:val="000000"/>
                <w:sz w:val="20"/>
              </w:rPr>
              <w:t>ID: 42)</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e6835920a6d54c90ba08f9b830634673_106">
              <w:r>
                <w:rPr>
                  <w:rStyle w:val="InternetLink"/>
                  <w:rFonts w:ascii="Times New Roman;sans-serif" w:hAnsi="Times New Roman;sans-serif"/>
                  <w:b w:val="false"/>
                  <w:strike w:val="false"/>
                  <w:dstrike w:val="false"/>
                  <w:color w:val="000000"/>
                  <w:sz w:val="20"/>
                  <w:u w:val="none"/>
                  <w:effect w:val="none"/>
                </w:rPr>
                <w:t>53</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112">
              <w:r>
                <w:rPr>
                  <w:rStyle w:val="InternetLink"/>
                  <w:rFonts w:ascii="Times New Roman;sans-serif" w:hAnsi="Times New Roman;sans-serif"/>
                  <w:b w:val="false"/>
                  <w:color w:val="0000FF"/>
                  <w:sz w:val="20"/>
                  <w:u w:val="singl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112">
              <w:r>
                <w:rPr>
                  <w:rStyle w:val="InternetLink"/>
                  <w:rFonts w:ascii="Times New Roman;sans-serif" w:hAnsi="Times New Roman;sans-serif"/>
                  <w:b w:val="false"/>
                  <w:strike w:val="false"/>
                  <w:dstrike w:val="false"/>
                  <w:color w:val="000000"/>
                  <w:sz w:val="20"/>
                  <w:u w:val="none"/>
                  <w:effect w:val="none"/>
                </w:rPr>
                <w:t>57</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115">
              <w:r>
                <w:rPr>
                  <w:rStyle w:val="InternetLink"/>
                  <w:rFonts w:ascii="Times New Roman;sans-serif" w:hAnsi="Times New Roman;sans-serif"/>
                  <w:b w:val="false"/>
                  <w:color w:val="0000FF"/>
                  <w:sz w:val="20"/>
                  <w:u w:val="single"/>
                </w:rPr>
                <w:t>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115">
              <w:r>
                <w:rPr>
                  <w:rStyle w:val="InternetLink"/>
                  <w:rFonts w:ascii="Times New Roman;sans-serif" w:hAnsi="Times New Roman;sans-serif"/>
                  <w:b w:val="false"/>
                  <w:strike w:val="false"/>
                  <w:dstrike w:val="false"/>
                  <w:color w:val="000000"/>
                  <w:sz w:val="20"/>
                  <w:u w:val="none"/>
                  <w:effect w:val="none"/>
                </w:rPr>
                <w:t>58</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118">
              <w:r>
                <w:rPr>
                  <w:rStyle w:val="InternetLink"/>
                  <w:rFonts w:ascii="Times New Roman;sans-serif" w:hAnsi="Times New Roman;sans-serif"/>
                  <w:b w:val="false"/>
                  <w:color w:val="0000FF"/>
                  <w:sz w:val="20"/>
                  <w:u w:val="single"/>
                </w:rPr>
                <w:t>Consolidated Statements of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118">
              <w:r>
                <w:rPr>
                  <w:rStyle w:val="InternetLink"/>
                  <w:rFonts w:ascii="Times New Roman;sans-serif" w:hAnsi="Times New Roman;sans-serif"/>
                  <w:b w:val="false"/>
                  <w:strike w:val="false"/>
                  <w:dstrike w:val="false"/>
                  <w:color w:val="000000"/>
                  <w:sz w:val="20"/>
                  <w:u w:val="none"/>
                  <w:effect w:val="none"/>
                </w:rPr>
                <w:t>59</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121">
              <w:r>
                <w:rPr>
                  <w:rStyle w:val="InternetLink"/>
                  <w:rFonts w:ascii="Times New Roman;sans-serif" w:hAnsi="Times New Roman;sans-serif"/>
                  <w:b w:val="false"/>
                  <w:color w:val="0000FF"/>
                  <w:sz w:val="20"/>
                  <w:u w:val="single"/>
                </w:rPr>
                <w:t>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121">
              <w:r>
                <w:rPr>
                  <w:rStyle w:val="InternetLink"/>
                  <w:rFonts w:ascii="Times New Roman;sans-serif" w:hAnsi="Times New Roman;sans-serif"/>
                  <w:b w:val="false"/>
                  <w:strike w:val="false"/>
                  <w:dstrike w:val="false"/>
                  <w:color w:val="000000"/>
                  <w:sz w:val="20"/>
                  <w:u w:val="none"/>
                  <w:effect w:val="none"/>
                </w:rPr>
                <w:t>60</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124">
              <w:r>
                <w:rPr>
                  <w:rStyle w:val="InternetLink"/>
                  <w:rFonts w:ascii="Times New Roman;sans-serif" w:hAnsi="Times New Roman;sans-serif"/>
                  <w:b w:val="false"/>
                  <w:color w:val="0000FF"/>
                  <w:sz w:val="20"/>
                  <w:u w:val="singl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124">
              <w:r>
                <w:rPr>
                  <w:rStyle w:val="InternetLink"/>
                  <w:rFonts w:ascii="Times New Roman;sans-serif" w:hAnsi="Times New Roman;sans-serif"/>
                  <w:b w:val="false"/>
                  <w:strike w:val="false"/>
                  <w:dstrike w:val="false"/>
                  <w:color w:val="000000"/>
                  <w:sz w:val="20"/>
                  <w:u w:val="none"/>
                  <w:effect w:val="none"/>
                </w:rPr>
                <w:t>61</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835920a6d54c90ba08f9b830634673_127">
              <w:r>
                <w:rPr>
                  <w:rStyle w:val="InternetLink"/>
                  <w:rFonts w:ascii="Times New Roman;sans-serif" w:hAnsi="Times New Roman;sans-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35920a6d54c90ba08f9b830634673_127">
              <w:r>
                <w:rPr>
                  <w:rStyle w:val="InternetLink"/>
                  <w:rFonts w:ascii="Times New Roman;sans-serif" w:hAnsi="Times New Roman;sans-serif"/>
                  <w:b w:val="false"/>
                  <w:strike w:val="false"/>
                  <w:dstrike w:val="false"/>
                  <w:color w:val="000000"/>
                  <w:sz w:val="20"/>
                  <w:u w:val="none"/>
                  <w:effect w:val="none"/>
                </w:rPr>
                <w:t>63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nCino, Inc.</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68" w:before="240" w:after="283"/>
        <w:jc w:val="both"/>
        <w:rPr/>
      </w:pPr>
      <w:r>
        <w:rPr>
          <w:rFonts w:ascii="Times New Roman;sans-serif" w:hAnsi="Times New Roman;sans-serif"/>
          <w:b w:val="false"/>
          <w:color w:val="333333"/>
          <w:sz w:val="20"/>
        </w:rPr>
        <w:t>We have audited the accompanying consolidated balance sheets of nCino, Inc. (the Company) as of January 31, 2024 and 2025, the related consolidated statements of operations, comprehensive loss, stockholders' equity and cash flows for each of the three years in the period ended January 31, 2025, and the related notes</w:t>
      </w:r>
      <w:r>
        <w:rPr>
          <w:color w:val="000000"/>
        </w:rPr>
        <w:t xml:space="preserve"> </w:t>
      </w:r>
      <w:r>
        <w:rPr>
          <w:rFonts w:ascii="Times New Roman;sans-serif" w:hAnsi="Times New Roman;sans-serif"/>
          <w:b w:val="false"/>
          <w:color w:val="000000"/>
          <w:sz w:val="20"/>
        </w:rPr>
        <w:t>(collectively referred to as the “consolidated financial statements”)</w:t>
      </w:r>
      <w:r>
        <w:rPr>
          <w:rFonts w:ascii="Times New Roman;sans-serif" w:hAnsi="Times New Roman;sans-serif"/>
          <w:b w:val="false"/>
          <w:color w:val="333333"/>
          <w:sz w:val="20"/>
        </w:rPr>
        <w:t>. In our opinion, the consolidated financial statements present fairly, in all material respects, the financial position of the Company at January 31, 2024 and 2025, and the results of its operations and its cash flows for each of the three years in the period ended January 31, 2025, in conformity with U.S. generally accepted accounting principles.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333333"/>
          <w:sz w:val="20"/>
        </w:rPr>
      </w:pPr>
      <w:r>
        <w:rPr>
          <w:rFonts w:ascii="Times New Roman;sans-serif" w:hAnsi="Times New Roman;sans-serif"/>
          <w:b w:val="false"/>
          <w:color w:val="333333"/>
          <w:sz w:val="20"/>
        </w:rPr>
        <w:t>We also have audited, in accordance with the standards of the Public Company Accounting Oversight Board (United States) (PCAOB), the Company’s internal control over financial reporting as of January 31, 2025, based on criteria established in Internal Control-Integrated Framework issued by the Committee of Sponsoring Organizations of the Treadway Commission (2013 framework) and our report dated April 1, 2025 expressed an unqualified opinion thereon.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68" w:before="240" w:after="283"/>
        <w:jc w:val="both"/>
        <w:rPr>
          <w:rFonts w:ascii="Times New Roman;sans-serif" w:hAnsi="Times New Roman;sans-serif"/>
          <w:b w:val="false"/>
          <w:color w:val="333333"/>
          <w:sz w:val="20"/>
        </w:rPr>
      </w:pPr>
      <w:r>
        <w:rPr>
          <w:rFonts w:ascii="Times New Roman;sans-serif" w:hAnsi="Times New Roman;sans-serif"/>
          <w:b w:val="false"/>
          <w:color w:val="333333"/>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333333"/>
          <w:sz w:val="20"/>
        </w:rPr>
      </w:pPr>
      <w:r>
        <w:rPr>
          <w:rFonts w:ascii="Times New Roman;sans-serif" w:hAnsi="Times New Roman;sans-serif"/>
          <w:b w:val="false"/>
          <w:color w:val="333333"/>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68" w:before="240" w:after="283"/>
        <w:jc w:val="both"/>
        <w:rPr/>
      </w:pPr>
      <w:r>
        <w:rPr>
          <w:rFonts w:ascii="Times New Roman;sans-serif" w:hAnsi="Times New Roman;sans-serif"/>
          <w:b w:val="false"/>
          <w:color w:val="333333"/>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r>
        <w:rPr>
          <w:rFonts w:ascii="Times New Roman;sans-serif" w:hAnsi="Times New Roman;sans-serif"/>
          <w:b w:val="false"/>
          <w:color w:val="333333"/>
          <w:sz w:val="21"/>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94"/>
        <w:gridCol w:w="434"/>
        <w:gridCol w:w="437"/>
        <w:gridCol w:w="2692"/>
        <w:gridCol w:w="2542"/>
        <w:gridCol w:w="3606"/>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360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84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 the Company derives revenues primarily from subscription services and professional services. Revenues are recognized when a contract exists between the Company and a customer and upon transfer of control of promised products or services to customers in an amount that reflects the consideration the Company expects to receive in exchange for those products or services. The Company assesses terms and conditions associated with contracts that can include various combinations of subscription and professional services, which may be capable of being distinct and accounted for as separate performance obligations, or in the case of offerings such as subscription services and support, accounted for as a single performance obligation. For contracts that contain multiple performance obligations, the Company accounts for individual performance obligations separately if they are distinct. The transaction price is allocated to the separate performance obligations on a relative standalone selling price basis.</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audit effort in evaluating the Company’s accounting for revenue recognition was extensive and required auditor judgment for certain customer contracts to evaluate the terms and conditions, identify distinct performance obligations and support the allocation of transaction price.</w:t>
            </w:r>
          </w:p>
          <w:p>
            <w:pPr>
              <w:pStyle w:val="TableContents"/>
              <w:bidi w:val="0"/>
              <w:spacing w:before="0" w:after="0"/>
              <w:jc w:val="both"/>
              <w:rPr/>
            </w:pPr>
            <w:r>
              <w:rPr/>
            </w:r>
          </w:p>
          <w:p>
            <w:pPr>
              <w:pStyle w:val="TableContents"/>
              <w:bidi w:val="0"/>
              <w:spacing w:before="0" w:after="0"/>
              <w:jc w:val="both"/>
              <w:rPr/>
            </w:pPr>
            <w:r>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84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controls over the Company’s revenue recognition process, including controls designed to mitigate the risk of override of controls. This included testing controls over management’s review of customer contracts and review of manual revenue journal entries.</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test the Company’s accounting for revenue recognition, we performed audit procedures that included, among others, selecting a sample of revenue transactions to test for occurrence and to evaluate contract terms and conditions for accounting in accordance with ASC 606. This testing included reperforming the Company’s assessment of the distinct performance obligations within the arrangement, determination of the allocation of transaction price to the respective performance obligations, as well as testing the application of the revenue recognition requirements including reperforming the calculations of revenue recognized and testing the underlying data used in the calculations. We also assessed the appropriateness of the related disclosures in the consolidated financial statements.</w:t>
            </w:r>
          </w:p>
          <w:p>
            <w:pPr>
              <w:pStyle w:val="TableContents"/>
              <w:bidi w:val="0"/>
              <w:spacing w:lineRule="auto" w:line="288" w:before="0" w:after="0"/>
              <w:jc w:val="both"/>
              <w:rPr>
                <w:color w:val="000000"/>
              </w:rPr>
            </w:pPr>
            <w:r>
              <w:rPr>
                <w:color w:val="000000"/>
              </w:rPr>
              <w:t> </w:t>
            </w:r>
          </w:p>
          <w:p>
            <w:pPr>
              <w:pStyle w:val="TableContents"/>
              <w:bidi w:val="0"/>
              <w:spacing w:before="0" w:after="0"/>
              <w:jc w:val="both"/>
              <w:rPr/>
            </w:pPr>
            <w:r>
              <w:rPr/>
            </w:r>
          </w:p>
        </w:tc>
      </w:tr>
    </w:tbl>
    <w:p>
      <w:pPr>
        <w:pStyle w:val="TextBody"/>
        <w:bidi w:val="0"/>
        <w:spacing w:lineRule="auto" w:line="288" w:before="300" w:after="283"/>
        <w:jc w:val="both"/>
        <w:rPr>
          <w:rFonts w:ascii="Times New Roman;sans-serif" w:hAnsi="Times New Roman;sans-serif"/>
          <w:b w:val="false"/>
          <w:color w:val="333333"/>
          <w:sz w:val="20"/>
        </w:rPr>
      </w:pPr>
      <w:r>
        <w:rPr>
          <w:rFonts w:ascii="Times New Roman;sans-serif" w:hAnsi="Times New Roman;sans-serif"/>
          <w:b w:val="false"/>
          <w:color w:val="333333"/>
          <w:sz w:val="20"/>
        </w:rPr>
        <w:t xml:space="preserve">/s/ Ernst &amp; Young LLP </w:t>
      </w:r>
    </w:p>
    <w:p>
      <w:pPr>
        <w:pStyle w:val="TextBody"/>
        <w:bidi w:val="0"/>
        <w:spacing w:lineRule="auto" w:line="288" w:before="3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2016.</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Raleigh, North Carolina</w:t>
      </w:r>
    </w:p>
    <w:p>
      <w:pPr>
        <w:pStyle w:val="TextBody"/>
        <w:bidi w:val="0"/>
        <w:spacing w:lineRule="auto" w:line="288"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April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nCino, Inc.</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nCino, Inc.’s internal control over financial reporting as of January 31, 2025, based on criteria established in Internal Control—Integrated Framework issued by the Committee of Sponsoring Organizations of the Treadway Commission (2013 framework) (the COSO criteria). In our opinion, nCino, Inc. (the Company) maintained, in all material respects, effective internal control over financial reporting as of January 31, 2025, based on the COSO criteria.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indicated in the accompanying Management’s Report on Internal Control Over Financial Reporting, management’s assessment of and conclusion on the effectiveness of internal control over financial reporting did not include the internal controls of DocFox, Inc. acquired on March 20, 2024, Integrated Lending Technologies, LLC acquired on April 1, 2024 and Artesian Solutions Limited (“FullCircl”) on November 5, 2024 (together the “acquired entities”), which are included in the fiscal 2025 consolidated financial statements of the Company and on a combined basis accounted for approximately 0.7% and 0.1% of total and net assets, respectively, as of January 31, 2025 and 1.9% and 2.5% of revenues and net loss, respectively for the year then ended. Our audit of internal control over financial reporting of the Company also did not include an evaluation of the internal control over financial reporting of acquired entities.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as of January 31, 2024 and 2025, the related consolidated statements of operations, comprehensive loss, stockholders’ equity and cash flows for each of the three years in the period ended January 31, 2025, and the related notes and our report dated April 1, 2025 expressed an unqualified opinion thereon.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300" w:after="283"/>
        <w:jc w:val="left"/>
        <w:rPr>
          <w:rFonts w:ascii="Times New Roman;sans-serif" w:hAnsi="Times New Roman;sans-serif"/>
          <w:b w:val="false"/>
          <w:color w:val="333333"/>
          <w:sz w:val="20"/>
        </w:rPr>
      </w:pPr>
      <w:r>
        <w:rPr>
          <w:rFonts w:ascii="Times New Roman;sans-serif" w:hAnsi="Times New Roman;sans-serif"/>
          <w:b w:val="false"/>
          <w:color w:val="333333"/>
          <w:sz w:val="20"/>
        </w:rPr>
        <w:t xml:space="preserve">/s/ Ernst &amp; Young LLP </w:t>
      </w:r>
    </w:p>
    <w:p>
      <w:pPr>
        <w:pStyle w:val="TextBody"/>
        <w:bidi w:val="0"/>
        <w:spacing w:lineRule="auto" w:line="288" w:before="3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Raleigh, North Carolina</w:t>
      </w:r>
    </w:p>
    <w:p>
      <w:pPr>
        <w:pStyle w:val="TextBody"/>
        <w:bidi w:val="0"/>
        <w:spacing w:lineRule="auto" w:line="288" w:before="60" w:after="283"/>
        <w:jc w:val="left"/>
        <w:rPr>
          <w:rFonts w:ascii="Times New Roman;sans-serif" w:hAnsi="Times New Roman;sans-serif"/>
          <w:b w:val="false"/>
          <w:color w:val="333333"/>
          <w:sz w:val="20"/>
        </w:rPr>
      </w:pPr>
      <w:r>
        <w:rPr>
          <w:rFonts w:ascii="Times New Roman;sans-serif" w:hAnsi="Times New Roman;sans-serif"/>
          <w:b w:val="false"/>
          <w:color w:val="333333"/>
          <w:sz w:val="20"/>
        </w:rPr>
        <w:t>April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885"/>
        <w:gridCol w:w="2131"/>
        <w:gridCol w:w="2158"/>
        <w:gridCol w:w="216"/>
        <w:gridCol w:w="1000"/>
        <w:gridCol w:w="111"/>
        <w:gridCol w:w="109"/>
        <w:gridCol w:w="109"/>
        <w:gridCol w:w="109"/>
        <w:gridCol w:w="215"/>
        <w:gridCol w:w="999"/>
        <w:gridCol w:w="163"/>
      </w:tblGrid>
      <w:tr>
        <w:trPr/>
        <w:tc>
          <w:tcPr>
            <w:tcW w:w="2885"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(VIE: $2,277 and $2,254 at January 31, 2024 and January 31, 2025, respectively)</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allowances of $1,451 and $1,229 at January 31, 2024 and January 31, 2025, respectively</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146,787 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revenue contracts, current portion, net</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250,775 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302,249 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79,145 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74,953 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revenue contracts, noncurrent, net</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838,869 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1,019,375 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154,571 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(related party $2,500 at January 31, 2024 and January 31, 2025)</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prepaid expenses and other assets</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1,340,430 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1,610,381 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non-controlling interest, and stockholders’ equity</w:t>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191,174 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obligations, current portion</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215,036 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251,512 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noncurrent</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noncurrent</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noncurrent</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obligations, noncurrent</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287,826 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512,783 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15)</w:t>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 (Note 2)</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10,000,000 shares authorized, and none issued and outstanding as of January 31, 2024 and January 31, 2025</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$0.0005 par value; 500,000,000 shares authorized as of January 31, 2024 and January 31, 2025; 113,684,299 and 115,996,852 shares issued and outstanding as of January 31, 2024 and January 31, 2025, respectively</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1,400,881 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1,474,413 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(352,758)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(385,335)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1,049,176 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1,089,312 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redeemable non-controlling interest, and stockholders’ equity</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1,340,430 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1,610,381 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i/>
          <w:color w:val="000000"/>
          <w:sz w:val="20"/>
        </w:rPr>
        <w:t>The accompanying notes are an integral part of these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120" w:after="283"/>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045"/>
        <w:gridCol w:w="1779"/>
        <w:gridCol w:w="1796"/>
        <w:gridCol w:w="237"/>
        <w:gridCol w:w="949"/>
        <w:gridCol w:w="109"/>
        <w:gridCol w:w="109"/>
        <w:gridCol w:w="109"/>
        <w:gridCol w:w="109"/>
        <w:gridCol w:w="241"/>
        <w:gridCol w:w="945"/>
        <w:gridCol w:w="109"/>
        <w:gridCol w:w="109"/>
        <w:gridCol w:w="109"/>
        <w:gridCol w:w="109"/>
        <w:gridCol w:w="241"/>
        <w:gridCol w:w="945"/>
        <w:gridCol w:w="155"/>
      </w:tblGrid>
      <w:tr>
        <w:trPr/>
        <w:tc>
          <w:tcPr>
            <w:tcW w:w="2045"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5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342,919 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Non-operating income (expense)</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 (Note 2)</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attributable to redeemable non-controlling interest (Note 2)</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nCino, Inc.</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 attributable to nCino, Inc.:</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number of common shares outstanding:</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110,615,734 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112,672,397 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115,162,175 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i/>
          <w:color w:val="000000"/>
          <w:sz w:val="20"/>
        </w:rPr>
        <w:t>The accompanying notes are an integral part of these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199"/>
        <w:gridCol w:w="1916"/>
        <w:gridCol w:w="1954"/>
        <w:gridCol w:w="211"/>
        <w:gridCol w:w="895"/>
        <w:gridCol w:w="109"/>
        <w:gridCol w:w="109"/>
        <w:gridCol w:w="109"/>
        <w:gridCol w:w="109"/>
        <w:gridCol w:w="211"/>
        <w:gridCol w:w="790"/>
        <w:gridCol w:w="109"/>
        <w:gridCol w:w="109"/>
        <w:gridCol w:w="109"/>
        <w:gridCol w:w="109"/>
        <w:gridCol w:w="211"/>
        <w:gridCol w:w="790"/>
        <w:gridCol w:w="156"/>
      </w:tblGrid>
      <w:tr>
        <w:trPr/>
        <w:tc>
          <w:tcPr>
            <w:tcW w:w="2199"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6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6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Less comprehensive loss attributable to redeemable non-controlling interest:</w:t>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attributable to redeemable non-controlling interest</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 attributable to redeemable non-controlling interest</w:t>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 attributable to nCino,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(33,397)</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i/>
          <w:color w:val="000000"/>
          <w:sz w:val="20"/>
        </w:rPr>
        <w:t>The accompanying notes are an integral part of these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905"/>
        <w:gridCol w:w="287"/>
        <w:gridCol w:w="288"/>
        <w:gridCol w:w="593"/>
        <w:gridCol w:w="593"/>
        <w:gridCol w:w="196"/>
        <w:gridCol w:w="109"/>
        <w:gridCol w:w="109"/>
        <w:gridCol w:w="109"/>
        <w:gridCol w:w="214"/>
        <w:gridCol w:w="366"/>
        <w:gridCol w:w="111"/>
        <w:gridCol w:w="109"/>
        <w:gridCol w:w="109"/>
        <w:gridCol w:w="109"/>
        <w:gridCol w:w="211"/>
        <w:gridCol w:w="976"/>
        <w:gridCol w:w="109"/>
        <w:gridCol w:w="109"/>
        <w:gridCol w:w="109"/>
        <w:gridCol w:w="109"/>
        <w:gridCol w:w="326"/>
        <w:gridCol w:w="720"/>
        <w:gridCol w:w="170"/>
        <w:gridCol w:w="109"/>
        <w:gridCol w:w="109"/>
        <w:gridCol w:w="109"/>
        <w:gridCol w:w="211"/>
        <w:gridCol w:w="841"/>
        <w:gridCol w:w="109"/>
        <w:gridCol w:w="109"/>
        <w:gridCol w:w="109"/>
        <w:gridCol w:w="109"/>
        <w:gridCol w:w="211"/>
        <w:gridCol w:w="976"/>
        <w:gridCol w:w="157"/>
      </w:tblGrid>
      <w:tr>
        <w:trPr/>
        <w:tc>
          <w:tcPr>
            <w:tcW w:w="90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w:t>
              <w:br/>
              <w:t xml:space="preserve">Comprehensive </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109,778,542 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883,561 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under the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 including adjustment to redeemable non-controlling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31, 2023</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111,424,132 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1,024,078 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785,794 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upon vesting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1,277,625 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under the 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196,748 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 including adjustment to redeemable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113,684,299 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1,049,176 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1,745,202 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under the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71,570 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 including adjustment to redeemable non-controlling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31, 2025</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115,996,852 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1,089,312 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i/>
          <w:color w:val="000000"/>
          <w:sz w:val="20"/>
        </w:rPr>
        <w:t>The accompanying notes are an integral part of these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264"/>
        <w:gridCol w:w="1869"/>
        <w:gridCol w:w="1875"/>
        <w:gridCol w:w="211"/>
        <w:gridCol w:w="884"/>
        <w:gridCol w:w="109"/>
        <w:gridCol w:w="109"/>
        <w:gridCol w:w="109"/>
        <w:gridCol w:w="109"/>
        <w:gridCol w:w="211"/>
        <w:gridCol w:w="826"/>
        <w:gridCol w:w="109"/>
        <w:gridCol w:w="109"/>
        <w:gridCol w:w="109"/>
        <w:gridCol w:w="109"/>
        <w:gridCol w:w="211"/>
        <w:gridCol w:w="826"/>
        <w:gridCol w:w="156"/>
      </w:tblGrid>
      <w:tr>
        <w:trPr/>
        <w:tc>
          <w:tcPr>
            <w:tcW w:w="2264"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6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6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adjustment attributable to redeemable non-controlling interest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(used in) operating activities:</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costs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costs capitalized to obtain revenue contracts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bad debt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foreign currency losses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investment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long-lived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revenue contracts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operating activities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business, net of cash acquired</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assets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and equipment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investments (related party $2,500, $0, and $0, respectively)</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(219,177)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08"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from redeemable non-controlling interest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borrowings on revolving credit facility</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revolving credit facility</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debt issuance costs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08"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under the employee stock purchase plan</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financing obligations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financing activities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changes on cash, cash equivalents, and restricted cash</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cash equivalents, and restricted cash</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236"/>
        <w:gridCol w:w="1963"/>
        <w:gridCol w:w="1972"/>
        <w:gridCol w:w="211"/>
        <w:gridCol w:w="721"/>
        <w:gridCol w:w="109"/>
        <w:gridCol w:w="109"/>
        <w:gridCol w:w="109"/>
        <w:gridCol w:w="109"/>
        <w:gridCol w:w="211"/>
        <w:gridCol w:w="826"/>
        <w:gridCol w:w="109"/>
        <w:gridCol w:w="109"/>
        <w:gridCol w:w="109"/>
        <w:gridCol w:w="109"/>
        <w:gridCol w:w="211"/>
        <w:gridCol w:w="826"/>
        <w:gridCol w:w="156"/>
      </w:tblGrid>
      <w:tr>
        <w:trPr/>
        <w:tc>
          <w:tcPr>
            <w:tcW w:w="2236"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6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cash equivalents, and restricted cash, end of period: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long-term 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 net of refunds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Building-leased facility acquired through financing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purchase price related to acquisitions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period adjustment relating to business acquisition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i/>
          <w:color w:val="000000"/>
          <w:sz w:val="20"/>
        </w:rPr>
        <w:t>The accompanying notes are an integral part of these consolidated financial statements</w:t>
      </w:r>
      <w:r>
        <w:rPr>
          <w:rFonts w:ascii="Times New Roman;sans-serif" w:hAnsi="Times New Roman;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 Summary of Business and Significant Accounting Policies</w:t>
      </w:r>
    </w:p>
    <w:p>
      <w:pPr>
        <w:pStyle w:val="TextBody"/>
        <w:bidi w:val="0"/>
        <w:spacing w:lineRule="auto" w:line="288" w:before="240" w:after="283"/>
        <w:ind w:left="0" w:right="0" w:firstLine="990"/>
        <w:jc w:val="left"/>
        <w:rPr/>
      </w:pPr>
      <w:r>
        <w:rPr>
          <w:rFonts w:ascii="Times New Roman;sans-serif" w:hAnsi="Times New Roman;sans-serif"/>
          <w:b/>
          <w:color w:val="000000"/>
          <w:sz w:val="20"/>
        </w:rPr>
        <w:t>Description of Business:</w:t>
      </w:r>
      <w:r>
        <w:rPr>
          <w:color w:val="000000"/>
        </w:rPr>
        <w:t xml:space="preserve"> </w:t>
      </w:r>
      <w:r>
        <w:rPr>
          <w:rFonts w:ascii="Times New Roman;sans-serif" w:hAnsi="Times New Roman;sans-serif"/>
          <w:b w:val="false"/>
          <w:color w:val="000000"/>
          <w:sz w:val="20"/>
        </w:rPr>
        <w:t>nCino, Inc. and its wholly-owned subsidiaries, collectively the Company, is a software-as-a-service ("SaaS") company that provides software solutions to financial institutions to streamline employee and client interactions. The Company is headquartered in Wilmington, North Carolina and has various locations in the United States, North America, Europe, Asia Pacific and South Africa. Unless otherwise indicated or the context otherwise requires, references to “we,” “us,” “our,” “nCino,” and the “Company” refer to nCino, Inc. and its consolidated subsidiaries.</w:t>
      </w:r>
    </w:p>
    <w:p>
      <w:pPr>
        <w:pStyle w:val="TextBody"/>
        <w:bidi w:val="0"/>
        <w:spacing w:lineRule="auto" w:line="288" w:before="240" w:after="283"/>
        <w:ind w:left="0" w:right="0" w:firstLine="990"/>
        <w:jc w:val="left"/>
        <w:rPr/>
      </w:pPr>
      <w:r>
        <w:rPr>
          <w:rFonts w:ascii="Times New Roman;sans-serif" w:hAnsi="Times New Roman;sans-serif"/>
          <w:b/>
          <w:color w:val="000000"/>
          <w:sz w:val="20"/>
        </w:rPr>
        <w:t>Fiscal Year End:</w:t>
      </w:r>
      <w:r>
        <w:rPr>
          <w:color w:val="000000"/>
        </w:rPr>
        <w:t xml:space="preserve"> </w:t>
      </w:r>
      <w:r>
        <w:rPr>
          <w:rFonts w:ascii="Times New Roman;sans-serif" w:hAnsi="Times New Roman;sans-serif"/>
          <w:b w:val="false"/>
          <w:color w:val="000000"/>
          <w:sz w:val="20"/>
        </w:rPr>
        <w:t>The Company’s fiscal year ends on January 31. References to fiscal year 2025, for example, refer to the fiscal year ended January 31, 2025.</w:t>
      </w:r>
    </w:p>
    <w:p>
      <w:pPr>
        <w:pStyle w:val="TextBody"/>
        <w:bidi w:val="0"/>
        <w:spacing w:lineRule="auto" w:line="288" w:before="240" w:after="283"/>
        <w:ind w:left="0" w:right="0" w:firstLine="990"/>
        <w:jc w:val="left"/>
        <w:rPr/>
      </w:pPr>
      <w:r>
        <w:rPr>
          <w:rFonts w:ascii="Times New Roman;sans-serif" w:hAnsi="Times New Roman;sans-serif"/>
          <w:b/>
          <w:color w:val="000000"/>
          <w:sz w:val="20"/>
        </w:rPr>
        <w:t>Principles of Consolidation and Basis of Presentation:</w:t>
      </w:r>
      <w:r>
        <w:rPr>
          <w:color w:val="000000"/>
        </w:rPr>
        <w:t xml:space="preserve"> </w:t>
      </w:r>
      <w:r>
        <w:rPr>
          <w:rFonts w:ascii="Times New Roman;sans-serif" w:hAnsi="Times New Roman;sans-serif"/>
          <w:b w:val="false"/>
          <w:color w:val="000000"/>
          <w:sz w:val="20"/>
        </w:rPr>
        <w:t>The accompanying consolidated financial statements have been prepared in accordance with generally accepted accounting principles in the United States of America ("GAAP") as set forth in the Financial Accounting Standards Board ("FASB") Accounting Standards Codification ("ASC"). The consolidated financial statements include accounts of the Company’s wholly-owned subsidiaries as well as a variable interest entity in which the Company is the primary beneficiary. All intercompany balances and transactions have been eliminated in consolidation.</w:t>
      </w:r>
    </w:p>
    <w:p>
      <w:pPr>
        <w:pStyle w:val="TextBody"/>
        <w:bidi w:val="0"/>
        <w:spacing w:lineRule="auto" w:line="288" w:before="240" w:after="283"/>
        <w:ind w:left="0" w:right="0" w:firstLine="990"/>
        <w:jc w:val="left"/>
        <w:rPr/>
      </w:pPr>
      <w:r>
        <w:rPr>
          <w:rFonts w:ascii="Times New Roman;sans-serif" w:hAnsi="Times New Roman;sans-serif"/>
          <w:b/>
          <w:color w:val="000000"/>
          <w:sz w:val="20"/>
        </w:rPr>
        <w:t>Use of Estimates:</w:t>
      </w:r>
      <w:r>
        <w:rPr>
          <w:color w:val="000000"/>
        </w:rPr>
        <w:t xml:space="preserve"> </w:t>
      </w:r>
      <w:r>
        <w:rPr>
          <w:rFonts w:ascii="Times New Roman;sans-serif" w:hAnsi="Times New Roman;sans-serif"/>
          <w:b w:val="false"/>
          <w:color w:val="000000"/>
          <w:sz w:val="20"/>
        </w:rPr>
        <w:t xml:space="preserve">The preparation of consolidated financial statements in conformity with GAAP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and stand-alone selling price; the average period of benefit associated with costs capitalized to obtain revenue contracts; fair value of assets acquired and liabilities assumed for business combinations; the useful lives of intangible assets; income taxes and the related valuation allowance on deferred tax assets; redemption value of redeemable non-controlling interest; and stock-based compensation. The Company assesses these estimates on a regular basis using historical experience and other factors. Actual results could differ from these estimates. </w:t>
      </w:r>
    </w:p>
    <w:p>
      <w:pPr>
        <w:pStyle w:val="TextBody"/>
        <w:bidi w:val="0"/>
        <w:spacing w:lineRule="auto" w:line="288" w:before="240" w:after="283"/>
        <w:ind w:left="0" w:right="0" w:firstLine="990"/>
        <w:jc w:val="left"/>
        <w:rPr/>
      </w:pPr>
      <w:r>
        <w:rPr>
          <w:rFonts w:ascii="Times New Roman;sans-serif" w:hAnsi="Times New Roman;sans-serif"/>
          <w:b/>
          <w:color w:val="000000"/>
          <w:sz w:val="20"/>
        </w:rPr>
        <w:t xml:space="preserve">Segments: </w:t>
      </w:r>
      <w:r>
        <w:rPr>
          <w:rFonts w:ascii="Times New Roman;sans-serif" w:hAnsi="Times New Roman;sans-serif"/>
          <w:b w:val="false"/>
          <w:color w:val="000000"/>
          <w:sz w:val="20"/>
        </w:rPr>
        <w:t>The Company operates as one operating segment. Operating segments are defined as components of an enterprise for which separate financial information is available and evaluated regularly by the chief operating decision maker ("CODM"), which is the Company’s Chief Executive Officer, in deciding how to make operating decisions, allocate resources, and assess performance. The Company’s CODM allocates resources and assesses performance at the consolidated level.</w:t>
      </w:r>
    </w:p>
    <w:p>
      <w:pPr>
        <w:pStyle w:val="TextBody"/>
        <w:bidi w:val="0"/>
        <w:spacing w:lineRule="auto" w:line="288" w:before="240" w:after="283"/>
        <w:ind w:left="0" w:right="0" w:firstLine="990"/>
        <w:jc w:val="left"/>
        <w:rPr/>
      </w:pPr>
      <w:r>
        <w:rPr>
          <w:rFonts w:ascii="Times New Roman;sans-serif" w:hAnsi="Times New Roman;sans-serif"/>
          <w:b/>
          <w:color w:val="000000"/>
          <w:sz w:val="20"/>
        </w:rPr>
        <w:t>Concentration of Credit Risk and Significant Customers:</w:t>
      </w:r>
      <w:r>
        <w:rPr>
          <w:color w:val="000000"/>
        </w:rPr>
        <w:t xml:space="preserve"> </w:t>
      </w:r>
      <w:r>
        <w:rPr>
          <w:rFonts w:ascii="Times New Roman;sans-serif" w:hAnsi="Times New Roman;sans-serif"/>
          <w:b w:val="false"/>
          <w:color w:val="000000"/>
          <w:sz w:val="20"/>
        </w:rPr>
        <w:t>The Company’s financial instruments that are exposed to concentration of credit risk consist primarily of cash, cash equivalents, restricted cash, and accounts receivable. The Company’s cash and cash equivalents exceeded federally insured limits at January 31, 2024 and January 31, 2025. The Company maintains its cash, cash equivalents, and restricted cash with high-credit-quality financial institutions.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and January 31, 2025, no individual customer represented more than 10% of accounts receivable. For the fiscal years ended January 31, 2023, 2024, and 2025, no individual customer represented more than 10% of the Company’s total revenues.</w:t>
      </w:r>
    </w:p>
    <w:p>
      <w:pPr>
        <w:pStyle w:val="TextBody"/>
        <w:bidi w:val="0"/>
        <w:spacing w:lineRule="auto" w:line="288" w:before="240" w:after="283"/>
        <w:ind w:left="0" w:right="0" w:firstLine="990"/>
        <w:jc w:val="left"/>
        <w:rPr/>
      </w:pPr>
      <w:r>
        <w:rPr>
          <w:rFonts w:ascii="Times New Roman;sans-serif" w:hAnsi="Times New Roman;sans-serif"/>
          <w:b/>
          <w:color w:val="000000"/>
          <w:sz w:val="20"/>
        </w:rPr>
        <w:t xml:space="preserve">Revenue Recognition: </w:t>
      </w:r>
      <w:r>
        <w:rPr>
          <w:rFonts w:ascii="Times New Roman;sans-serif" w:hAnsi="Times New Roman;sans-serif"/>
          <w:b w:val="false"/>
          <w:color w:val="000000"/>
          <w:sz w:val="20"/>
        </w:rPr>
        <w:t>The Company derives revenues primarily from subscription services and professional services. Revenues are recognized when a contract exists between the Company and a customer and upon transfer of control of promised products or services to customers in an amount that reflects the consideration the Company expects to receive in exchange for those products or services. The Company enters into contracts that can include various combinations of subscription and professional services, which may be capable of being distinct and accounted for as separate performance obligations, or in the case of offerings such as subscription services and support, accounted for as a single performance obligation. Revenues are recognized net of allowances and any taxes collected from customers, which are subsequently remitted to governmental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revenue recognition through the following steps: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Identification of the contract, or contracts, with a customer;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Identification of the performance obligations in the contract;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Determination of the transaction price;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Recognition of revenues when, or as, the Company satisfies a performance obligation.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Subscription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revenues primarily consist of fees for providing customers access to the Company’s solutions, with routine customer support and maintenance related to email and phone support, bug fixes, and unspecified software updates, and upgrades released when and if available during the maintenance term. Revenues are generally recognized on a ratable basis over the contract term beginning on the date that the Company’s service is made available to the customer, which the Company believes best reflects the manner in which the Company’s customers utilize the Company’s subscription offerings. Arrangements with customers do not provide the customer with the right to take possession of the software supporting the Company's solutions at any time and, as a result, are accounted for as a service contract. Generally, the Company’s subscription contracts are three to five years in length, billed annually in advance, are non-cancelable, and do not contain refund-type provisions. U.S. mortgage contracts are generally billed monthly in advance. Subscription arrangements that are cancelable generally have penalty clauses.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Professional Services and Other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revenues primarily consist of fees for deployment, configuration, and optimization services, as well as training. The majority of the Company’s professional services contract revenues are recognized over time based on a proportional performance methodology which utilizes input methods. The Company’s professional services contracts are billed on a time and materials or fixed fee basis.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Contracts with Multiple Performance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(“SSP”) basis. The Company determines SSP by considering its overall pricing objectives and market conditions. Significant pricing practices taken into consideration include the Company’s discounting practices, the size and volume of the Company’s transactions, the customer demographic, the geographic area where services are sold, price lists, the Company’s go-to-market strategy, historical sales, and contract prices. As the Company’s go-to-market strategies evolve, the Company may modify its pricing practices in the future, which could result in changes to SSP.</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Given the variability of pricing, the Company uses a range of SSP. The Company determines the SSP range using information that may include market conditions or other observable inputs. The Company typically has more than one SSP for individual products and services due to the stratification of products and services by customer size.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Costs Capitalized to Obtain Revenue Contracts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capitalizes incremental costs of obtaining a non-cancelable subscription and support revenue contract if the Company expects the benefit of those costs to be longer than one year. The capitalized amounts are subsequently amortized over the estimated life of the contract. Capitalized amounts consist primarily of sales commissions paid to the Company’s direct sales force. Capitalized amounts also include (1) amounts paid to employees other than the direct sales force who earn incentive payouts under annual compensation plans that are tied to the value of contracts acquired and (2) the associated payroll taxes and fringe benefit costs associated with the payments to these employees. Capitalized costs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revenue contracts or on upsell of existing contracts are amortized on a straight-line basis over four to five years, which, although longer than the typical initial contract period, reflects the average period of benefit, including expected contract renewals. In arriving at this average period of benefit, the Company evaluated both qualitative and quantitative factors which included the estimated life cycles of its offerings and its customer attrition. Commissions paid relating to contract renewals are not commensurate with sales commissions paid on initial contracts and as such are deferred and amortized over the related renewal period. The capitalized amounts are recoverable through future revenue streams under all non-cancelable customer contracts. The Company periodically evaluates whether there have been any changes in its business, the market conditions in which it operates, or other events which would indicate that its amortization period should be changed or if there are potential indicators of impairment. Any changes in the anticipated period of benefit or the average renewal term are recognized on a prospective basis upon occurrence. Amortization of capitalized costs to obtain revenue contracts is included in sales and marketing expense in the accompanying consolidated statements of operations.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Judgments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may include multiple services requiring allocation of the transaction price across the different performance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Standalone selling price is established by maximizing the amount of observable inputs, primarily actual historical selling prices for performance obligations where available and includes consideration of factors such as go-to-market model and customer size. Where standalone selling price may not be observable (e.g., the performance obligation is not sold separately), the Company maximizes the use of observable inputs by using information that may include reviewing pricing practices, performance obligations with similar customers, and selling models.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At times, the Company provides credits or incentives to its customers. Known and estimable credits and incentives represent a form of variable consideration, which are determined at contract inception and reduce the revenues recognized for a particular contract. At the end of each reporting period, the Company reviews and updates its estimates as additional information becomes available. The Company believes that there will not be significant changes to its estimates of variable consideration as of January 31, 2025.</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whether it is the principal or agent with respect to vendor reseller agreements pursuant to which the Company resells certain third-party solutions along with the Company’s solutions. Where the Company is the principal, it first obtains control of the inputs to the specific good or service and directs their use to create the combined output. The Company’s control is evidenced by its involvement in the integration of the good or service on its platform before it is transferred to its customers and is further supported by the Company being primarily responsible to its customers and having a level of discretion in establishing pricing. The Company has determined that, generally, the Company is acting as the principal and reports revenues from these types of contracts on a gross basis, meaning the amounts billed to customers are recorded as revenues and expenses incurred are recorded as cost of revenues. </w:t>
      </w:r>
    </w:p>
    <w:p>
      <w:pPr>
        <w:pStyle w:val="TextBody"/>
        <w:bidi w:val="0"/>
        <w:spacing w:lineRule="auto" w:line="288" w:before="240" w:after="283"/>
        <w:ind w:left="0" w:right="0" w:firstLine="990"/>
        <w:jc w:val="left"/>
        <w:rPr/>
      </w:pPr>
      <w:r>
        <w:rPr>
          <w:rFonts w:ascii="Times New Roman;sans-serif" w:hAnsi="Times New Roman;sans-serif"/>
          <w:b/>
          <w:color w:val="000000"/>
          <w:sz w:val="20"/>
        </w:rPr>
        <w:t>Deferred Revenue:</w:t>
      </w:r>
      <w:r>
        <w:rPr>
          <w:color w:val="000000"/>
        </w:rPr>
        <w:t xml:space="preserve"> </w:t>
      </w:r>
      <w:r>
        <w:rPr>
          <w:rFonts w:ascii="Times New Roman;sans-serif" w:hAnsi="Times New Roman;sans-serif"/>
          <w:b w:val="false"/>
          <w:color w:val="000000"/>
          <w:sz w:val="20"/>
        </w:rPr>
        <w:t>Deferred revenue primarily consists of billings or payments received in advance of revenue recognition from subscription services, including non-cancellable and non-refundable committed funds and deposits. Deferred revenue is recognized as revenue recognition criteria has been met. Customers are typically invoiced for these agreements in advance of regular annual installments and revenues are recognized ratably over the contractual subscription period. The deferred revenue balance is influenced by several factors, including seasonality, the compounding effects of renewals, invoice duration, invoice timing, size, and new business linearity. Deferred revenue does not represent the total contract value of annual or multi-year non-cancellable subscription agreements. Deferred revenue that will be recognized during the succeeding 12-month period are recorded as deferred revenue, current portion, and the remaining portion is recorded as deferred revenue, net of current portion on the consolidated balance sheets.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Payment terms vary by contract, although terms generally include a requirement of payment within 30 to 45 days. In instances where the timing of revenue recognition differs from the timing of invoicing, the Company has determined contracts generally do not include a significant financing component. The primary purpose of invoicing terms is to provide customers with simplified and predictable ways of purchasing services, such as invoicing at the beginning of a subscription term with revenues recognized ratably over the contract period, and not to provide financing to customers. Any implied financing costs are considered insignificant in the context of the Company’s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pPr>
      <w:r>
        <w:rPr>
          <w:rFonts w:ascii="Times New Roman;sans-serif" w:hAnsi="Times New Roman;sans-serif"/>
          <w:b/>
          <w:color w:val="000000"/>
          <w:sz w:val="20"/>
        </w:rPr>
        <w:t>Cash and Cash Equivalents:</w:t>
      </w:r>
      <w:r>
        <w:rPr>
          <w:color w:val="000000"/>
        </w:rPr>
        <w:t xml:space="preserve"> </w:t>
      </w:r>
      <w:r>
        <w:rPr>
          <w:rFonts w:ascii="Times New Roman;sans-serif" w:hAnsi="Times New Roman;sans-serif"/>
          <w:b w:val="false"/>
          <w:color w:val="000000"/>
          <w:sz w:val="20"/>
        </w:rPr>
        <w:t>The Company considers all highly liquid investments purchased with an original maturity of three months or less at the date of purchase to be cash equivalents. Cash equivalents are stated at fair value.</w:t>
      </w:r>
    </w:p>
    <w:p>
      <w:pPr>
        <w:pStyle w:val="TextBody"/>
        <w:bidi w:val="0"/>
        <w:spacing w:lineRule="auto" w:line="288" w:before="240" w:after="283"/>
        <w:ind w:left="0" w:right="0" w:firstLine="990"/>
        <w:jc w:val="left"/>
        <w:rPr/>
      </w:pPr>
      <w:r>
        <w:rPr>
          <w:rFonts w:ascii="Times New Roman;sans-serif" w:hAnsi="Times New Roman;sans-serif"/>
          <w:b/>
          <w:color w:val="000000"/>
          <w:sz w:val="20"/>
        </w:rPr>
        <w:t>Restricted Cash:</w:t>
      </w:r>
      <w:r>
        <w:rPr>
          <w:color w:val="000000"/>
        </w:rPr>
        <w:t xml:space="preserve"> </w:t>
      </w:r>
      <w:r>
        <w:rPr>
          <w:rFonts w:ascii="Times New Roman;sans-serif" w:hAnsi="Times New Roman;sans-serif"/>
          <w:b w:val="false"/>
          <w:color w:val="000000"/>
          <w:sz w:val="20"/>
        </w:rPr>
        <w:t>Restricted cash primarily consisted of a minimum cash balance the Company maintained with a lender under the Company's revolving credit facility for fiscal year 2024. Restricted cash consists of deposits held as collateral for the Company's bank guarantees issued in place of security deposits for certain property leases and credit cards, at January 31, 2025. Restricted cash is included in long-term prepaid expenses and other assets at January 31, 2024 and January 31, 2025 on the consolidated balance sheets.</w:t>
      </w:r>
    </w:p>
    <w:p>
      <w:pPr>
        <w:pStyle w:val="TextBody"/>
        <w:bidi w:val="0"/>
        <w:spacing w:lineRule="auto" w:line="288" w:before="240" w:after="283"/>
        <w:ind w:left="0" w:right="0" w:firstLine="990"/>
        <w:jc w:val="left"/>
        <w:rPr/>
      </w:pPr>
      <w:r>
        <w:rPr>
          <w:rFonts w:ascii="Times New Roman;sans-serif" w:hAnsi="Times New Roman;sans-serif"/>
          <w:b/>
          <w:color w:val="000000"/>
          <w:sz w:val="20"/>
        </w:rPr>
        <w:t>Accounts Receivable and Allowances:</w:t>
      </w:r>
      <w:r>
        <w:rPr>
          <w:color w:val="000000"/>
        </w:rPr>
        <w:t xml:space="preserve"> </w:t>
      </w:r>
      <w:r>
        <w:rPr>
          <w:rFonts w:ascii="Times New Roman;sans-serif" w:hAnsi="Times New Roman;sans-serif"/>
          <w:b w:val="false"/>
          <w:color w:val="000000"/>
          <w:sz w:val="20"/>
        </w:rPr>
        <w:t>A receivable is recorded when an unconditional right to invoice and receive payment exists, such that only the passage of time is required before payment of consideration is due. Timing of revenue recognition may differ from the timing of invoicing to customers. Certain performance obligations may require payment before delivery of the service to the customer. The Company recognizes a contract asset in the form of accounts receivable when the Company has an unconditional right to payment, and the Company records a contract asset in the form of unbilled accounts receivable when revenues earned on a contract exceeds the billings. The Company’s standard billing terms are annual in advance, while U.S. mortgage standard billing terms are monthly in advance. An unbilled accounts receivable is a contract asset related to the delivery of the Company’s subscription services and professional services for which the related billings will occur in a future period. Unbilled accounts receivable consists of (i) revenues recognized for professional services performed but not yet billed and (ii) revenues recognized from non-cancelable, multi-year orders in which fees increase annually but for which the Company is not contractually able to invoice until a future period. Accounts receivable are reported at their gross outstanding balance reduced by an allowance for estimated receivable losses, which includes allowances for doubtful accounts and a reserve for expected credit losses.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allowances for doubtful accounts based upon the credit worthiness of customers, historical experience, the age of the accounts receivable, current market and economic conditions, and supportable forecasts about the future. Relevant risk characteristics include customer size and historical loss patterns. This estimate is analyzed quarterly and adjusted as necessary. The Company records the allowance against bad debt expense through the consolidated statements of operations, included in general and administrative expenses, up to the amount of revenues recognized to date. Any incremental allowance is recorded as an offset to deferred revenue on the consolidated balance sheets. Receivables are written off and charged against the recorded allowance when the Company has exhausted collection efforts without success.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activity in the allowance for doubtful accounts and reserve for expected credit losses is as follows:</w:t>
      </w:r>
    </w:p>
    <w:tbl>
      <w:tblPr>
        <w:tblW w:w="5847" w:type="dxa"/>
        <w:jc w:val="left"/>
        <w:tblInd w:w="0" w:type="dxa"/>
        <w:tblLayout w:type="fixed"/>
        <w:tblCellMar>
          <w:top w:w="28" w:type="dxa"/>
          <w:left w:w="28" w:type="dxa"/>
          <w:bottom w:w="28" w:type="dxa"/>
          <w:right w:w="28" w:type="dxa"/>
        </w:tblCellMar>
      </w:tblPr>
      <w:tblGrid>
        <w:gridCol w:w="901"/>
        <w:gridCol w:w="793"/>
        <w:gridCol w:w="796"/>
        <w:gridCol w:w="211"/>
        <w:gridCol w:w="466"/>
        <w:gridCol w:w="109"/>
        <w:gridCol w:w="109"/>
        <w:gridCol w:w="109"/>
        <w:gridCol w:w="109"/>
        <w:gridCol w:w="211"/>
        <w:gridCol w:w="616"/>
        <w:gridCol w:w="109"/>
        <w:gridCol w:w="109"/>
        <w:gridCol w:w="109"/>
        <w:gridCol w:w="109"/>
        <w:gridCol w:w="211"/>
        <w:gridCol w:w="616"/>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 to bad debt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 to deferred revenue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and 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pPr>
      <w:r>
        <w:rPr>
          <w:rFonts w:ascii="Times New Roman;sans-serif" w:hAnsi="Times New Roman;sans-serif"/>
          <w:b/>
          <w:color w:val="000000"/>
          <w:sz w:val="20"/>
        </w:rPr>
        <w:t xml:space="preserve">Leases: </w:t>
      </w:r>
      <w:r>
        <w:rPr>
          <w:rFonts w:ascii="Times New Roman;sans-serif" w:hAnsi="Times New Roman;sans-serif"/>
          <w:b w:val="false"/>
          <w:color w:val="000000"/>
          <w:sz w:val="20"/>
        </w:rPr>
        <w:t>The Company determines if an arrangement is or contains a lease at inception date based on whether there is an identified asset and whether the Company controls the use of the identified asset throughout the period of use. The Company determines the classification of the lease, whether operating or financing, at the lease commencement date, which is the date the leased assets are made available for use. The Company accounts for lease and non-lease components as a single lease component for its facilities and equipment leases. The Company did not have any finance leases as of January 31, 2024 or January 31, 2025.</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right-of-use ("ROU") assets and lease liabilities are recognized at the commencement date based on the present value of lease payments over the lease term. The lease term reflects the non-cancelable period of the lease together with options to extend or terminate the lease when it is reasonably certain the Company will exercise such option. Variable costs, such as common area maintenance costs, are not included in the measurement of the ROU assets and lease liabilities, but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 expensed as incurred. If an implicit rate is not readily determined by the Company's leases, the Company uses its incremental borrowing rate in determining the present value of the lease payments. Lease expense is recognized on a straight-line basis over the lease term.</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recognize ROU assets or lease liabilities for leases with a term of 12 months or less. Lease expense for such leases is recognized on a straight-line basis over the lease term.</w:t>
      </w:r>
    </w:p>
    <w:p>
      <w:pPr>
        <w:pStyle w:val="TextBody"/>
        <w:bidi w:val="0"/>
        <w:spacing w:lineRule="auto" w:line="288" w:before="240" w:after="283"/>
        <w:ind w:left="0" w:right="0" w:firstLine="990"/>
        <w:jc w:val="left"/>
        <w:rPr/>
      </w:pPr>
      <w:r>
        <w:rPr>
          <w:rFonts w:ascii="Times New Roman;sans-serif" w:hAnsi="Times New Roman;sans-serif"/>
          <w:b/>
          <w:color w:val="000000"/>
          <w:sz w:val="20"/>
        </w:rPr>
        <w:t>Property and Equipment:</w:t>
      </w:r>
      <w:r>
        <w:rPr>
          <w:color w:val="000000"/>
        </w:rPr>
        <w:t xml:space="preserve"> </w:t>
      </w:r>
      <w:r>
        <w:rPr>
          <w:rFonts w:ascii="Times New Roman;sans-serif" w:hAnsi="Times New Roman;sans-serif"/>
          <w:b w:val="false"/>
          <w:color w:val="000000"/>
          <w:sz w:val="20"/>
        </w:rPr>
        <w:t>Property and equipment are stated at cost less accumulated depreciation. Depreciation is calculated on the straight-line method over the estimated useful lives of the assets and commences once the asset is placed in service or is ready for its intended use. The estimated useful lives by asset classification are generally as follows:</w:t>
      </w:r>
    </w:p>
    <w:tbl>
      <w:tblPr>
        <w:tblW w:w="7977" w:type="dxa"/>
        <w:jc w:val="left"/>
        <w:tblInd w:w="0" w:type="dxa"/>
        <w:tblLayout w:type="fixed"/>
        <w:tblCellMar>
          <w:top w:w="28" w:type="dxa"/>
          <w:left w:w="28" w:type="dxa"/>
          <w:bottom w:w="28" w:type="dxa"/>
          <w:right w:w="28" w:type="dxa"/>
        </w:tblCellMar>
      </w:tblPr>
      <w:tblGrid>
        <w:gridCol w:w="821"/>
        <w:gridCol w:w="720"/>
        <w:gridCol w:w="724"/>
        <w:gridCol w:w="109"/>
        <w:gridCol w:w="109"/>
        <w:gridCol w:w="109"/>
        <w:gridCol w:w="1577"/>
        <w:gridCol w:w="1577"/>
        <w:gridCol w:w="2231"/>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Estimated Useful Life</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 years</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 years</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Shorter of remaining life of the lease term or estimated useful life</w:t>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Repairs and maintenance are charged to expense as incurred. When assets are retired or otherwise disposed of, the cost and accumulated depreciation or amortization are removed from their respective accounts, and any gain or loss on such retirement is reflected in operating expenses.</w:t>
      </w:r>
    </w:p>
    <w:p>
      <w:pPr>
        <w:pStyle w:val="TextBody"/>
        <w:bidi w:val="0"/>
        <w:spacing w:lineRule="auto" w:line="288" w:before="240" w:after="283"/>
        <w:ind w:left="0" w:right="0" w:firstLine="990"/>
        <w:jc w:val="left"/>
        <w:rPr/>
      </w:pPr>
      <w:r>
        <w:rPr>
          <w:rFonts w:ascii="Times New Roman;sans-serif" w:hAnsi="Times New Roman;sans-serif"/>
          <w:b/>
          <w:color w:val="000000"/>
          <w:sz w:val="20"/>
        </w:rPr>
        <w:t>Financing Obligations:</w:t>
      </w:r>
      <w:r>
        <w:rPr>
          <w:color w:val="000000"/>
        </w:rPr>
        <w:t xml:space="preserve"> </w:t>
      </w:r>
      <w:r>
        <w:rPr>
          <w:rFonts w:ascii="Times New Roman;sans-serif" w:hAnsi="Times New Roman;sans-serif"/>
          <w:b w:val="false"/>
          <w:color w:val="000000"/>
          <w:sz w:val="20"/>
        </w:rPr>
        <w:t xml:space="preserve">The Company records assets and liabilities for lease arrangements where the Company has continued involvement due to purchase options and is deemed to be the owner for accounting purposes. </w:t>
      </w:r>
    </w:p>
    <w:p>
      <w:pPr>
        <w:pStyle w:val="TextBody"/>
        <w:bidi w:val="0"/>
        <w:spacing w:lineRule="auto" w:line="288" w:before="240" w:after="283"/>
        <w:ind w:left="0" w:right="0" w:firstLine="990"/>
        <w:jc w:val="left"/>
        <w:rPr/>
      </w:pPr>
      <w:r>
        <w:rPr>
          <w:rFonts w:ascii="Times New Roman;sans-serif" w:hAnsi="Times New Roman;sans-serif"/>
          <w:b/>
          <w:color w:val="000000"/>
          <w:sz w:val="20"/>
        </w:rPr>
        <w:t>Intangible Assets:</w:t>
      </w:r>
      <w:r>
        <w:rPr>
          <w:color w:val="000000"/>
        </w:rPr>
        <w:t xml:space="preserve"> </w:t>
      </w:r>
      <w:r>
        <w:rPr>
          <w:rFonts w:ascii="Times New Roman;sans-serif" w:hAnsi="Times New Roman;sans-serif"/>
          <w:b w:val="false"/>
          <w:color w:val="000000"/>
          <w:sz w:val="20"/>
        </w:rPr>
        <w:t xml:space="preserve">Intangible assets are amortized over their estimated useful lives. Each period, the Company evaluates the estimated remaining useful life of its intangible assets and whether events or changes in circumstances warrant a revision to the remaining period of amortization. </w:t>
      </w:r>
    </w:p>
    <w:p>
      <w:pPr>
        <w:pStyle w:val="TextBody"/>
        <w:bidi w:val="0"/>
        <w:spacing w:lineRule="auto" w:line="288" w:before="240" w:after="283"/>
        <w:ind w:left="0" w:right="0" w:firstLine="990"/>
        <w:jc w:val="left"/>
        <w:rPr/>
      </w:pPr>
      <w:r>
        <w:rPr>
          <w:rFonts w:ascii="Times New Roman;sans-serif" w:hAnsi="Times New Roman;sans-serif"/>
          <w:b/>
          <w:color w:val="000000"/>
          <w:sz w:val="20"/>
        </w:rPr>
        <w:t xml:space="preserve">Impairment Assessment: </w:t>
      </w:r>
      <w:r>
        <w:rPr>
          <w:rFonts w:ascii="Times New Roman;sans-serif" w:hAnsi="Times New Roman;sans-serif"/>
          <w:b w:val="false"/>
          <w:color w:val="000000"/>
          <w:sz w:val="20"/>
        </w:rPr>
        <w:t>The Company evaluates intangible assets and long-lived assets for possible impairment whenever events or changes in circumstances indicate that the carrying amount of such assets may not be recoverable. This includes but is not limited to significant adverse changes in business climate, market conditions, or other events that indicate an asset’s carrying amount may not be recoverable. Recoverability of these assets is measured by comparison of the carrying amount of an asset or asset group to the estimated future undiscounted cash flows the asset or asset group is expected to generate. If the undiscounted cash flows used in the test for recoverability are less than the carrying amount of these assets or asset group, the carrying amount of such assets is reduced to fair value. There were no material impairments of intangible assets or long-lived assets during the fiscal years ended January 31, 2023, 2024, and 2025.</w:t>
      </w:r>
    </w:p>
    <w:p>
      <w:pPr>
        <w:pStyle w:val="TextBody"/>
        <w:bidi w:val="0"/>
        <w:spacing w:lineRule="auto" w:line="288" w:before="240" w:after="283"/>
        <w:ind w:left="0" w:right="0" w:firstLine="990"/>
        <w:jc w:val="left"/>
        <w:rPr/>
      </w:pPr>
      <w:r>
        <w:rPr>
          <w:rFonts w:ascii="Times New Roman;sans-serif" w:hAnsi="Times New Roman;sans-serif"/>
          <w:b/>
          <w:color w:val="000000"/>
          <w:sz w:val="20"/>
        </w:rPr>
        <w:t>Goodwill:</w:t>
      </w:r>
      <w:r>
        <w:rPr>
          <w:color w:val="000000"/>
        </w:rPr>
        <w:t xml:space="preserve"> </w:t>
      </w:r>
      <w:r>
        <w:rPr>
          <w:rFonts w:ascii="Times New Roman;sans-serif" w:hAnsi="Times New Roman;sans-serif"/>
          <w:b w:val="false"/>
          <w:color w:val="000000"/>
          <w:sz w:val="20"/>
        </w:rPr>
        <w:t>Goodwill represents the excess of the purchase price in a business combination over the fair value of net assets acquired. Goodwill is not amortized, but rather the carrying amounts of these assets are assessed for impairment at least annually or whenever events or changes in circumstances indicate that the carrying value of these assets may not be recoverable. Goodwill is tested for impairment annually on November 1, the first day of the fourth quarter of the fiscal year, or more frequently if circumstances indicate an impairment may have occurred between annual impairment tests.</w:t>
      </w:r>
      <w:r>
        <w:rPr>
          <w:color w:val="000000"/>
        </w:rPr>
        <w:t xml:space="preserve"> </w:t>
      </w:r>
      <w:r>
        <w:rPr>
          <w:rFonts w:ascii="Times New Roman;sans-serif" w:hAnsi="Times New Roman;sans-serif"/>
          <w:b w:val="false"/>
          <w:color w:val="000000"/>
          <w:sz w:val="20"/>
        </w:rPr>
        <w:t>The Company has one reporting unit, therefore the Company evaluates goodwill for impairment at the entity level. To perform its impairment testing, the Company first assesses qualitative factors to determine whether it is more likely than not that the fair value of its single reporting unit is less than its carrying amount. The qualitative factors we consider include, but are not limited to, macroeconomic conditions, industry and market conditions, company-specific events, changes in circumstances, and our share price. If the qualitative factors indicate that the fair value of the reporting unit is greater than the carrying value of the net assets assigned to the reporting unit, then we do not consider the assigned goodwill to be impaired. If it is determined that it is more likely than not that the fair value of the Company is less than the carrying amount, a quantitative assessment is performed by comparing the fair value of a reporting unit with its carrying amount. The Company may elect to bypass the qualitative assessment and perform the quantitative assessment. An impairment loss is recognized in an amount equal to the excess of the reporting unit’s carrying value over its fair value, up to the amount of goodwill allocated to the reporting unit. There is no goodwill impairment for the fiscal years ended January 31, 2023, 2024,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pPr>
      <w:r>
        <w:rPr>
          <w:rFonts w:ascii="Times New Roman;sans-serif" w:hAnsi="Times New Roman;sans-serif"/>
          <w:b/>
          <w:color w:val="000000"/>
          <w:sz w:val="20"/>
        </w:rPr>
        <w:t>Variable Interest Entity:</w:t>
      </w:r>
      <w:r>
        <w:rPr>
          <w:color w:val="000000"/>
        </w:rPr>
        <w:t xml:space="preserve"> </w:t>
      </w:r>
      <w:r>
        <w:rPr>
          <w:rFonts w:ascii="Times New Roman;sans-serif" w:hAnsi="Times New Roman;sans-serif"/>
          <w:b w:val="false"/>
          <w:color w:val="000000"/>
          <w:sz w:val="20"/>
        </w:rPr>
        <w:t>The Company holds an interest in a Japanese company (“nCino K.K.”) that is considered a variable interest entity ("VIE").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investments,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consolidated balance sheets. See Note 2 "Variable Interest Entity and Redeemable Non-Controlling Interest" for additional information regarding the Company’s variable interest.</w:t>
      </w:r>
    </w:p>
    <w:p>
      <w:pPr>
        <w:pStyle w:val="TextBody"/>
        <w:bidi w:val="0"/>
        <w:spacing w:lineRule="auto" w:line="288" w:before="240" w:after="283"/>
        <w:ind w:left="0" w:right="0" w:firstLine="990"/>
        <w:jc w:val="left"/>
        <w:rPr/>
      </w:pPr>
      <w:r>
        <w:rPr>
          <w:rFonts w:ascii="Times New Roman;sans-serif" w:hAnsi="Times New Roman;sans-serif"/>
          <w:b/>
          <w:color w:val="000000"/>
          <w:sz w:val="20"/>
        </w:rPr>
        <w:t>Redeemable Non-Controlling Interest:</w:t>
      </w:r>
      <w:r>
        <w:rPr>
          <w:color w:val="000000"/>
        </w:rPr>
        <w:t xml:space="preserve"> </w:t>
      </w:r>
      <w:r>
        <w:rPr>
          <w:rFonts w:ascii="Times New Roman;sans-serif" w:hAnsi="Times New Roman;sans-serif"/>
          <w:b w:val="false"/>
          <w:color w:val="000000"/>
          <w:sz w:val="20"/>
        </w:rPr>
        <w:t>Redeemable non-controlling interest relates to minority investors of nCino K.K. An agreement with the minority investors of nCino K.K. contains redemption features whereby the interest held by the minority investors are redeemable either at the option of the (i) minority investors or (ii)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consolidated balance sheets outside of equity under the caption “Redeemable non-controlling interest.”</w:t>
      </w:r>
    </w:p>
    <w:p>
      <w:pPr>
        <w:pStyle w:val="TextBody"/>
        <w:bidi w:val="0"/>
        <w:spacing w:lineRule="auto" w:line="288" w:before="240" w:after="283"/>
        <w:ind w:left="0" w:right="0" w:firstLine="990"/>
        <w:jc w:val="left"/>
        <w:rPr/>
      </w:pPr>
      <w:r>
        <w:rPr>
          <w:rFonts w:ascii="Times New Roman;sans-serif" w:hAnsi="Times New Roman;sans-serif"/>
          <w:b/>
          <w:color w:val="000000"/>
          <w:sz w:val="20"/>
        </w:rPr>
        <w:t>Business Combinations:</w:t>
      </w:r>
      <w:r>
        <w:rPr>
          <w:color w:val="000000"/>
        </w:rPr>
        <w:t xml:space="preserve"> </w:t>
      </w:r>
      <w:r>
        <w:rPr>
          <w:rFonts w:ascii="Times New Roman;sans-serif" w:hAnsi="Times New Roman;sans-serif"/>
          <w:b w:val="false"/>
          <w:color w:val="000000"/>
          <w:sz w:val="20"/>
        </w:rPr>
        <w:t>Several valuation methods may be used to determine the fair value of assets acquired and liabilities assumed. The Company uses its best estimates and assumptions to assign fair value to the tangible and intangible assets acquired and liabilities assumed at the acquisition date. The Company’s estimates are inherently uncertain and may be subject to refinement due to unanticipated events and circumstances. For intangible assets, the Company typically uses income-based methods of valuation (for example, the multi-period excess earnings method is used to estimate the fair value estimate of customer relationships and the relief from royalty method is used in the fair value estimate of developed technologies). These methods typically start with a forecast of all of the expected future net cash flows for each asset. These cash flows are then adjusted to present value by applying an appropriate discount rate that reflects the risk factors associated with the cash flow streams. Some of the more significant estimates and assumptions inherent in these methods are forecasted revenues, obsolescence life and factor, customer attrition rate, and the discount rate among other assumptions.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Determining the useful life of an intangible asset also requires judgment as different types of intangible assets will have different useful lives and certain assets may even be considered to have indefinite useful lives. During the measurement period, which may be up to one year from the acquisition date, the Company may record adjustments to the fair value of these tangible and intangible assets acquired and liabilities assumed, with the corresponding offset to goodwill. In addition, uncertain tax positions and tax-related valuation allowances are initially recorded in connection with a business combination as of the acquisition date. The Company continues to collect information and reevaluates these estimates and assumptions quarterly and records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are recorded to the Company’s consolidated statements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acquisitions involving additional consideration to be transferred to the selling parties in the event certain future events occur or conditions are met (“contingent consideration”), the Company recognizes the acquisition-date fair value of contingent consideration as part of the consideration transferred in exchange for the business combination. Contingent consideration meeting the criteria to be classified as equity in the consolidated balance sheets is not remeasured, and its subsequent settlement is recorded within stockholders’ equity. Contingent consideration classified as a liability is remeasured to fair value at each reporting date until the contingency is resolved, with any changes in fair value recognized in the Company’s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pPr>
      <w:r>
        <w:rPr>
          <w:rFonts w:ascii="Times New Roman;sans-serif" w:hAnsi="Times New Roman;sans-serif"/>
          <w:b/>
          <w:color w:val="000000"/>
          <w:sz w:val="20"/>
        </w:rPr>
        <w:t>Investments</w:t>
      </w:r>
      <w:r>
        <w:rPr>
          <w:rFonts w:ascii="Times New Roman;sans-serif" w:hAnsi="Times New Roman;sans-serif"/>
          <w:b w:val="false"/>
          <w:color w:val="000000"/>
          <w:sz w:val="20"/>
        </w:rPr>
        <w:t xml:space="preserve">: The Company's investments are non-marketable equity investments without readily determinable fair value and for which the Company does not have control or significant influence. The investments are measured at cost with adjustments for observable changes in price or impairment as permitted by the measurement alternative. The Company assesses at each reporting period if the investments continue to qualify for the measurement alternative. Gains or losses resulting from observable price changes are recognized currently in the Company's consolidated statement of operations. The Company assesses the investments whenever events or changes in circumstances indicate that the carrying value of the investments may not be recoverable. </w:t>
      </w:r>
    </w:p>
    <w:p>
      <w:pPr>
        <w:pStyle w:val="TextBody"/>
        <w:bidi w:val="0"/>
        <w:spacing w:lineRule="auto" w:line="288" w:before="240" w:after="283"/>
        <w:ind w:left="0" w:right="0" w:firstLine="990"/>
        <w:jc w:val="left"/>
        <w:rPr/>
      </w:pPr>
      <w:r>
        <w:rPr>
          <w:rFonts w:ascii="Times New Roman;sans-serif" w:hAnsi="Times New Roman;sans-serif"/>
          <w:b/>
          <w:color w:val="000000"/>
          <w:sz w:val="20"/>
        </w:rPr>
        <w:t xml:space="preserve">Debt Issuance Costs: </w:t>
      </w:r>
      <w:r>
        <w:rPr>
          <w:rFonts w:ascii="Times New Roman;sans-serif" w:hAnsi="Times New Roman;sans-serif"/>
          <w:b w:val="false"/>
          <w:color w:val="000000"/>
          <w:sz w:val="20"/>
        </w:rPr>
        <w:t>Debt issuance costs are initially deferred and amortized to interest expense on a straight-line basis over the expected term of the debt. The Company uses the straight-line basis as it approximates the amounts calculated under the effective-interest method. Unamortized debt issuance costs related to the secured revolving credit facility are considered long-term and are included in long-term prepaid expenses and other assets in the consolidated balance sheets.</w:t>
      </w:r>
    </w:p>
    <w:p>
      <w:pPr>
        <w:pStyle w:val="TextBody"/>
        <w:bidi w:val="0"/>
        <w:spacing w:lineRule="auto" w:line="288" w:before="240" w:after="283"/>
        <w:ind w:left="0" w:right="0" w:firstLine="990"/>
        <w:jc w:val="left"/>
        <w:rPr/>
      </w:pPr>
      <w:r>
        <w:rPr>
          <w:rFonts w:ascii="Times New Roman;sans-serif" w:hAnsi="Times New Roman;sans-serif"/>
          <w:b/>
          <w:color w:val="000000"/>
          <w:sz w:val="20"/>
        </w:rPr>
        <w:t>Cost of Revenues:</w:t>
      </w:r>
      <w:r>
        <w:rPr>
          <w:color w:val="000000"/>
        </w:rPr>
        <w:t xml:space="preserve"> </w:t>
      </w:r>
      <w:r>
        <w:rPr>
          <w:rFonts w:ascii="Times New Roman;sans-serif" w:hAnsi="Times New Roman;sans-serif"/>
          <w:b w:val="false"/>
          <w:color w:val="000000"/>
          <w:sz w:val="20"/>
        </w:rPr>
        <w:t>Cost of subscription and support revenues consists of costs related to hosting the Company’s software solutions and employee-related costs, including stock-based compensation expenses and allocated overhead associated with customer support. Cost of professional services and other revenues consist of employee-related costs associated with these services, including stock-based compensation expenses, and allocated overhead, and the cost of subcontractors. Allocated overhead includes costs such as information technology infrastructure, rent and occupancy charges, along with employee benefit costs, and taxes based upon a percentage of total compensation expense. As such, general overhead expenses are reflected in each cost of revenues and operating expenses category. In addition, subscription cost of revenues includes amortization of acquired developed technology.</w:t>
      </w:r>
    </w:p>
    <w:p>
      <w:pPr>
        <w:pStyle w:val="TextBody"/>
        <w:bidi w:val="0"/>
        <w:spacing w:lineRule="auto" w:line="288" w:before="240" w:after="283"/>
        <w:ind w:left="0" w:right="0" w:firstLine="990"/>
        <w:jc w:val="left"/>
        <w:rPr/>
      </w:pPr>
      <w:r>
        <w:rPr>
          <w:rFonts w:ascii="Times New Roman;sans-serif" w:hAnsi="Times New Roman;sans-serif"/>
          <w:b/>
          <w:color w:val="000000"/>
          <w:sz w:val="20"/>
        </w:rPr>
        <w:t>Research and Development</w:t>
      </w:r>
      <w:r>
        <w:rPr>
          <w:rFonts w:ascii="Times New Roman;sans-serif" w:hAnsi="Times New Roman;sans-serif"/>
          <w:b w:val="false"/>
          <w:color w:val="000000"/>
          <w:sz w:val="20"/>
        </w:rPr>
        <w:t xml:space="preserve">: Research and development expenses consist primarily of salaries, benefits and stock-based compensation associated with our engineering, product and quality assurance personnel, as well as allocated overhead. Research and development expenses also include the cost of third-party contractors. Research and development costs are expensed as incurred. </w:t>
      </w:r>
    </w:p>
    <w:p>
      <w:pPr>
        <w:pStyle w:val="TextBody"/>
        <w:bidi w:val="0"/>
        <w:spacing w:lineRule="auto" w:line="288" w:before="240" w:after="283"/>
        <w:ind w:left="0" w:right="0" w:firstLine="990"/>
        <w:jc w:val="left"/>
        <w:rPr/>
      </w:pPr>
      <w:r>
        <w:rPr>
          <w:rFonts w:ascii="Times New Roman;sans-serif" w:hAnsi="Times New Roman;sans-serif"/>
          <w:b/>
          <w:color w:val="000000"/>
          <w:sz w:val="20"/>
        </w:rPr>
        <w:t>Advertising:</w:t>
      </w:r>
      <w:r>
        <w:rPr>
          <w:color w:val="000000"/>
        </w:rPr>
        <w:t xml:space="preserve"> </w:t>
      </w:r>
      <w:r>
        <w:rPr>
          <w:rFonts w:ascii="Times New Roman;sans-serif" w:hAnsi="Times New Roman;sans-serif"/>
          <w:b w:val="false"/>
          <w:color w:val="000000"/>
          <w:sz w:val="20"/>
        </w:rPr>
        <w:t>Advertising costs are expensed as incurred and consist of advertising, third-party marketing, branded marketing, and conference and event expenses. Advertising expenses are recorded in sales and marketing expenses in the consolidated statements of operations and were $8.7 million, $7.7 million, and $8.7 million for the fiscal years ended January 31, 2023, 2024, and 2025, respectively.</w:t>
      </w:r>
    </w:p>
    <w:p>
      <w:pPr>
        <w:pStyle w:val="TextBody"/>
        <w:bidi w:val="0"/>
        <w:spacing w:lineRule="auto" w:line="288" w:before="240" w:after="283"/>
        <w:ind w:left="0" w:right="0" w:firstLine="990"/>
        <w:jc w:val="left"/>
        <w:rPr/>
      </w:pPr>
      <w:r>
        <w:rPr>
          <w:rFonts w:ascii="Times New Roman;sans-serif" w:hAnsi="Times New Roman;sans-serif"/>
          <w:b/>
          <w:color w:val="000000"/>
          <w:sz w:val="20"/>
        </w:rPr>
        <w:t>Income Taxes:</w:t>
      </w:r>
      <w:r>
        <w:rPr>
          <w:color w:val="000000"/>
        </w:rPr>
        <w:t xml:space="preserve"> </w:t>
      </w:r>
      <w:r>
        <w:rPr>
          <w:rFonts w:ascii="Times New Roman;sans-serif" w:hAnsi="Times New Roman;sans-serif"/>
          <w:b w:val="false"/>
          <w:color w:val="000000"/>
          <w:sz w:val="20"/>
        </w:rPr>
        <w:t>Deferred income taxes are determined using the asset and liability method, whereby deferred tax assets are recognized for deductible temporary differences and deferred tax liabilities are recognized for taxable temporary differences. Temporary differences are the differences between the reported amounts of assets and liabilities and their tax bases. Deferred tax assets are also recorded for any tax attributes, such as net operating losses and tax credit carryforwards. Deferred tax assets and liabilities are adjusted for the effects of the changes in tax laws and rates on the date of enactment within income tax expense. The Company reflects the expected amount of income taxes to be paid or refunded during the year as current income tax expense or benefit, as applicable.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are reduced by a valuation allowance when, in the opinion of management, it is more-likely-than-not that some portion or all of the deferred tax assets will not be realized.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follows the accounting standards on accounting for uncertainty in income taxes, which addresses the determination of whether tax benefits claimed, or expected to be claimed, on a tax return should be recorded in the consolidated financial statements. Under this guidance, the Company may recognize the tax benefit from an uncertain tax position only if it is more-likely-than-not that the tax position will be sustained on examination by taxing authorities based on the technical merits of the tax position. The tax benefits recognized in the consolidated financial statements from such a position are measured based on the benefit having a greater than 50% likelihood of being realized upon ultimate settlement. The guidance on accounting for uncertainty in income taxes also addresses de-recognition, classification, interest and penalties on income taxes, and accounting interim periods.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When and if applicable, potential interest and penalties are accrued as incurred, within the income tax provision.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pPr>
      <w:r>
        <w:rPr>
          <w:rFonts w:ascii="Times New Roman;sans-serif" w:hAnsi="Times New Roman;sans-serif"/>
          <w:b/>
          <w:color w:val="000000"/>
          <w:sz w:val="20"/>
        </w:rPr>
        <w:t xml:space="preserve">Other Comprehensive Income (Loss): </w:t>
      </w:r>
      <w:r>
        <w:rPr>
          <w:rFonts w:ascii="Times New Roman;sans-serif" w:hAnsi="Times New Roman;sans-serif"/>
          <w:b w:val="false"/>
          <w:color w:val="000000"/>
          <w:sz w:val="20"/>
        </w:rPr>
        <w:t>Accumulated other comprehensive income (loss) is reported as a component of stockholders’ equity and includes unrealized gains and losses on foreign currency translation adjustments.</w:t>
      </w:r>
    </w:p>
    <w:p>
      <w:pPr>
        <w:pStyle w:val="TextBody"/>
        <w:bidi w:val="0"/>
        <w:spacing w:lineRule="auto" w:line="288" w:before="240" w:after="283"/>
        <w:ind w:left="0" w:right="0" w:firstLine="990"/>
        <w:jc w:val="left"/>
        <w:rPr/>
      </w:pPr>
      <w:r>
        <w:rPr>
          <w:rFonts w:ascii="Times New Roman;sans-serif" w:hAnsi="Times New Roman;sans-serif"/>
          <w:b/>
          <w:color w:val="000000"/>
          <w:sz w:val="20"/>
        </w:rPr>
        <w:t>Foreign Currency:</w:t>
      </w:r>
      <w:r>
        <w:rPr>
          <w:color w:val="000000"/>
        </w:rPr>
        <w:t xml:space="preserve"> </w:t>
      </w:r>
      <w:r>
        <w:rPr>
          <w:rFonts w:ascii="Times New Roman;sans-serif" w:hAnsi="Times New Roman;sans-serif"/>
          <w:b w:val="false"/>
          <w:color w:val="000000"/>
          <w:sz w:val="20"/>
        </w:rPr>
        <w:t>The functional currency of the Company’s foreign subsidiaries is generally the local currency. Adjustments resulting from translating foreign functional currency financial statements into U.S. dollars are recorded as a separate component on the consolidated statements of comprehensive loss recorded in foreign currency translation line item. All assets and liabilities denominated in a foreign currency are translated into U.S. dollars at the exchange rate on the balance sheet date. Revenues and expenses are translated at the average exchange rate during the period. Equity transactions are translated using historical exchange rates.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transaction gains and losses due to transactions denominated in a currency other than the functional currency are included in other expense, net in the consolidated statements of operations and were $(1.4) million, $(1.2) million, and $(10.5) million for the fiscal years ended January 31, 2023, 2024, and 2025, respectively, primarily related to various intercompany loans. </w:t>
      </w:r>
    </w:p>
    <w:p>
      <w:pPr>
        <w:pStyle w:val="TextBody"/>
        <w:bidi w:val="0"/>
        <w:spacing w:lineRule="auto" w:line="288" w:before="240" w:after="283"/>
        <w:ind w:left="0" w:right="0" w:firstLine="990"/>
        <w:jc w:val="left"/>
        <w:rPr/>
      </w:pPr>
      <w:r>
        <w:rPr>
          <w:rFonts w:ascii="Times New Roman;sans-serif" w:hAnsi="Times New Roman;sans-serif"/>
          <w:b/>
          <w:color w:val="000000"/>
          <w:sz w:val="20"/>
        </w:rPr>
        <w:t>Stock-Based Compensation:</w:t>
      </w:r>
      <w:r>
        <w:rPr>
          <w:color w:val="000000"/>
        </w:rPr>
        <w:t xml:space="preserve"> </w:t>
      </w:r>
      <w:r>
        <w:rPr>
          <w:rFonts w:ascii="Times New Roman;sans-serif" w:hAnsi="Times New Roman;sans-serif"/>
          <w:b w:val="false"/>
          <w:color w:val="000000"/>
          <w:sz w:val="20"/>
        </w:rPr>
        <w:t>As further described in Note 10 "Stock-Based Compensation," the Company records compensation expense associated with stock options and other equity-based compensation in accordance with ASC 718, Compensation – Stock Compensation. The Company establishes fair value as the measurement objective in accounting for share-based payment transactions with employees and recognizes expense on a straight-line basis, net of estimated forfeitures, over the applicable vesting period. The estimated forfeiture rate applied is based on historical forfeiture rates.</w:t>
      </w:r>
    </w:p>
    <w:p>
      <w:pPr>
        <w:pStyle w:val="TextBody"/>
        <w:bidi w:val="0"/>
        <w:spacing w:lineRule="auto" w:line="288" w:before="240" w:after="283"/>
        <w:ind w:left="0" w:right="0" w:firstLine="990"/>
        <w:jc w:val="left"/>
        <w:rPr/>
      </w:pPr>
      <w:r>
        <w:rPr>
          <w:rFonts w:ascii="Times New Roman;sans-serif" w:hAnsi="Times New Roman;sans-serif"/>
          <w:b/>
          <w:color w:val="000000"/>
          <w:sz w:val="20"/>
        </w:rPr>
        <w:t>Basic and Diluted Loss per Common Share:</w:t>
      </w:r>
      <w:r>
        <w:rPr>
          <w:color w:val="000000"/>
        </w:rPr>
        <w:t xml:space="preserve"> </w:t>
      </w:r>
      <w:r>
        <w:rPr>
          <w:rFonts w:ascii="Times New Roman;sans-serif" w:hAnsi="Times New Roman;sans-serif"/>
          <w:b w:val="false"/>
          <w:color w:val="000000"/>
          <w:sz w:val="20"/>
        </w:rPr>
        <w:t>Basic loss per share is calculated by dividing the net loss attributable to nCino, Inc. by the weighted-average number of shares of common stock outstanding for the period.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per share is calculated by giving effect to all potentially dilutive common stock, which is comprised of stock options issued and outstanding, nonvested RSUs issued and outstanding, and shares issuable pursuant to the Employee Stock Purchase Plan (the "ESPP") when determining the weighted-average number of common shares outstanding. For purposes of the diluted loss per share calculation, basic and diluted loss per share were the same, as the effect of all potentially dilutive securities would have been anti-dilutive.</w:t>
      </w:r>
    </w:p>
    <w:p>
      <w:pPr>
        <w:pStyle w:val="TextBody"/>
        <w:bidi w:val="0"/>
        <w:spacing w:lineRule="auto" w:line="288" w:before="240" w:after="283"/>
        <w:ind w:left="0" w:right="0" w:firstLine="990"/>
        <w:jc w:val="left"/>
        <w:rPr/>
      </w:pPr>
      <w:r>
        <w:rPr>
          <w:rFonts w:ascii="Times New Roman;sans-serif" w:hAnsi="Times New Roman;sans-serif"/>
          <w:b/>
          <w:color w:val="000000"/>
          <w:sz w:val="20"/>
        </w:rPr>
        <w:t xml:space="preserve">Recently Adopted Accounting Pronouncements: </w:t>
      </w:r>
      <w:r>
        <w:rPr>
          <w:rFonts w:ascii="Times New Roman;sans-serif" w:hAnsi="Times New Roman;sans-serif"/>
          <w:b w:val="false"/>
          <w:color w:val="000000"/>
          <w:sz w:val="20"/>
        </w:rPr>
        <w:t>In November 2023, the FASB issued Accounting Standards Update ("ASU") 2023-07, Segment Reporting (Topic 280): Improvements to Reportable Segment Disclosures. The guidance includes amendments to improve reportable segment disclosure requirements, primarily through enhanced disclosures about significant segment expenses. The ASU is effective for fiscal years beginning after December 15, 2023 on a retrospective basis, and interim periods within fiscal years beginning after December 15, 2024. The Company adopted ASU 2023-07 for the fiscal year ended January 31, 2025 on a retrospective basis. See Note 19 "Segment Information" for additional information.</w:t>
      </w:r>
    </w:p>
    <w:p>
      <w:pPr>
        <w:pStyle w:val="TextBody"/>
        <w:bidi w:val="0"/>
        <w:spacing w:lineRule="auto" w:line="288" w:before="240" w:after="283"/>
        <w:ind w:left="0" w:right="0" w:firstLine="990"/>
        <w:jc w:val="left"/>
        <w:rPr/>
      </w:pPr>
      <w:r>
        <w:rPr>
          <w:rFonts w:ascii="Times New Roman;sans-serif" w:hAnsi="Times New Roman;sans-serif"/>
          <w:b/>
          <w:color w:val="000000"/>
          <w:sz w:val="20"/>
        </w:rPr>
        <w:t>Recent Accounting Pronouncements Not Yet Adopted:</w:t>
      </w:r>
      <w:r>
        <w:rPr>
          <w:color w:val="000000"/>
        </w:rPr>
        <w:t xml:space="preserve"> </w:t>
      </w:r>
      <w:r>
        <w:rPr>
          <w:rFonts w:ascii="Times New Roman;sans-serif" w:hAnsi="Times New Roman;sans-serif"/>
          <w:b w:val="false"/>
          <w:color w:val="000000"/>
          <w:sz w:val="20"/>
        </w:rPr>
        <w:t>In December 2023, the FASB issued ASU 2023-09, Income Taxes (Topic 740): Improvements to Income Tax Disclosures. The guidance includes amendments to enhance existing income tax disclosure requirements, primarily related to the rate reconciliation and income taxes paid disclosures. The ASU is effective for annual periods beginning after December 15, 2024 on a prospective basis with the option to apply the ASU retrospectively. Early adoption is permitted. The Company is currently evaluating the impact that the adoption of this standard will have on the Company’s consolidated financial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Income Statement - Reporting Comprehensive Income - Expense Disaggregation Disclosures (Subtopic 220-40). The guidance includes amendments to require public companies to provide additional disclosure about certain costs and expenses. The ASU is effective for annual periods beginning after December 15, 2026, and interim periods beginning after December 15, 2027, on a prospective basis with the option to apply the ASU retrospectively. Early adoption is permitted. The Company is currently evaluating the impact that the adoption of this standard will have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 Variable Interest Entity and Redeemable Non-Controlling Interest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2019, the Company entered into an agreement with Japan Cloud Computing, L.P. and M30 LLC (collectively, the “Investors”) to engage in the investment, organization, management, and operation of nCino K.K. that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focused on the distribution of the Company’s products in Japan. In October 2019, the Company initially contributed $4.7 million in cash in exchange for 51% of the outstanding common stock of nCino K.K. In October 2023, the Company made a further investment in nCino K.K. of $1.0 million that, including additional investments in nCino K.K. of $1.0 million by existing third-party investors in October 2023, maintained the Company's ownership of 51%. As of January 31, 2025, the Company controls a majority of the outstanding common stock in nCino K.K.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consolidated balance sheets.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the redeemable non-controlling interests for the period indicated below:</w:t>
      </w:r>
    </w:p>
    <w:tbl>
      <w:tblPr>
        <w:tblW w:w="10205" w:type="dxa"/>
        <w:jc w:val="left"/>
        <w:tblInd w:w="0" w:type="dxa"/>
        <w:tblLayout w:type="fixed"/>
        <w:tblCellMar>
          <w:top w:w="28" w:type="dxa"/>
          <w:left w:w="28" w:type="dxa"/>
          <w:bottom w:w="28" w:type="dxa"/>
          <w:right w:w="28" w:type="dxa"/>
        </w:tblCellMar>
      </w:tblPr>
      <w:tblGrid>
        <w:gridCol w:w="2538"/>
        <w:gridCol w:w="2076"/>
        <w:gridCol w:w="2083"/>
        <w:gridCol w:w="211"/>
        <w:gridCol w:w="616"/>
        <w:gridCol w:w="109"/>
        <w:gridCol w:w="109"/>
        <w:gridCol w:w="109"/>
        <w:gridCol w:w="109"/>
        <w:gridCol w:w="211"/>
        <w:gridCol w:w="616"/>
        <w:gridCol w:w="109"/>
        <w:gridCol w:w="109"/>
        <w:gridCol w:w="109"/>
        <w:gridCol w:w="109"/>
        <w:gridCol w:w="211"/>
        <w:gridCol w:w="616"/>
        <w:gridCol w:w="155"/>
      </w:tblGrid>
      <w:tr>
        <w:trPr/>
        <w:tc>
          <w:tcPr>
            <w:tcW w:w="2538"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by redeemable non-controlling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 (excluding adjustment to non-controlling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redeemable non-controlling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Stock-based compensation expense</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nCino K.K. stock options granted in accordance with nCino K.K.'s equity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3. Fair Value Measurements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Financial Assets and Liabilities Measured at Fair Value on a Recurring Basis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a three-tier fair value hierarchy, which prioritizes the inputs used in the valuation methodologies in measuring fair value:</w:t>
      </w:r>
    </w:p>
    <w:p>
      <w:pPr>
        <w:pStyle w:val="TextBody"/>
        <w:bidi w:val="0"/>
        <w:spacing w:lineRule="auto" w:line="288" w:before="240" w:after="283"/>
        <w:ind w:left="0" w:right="0" w:firstLine="990"/>
        <w:jc w:val="left"/>
        <w:rPr/>
      </w:pPr>
      <w:r>
        <w:rPr>
          <w:rFonts w:ascii="Times New Roman;sans-serif" w:hAnsi="Times New Roman;sans-serif"/>
          <w:b/>
          <w:color w:val="000000"/>
          <w:sz w:val="20"/>
        </w:rPr>
        <w:t>Level 1.</w:t>
      </w:r>
      <w:r>
        <w:rPr>
          <w:color w:val="000000"/>
        </w:rPr>
        <w:t xml:space="preserve"> </w:t>
      </w:r>
      <w:r>
        <w:rPr>
          <w:rFonts w:ascii="Times New Roman;sans-serif" w:hAnsi="Times New Roman;sans-serif"/>
          <w:b w:val="false"/>
          <w:color w:val="000000"/>
          <w:sz w:val="20"/>
        </w:rPr>
        <w:t>Quoted prices (unadjusted) in active markets for identical assets or liabilities.</w:t>
      </w:r>
    </w:p>
    <w:p>
      <w:pPr>
        <w:pStyle w:val="TextBody"/>
        <w:bidi w:val="0"/>
        <w:spacing w:lineRule="auto" w:line="288" w:before="240" w:after="283"/>
        <w:ind w:left="0" w:right="0" w:firstLine="990"/>
        <w:jc w:val="left"/>
        <w:rPr/>
      </w:pPr>
      <w:r>
        <w:rPr>
          <w:rFonts w:ascii="Times New Roman;sans-serif" w:hAnsi="Times New Roman;sans-serif"/>
          <w:b/>
          <w:color w:val="000000"/>
          <w:sz w:val="20"/>
        </w:rPr>
        <w:t>Level 2.</w:t>
      </w:r>
      <w:r>
        <w:rPr>
          <w:color w:val="000000"/>
        </w:rPr>
        <w:t xml:space="preserve"> </w:t>
      </w:r>
      <w:r>
        <w:rPr>
          <w:rFonts w:ascii="Times New Roman;sans-serif" w:hAnsi="Times New Roman;sans-serif"/>
          <w:b w:val="false"/>
          <w:color w:val="000000"/>
          <w:sz w:val="20"/>
        </w:rPr>
        <w:t>Significant other inputs that are directly or indirectly observable in the marketplace.</w:t>
      </w:r>
    </w:p>
    <w:p>
      <w:pPr>
        <w:pStyle w:val="TextBody"/>
        <w:bidi w:val="0"/>
        <w:spacing w:lineRule="auto" w:line="288" w:before="240" w:after="283"/>
        <w:ind w:left="0" w:right="0" w:firstLine="990"/>
        <w:jc w:val="left"/>
        <w:rPr/>
      </w:pPr>
      <w:r>
        <w:rPr>
          <w:rFonts w:ascii="Times New Roman;sans-serif" w:hAnsi="Times New Roman;sans-serif"/>
          <w:b/>
          <w:color w:val="000000"/>
          <w:sz w:val="20"/>
        </w:rPr>
        <w:t>Level 3.</w:t>
      </w:r>
      <w:r>
        <w:rPr>
          <w:color w:val="000000"/>
        </w:rPr>
        <w:t xml:space="preserve"> </w:t>
      </w:r>
      <w:r>
        <w:rPr>
          <w:rFonts w:ascii="Times New Roman;sans-serif" w:hAnsi="Times New Roman;sans-serif"/>
          <w:b w:val="false"/>
          <w:color w:val="000000"/>
          <w:sz w:val="20"/>
        </w:rPr>
        <w:t>Significant unobservable inputs which are supported by little or no market activity.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cash equivalents, accounts receivable, accounts payable, and accrued expenses approximate fair value as of January 31, 2024 and January 31, 2025 because of the relatively short duration of these instruments.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 of any outstanding borrowings on the Company's revolving credit facility approximates fair value due to the variable interest rates of the borrowings.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2024 and January 31, 2025 and indicates the fair value hierarchy of the valuation:</w:t>
      </w:r>
    </w:p>
    <w:tbl>
      <w:tblPr>
        <w:tblW w:w="10205" w:type="dxa"/>
        <w:jc w:val="left"/>
        <w:tblInd w:w="0" w:type="dxa"/>
        <w:tblLayout w:type="fixed"/>
        <w:tblCellMar>
          <w:top w:w="28" w:type="dxa"/>
          <w:left w:w="28" w:type="dxa"/>
          <w:bottom w:w="28" w:type="dxa"/>
          <w:right w:w="28" w:type="dxa"/>
        </w:tblCellMar>
      </w:tblPr>
      <w:tblGrid>
        <w:gridCol w:w="1906"/>
        <w:gridCol w:w="1677"/>
        <w:gridCol w:w="1692"/>
        <w:gridCol w:w="325"/>
        <w:gridCol w:w="1114"/>
        <w:gridCol w:w="166"/>
        <w:gridCol w:w="166"/>
        <w:gridCol w:w="166"/>
        <w:gridCol w:w="166"/>
        <w:gridCol w:w="325"/>
        <w:gridCol w:w="625"/>
        <w:gridCol w:w="166"/>
        <w:gridCol w:w="166"/>
        <w:gridCol w:w="166"/>
        <w:gridCol w:w="166"/>
        <w:gridCol w:w="325"/>
        <w:gridCol w:w="625"/>
        <w:gridCol w:w="263"/>
      </w:tblGrid>
      <w:tr>
        <w:trPr/>
        <w:tc>
          <w:tcPr>
            <w:tcW w:w="1906"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on a recurring basis as of January 31, 2024</w:t>
            </w:r>
          </w:p>
        </w:tc>
      </w:tr>
      <w:tr>
        <w:trPr/>
        <w:tc>
          <w:tcPr>
            <w:tcW w:w="5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5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 (included in cash and cash equivalents)</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(included in long-term prepaid expenses and other assets)</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06"/>
        <w:gridCol w:w="1677"/>
        <w:gridCol w:w="1692"/>
        <w:gridCol w:w="325"/>
        <w:gridCol w:w="1114"/>
        <w:gridCol w:w="166"/>
        <w:gridCol w:w="166"/>
        <w:gridCol w:w="166"/>
        <w:gridCol w:w="166"/>
        <w:gridCol w:w="325"/>
        <w:gridCol w:w="625"/>
        <w:gridCol w:w="166"/>
        <w:gridCol w:w="166"/>
        <w:gridCol w:w="166"/>
        <w:gridCol w:w="166"/>
        <w:gridCol w:w="325"/>
        <w:gridCol w:w="625"/>
        <w:gridCol w:w="263"/>
      </w:tblGrid>
      <w:tr>
        <w:trPr/>
        <w:tc>
          <w:tcPr>
            <w:tcW w:w="1906"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on a recurring basis as of January 31, 2025</w:t>
            </w:r>
          </w:p>
        </w:tc>
      </w:tr>
      <w:tr>
        <w:trPr/>
        <w:tc>
          <w:tcPr>
            <w:tcW w:w="5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5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 (included in cash and cash equivalents)</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(included in long-term prepaid expenses and other assets)</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All of the Company’s money market accounts are classified within Level 1 because the Company’s money market accounts are valued using quoted market prices in active exchange markets including identical assets.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Financial Assets and Liabilities Measured at Fair Value on a Non-Recurring Basis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assets measured at fair value on a non-recurring basis include the investments accounted for under the measurement alternative. Fair value changes were immaterial for the years ended January 31, 2023, 2024 and 2025. There was no impairment recognized for the fiscal years ended January 31, 2023, 2024, and 2025. In March 2025, we recorded a realized gain of $1.2 million from the sale of one of these investments. See Note 16 "Related-Party Transactions" and Note 20 "Subsequent Events"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4. Revenues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Disaggregated revenues by source and geographic region were as follows:</w:t>
      </w:r>
    </w:p>
    <w:tbl>
      <w:tblPr>
        <w:tblW w:w="6747" w:type="dxa"/>
        <w:jc w:val="left"/>
        <w:tblInd w:w="0" w:type="dxa"/>
        <w:tblLayout w:type="fixed"/>
        <w:tblCellMar>
          <w:top w:w="28" w:type="dxa"/>
          <w:left w:w="28" w:type="dxa"/>
          <w:bottom w:w="28" w:type="dxa"/>
          <w:right w:w="28" w:type="dxa"/>
        </w:tblCellMar>
      </w:tblPr>
      <w:tblGrid>
        <w:gridCol w:w="946"/>
        <w:gridCol w:w="829"/>
        <w:gridCol w:w="835"/>
        <w:gridCol w:w="211"/>
        <w:gridCol w:w="826"/>
        <w:gridCol w:w="109"/>
        <w:gridCol w:w="109"/>
        <w:gridCol w:w="109"/>
        <w:gridCol w:w="109"/>
        <w:gridCol w:w="211"/>
        <w:gridCol w:w="826"/>
        <w:gridCol w:w="109"/>
        <w:gridCol w:w="109"/>
        <w:gridCol w:w="109"/>
        <w:gridCol w:w="109"/>
        <w:gridCol w:w="211"/>
        <w:gridCol w:w="826"/>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 non-mortgage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 mortgage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United States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International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by geography are determined based on the region of the Company’s contracting entity, which may be different than the region of the customer.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fiscal year 2025, the Company changed the presentation of disaggregated revenues from a classification primarily based on geographic region to a classification to include sources by geographic region. The prior period presentation of disaggregated revenues has been reclassified to conform with the current period presentation.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Contract Amounts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 for doubtful accounts, is as follows as of January 31, 2024 and January 31, 2025:</w:t>
      </w:r>
    </w:p>
    <w:tbl>
      <w:tblPr>
        <w:tblW w:w="5438" w:type="dxa"/>
        <w:jc w:val="left"/>
        <w:tblInd w:w="0" w:type="dxa"/>
        <w:tblLayout w:type="fixed"/>
        <w:tblCellMar>
          <w:top w:w="28" w:type="dxa"/>
          <w:left w:w="28" w:type="dxa"/>
          <w:bottom w:w="28" w:type="dxa"/>
          <w:right w:w="28" w:type="dxa"/>
        </w:tblCellMar>
      </w:tblPr>
      <w:tblGrid>
        <w:gridCol w:w="1005"/>
        <w:gridCol w:w="882"/>
        <w:gridCol w:w="887"/>
        <w:gridCol w:w="211"/>
        <w:gridCol w:w="826"/>
        <w:gridCol w:w="109"/>
        <w:gridCol w:w="109"/>
        <w:gridCol w:w="109"/>
        <w:gridCol w:w="109"/>
        <w:gridCol w:w="211"/>
        <w:gridCol w:w="826"/>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Deferred Revenue and Remaining Performance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movements in the deferred revenue balance during the period consisted of increases due to payments received or due in advance prior to the transfer of control of the underlying performance obligations to the customer and $8.3 million from acquisitions, which were offset by decreases due to revenues recognized in the period. During the fiscal year ended January 31, 2025, $170.5 million of revenues were recognized out of the deferred revenue balance as of January 31,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price allocated to remaining performance obligations represents contracted revenues that have not yet been recognized, which includes both deferred revenue and amounts that will be invoiced and recognized as revenues in future periods. Transaction price allocated to the remaining performance obligation is influenced by several factors, including the timing of renewals, average contract terms, and foreign currency exchange rates. The Company applies practical expedients to exclude amounts related to performance obligations that are billed and recognized as they are delivered, optional purchases that do not represent material rights, and any estimated amounts of variable consideration that are subject to constraint.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were $1.2 billion as of January 31, 2025. The Company expects to recognize approximately 67% of its remaining performance obligation as revenues in the next 24 months, approximately 27% more in the following 25 to 48 months, and the remainder thereafter.</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Costs Capitalized to Obtain Revenue Contracts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fiscal years ended January 31, 2023, 2024, and 2025, the Company amortized $8.5 million, $9.9 million, and $12.0 million of capitalized contract acquisition costs within sales and marketing expense, respectively. The Company did not incur any impairment losses.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contract acquisition costs were $28.0 million and $37.2 million as of January 31, 2024 and January 31, 2025, of which $17.4 million and $23.7 million was long-term in the consolidated balance sheets, respectively. The remaining balance of the capitalized costs to obtain contracts was current.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Property and Equipment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5078" w:type="dxa"/>
        <w:jc w:val="left"/>
        <w:tblInd w:w="0" w:type="dxa"/>
        <w:tblLayout w:type="fixed"/>
        <w:tblCellMar>
          <w:top w:w="28" w:type="dxa"/>
          <w:left w:w="28" w:type="dxa"/>
          <w:bottom w:w="28" w:type="dxa"/>
          <w:right w:w="28" w:type="dxa"/>
        </w:tblCellMar>
      </w:tblPr>
      <w:tblGrid>
        <w:gridCol w:w="949"/>
        <w:gridCol w:w="835"/>
        <w:gridCol w:w="840"/>
        <w:gridCol w:w="211"/>
        <w:gridCol w:w="721"/>
        <w:gridCol w:w="109"/>
        <w:gridCol w:w="109"/>
        <w:gridCol w:w="109"/>
        <w:gridCol w:w="109"/>
        <w:gridCol w:w="211"/>
        <w:gridCol w:w="721"/>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land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depreciation expense as follows:</w:t>
      </w:r>
    </w:p>
    <w:tbl>
      <w:tblPr>
        <w:tblW w:w="7512" w:type="dxa"/>
        <w:jc w:val="left"/>
        <w:tblInd w:w="0" w:type="dxa"/>
        <w:tblLayout w:type="fixed"/>
        <w:tblCellMar>
          <w:top w:w="28" w:type="dxa"/>
          <w:left w:w="28" w:type="dxa"/>
          <w:bottom w:w="28" w:type="dxa"/>
          <w:right w:w="28" w:type="dxa"/>
        </w:tblCellMar>
      </w:tblPr>
      <w:tblGrid>
        <w:gridCol w:w="1451"/>
        <w:gridCol w:w="1273"/>
        <w:gridCol w:w="1281"/>
        <w:gridCol w:w="211"/>
        <w:gridCol w:w="616"/>
        <w:gridCol w:w="109"/>
        <w:gridCol w:w="109"/>
        <w:gridCol w:w="109"/>
        <w:gridCol w:w="109"/>
        <w:gridCol w:w="211"/>
        <w:gridCol w:w="616"/>
        <w:gridCol w:w="109"/>
        <w:gridCol w:w="109"/>
        <w:gridCol w:w="109"/>
        <w:gridCol w:w="109"/>
        <w:gridCol w:w="211"/>
        <w:gridCol w:w="616"/>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6. Business Combinations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DocFox, Inc. (“DocFox”)</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March 20, 2024 (the "DocFox Acquisition Date"), the Company acquired the outstanding equity interests of DocFox, which provides a solution to automate onboarding experiences for commercial and business banking. The Company acquired DocFox for its complementary product set, which helps simplify and automate the onboarding and account opening process. The Company has included the financial results of DocFox in the consolidated statements of operations from the DocFox Acquisition Date. Including the $2.0 million in post combination expense referenced below, transaction costs associated with the DocFox acquisition were approximately $3.9 million and were recorded in general and administrative expenses for the fiscal year ended January 31, 2025.</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paid a total of $74.3 million in cash as of the DocFox Acquisition Date. Included in the total cash paid was $6.2 million for DocFox common stock options that were cash settled on the DocFox Acquisition Date. The $6.2 million fair value of the DocFox common stock options was allocated between consideration transferred and post combination expense in the amounts of $4.2 million and $2.0 million, respectively. As there was no future service requirement due to accelerated vesting of these options, the entire $2.0 million was recorded as transaction cost immediately following the acquisition and not in consideration transferred. The $2.0 million is included within general and administrative expense for the fiscal year ended January 31, 2025. The estimated fair value of the consideration transferred was $72.4 million on the DocFox Acquisition Date.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Company issued 198,505 RSUs with an approximate fair value of $6.1 million to certain employees of DocFox, which will vest over four years subject to such employees' continued employment. The RSUs will be recorded as stock-based compensation expense post-acquisition as the RSUs vest and has been excluded from the purchase consideration.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was accounted for using the acquisition method and, as a result, tangible and intangible assets acquired and liabilities assumed were recorded at their estimated fair values at the DocFox Acquisition Date. Any excess consideration over the fair value of the assets acquired and liabilities assumed was recognized as goodwill. The Company determined the acquisition date contract assets and liabilities in accordance with ASC 606.</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preliminary fair values of assets acquired and liabilities assumed as of the DocFox Acquisition Date, including measurement period adjustments:</w:t>
      </w:r>
    </w:p>
    <w:tbl>
      <w:tblPr>
        <w:tblW w:w="7776" w:type="dxa"/>
        <w:jc w:val="left"/>
        <w:tblInd w:w="0" w:type="dxa"/>
        <w:tblLayout w:type="fixed"/>
        <w:tblCellMar>
          <w:top w:w="28" w:type="dxa"/>
          <w:left w:w="28" w:type="dxa"/>
          <w:bottom w:w="28" w:type="dxa"/>
          <w:right w:w="28" w:type="dxa"/>
        </w:tblCellMar>
      </w:tblPr>
      <w:tblGrid>
        <w:gridCol w:w="2424"/>
        <w:gridCol w:w="2127"/>
        <w:gridCol w:w="2139"/>
        <w:gridCol w:w="211"/>
        <w:gridCol w:w="721"/>
        <w:gridCol w:w="154"/>
      </w:tblGrid>
      <w:tr>
        <w:trPr/>
        <w:tc>
          <w:tcPr>
            <w:tcW w:w="2424"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 current and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 and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and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Initial accounting for the acquisition is not complete, and further measurement period adjustments may occur in fiscal year 2026, but no later than one year from the DocFox Acquisition Date. The area of the acquisition that remains preliminary relates to finalizing our estimate of the impact of acquisition accounting on deferred income taxes or liabilities, including uncertain tax positions. As the initial acquisition accounting is based on preliminary assessments, actual values may differ materially when final information becomes available. The Company believes the information gathered to date provides a reasonable basis for estimating the preliminary fair values of assets acquired and liabilities assumed. The Company will continue to evaluate these items until they are satisfactorily resolved and make necessary adjustments, within the allowable measurement period.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the fair value of identifiable intangible assets and their estimated useful lives over which the acquired intangible assets will be amortized on a straight-line basis, as this approximates the pattern in which economic benefits of the assets are consumed as of the DocFox Acquisition Date:</w:t>
      </w:r>
    </w:p>
    <w:tbl>
      <w:tblPr>
        <w:tblW w:w="6166" w:type="dxa"/>
        <w:jc w:val="left"/>
        <w:tblInd w:w="0" w:type="dxa"/>
        <w:tblLayout w:type="fixed"/>
        <w:tblCellMar>
          <w:top w:w="28" w:type="dxa"/>
          <w:left w:w="28" w:type="dxa"/>
          <w:bottom w:w="28" w:type="dxa"/>
          <w:right w:w="28" w:type="dxa"/>
        </w:tblCellMar>
      </w:tblPr>
      <w:tblGrid>
        <w:gridCol w:w="1398"/>
        <w:gridCol w:w="1226"/>
        <w:gridCol w:w="1245"/>
        <w:gridCol w:w="211"/>
        <w:gridCol w:w="721"/>
        <w:gridCol w:w="109"/>
        <w:gridCol w:w="109"/>
        <w:gridCol w:w="109"/>
        <w:gridCol w:w="109"/>
        <w:gridCol w:w="272"/>
        <w:gridCol w:w="272"/>
        <w:gridCol w:w="385"/>
      </w:tblGrid>
      <w:tr>
        <w:trPr/>
        <w:tc>
          <w:tcPr>
            <w:tcW w:w="139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Life</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year</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subject to amortization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Developed technology represents the fair value of DocFox's technology. Customer relationships represent the fair value of the underlying relationships with DocFox's customers. Trade names represents the fair value of DocFox’s company name.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is primarily attributable to expanded market opportunities, synergies expected from the acquisition, and assembled workforce. The goodwill is not deductible for tax.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results of DocFox since the DocFox Acquisition Date through January 31, 2025 are included in the Company's consolidated financial statements and are not material to the Company. The Company has not disclosed pro-forma revenue and earnings attributable to DocFox as they did not have a material effect on the Company’s consolidated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Integrated Lending Technologies, LLC (“ILT”)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April 1, 2024 (the "ILT Acquisition Date”), the Company acquired all outstanding membership interests of ILT, which provides consumer loan origination software that streamlines direct and indirect lending operations. The Company acquired ILT for its complementary products. The Company has included the financial results of ILT in the consolidated statements of operations from the ILT Acquisition Date. Transaction costs associated with the ILT acquisition were approximately $0.9 million and were recorded in general and administrative expenses for the fiscal year ended January 31, 2025.</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paid a total of $19.9 million in cash on the ILT Acquisition Date, subject to a net working capital adjustment. The net working capital adjustment was finalized in July 2024, resulting in an increase to the purchase price of $0.1 million which was recorded to goodwill.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was accounted for using the acquisition method and, as a result, tangible and intangible assets acquired, and liabilities assumed were recorded at their estimated fair values at the ILT Acquisition Date. Any excess consideration over the fair value of the assets acquired and liabilities assumed was recognized as goodwill. The Company determined the acquisition date contract assets and liabilities in accordance with ASC 606.</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final fair values of assets acquired and liabilities assumed as of the ILT Acquisition Date:</w:t>
      </w:r>
    </w:p>
    <w:tbl>
      <w:tblPr>
        <w:tblW w:w="7775" w:type="dxa"/>
        <w:jc w:val="left"/>
        <w:tblInd w:w="0" w:type="dxa"/>
        <w:tblLayout w:type="fixed"/>
        <w:tblCellMar>
          <w:top w:w="28" w:type="dxa"/>
          <w:left w:w="28" w:type="dxa"/>
          <w:bottom w:w="28" w:type="dxa"/>
          <w:right w:w="28" w:type="dxa"/>
        </w:tblCellMar>
      </w:tblPr>
      <w:tblGrid>
        <w:gridCol w:w="2423"/>
        <w:gridCol w:w="2127"/>
        <w:gridCol w:w="2139"/>
        <w:gridCol w:w="211"/>
        <w:gridCol w:w="721"/>
        <w:gridCol w:w="154"/>
      </w:tblGrid>
      <w:tr>
        <w:trPr/>
        <w:tc>
          <w:tcPr>
            <w:tcW w:w="242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 current and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January 31, 2025, within the one year measurement period, we finalized the fair value of the assets acquired and liabilities assumed in the acquisition, and the amounts presented above are now final.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the fair value of identifiable intangible assets and their estimated useful lives over which the acquired intangible assets will be amortized on a straight-line basis, as this approximates the pattern in which economic benefits of the assets are consumed as of the ILT Acquisition Date:</w:t>
      </w:r>
    </w:p>
    <w:tbl>
      <w:tblPr>
        <w:tblW w:w="6061" w:type="dxa"/>
        <w:jc w:val="left"/>
        <w:tblInd w:w="0" w:type="dxa"/>
        <w:tblLayout w:type="fixed"/>
        <w:tblCellMar>
          <w:top w:w="28" w:type="dxa"/>
          <w:left w:w="28" w:type="dxa"/>
          <w:bottom w:w="28" w:type="dxa"/>
          <w:right w:w="28" w:type="dxa"/>
        </w:tblCellMar>
      </w:tblPr>
      <w:tblGrid>
        <w:gridCol w:w="1398"/>
        <w:gridCol w:w="1226"/>
        <w:gridCol w:w="1245"/>
        <w:gridCol w:w="211"/>
        <w:gridCol w:w="616"/>
        <w:gridCol w:w="109"/>
        <w:gridCol w:w="109"/>
        <w:gridCol w:w="109"/>
        <w:gridCol w:w="109"/>
        <w:gridCol w:w="272"/>
        <w:gridCol w:w="272"/>
        <w:gridCol w:w="385"/>
      </w:tblGrid>
      <w:tr>
        <w:trPr/>
        <w:tc>
          <w:tcPr>
            <w:tcW w:w="139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Life</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year</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subject to amortization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Developed technology represents the estimated fair value of ILT’s technology. Customer relationships represent the estimated fair value of the underlying relationships with ILT’s customers. Trade name represents the estimated fair value of ILT’s company name.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Goodwill is primarily attributable to expanded market opportunities, synergies expected from the acquisition, and assembled workforce and approximately $11.1 million is deductible for tax purposes.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results of ILT since the ILT Acquisition Date are included in the Company's consolidated financial statements and are not material to the Company. The Company has not disclosed pro-forma revenue and earnings attributable to ILT as they did not have a material effect on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Artesian Solutions Limited ("FullCircl")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5, 2024 (the "FullCircl Acquisition Date"), the Company acquired the outstanding equity interests of FullCircl, which provides an onboarding and customer lifecycle intelligence platform. The Company acquired FullCircl for its complementary products and believes this will provide greater value for new and existing customers. The Company has included the financial results of FullCircl in the consolidated statements of operations from the FullCircl Acquisition Date. Transaction costs associated with the FullCircl acquisition were approximately $3.6 million and were recorded in general and administrative expenses for the fiscal year ended January 31, 2025.</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consideration was $142.4 million, of which the Company paid a total of $129.2 million in cash at the FullCircl Acquisition Date. The purchase consideration includes a deferred payment of $15.0 million, with a present value of $13.2 million at the FullCircl Acquisition Date, relating to an indemnity holdback amount to be paid in 24 months following the FullCircl Acquisition Date which is included in other long-term liabilities at January 31, 2025 on the consolidated balance sheets.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Company issued 52,877 RSUs with an approximate fair value of $2.0 million to certain employees of FullCircl, which will vest over four years subject to such employees' continued employment. The RSUs will be recorded as stock-based compensation expense post-acquisition as the RSUs vest and has been excluded from the purchase consideration.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was accounted for using the acquisition method and, as a result, tangible and intangible assets acquired and liabilities assumed were recorded at their estimated fair values at the FullCircl Acquisition Date. Any excess consideration over the fair value of the assets acquired and liabilities assumed was recognized as goodwill and is subject to revision as the purchase price allocation is complete. The Company determined the acquisition date contract assets and liabilities in accordance with ASC 606.</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preliminary fair values of assets acquired and liabilities assumed as of the FullCircl Acquisition Date:</w:t>
      </w:r>
    </w:p>
    <w:tbl>
      <w:tblPr>
        <w:tblW w:w="7881" w:type="dxa"/>
        <w:jc w:val="left"/>
        <w:tblInd w:w="0" w:type="dxa"/>
        <w:tblLayout w:type="fixed"/>
        <w:tblCellMar>
          <w:top w:w="28" w:type="dxa"/>
          <w:left w:w="28" w:type="dxa"/>
          <w:bottom w:w="28" w:type="dxa"/>
          <w:right w:w="28" w:type="dxa"/>
        </w:tblCellMar>
      </w:tblPr>
      <w:tblGrid>
        <w:gridCol w:w="2424"/>
        <w:gridCol w:w="2127"/>
        <w:gridCol w:w="2139"/>
        <w:gridCol w:w="211"/>
        <w:gridCol w:w="826"/>
        <w:gridCol w:w="154"/>
      </w:tblGrid>
      <w:tr>
        <w:trPr/>
        <w:tc>
          <w:tcPr>
            <w:tcW w:w="2424"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 current and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 and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and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timing of the transaction, initial accounting for the acquisition is not complete, and further measurement period adjustments may occur in fiscal year 2026, but no later than one year from the FullCircl Acquisition Date. The Company has estimated the preliminary fair value of net assets acquired based on information currently available and with the assistance of independent third-party valuations and will continue to adjust those estimates as additional information becomes available, valuations are finalized and the tax returns for the pre-acquisition period are completed. The primary areas of the acquisition accounting that remain preliminary relate to, but are not limited to, (i) finalizing the review and valuation of intangible assets (including key assumptions, inputs and estimates), (ii) finalizing the evaluation and valuation of certain legal matters and/or loss contingencies, including those that the Company may not yet be aware of but meet the requirement to qualify as a pre-acquisition contingency, and (iii) finalizing our estimate of the impact of acquisition accounting on deferred income taxes or liabilities, including uncertain tax positions. As the initial acquisition accounting is based on preliminary assessments, actual values may differ materially when final information becomes available. The Company believes the information gathered to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provides a reasonable basis for estimating the preliminary fair values of assets acquired and liabilities assumed. The Company will continue to evaluate these items until they are satisfactorily resolved and make necessary adjustments, within the allowable measurement period.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the preliminary fair value of identifiable intangible assets and their estimated useful lives over which the acquired intangible assets will be amortized on a straight-line basis, as this approximates the pattern in which economic benefits of the assets are consumed as of the FullCircl Acquisition Date:</w:t>
      </w:r>
    </w:p>
    <w:tbl>
      <w:tblPr>
        <w:tblW w:w="6166" w:type="dxa"/>
        <w:jc w:val="left"/>
        <w:tblInd w:w="0" w:type="dxa"/>
        <w:tblLayout w:type="fixed"/>
        <w:tblCellMar>
          <w:top w:w="28" w:type="dxa"/>
          <w:left w:w="28" w:type="dxa"/>
          <w:bottom w:w="28" w:type="dxa"/>
          <w:right w:w="28" w:type="dxa"/>
        </w:tblCellMar>
      </w:tblPr>
      <w:tblGrid>
        <w:gridCol w:w="1398"/>
        <w:gridCol w:w="1226"/>
        <w:gridCol w:w="1245"/>
        <w:gridCol w:w="211"/>
        <w:gridCol w:w="721"/>
        <w:gridCol w:w="109"/>
        <w:gridCol w:w="109"/>
        <w:gridCol w:w="109"/>
        <w:gridCol w:w="109"/>
        <w:gridCol w:w="272"/>
        <w:gridCol w:w="272"/>
        <w:gridCol w:w="385"/>
      </w:tblGrid>
      <w:tr>
        <w:trPr/>
        <w:tc>
          <w:tcPr>
            <w:tcW w:w="139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Life</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year</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subject to amortization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represents the preliminary fair value of FullCircl's technology. Customer relationships represent the preliminary fair value of the underlying relationships with FullCircl's customers. Trade names represents the preliminary fair value of FullCircl’s company name. The Company continues to assess the rates used in the preliminary valuation methods such as, but not limited to, the discount rates for developed technology, customer relationships and trade name and customer attrition rate for customer relationships.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is primarily attributable to expanded market opportunities, synergies expected from the acquisition, and assembled workforce. The goodwill is not expected to be deductible for tax.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results of FullCircl since the FullCircl Acquisition Date are included in the Company's consolidated financial statements and are not material to the Company. The Company has not disclosed pro-forma revenue and earnings attributable to FullCircl as they did not have a material effect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7. Goodwill and Intangible Assets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the carrying amounts of goodwill was as follows:</w:t>
      </w:r>
    </w:p>
    <w:tbl>
      <w:tblPr>
        <w:tblW w:w="4026" w:type="dxa"/>
        <w:jc w:val="left"/>
        <w:tblInd w:w="0" w:type="dxa"/>
        <w:tblLayout w:type="fixed"/>
        <w:tblCellMar>
          <w:top w:w="28" w:type="dxa"/>
          <w:left w:w="28" w:type="dxa"/>
          <w:bottom w:w="28" w:type="dxa"/>
          <w:right w:w="28" w:type="dxa"/>
        </w:tblCellMar>
      </w:tblPr>
      <w:tblGrid>
        <w:gridCol w:w="972"/>
        <w:gridCol w:w="855"/>
        <w:gridCol w:w="858"/>
        <w:gridCol w:w="211"/>
        <w:gridCol w:w="97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 2024</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1,019,375 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Intangible assets, net are as follows:</w:t>
      </w:r>
    </w:p>
    <w:tbl>
      <w:tblPr>
        <w:tblW w:w="11635" w:type="dxa"/>
        <w:jc w:val="left"/>
        <w:tblInd w:w="0" w:type="dxa"/>
        <w:tblLayout w:type="fixed"/>
        <w:tblCellMar>
          <w:top w:w="28" w:type="dxa"/>
          <w:left w:w="28" w:type="dxa"/>
          <w:bottom w:w="28" w:type="dxa"/>
          <w:right w:w="28" w:type="dxa"/>
        </w:tblCellMar>
      </w:tblPr>
      <w:tblGrid>
        <w:gridCol w:w="723"/>
        <w:gridCol w:w="635"/>
        <w:gridCol w:w="638"/>
        <w:gridCol w:w="211"/>
        <w:gridCol w:w="826"/>
        <w:gridCol w:w="109"/>
        <w:gridCol w:w="109"/>
        <w:gridCol w:w="109"/>
        <w:gridCol w:w="109"/>
        <w:gridCol w:w="211"/>
        <w:gridCol w:w="761"/>
        <w:gridCol w:w="109"/>
        <w:gridCol w:w="109"/>
        <w:gridCol w:w="109"/>
        <w:gridCol w:w="109"/>
        <w:gridCol w:w="211"/>
        <w:gridCol w:w="826"/>
        <w:gridCol w:w="109"/>
        <w:gridCol w:w="109"/>
        <w:gridCol w:w="109"/>
        <w:gridCol w:w="109"/>
        <w:gridCol w:w="211"/>
        <w:gridCol w:w="826"/>
        <w:gridCol w:w="109"/>
        <w:gridCol w:w="109"/>
        <w:gridCol w:w="109"/>
        <w:gridCol w:w="109"/>
        <w:gridCol w:w="211"/>
        <w:gridCol w:w="761"/>
        <w:gridCol w:w="109"/>
        <w:gridCol w:w="109"/>
        <w:gridCol w:w="109"/>
        <w:gridCol w:w="109"/>
        <w:gridCol w:w="211"/>
        <w:gridCol w:w="826"/>
        <w:gridCol w:w="109"/>
        <w:gridCol w:w="109"/>
        <w:gridCol w:w="109"/>
        <w:gridCol w:w="109"/>
        <w:gridCol w:w="272"/>
        <w:gridCol w:w="272"/>
        <w:gridCol w:w="387"/>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2025</w:t>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Useful Life (Years)</w:t>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January 31, 2025, the Company wrote off approximately $20.6 million of fully amortized intangible assets and the corresponding accumulated amortization.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amortization expense for intangible assets as follows:</w:t>
      </w:r>
    </w:p>
    <w:tbl>
      <w:tblPr>
        <w:tblW w:w="7827" w:type="dxa"/>
        <w:jc w:val="left"/>
        <w:tblInd w:w="0" w:type="dxa"/>
        <w:tblLayout w:type="fixed"/>
        <w:tblCellMar>
          <w:top w:w="28" w:type="dxa"/>
          <w:left w:w="28" w:type="dxa"/>
          <w:bottom w:w="28" w:type="dxa"/>
          <w:right w:w="28" w:type="dxa"/>
        </w:tblCellMar>
      </w:tblPr>
      <w:tblGrid>
        <w:gridCol w:w="1451"/>
        <w:gridCol w:w="1273"/>
        <w:gridCol w:w="1281"/>
        <w:gridCol w:w="211"/>
        <w:gridCol w:w="721"/>
        <w:gridCol w:w="109"/>
        <w:gridCol w:w="109"/>
        <w:gridCol w:w="109"/>
        <w:gridCol w:w="109"/>
        <w:gridCol w:w="211"/>
        <w:gridCol w:w="721"/>
        <w:gridCol w:w="109"/>
        <w:gridCol w:w="109"/>
        <w:gridCol w:w="109"/>
        <w:gridCol w:w="109"/>
        <w:gridCol w:w="211"/>
        <w:gridCol w:w="721"/>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fiscal 2024, the Company rebranded the SimpleNexus solution to nCino Mortgage, resulting in a change to the trade name useful life. As a result, the Company recorded accelerated amortization to fully amortize the remaining trade name intangible asset in fiscal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future amortization expense for intangible assets as of January 31, 2025 is as follows:</w:t>
      </w:r>
    </w:p>
    <w:tbl>
      <w:tblPr>
        <w:tblW w:w="3620" w:type="dxa"/>
        <w:jc w:val="left"/>
        <w:tblInd w:w="0" w:type="dxa"/>
        <w:tblLayout w:type="fixed"/>
        <w:tblCellMar>
          <w:top w:w="28" w:type="dxa"/>
          <w:left w:w="28" w:type="dxa"/>
          <w:bottom w:w="28" w:type="dxa"/>
          <w:right w:w="28" w:type="dxa"/>
        </w:tblCellMar>
      </w:tblPr>
      <w:tblGrid>
        <w:gridCol w:w="878"/>
        <w:gridCol w:w="772"/>
        <w:gridCol w:w="779"/>
        <w:gridCol w:w="211"/>
        <w:gridCol w:w="826"/>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Fiscal Year Ending January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8. Reseller Agreement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reseller agreement in place with our largest vendor to utilize their platform and to develop the Company’s cloud-based banking software as an application within their hosted environment. This agreement was amended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2024 extending its term through January 31, 2031, and will automatically renew in annual increments thereafter unless either party gives notice of non-renewal before the end of the initial term or the respective renewal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9. Stockholders’ Equity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rights and key provisions affecting each class of the Company’s stock as of January 31, 2025, is as follows:</w:t>
      </w:r>
    </w:p>
    <w:p>
      <w:pPr>
        <w:pStyle w:val="TextBody"/>
        <w:bidi w:val="0"/>
        <w:spacing w:lineRule="auto" w:line="288" w:before="240" w:after="283"/>
        <w:ind w:left="0" w:right="0" w:firstLine="990"/>
        <w:jc w:val="left"/>
        <w:rPr/>
      </w:pPr>
      <w:r>
        <w:rPr>
          <w:rFonts w:ascii="Times New Roman;sans-serif" w:hAnsi="Times New Roman;sans-serif"/>
          <w:b/>
          <w:color w:val="000000"/>
          <w:sz w:val="20"/>
        </w:rPr>
        <w:t>Preferred Stock:</w:t>
      </w:r>
      <w:r>
        <w:rPr>
          <w:color w:val="000000"/>
        </w:rPr>
        <w:t xml:space="preserve"> </w:t>
      </w:r>
      <w:r>
        <w:rPr>
          <w:rFonts w:ascii="Times New Roman;sans-serif" w:hAnsi="Times New Roman;sans-serif"/>
          <w:b w:val="false"/>
          <w:color w:val="000000"/>
          <w:sz w:val="20"/>
        </w:rPr>
        <w:t xml:space="preserve">The Board of Directors is authorized to establish one or more series of preferred stock and to fix the number of shares constituting such series and the designation of such series, including the voting powers, preferences, limitations, restrictions, and other special rights thereof. The Company's preferred stock consists of 10,000,000 authorized shares, par value $0.001 per share. </w:t>
      </w:r>
    </w:p>
    <w:p>
      <w:pPr>
        <w:pStyle w:val="TextBody"/>
        <w:bidi w:val="0"/>
        <w:spacing w:lineRule="auto" w:line="288" w:before="240" w:after="283"/>
        <w:ind w:left="0" w:right="0" w:firstLine="990"/>
        <w:jc w:val="left"/>
        <w:rPr/>
      </w:pPr>
      <w:r>
        <w:rPr>
          <w:rFonts w:ascii="Times New Roman;sans-serif" w:hAnsi="Times New Roman;sans-serif"/>
          <w:b/>
          <w:color w:val="000000"/>
          <w:sz w:val="20"/>
        </w:rPr>
        <w:t>Common stock:</w:t>
      </w:r>
      <w:r>
        <w:rPr>
          <w:color w:val="000000"/>
        </w:rPr>
        <w:t xml:space="preserve"> </w:t>
      </w:r>
      <w:r>
        <w:rPr>
          <w:rFonts w:ascii="Times New Roman;sans-serif" w:hAnsi="Times New Roman;sans-serif"/>
          <w:b w:val="false"/>
          <w:color w:val="000000"/>
          <w:sz w:val="20"/>
        </w:rPr>
        <w:t xml:space="preserve">The Company's common stock consists of 500,000,000 authorized shares, par value $0.0005 per share.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At January 31, 2025, the Company committed a total of 38,688,209 shares of common stock for future issuance as follows:</w:t>
      </w:r>
    </w:p>
    <w:tbl>
      <w:tblPr>
        <w:tblW w:w="6635" w:type="dxa"/>
        <w:jc w:val="left"/>
        <w:tblInd w:w="0" w:type="dxa"/>
        <w:tblLayout w:type="fixed"/>
        <w:tblCellMar>
          <w:top w:w="28" w:type="dxa"/>
          <w:left w:w="28" w:type="dxa"/>
          <w:bottom w:w="28" w:type="dxa"/>
          <w:right w:w="28" w:type="dxa"/>
        </w:tblCellMar>
      </w:tblPr>
      <w:tblGrid>
        <w:gridCol w:w="1956"/>
        <w:gridCol w:w="1719"/>
        <w:gridCol w:w="1725"/>
        <w:gridCol w:w="540"/>
        <w:gridCol w:w="541"/>
        <w:gridCol w:w="154"/>
      </w:tblGrid>
      <w:tr>
        <w:trPr/>
        <w:tc>
          <w:tcPr>
            <w:tcW w:w="1956"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issued and outstanding restricted stock units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Possible issuance under stock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31,771,148 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38,688,209 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10. Stock-Based Compensation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two equity incentive plans: the nCino, Inc. 2014 Omnibus Stock Ownership and Long-Term Incentive Plan (the “2014 Plan”) and the 2019 Amended and Restated Equity Incentive Plan (the “2019 Plan” and together with the 2014 Plan, the “Incentive Plans”). Under the 2014 Plan, the Board of Directors had allotted 15,025,666 shares of common stock for incentive options or non-qualified options as of January 31, 2025. Non-qualified options may be granted to Company employees, non-employee directors, and consultants. The exercise price of options is determined by the Board of Directors, but cannot be less than 100% of the fair market value of the Company’s common stock on the date of the grant. The options generally vest in one of two ways: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 equal annual installments over four years from the grant date.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Upon a change in control transaction (with respect to certain Incentive Plan participants).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All options expire ten years from the grant date and, with respect to certain Incentive Plan participants, provide for accelerated vesting if there is a change in control of the Company.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July 2019, the Company established the 2019 Equity Incentive Plan for the issuance of awards in the form of options, stock appreciation rights, restricted stock awards, restricted stock units, performance shares, performance units, cash-based awards, and other stock-based awards.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initial public offering ("IPO"), the Company's Board of Directors adopted and the Company's stockholders approved the 2019 Plan which amended and restated the 2019 Equity Incentive Plan. All awards shall be granted within ten years from the effective date of the 2019 Plan and can only be granted to employees, officers, directors, and consultants and generally vest over four years.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2019 Plan, the number of available shares was increased to 15,250,000, plus an annual increase added on the first day of each fiscal year, beginning with the fiscal year ending January 31, 2022, and continuing until, and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fiscal year ending January 31, 2031. The annual increase will be equal to the lesser of (i) 5% of the number of shares issued and outstanding as of January 31 of the immediately preceding fiscal year and (ii) an amount determined by the Company's Board of Directors. The Company ceased granting awards under the 2014 Plan during the fiscal year ended January 31, 2020, and all shares that remained available for issuance under the 2014 Plan were transferred to the 2019 Plan prior to the closing of the IPO. Additionally, the number of shares available under the 2019 Plan shall be increased by the number of shares outstanding under the 2014 Plan that expire, terminate or are canceled without having been exercised or settled in full. The 2014 Plan governs outstanding awards granted prior to the adoption of the 2019 Plan.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RSUs vest upon the satisfaction of a time-based condition. RSUs are generally earned over a service period of four years</w:t>
      </w:r>
      <w:r>
        <w:rPr>
          <w:rFonts w:ascii="Times New Roman;sans-serif" w:hAnsi="Times New Roman;sans-serif"/>
          <w:b w:val="false"/>
          <w:color w:val="000000"/>
          <w:sz w:val="20"/>
          <w:shd w:fill="FFFFFF" w:val="clear"/>
        </w:rPr>
        <w:t xml:space="preserve">. For RSUs granted to the non-employee members of the Board of Directors, some vest in less than a year, some annually and some over three years. </w:t>
      </w:r>
      <w:r>
        <w:rPr>
          <w:rFonts w:ascii="Times New Roman;sans-serif" w:hAnsi="Times New Roman;sans-serif"/>
          <w:b w:val="false"/>
          <w:color w:val="000000"/>
          <w:sz w:val="20"/>
        </w:rPr>
        <w:t xml:space="preserve">The compensation expense related to these awards is based on the grant date fair value of the RSUs and is recognized on a ratable basis over the applicable service period.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31, 2025, the Company had stock options outstanding under the 2014 Plan and the 2019 Plan had stock options and RSUs outstanding.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activity for the fiscal year ended January 31, 2025 was as follows:</w:t>
      </w:r>
    </w:p>
    <w:tbl>
      <w:tblPr>
        <w:tblW w:w="10205" w:type="dxa"/>
        <w:jc w:val="left"/>
        <w:tblInd w:w="0" w:type="dxa"/>
        <w:tblLayout w:type="fixed"/>
        <w:tblCellMar>
          <w:top w:w="28" w:type="dxa"/>
          <w:left w:w="28" w:type="dxa"/>
          <w:bottom w:w="28" w:type="dxa"/>
          <w:right w:w="28" w:type="dxa"/>
        </w:tblCellMar>
      </w:tblPr>
      <w:tblGrid>
        <w:gridCol w:w="901"/>
        <w:gridCol w:w="792"/>
        <w:gridCol w:w="794"/>
        <w:gridCol w:w="488"/>
        <w:gridCol w:w="488"/>
        <w:gridCol w:w="259"/>
        <w:gridCol w:w="109"/>
        <w:gridCol w:w="109"/>
        <w:gridCol w:w="109"/>
        <w:gridCol w:w="285"/>
        <w:gridCol w:w="692"/>
        <w:gridCol w:w="149"/>
        <w:gridCol w:w="109"/>
        <w:gridCol w:w="109"/>
        <w:gridCol w:w="109"/>
        <w:gridCol w:w="801"/>
        <w:gridCol w:w="801"/>
        <w:gridCol w:w="803"/>
        <w:gridCol w:w="109"/>
        <w:gridCol w:w="109"/>
        <w:gridCol w:w="109"/>
        <w:gridCol w:w="382"/>
        <w:gridCol w:w="1307"/>
        <w:gridCol w:w="282"/>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 (In thousands)</w:t>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1,212,704 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29,516 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 or forfeited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(399,727)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31,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811,602 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21,742 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January 31, 2025</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811,602 </w:t>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21,742 </w:t>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Fully vested or expected to vest, January 31, 2025</w:t>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811,602 </w:t>
            </w:r>
          </w:p>
        </w:tc>
        <w:tc>
          <w:tcPr>
            <w:tcW w:w="2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21,742 </w:t>
            </w:r>
          </w:p>
        </w:tc>
        <w:tc>
          <w:tcPr>
            <w:tcW w:w="28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options exercised during the fiscal years ended January 31, 2023, 2024, and 2025 was $16.2 million, $19.0 million, and $10.9 million, respectively. Aggregate intrinsic value represents the total pre-tax intrinsic value, which is computed based on the difference between the option exercise price and the estimated fair value of the Company’s common stock at the time such option exercises. This intrinsic value changes based on changes in the fair value of the Company’s underlying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RSU activity during the fiscal year ended January 31, 2025 was as follows:</w:t>
      </w:r>
    </w:p>
    <w:tbl>
      <w:tblPr>
        <w:tblW w:w="5649" w:type="dxa"/>
        <w:jc w:val="left"/>
        <w:tblInd w:w="0" w:type="dxa"/>
        <w:tblLayout w:type="fixed"/>
        <w:tblCellMar>
          <w:top w:w="28" w:type="dxa"/>
          <w:left w:w="28" w:type="dxa"/>
          <w:bottom w:w="28" w:type="dxa"/>
          <w:right w:w="28" w:type="dxa"/>
        </w:tblCellMar>
      </w:tblPr>
      <w:tblGrid>
        <w:gridCol w:w="896"/>
        <w:gridCol w:w="788"/>
        <w:gridCol w:w="791"/>
        <w:gridCol w:w="524"/>
        <w:gridCol w:w="526"/>
        <w:gridCol w:w="296"/>
        <w:gridCol w:w="109"/>
        <w:gridCol w:w="109"/>
        <w:gridCol w:w="109"/>
        <w:gridCol w:w="322"/>
        <w:gridCol w:w="942"/>
        <w:gridCol w:w="237"/>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 Fair</w:t>
              <w:br/>
              <w:t>Value</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January 31, 2024</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5,626,125 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3,193,433 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(1,745,202)</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(968,897)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January 31, 2025</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6,105,459 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 for RSUs granted during the fiscal years ended January 31, 2023, 2024, and 2025 was $41.54, $25.65, and $33.65,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total fair value of RSUs vested for the fiscal years ended January 31, 2023, 2024, and 2025 was $39.7 million, $48.2 million, and $60.8 million,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2025, total unrecognized compensation expense related to non-vested RSUs was $145.7 million, adjusted for estimated forfeitures, based on the estimated fair value of the Company’s common stock at the time of grant. That cost is expected to be recognized over a weighted average period of 2.73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2020, the Board of Directors adopted and stockholders approved the ESPP, which became effective immediately prior to the closing of the IPO. The ESPP includes two components, one component is intended to qualify as an "employee stock purchase plan" within the meaning of Section 423 of the Internal Revenue Code (the "Code") and a component that does not qualify as an "employee stock purchase plan" under Section 423 of the Code. The ESPP initially reserved and authorized the issuance of up to a total of 1,800,000 shares of common stock to participating employees. The aggregate number of shares of the Company's common stock under the ESPP will automatically increase on the first day of each fiscal year, beginning with the first fiscal year ending January 31, 2022 and continuing until the fiscal year ended January 31, 2031, by an amount equal to the lesser of (i) 1% of the shares of the Company's common stock issued and outstanding on January 31 of the immediately preceding fiscal year, (ii) 1,800,000 shares of the Company's common stock or (iii) an amount determined by the Board of Directors. As of January 31, 2025, 5,484,024 shares of common stock remain available for grant under the ESPP.</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ESPP permits employees to purchase the Company's common stock through payroll deductions during six month offerings. The offering periods begin each January 1 and July 1, or such other period determined by the compensation committee. Eligible employees will purchase the shares at a price per share equal to the lesser of (i) 85% of the fair market value of a share of the Company's common stock on the first business day of such offering period and (ii) 85% of the fair market value of share of the Company's common stock on the last business day of such offering period, although the compensation committee has discretion to change the purchase price with respect to future offering periods, subject to terms of the ESPP.</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first offering period for the ESPP began on July 1, 2021 and ended on December 31, 2021. Thereafter, offering periods will begin on January 1 and July 1.</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ESPP shares is estimated at the date of grant using the Black-Scholes option valuation model based on assumptions as follows for ESPP awards: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Expected life.</w:t>
      </w:r>
      <w:r>
        <w:rPr>
          <w:color w:val="000000"/>
        </w:rPr>
        <w:t xml:space="preserve"> </w:t>
      </w:r>
      <w:r>
        <w:rPr>
          <w:rFonts w:ascii="Times New Roman;sans-serif" w:hAnsi="Times New Roman;sans-serif"/>
          <w:b w:val="false"/>
          <w:color w:val="000000"/>
          <w:sz w:val="20"/>
        </w:rPr>
        <w:t>The expected life reflects the period for which the Company believes the ESPP will remain outstanding. The expected term for the ESPP award approximates the offering period of six months.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Expected volatility.</w:t>
      </w:r>
      <w:r>
        <w:rPr>
          <w:color w:val="000000"/>
        </w:rPr>
        <w:t xml:space="preserve"> </w:t>
      </w:r>
      <w:r>
        <w:rPr>
          <w:rFonts w:ascii="Times New Roman;sans-serif" w:hAnsi="Times New Roman;sans-serif"/>
          <w:b w:val="false"/>
          <w:color w:val="000000"/>
          <w:sz w:val="20"/>
        </w:rPr>
        <w:t>The expected volatility is based on the historical volatility of the Company's common stock.</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Expected dividends.</w:t>
      </w:r>
      <w:r>
        <w:rPr>
          <w:color w:val="000000"/>
        </w:rPr>
        <w:t xml:space="preserve"> </w:t>
      </w:r>
      <w:r>
        <w:rPr>
          <w:rFonts w:ascii="Times New Roman;sans-serif" w:hAnsi="Times New Roman;sans-serif"/>
          <w:b w:val="false"/>
          <w:color w:val="000000"/>
          <w:sz w:val="20"/>
        </w:rPr>
        <w:t xml:space="preserve">The expected dividend yield is zero as the Company has not and does not expect to pay dividends. </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Risk-free interest rate.</w:t>
      </w:r>
      <w:r>
        <w:rPr>
          <w:color w:val="000000"/>
        </w:rPr>
        <w:t xml:space="preserve"> </w:t>
      </w:r>
      <w:r>
        <w:rPr>
          <w:rFonts w:ascii="Times New Roman;sans-serif" w:hAnsi="Times New Roman;sans-serif"/>
          <w:b w:val="false"/>
          <w:color w:val="000000"/>
          <w:sz w:val="20"/>
        </w:rPr>
        <w:t>The risk-free interest rate reflects the U.S. Treasury yield for a similar expected life instrument in effect at the time of the grant of the ESPP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assumptions utilized for the ESPP shares for the fiscal years ended January 31, 2023, 2024, and 2025 were as follows:</w:t>
      </w:r>
    </w:p>
    <w:tbl>
      <w:tblPr>
        <w:tblW w:w="7512" w:type="dxa"/>
        <w:jc w:val="center"/>
        <w:tblInd w:w="0" w:type="dxa"/>
        <w:tblLayout w:type="fixed"/>
        <w:tblCellMar>
          <w:top w:w="28" w:type="dxa"/>
          <w:left w:w="28" w:type="dxa"/>
          <w:bottom w:w="28" w:type="dxa"/>
          <w:right w:w="28" w:type="dxa"/>
        </w:tblCellMar>
      </w:tblPr>
      <w:tblGrid>
        <w:gridCol w:w="723"/>
        <w:gridCol w:w="635"/>
        <w:gridCol w:w="637"/>
        <w:gridCol w:w="502"/>
        <w:gridCol w:w="502"/>
        <w:gridCol w:w="510"/>
        <w:gridCol w:w="155"/>
        <w:gridCol w:w="155"/>
        <w:gridCol w:w="155"/>
        <w:gridCol w:w="502"/>
        <w:gridCol w:w="502"/>
        <w:gridCol w:w="510"/>
        <w:gridCol w:w="155"/>
        <w:gridCol w:w="155"/>
        <w:gridCol w:w="155"/>
        <w:gridCol w:w="471"/>
        <w:gridCol w:w="471"/>
        <w:gridCol w:w="617"/>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49.65% - 84.59%</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38.70% - 61.86%</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38.70% - 40.74%</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0.22% - 4.77%</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4.77% - 5.53%</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4.25% - 5.37%</w:t>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2025, total unrecognized compensation expense related to the ESPP was $0.7 million. That cost is expected to be recognized over the remaining term of the offering period that began on January 1, 2025 and will end on June 30, 2025.</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included in our consolidated statements of operations were as follows:</w:t>
      </w:r>
    </w:p>
    <w:tbl>
      <w:tblPr>
        <w:tblW w:w="7827" w:type="dxa"/>
        <w:jc w:val="left"/>
        <w:tblInd w:w="0" w:type="dxa"/>
        <w:tblLayout w:type="fixed"/>
        <w:tblCellMar>
          <w:top w:w="28" w:type="dxa"/>
          <w:left w:w="28" w:type="dxa"/>
          <w:bottom w:w="28" w:type="dxa"/>
          <w:right w:w="28" w:type="dxa"/>
        </w:tblCellMar>
      </w:tblPr>
      <w:tblGrid>
        <w:gridCol w:w="1451"/>
        <w:gridCol w:w="1273"/>
        <w:gridCol w:w="1281"/>
        <w:gridCol w:w="211"/>
        <w:gridCol w:w="721"/>
        <w:gridCol w:w="109"/>
        <w:gridCol w:w="109"/>
        <w:gridCol w:w="109"/>
        <w:gridCol w:w="109"/>
        <w:gridCol w:w="211"/>
        <w:gridCol w:w="721"/>
        <w:gridCol w:w="109"/>
        <w:gridCol w:w="109"/>
        <w:gridCol w:w="109"/>
        <w:gridCol w:w="109"/>
        <w:gridCol w:w="211"/>
        <w:gridCol w:w="721"/>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stock-based compensation expense</w:t>
            </w:r>
            <w:r>
              <w:rPr>
                <w:rFonts w:ascii="Times New Roman;sans-serif" w:hAnsi="Times New Roman;sans-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$0.2 million benefit incurred for the fiscal year ended January 31, 2023 in connection with the restructuring plan commenced in January 2023. See Note 18 "Restructuring"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11. Income Taxes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loss before income taxes by domestic and foreign jurisdictions were as follows:</w:t>
      </w:r>
    </w:p>
    <w:tbl>
      <w:tblPr>
        <w:tblW w:w="6312" w:type="dxa"/>
        <w:jc w:val="left"/>
        <w:tblInd w:w="0" w:type="dxa"/>
        <w:tblLayout w:type="fixed"/>
        <w:tblCellMar>
          <w:top w:w="28" w:type="dxa"/>
          <w:left w:w="28" w:type="dxa"/>
          <w:bottom w:w="28" w:type="dxa"/>
          <w:right w:w="28" w:type="dxa"/>
        </w:tblCellMar>
      </w:tblPr>
      <w:tblGrid>
        <w:gridCol w:w="784"/>
        <w:gridCol w:w="686"/>
        <w:gridCol w:w="690"/>
        <w:gridCol w:w="211"/>
        <w:gridCol w:w="901"/>
        <w:gridCol w:w="109"/>
        <w:gridCol w:w="109"/>
        <w:gridCol w:w="109"/>
        <w:gridCol w:w="109"/>
        <w:gridCol w:w="211"/>
        <w:gridCol w:w="796"/>
        <w:gridCol w:w="109"/>
        <w:gridCol w:w="109"/>
        <w:gridCol w:w="109"/>
        <w:gridCol w:w="109"/>
        <w:gridCol w:w="211"/>
        <w:gridCol w:w="796"/>
        <w:gridCol w:w="154"/>
      </w:tblGrid>
      <w:tr>
        <w:trPr/>
        <w:tc>
          <w:tcPr>
            <w:tcW w:w="7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income tax provision (benefit) consisted of the following:</w:t>
      </w:r>
    </w:p>
    <w:tbl>
      <w:tblPr>
        <w:tblW w:w="6641" w:type="dxa"/>
        <w:jc w:val="left"/>
        <w:tblInd w:w="0" w:type="dxa"/>
        <w:tblLayout w:type="fixed"/>
        <w:tblCellMar>
          <w:top w:w="28" w:type="dxa"/>
          <w:left w:w="28" w:type="dxa"/>
          <w:bottom w:w="28" w:type="dxa"/>
          <w:right w:w="28" w:type="dxa"/>
        </w:tblCellMar>
      </w:tblPr>
      <w:tblGrid>
        <w:gridCol w:w="1141"/>
        <w:gridCol w:w="947"/>
        <w:gridCol w:w="971"/>
        <w:gridCol w:w="211"/>
        <w:gridCol w:w="616"/>
        <w:gridCol w:w="109"/>
        <w:gridCol w:w="109"/>
        <w:gridCol w:w="109"/>
        <w:gridCol w:w="109"/>
        <w:gridCol w:w="211"/>
        <w:gridCol w:w="616"/>
        <w:gridCol w:w="109"/>
        <w:gridCol w:w="109"/>
        <w:gridCol w:w="109"/>
        <w:gridCol w:w="109"/>
        <w:gridCol w:w="211"/>
        <w:gridCol w:w="691"/>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differences between income taxes expected at the U.S. federal statutory income tax rate and the reported income tax (provision) benefit are summarized as follows:</w:t>
      </w:r>
    </w:p>
    <w:tbl>
      <w:tblPr>
        <w:tblW w:w="8644" w:type="dxa"/>
        <w:jc w:val="left"/>
        <w:tblInd w:w="0" w:type="dxa"/>
        <w:tblLayout w:type="fixed"/>
        <w:tblCellMar>
          <w:top w:w="28" w:type="dxa"/>
          <w:left w:w="28" w:type="dxa"/>
          <w:bottom w:w="28" w:type="dxa"/>
          <w:right w:w="28" w:type="dxa"/>
        </w:tblCellMar>
      </w:tblPr>
      <w:tblGrid>
        <w:gridCol w:w="1887"/>
        <w:gridCol w:w="1663"/>
        <w:gridCol w:w="1669"/>
        <w:gridCol w:w="291"/>
        <w:gridCol w:w="294"/>
        <w:gridCol w:w="300"/>
        <w:gridCol w:w="120"/>
        <w:gridCol w:w="120"/>
        <w:gridCol w:w="120"/>
        <w:gridCol w:w="291"/>
        <w:gridCol w:w="294"/>
        <w:gridCol w:w="300"/>
        <w:gridCol w:w="120"/>
        <w:gridCol w:w="120"/>
        <w:gridCol w:w="120"/>
        <w:gridCol w:w="291"/>
        <w:gridCol w:w="294"/>
        <w:gridCol w:w="350"/>
      </w:tblGrid>
      <w:tr>
        <w:trPr/>
        <w:tc>
          <w:tcPr>
            <w:tcW w:w="1887"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at statutory rate of 21% for 2023, 2024, and 2025</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(provision) benefit, net of federal impact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valuation allowance</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return to provision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adjustments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non-US operations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GILTI inclusion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compensation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positions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the Company’s net deferred tax assets and liabilities were as follows:</w:t>
      </w:r>
    </w:p>
    <w:tbl>
      <w:tblPr>
        <w:tblW w:w="7059" w:type="dxa"/>
        <w:jc w:val="left"/>
        <w:tblInd w:w="0" w:type="dxa"/>
        <w:tblLayout w:type="fixed"/>
        <w:tblCellMar>
          <w:top w:w="28" w:type="dxa"/>
          <w:left w:w="28" w:type="dxa"/>
          <w:bottom w:w="28" w:type="dxa"/>
          <w:right w:w="28" w:type="dxa"/>
        </w:tblCellMar>
      </w:tblPr>
      <w:tblGrid>
        <w:gridCol w:w="1593"/>
        <w:gridCol w:w="1399"/>
        <w:gridCol w:w="1403"/>
        <w:gridCol w:w="211"/>
        <w:gridCol w:w="826"/>
        <w:gridCol w:w="109"/>
        <w:gridCol w:w="109"/>
        <w:gridCol w:w="109"/>
        <w:gridCol w:w="109"/>
        <w:gridCol w:w="211"/>
        <w:gridCol w:w="826"/>
        <w:gridCol w:w="154"/>
      </w:tblGrid>
      <w:tr>
        <w:trPr/>
        <w:tc>
          <w:tcPr>
            <w:tcW w:w="159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obligations and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and accruals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 of valuation allowances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acquisition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net deferred tax liabilities were adjusted during fiscal 2025 to include $15.1 million of net deferred tax liabilities related to business combinations.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 were included in the consolidated balance sheets as follows:</w:t>
      </w:r>
    </w:p>
    <w:tbl>
      <w:tblPr>
        <w:tblW w:w="6054" w:type="dxa"/>
        <w:jc w:val="left"/>
        <w:tblInd w:w="0" w:type="dxa"/>
        <w:tblLayout w:type="fixed"/>
        <w:tblCellMar>
          <w:top w:w="28" w:type="dxa"/>
          <w:left w:w="28" w:type="dxa"/>
          <w:bottom w:w="28" w:type="dxa"/>
          <w:right w:w="28" w:type="dxa"/>
        </w:tblCellMar>
      </w:tblPr>
      <w:tblGrid>
        <w:gridCol w:w="1351"/>
        <w:gridCol w:w="1190"/>
        <w:gridCol w:w="1194"/>
        <w:gridCol w:w="211"/>
        <w:gridCol w:w="616"/>
        <w:gridCol w:w="109"/>
        <w:gridCol w:w="109"/>
        <w:gridCol w:w="109"/>
        <w:gridCol w:w="109"/>
        <w:gridCol w:w="211"/>
        <w:gridCol w:w="691"/>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prepaid expenses and other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noncurrent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 which is included in accrued expenses and other current liabilities on the consolidated balance sheets as of January 31, 2024 and 2025 were $2.0 million and $1.2 million,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continually assesses the realizability of its deferred tax assets based on an evaluative process that considers all available positive and negative evidence. The Company has established a valuation allowance in the amount of $148.3 million and $160.3 million as of January 31, 2024 and 2025, respectively, because the Company believes it is not more likely than not the deferred tax asset in jurisdictions excluding several foreign jurisdictions will be realized.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maintain a valuation allowance against our deferred tax assets in several jurisdictions, including the U.S. It is determined by management when a valuation allowance should be recorded, utilizing significant judgement and the use of estimates. In fiscal year 2025, the Company acquired DocFox and FullCircl. As part of the DocFox acquisition, the Company recorded a net U.S. deferred tax liability mostly related to identifiable intangible assets. The deferred tax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provides additional positive evidence that a portion of the Company’s U.S. deferred tax assets are realizable. As a result, the Company reduced the historical valuation allowance in the U.S. by $3.6 million.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the fiscal years ended January 31, 2023, 2024, and 2025, the valuation allowance increased by $29.3 million, $9.9 million, and $12.0 million,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its assertion of the Company’s intent for certain foreign earnings to be indefinitely reinvested. As of January 31, 2025, the Company has not recorded taxes on approximately $26.7 million of cumulative undistributed earnings of the Company’s non-U.S. subsidiaries. The Company generally does not provide for taxes related to the Company’s undistributed earnings because such earnings either would not be taxable when remitted or they are indefinitely reinvested. If in the foreseeable future, the Company can no longer demonstrate that these earnings are indefinitely reinvested, a tax liability will be recognized, which could include other taxes such as withholding tax. The determination of the amount of the unrecognized tax liability is directly influenced by the Company’s net operating loss and valuation allowance position in the U.S. If the Company were to repatriate the undistributed earnings, the tax liability is $1.2 million.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net operating loss and tax credit carryforwards as of January 31, 2025 were as follows:</w:t>
      </w:r>
    </w:p>
    <w:tbl>
      <w:tblPr>
        <w:tblW w:w="7736" w:type="dxa"/>
        <w:jc w:val="left"/>
        <w:tblInd w:w="0" w:type="dxa"/>
        <w:tblLayout w:type="fixed"/>
        <w:tblCellMar>
          <w:top w:w="28" w:type="dxa"/>
          <w:left w:w="28" w:type="dxa"/>
          <w:bottom w:w="28" w:type="dxa"/>
          <w:right w:w="28" w:type="dxa"/>
        </w:tblCellMar>
      </w:tblPr>
      <w:tblGrid>
        <w:gridCol w:w="1251"/>
        <w:gridCol w:w="1098"/>
        <w:gridCol w:w="1100"/>
        <w:gridCol w:w="604"/>
        <w:gridCol w:w="604"/>
        <w:gridCol w:w="607"/>
        <w:gridCol w:w="109"/>
        <w:gridCol w:w="109"/>
        <w:gridCol w:w="109"/>
        <w:gridCol w:w="626"/>
        <w:gridCol w:w="626"/>
        <w:gridCol w:w="893"/>
      </w:tblGrid>
      <w:tr>
        <w:trPr/>
        <w:tc>
          <w:tcPr>
            <w:tcW w:w="125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xml:space="preserve">First Fiscal Year Expiring </w:t>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Federal net operating loss carryforwards</w:t>
            </w:r>
            <w:r>
              <w:rPr>
                <w:rFonts w:ascii="Times New Roman;sans-serif" w:hAnsi="Times New Roman;sans-serif"/>
                <w:b w:val="false"/>
                <w:color w:val="000000"/>
                <w:sz w:val="13"/>
              </w:rPr>
              <w:t>1</w:t>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354,217 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State net operating loss carryforwards</w:t>
            </w:r>
            <w:r>
              <w:rPr>
                <w:rFonts w:ascii="Times New Roman;sans-serif" w:hAnsi="Times New Roman;sans-serif"/>
                <w:b w:val="false"/>
                <w:color w:val="000000"/>
                <w:sz w:val="13"/>
              </w:rPr>
              <w:t>1</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254,212 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State net operating loss carryforwards</w:t>
            </w:r>
            <w:r>
              <w:rPr>
                <w:rFonts w:ascii="Times New Roman;sans-serif" w:hAnsi="Times New Roman;sans-serif"/>
                <w:b w:val="false"/>
                <w:color w:val="000000"/>
                <w:sz w:val="13"/>
              </w:rPr>
              <w:t>1</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81,394 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net operating loss carryforwards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Foreign net operating loss carryforwards</w:t>
            </w:r>
            <w:r>
              <w:rPr>
                <w:rFonts w:ascii="Times New Roman;sans-serif" w:hAnsi="Times New Roman;sans-serif"/>
                <w:b w:val="false"/>
                <w:color w:val="000000"/>
                <w:sz w:val="13"/>
              </w:rPr>
              <w:t>1</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102,385 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Federal tax credit carryforwards</w:t>
            </w:r>
            <w:r>
              <w:rPr>
                <w:rFonts w:ascii="Times New Roman;sans-serif" w:hAnsi="Times New Roman;sans-serif"/>
                <w:b w:val="false"/>
                <w:color w:val="000000"/>
                <w:sz w:val="13"/>
              </w:rPr>
              <w:t>1</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14,840 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 credit carryforwards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credit carryforward</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Company acquired a portion of these carryforwards through mergers and acquisitions. These acquired carryforwards will be subject to limitations which could limit the Company's utilization in future periods.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2021, the Organization of Economic Cooperation and Development introduced its Pillar Two Framework Model Rules ("Pillar 2"). The Company is under the revenue threshold where Pillar 2 would not apply and is not subject to tax under these rules. The Company will continue to monitor and reflect the impact of such legislative changes in future financial statements as appropriate.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the gross beginning and ending balance of total unrecognized tax benefits is as follows: </w:t>
      </w:r>
    </w:p>
    <w:tbl>
      <w:tblPr>
        <w:tblW w:w="6387" w:type="dxa"/>
        <w:jc w:val="left"/>
        <w:tblInd w:w="0" w:type="dxa"/>
        <w:tblLayout w:type="fixed"/>
        <w:tblCellMar>
          <w:top w:w="28" w:type="dxa"/>
          <w:left w:w="28" w:type="dxa"/>
          <w:bottom w:w="28" w:type="dxa"/>
          <w:right w:w="28" w:type="dxa"/>
        </w:tblCellMar>
      </w:tblPr>
      <w:tblGrid>
        <w:gridCol w:w="1194"/>
        <w:gridCol w:w="1051"/>
        <w:gridCol w:w="1055"/>
        <w:gridCol w:w="211"/>
        <w:gridCol w:w="406"/>
        <w:gridCol w:w="109"/>
        <w:gridCol w:w="109"/>
        <w:gridCol w:w="109"/>
        <w:gridCol w:w="109"/>
        <w:gridCol w:w="211"/>
        <w:gridCol w:w="406"/>
        <w:gridCol w:w="109"/>
        <w:gridCol w:w="109"/>
        <w:gridCol w:w="109"/>
        <w:gridCol w:w="109"/>
        <w:gridCol w:w="211"/>
        <w:gridCol w:w="616"/>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current year tax positions</w:t>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prior year tax positions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current year acquisitions</w:t>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31, 2025 gross unrecognized tax benefits related to uncertain tax positions were $8.7 million. The total amount of unrecognized tax benefits that, if recognized, would impact the effective tax rate would be $3.7 million for the year ended January 31, 2025.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policy for classifying interest and penalties with unrecognized tax benefits is to include such items in income tax expense. The total amount of interest and penalties associated with income tax benefits is $2.0 million for the year ended January 31, 2025. The Company anticipates insignificant change to unrecognized tax benefits over the next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the U.S. federal and various state and foreign jurisdictions. As of January 31, 2025 the Company is no longer subject to U.S. federal and state examinations by tax authorities for tax years prior to 2021. However, amounts reported as net operating losses and tax credit carryforwards from these tax periods remain subject to review by most tax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12. Defined Contribution Plan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401(k) plan for its employees in the United States who meet the plan requirements. The Company, at its discretion, may make matching contributions. Employees are immediately vested in their contributions. The Company also has a Registered Retirement Savings Plan covering all eligible employees in Canada. Employer contributions for the fiscal years ended January 31, 2023, 2024, and 2025 were $7.0 million, $3.3 million, and $5.4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13. Leases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leases its facilities and a portion of its equipment under various non-cancellable agreements, which expire at various times through December 2033, some of which include options to extend for up to five years.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w:t>
      </w:r>
    </w:p>
    <w:tbl>
      <w:tblPr>
        <w:tblW w:w="5636" w:type="dxa"/>
        <w:jc w:val="left"/>
        <w:tblInd w:w="0" w:type="dxa"/>
        <w:tblLayout w:type="fixed"/>
        <w:tblCellMar>
          <w:top w:w="28" w:type="dxa"/>
          <w:left w:w="28" w:type="dxa"/>
          <w:bottom w:w="28" w:type="dxa"/>
          <w:right w:w="28" w:type="dxa"/>
        </w:tblCellMar>
      </w:tblPr>
      <w:tblGrid>
        <w:gridCol w:w="771"/>
        <w:gridCol w:w="677"/>
        <w:gridCol w:w="681"/>
        <w:gridCol w:w="211"/>
        <w:gridCol w:w="616"/>
        <w:gridCol w:w="109"/>
        <w:gridCol w:w="109"/>
        <w:gridCol w:w="109"/>
        <w:gridCol w:w="109"/>
        <w:gridCol w:w="211"/>
        <w:gridCol w:w="616"/>
        <w:gridCol w:w="109"/>
        <w:gridCol w:w="109"/>
        <w:gridCol w:w="109"/>
        <w:gridCol w:w="109"/>
        <w:gridCol w:w="211"/>
        <w:gridCol w:w="61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operating leases were as follows:</w:t>
      </w:r>
    </w:p>
    <w:tbl>
      <w:tblPr>
        <w:tblW w:w="10205" w:type="dxa"/>
        <w:jc w:val="left"/>
        <w:tblInd w:w="0" w:type="dxa"/>
        <w:tblLayout w:type="fixed"/>
        <w:tblCellMar>
          <w:top w:w="28" w:type="dxa"/>
          <w:left w:w="28" w:type="dxa"/>
          <w:bottom w:w="28" w:type="dxa"/>
          <w:right w:w="28" w:type="dxa"/>
        </w:tblCellMar>
      </w:tblPr>
      <w:tblGrid>
        <w:gridCol w:w="2428"/>
        <w:gridCol w:w="2128"/>
        <w:gridCol w:w="2140"/>
        <w:gridCol w:w="211"/>
        <w:gridCol w:w="616"/>
        <w:gridCol w:w="109"/>
        <w:gridCol w:w="109"/>
        <w:gridCol w:w="109"/>
        <w:gridCol w:w="109"/>
        <w:gridCol w:w="211"/>
        <w:gridCol w:w="616"/>
        <w:gridCol w:w="109"/>
        <w:gridCol w:w="109"/>
        <w:gridCol w:w="109"/>
        <w:gridCol w:w="109"/>
        <w:gridCol w:w="211"/>
        <w:gridCol w:w="616"/>
        <w:gridCol w:w="156"/>
      </w:tblGrid>
      <w:tr>
        <w:trPr/>
        <w:tc>
          <w:tcPr>
            <w:tcW w:w="2428"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assets obtained in exchange for operating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Modification to reduce operating right-of-use assets and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assets and operating lease liabilities disposed of</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 and weighted-average discount rate for the Company's operating lease liabilities as of January 31, 2025 were 5.77 years and 6.9%,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as of January 31, 2025 were as follows:</w:t>
      </w:r>
    </w:p>
    <w:tbl>
      <w:tblPr>
        <w:tblW w:w="3839" w:type="dxa"/>
        <w:jc w:val="left"/>
        <w:tblInd w:w="0" w:type="dxa"/>
        <w:tblLayout w:type="fixed"/>
        <w:tblCellMar>
          <w:top w:w="28" w:type="dxa"/>
          <w:left w:w="28" w:type="dxa"/>
          <w:bottom w:w="28" w:type="dxa"/>
          <w:right w:w="28" w:type="dxa"/>
        </w:tblCellMar>
      </w:tblPr>
      <w:tblGrid>
        <w:gridCol w:w="878"/>
        <w:gridCol w:w="772"/>
        <w:gridCol w:w="779"/>
        <w:gridCol w:w="274"/>
        <w:gridCol w:w="936"/>
        <w:gridCol w:w="200"/>
      </w:tblGrid>
      <w:tr>
        <w:trPr/>
        <w:tc>
          <w:tcPr>
            <w:tcW w:w="8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Fiscal Year Ending January 31,</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obligations</w:t>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obligations</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obligations</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12,819 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14. Revolving Credit Facility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11, 2022, the Company entered into a Credit Agreement (the “Credit Agreement”), by and among the Company, nCino OpCo (the “Borrower”), certain subsidiaries of the Company as guarantors, and Bank of America, N.A. as lender (the “Lender”), pursuant to which the Lender is providing to the Borrower a senior secured revolving credit facility of up to $50.0 million (the “2022 Credit Facility”). The Credit Facility includes borrowing capacity available for letters of credit subject to a sublimit of $7.5 million. Any issuance of letters of credit will reduce the amount available under the Credit Facility. The Company was also required to maintain at least $5.0 million of the Company's cash and/or marketable securities with the Lender which was considered restricted cash and was included in long-term prepaid expenses and other assets as of January 31,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9, 2024, the Company entered into a First Amendment to extend the existing maturity date of the 2022 Credit Facility provided for under the 2022 Credit Agreement to February 11, 2025.</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March 17, 2024, the Company entered into the Second Amendment which increased our borrowing availability to $100.0 million and extended the existing maturity date of the 2022 Credit Facility to March 17, 2029.</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2022 Credit Facility accrued interest, at the Borrower’s option, at: (i) a base rate equal to the greatest of (a) the Lender’s “prime rate”, (b) the federal funds rate plus 0.50%, and (c) the Term SOFR rate plus 1.00% (provided that the base rate shall not be less than 0.00%), plus a margin of 1.3125%; or (ii) the Term SOFR rate (provided that the Term SOFR shall not be less than 0.00%), plus a margin of 2.3125%, in each case with such margin subject to a step down based on achievement of a certain leverage ratio. The Company was also required to pay an unused commitment fee to the Lender of 0.30% of the average daily unutilized commitments (with a step down based on achievement of a certain leverage ratio). The Company was also required to pay customary letter of credit fees.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28, 2024, the Company terminated the 2022 Credit Agreement above and entered into a new Credit Agreement (the "2024 Credit Agreement"), by and among the Company, nCino OpCo, Inc. (the "Borrower"), certain subsidiaries of the Company as guarantors, the lenders party thereto (the "Lenders") and Bank of America, N.A. as administrative agent (the "Agent"). The 2024 Credit Agreement includes a senior secured revolving credit facility of up to $250.0 million (the "2024 Credit Facility") with a maturity date of October 28, 2029. The 2024 Credit Facility includes borrowing capacity available for letters of credit subject to a sublimit of $45.0 million. Any issuances of letters of credit will reduce the amount available under the 2024 Credit Facility.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2024 Credit Facility bear interest, at the Borrower’s option, at: (i) a base rate equal to the greatest of (a) the Agent’s “prime rate”, (b) the federal funds rate plus 0.50%, and (c) the Term SOFR rate plus 1.00% (provided that the base rate shall not be less than 0.00%), plus a margin of 1.00%; or (ii) the Term SOFR rate (provided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SOFR shall not be less than 0.00%), plus a margin of 2.00%, in each case with such margin subject to step ups based on certain leverage ratios. The Company is also required to pay an unused commitment fee to the Lenders of 0.25% of the average daily unutilized commitments (with step ups based on certain leverage ratios). The Company must also pay customary letter of credit fees.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repay amounts borrowed any time without penalty. Borrowings under the 2024 Credit Facility may be reborrowed.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2024 Credit Agreement contains representations and warranties, affirmative, negative and financial covenants, and events of default that are customary for loans of this type. The financial covenants require the Company and its subsidiaries on a consolidated basis to maintain (i) a Consolidated Total Leverage Ratio not in excess of 4.00:1.00 as of the end of any fiscal quarter, and (ii) a Consolidated Interest Coverage Ratio not less than 3.00:1.00 as of the end of any fiscal quarter, commencing with the fiscal quarter ending January 31, 2025.</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2024 Credit Facility is guaranteed by the Company and each of its current and future material domestic subsidiaries (the “Guarantors”) and secured by substantially all of the personal property, subject to customary exceptions, of the Borrower and the Guarantors, in each case, now owned or later acquired, including a pledge of all of the Borrower’s capital stock, the capital stock of all of the Company’s domestic subsidiaries, and 65% of the capital stock of foreign subsidiaries that are directly owned by the Borrower or a Guarantor.</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and 2025, unamortized debt issuance costs were $0.0 million and $1.4 million, respectively, and are included in long-term prepaid expenses and other assets.</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$0.0 million and no letters of credit issued under the 2022 Credit Facility as of January 31, 2024. The Company had $166.0 million outstanding and no letters of credit issued under the 2024 Credit Facility and was in compliance with all covenants as of January 31, 2025. As of January 31, 2025, the applicable interest rate was 6.31%. The available borrowing capacity under the 2024 Credit Facility was $84.0 million as of January 31, 2025. In February 2025, the Company borrowed an additional $52.5 million on the 2024 Credit Facility to fund an acquisition and in March 2025, the Company repaid $50.0 million on the 2024 Credit Facility, see Note 20 "Subsequent Events"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15. Commitments and Contingencies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operating lease commitments described in Note 13 "Leases", the Company has additional contractual commitments as described further below.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purchase commitments consist of non-cancellable agreements to purchase goods and services, primarily licenses and hosting services, entered into in the ordinary course of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Financing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lease agreement for the Company's headquarters in November 2020 in connection with a new lessor acquiring the property. Due to a purchase option contained in that lease, the Company is deemed to have continuing involvement and is considered to be the owner of the Company's headquarters for accounting purposes. As a result, the Company did not meet the criteria to apply sale-leaseback accounting and therefore, recorded an asset and corresponding financing obligation for $16.3 million at inception of that lease. The fair value of the leased property and corresponding financing obligation are included in property and equipment, net and financing obligations on the consolidated balance sheets,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2021, the Company entered into an amendment to its November 2020 headquarters lease to provide for construction of a parking deck, which upon completion was subject to exclusive use by the Company. Due to the Company also being deemed to be the owner of the parking deck for accounting purposes, the costs associated with the construction of the parking deck were capitalized as construction in progress with a corresponding construction liability through construction. Upon completion of the parking deck in September 2021, for approximately $17.7 million, the costs of the construction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 and the corresponding construction liability were reclassified to property and equipment, net and financing obligations on the consolidated balance sheets,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2021, the Company entered into a new lease agreement for the construction of an additional office building that is on the same parcel of land as the Company's existing headquarters. Due to a purchase option contained in that April 2021 lease, the Company is also deemed to be the owner of the additional building for accounting purposes, the costs associated with the construction of the additional building were capitalized as construction in progress with a corresponding construction liability through construction. Upon completion of the additional building in November 2022, for approximately $22.4 million, the costs of the construction in progress and the corresponding construction liability were reclassified to property and equipment, net and financing obligations on the consolidated balance sheets, respectively, and the term of the Company's November 2020 lease for its headquarters and the related parking deck became coterminous with the April 2021 lease. The term of the April 2021 lease expires in October 2037 with options to extend. The purchase option expires if not exercised on or before November 30, 2026.</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leases will be analyzed for applicable lease accounting upon expiration of the purchase option, if not exercised.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Purchase commitments and future minimum lease payments required under financing obligations as of January 31, 2025 is as follows:</w:t>
      </w:r>
    </w:p>
    <w:tbl>
      <w:tblPr>
        <w:tblW w:w="8441" w:type="dxa"/>
        <w:jc w:val="left"/>
        <w:tblInd w:w="0" w:type="dxa"/>
        <w:tblLayout w:type="fixed"/>
        <w:tblCellMar>
          <w:top w:w="28" w:type="dxa"/>
          <w:left w:w="28" w:type="dxa"/>
          <w:bottom w:w="28" w:type="dxa"/>
          <w:right w:w="28" w:type="dxa"/>
        </w:tblCellMar>
      </w:tblPr>
      <w:tblGrid>
        <w:gridCol w:w="1263"/>
        <w:gridCol w:w="1111"/>
        <w:gridCol w:w="1121"/>
        <w:gridCol w:w="326"/>
        <w:gridCol w:w="1276"/>
        <w:gridCol w:w="168"/>
        <w:gridCol w:w="109"/>
        <w:gridCol w:w="109"/>
        <w:gridCol w:w="109"/>
        <w:gridCol w:w="553"/>
        <w:gridCol w:w="1892"/>
        <w:gridCol w:w="404"/>
      </w:tblGrid>
      <w:tr>
        <w:trPr/>
        <w:tc>
          <w:tcPr>
            <w:tcW w:w="126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Fiscal Year Ending January 31,</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Financing obligations - leased facility</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88,090 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80,665 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242,907 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8,611 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Residual financing obligations and assets</w:t>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49,617 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52,852 </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the associated lease payments are recognized as interest expense and the remainder reduces the financing obligations. The weighted-average discount rate for the Company's financing obligations as of January 31, 2025 was 5.7%.</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The Company has not accrued any material liabilities related to such obligations in the accompanying consolidated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legal proceedings or is subject to claims arising in the ordinary course of business including the following: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26, 2022, a purported stockholder of the Company filed a complaint in the Delaware Court of Chancery in connection with the series of mergers in which the Company became the parent of nCino OpCo and SimpleNexus. On December 28, 2023, the Delaware Court of Chancery granted in full defendants' motions to dismiss the complaint.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25, 2024, the plaintiff filed a notice of appeal. On September 12, 2024, the Delaware Supreme Court summarily affirmed the dismissal of the complaint in its entirety.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Commitments and Contingencies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be subject to audits related to its non-income taxes by tax authorities in jurisdictions where it conducts business. These audits may result in assessments of additional taxes that are subsequently resolved with the authorities or potentially through the courts. The Company accrues for any assessments if deemed probable and estimable.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16. Related-Party Transactions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2022, the Company's wholly-owned subsidiary, nCino OpCo, acquired preferred shares of ZestFinance, Inc. (d/b/a ZEST AI) ("Zest AI"), a private company, for $2.5 million and is included in investments as of January 31, 2024 and January 31, 2025 on the Company's consolidated balance sheets. The investment was considered a related party transaction as entities affiliated with Insight Partners, a beneficial owner of the Company, owned greater than ten percent of Zest AI.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2025, we recorded a realized gain of $1.2 million from the sale of all our shares in Zest AI.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17. Basic and Diluted Loss per Share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stock options issued and outstanding, nonvested RSUs issued and outstanding, and shares issuable pursuant to the ESPP. The dilutive effect of outstanding awards is reflected in diluted earnings per share by application of the treasury stock method. Diluted loss per share for the fiscal years ended January 31, 2023, 2024, and 2025 is the same as the basic loss per share as there was a net loss for those periods, and inclusion of potentially issuable shares was anti-dilutive.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basic and diluted loss per share for periods presented are as follows (in thousands, except share and per share data):</w:t>
      </w:r>
    </w:p>
    <w:tbl>
      <w:tblPr>
        <w:tblW w:w="9398" w:type="dxa"/>
        <w:jc w:val="left"/>
        <w:tblInd w:w="0" w:type="dxa"/>
        <w:tblLayout w:type="fixed"/>
        <w:tblCellMar>
          <w:top w:w="28" w:type="dxa"/>
          <w:left w:w="28" w:type="dxa"/>
          <w:bottom w:w="28" w:type="dxa"/>
          <w:right w:w="28" w:type="dxa"/>
        </w:tblCellMar>
      </w:tblPr>
      <w:tblGrid>
        <w:gridCol w:w="1739"/>
        <w:gridCol w:w="1534"/>
        <w:gridCol w:w="1541"/>
        <w:gridCol w:w="237"/>
        <w:gridCol w:w="949"/>
        <w:gridCol w:w="109"/>
        <w:gridCol w:w="109"/>
        <w:gridCol w:w="109"/>
        <w:gridCol w:w="109"/>
        <w:gridCol w:w="264"/>
        <w:gridCol w:w="922"/>
        <w:gridCol w:w="109"/>
        <w:gridCol w:w="109"/>
        <w:gridCol w:w="109"/>
        <w:gridCol w:w="109"/>
        <w:gridCol w:w="264"/>
        <w:gridCol w:w="922"/>
        <w:gridCol w:w="154"/>
      </w:tblGrid>
      <w:tr>
        <w:trPr/>
        <w:tc>
          <w:tcPr>
            <w:tcW w:w="173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110,615,734 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112,672,397 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115,162,175 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 attributable to nCino, Inc.</w:t>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potential outstanding common stock were excluded from the diluted loss per share computation because the effect would have been anti-dilutive:</w:t>
      </w:r>
    </w:p>
    <w:tbl>
      <w:tblPr>
        <w:tblW w:w="7794" w:type="dxa"/>
        <w:jc w:val="left"/>
        <w:tblInd w:w="0" w:type="dxa"/>
        <w:tblLayout w:type="fixed"/>
        <w:tblCellMar>
          <w:top w:w="28" w:type="dxa"/>
          <w:left w:w="28" w:type="dxa"/>
          <w:bottom w:w="28" w:type="dxa"/>
          <w:right w:w="28" w:type="dxa"/>
        </w:tblCellMar>
      </w:tblPr>
      <w:tblGrid>
        <w:gridCol w:w="1233"/>
        <w:gridCol w:w="1084"/>
        <w:gridCol w:w="1087"/>
        <w:gridCol w:w="488"/>
        <w:gridCol w:w="488"/>
        <w:gridCol w:w="156"/>
        <w:gridCol w:w="155"/>
        <w:gridCol w:w="155"/>
        <w:gridCol w:w="155"/>
        <w:gridCol w:w="488"/>
        <w:gridCol w:w="488"/>
        <w:gridCol w:w="156"/>
        <w:gridCol w:w="155"/>
        <w:gridCol w:w="155"/>
        <w:gridCol w:w="155"/>
        <w:gridCol w:w="488"/>
        <w:gridCol w:w="488"/>
        <w:gridCol w:w="220"/>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and outstanding</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2,009,323 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1,212,704 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811,602 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RSUs issued and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3,531,387 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5,626,125 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6,105,459 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pursuant to the ESPP</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18. Restructuring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fiscal 2023, the Company announced a workforce reduction of approximately 7% and office space reductions in certain markets (collectively, the “restructuring plan”) in furtherance of its efforts to improve operating margins and advance the Company’s objective of profitable growth.</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termination costs were accounted for in accordance with ASC 842, Leases. The Company paid $0.8 million in the fourth quarter of fiscal 2023 to exercise an early termination clause to exit a facility during fiscal 2024, which was accounted for as a lease modification.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charges in the fourth quarter of the Company’s fiscal 2023 of $4.8 million in connection with the restructuring plan. The accrual for severance and related benefit costs of $5.0 million for terminated employees was included in accrued compensation and benefits on the consolidated balance sheets as of January 31, 2023 and was paid in the first quarter of the Company’s fiscal 2024.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restructuring charges were as follows:</w:t>
      </w:r>
    </w:p>
    <w:tbl>
      <w:tblPr>
        <w:tblW w:w="10783" w:type="dxa"/>
        <w:jc w:val="left"/>
        <w:tblInd w:w="0" w:type="dxa"/>
        <w:tblLayout w:type="fixed"/>
        <w:tblCellMar>
          <w:top w:w="28" w:type="dxa"/>
          <w:left w:w="28" w:type="dxa"/>
          <w:bottom w:w="28" w:type="dxa"/>
          <w:right w:w="28" w:type="dxa"/>
        </w:tblCellMar>
      </w:tblPr>
      <w:tblGrid>
        <w:gridCol w:w="573"/>
        <w:gridCol w:w="358"/>
        <w:gridCol w:w="360"/>
        <w:gridCol w:w="211"/>
        <w:gridCol w:w="616"/>
        <w:gridCol w:w="109"/>
        <w:gridCol w:w="109"/>
        <w:gridCol w:w="109"/>
        <w:gridCol w:w="109"/>
        <w:gridCol w:w="288"/>
        <w:gridCol w:w="658"/>
        <w:gridCol w:w="150"/>
        <w:gridCol w:w="109"/>
        <w:gridCol w:w="109"/>
        <w:gridCol w:w="109"/>
        <w:gridCol w:w="211"/>
        <w:gridCol w:w="361"/>
        <w:gridCol w:w="109"/>
        <w:gridCol w:w="109"/>
        <w:gridCol w:w="109"/>
        <w:gridCol w:w="109"/>
        <w:gridCol w:w="211"/>
        <w:gridCol w:w="616"/>
        <w:gridCol w:w="109"/>
        <w:gridCol w:w="109"/>
        <w:gridCol w:w="109"/>
        <w:gridCol w:w="109"/>
        <w:gridCol w:w="244"/>
        <w:gridCol w:w="470"/>
        <w:gridCol w:w="127"/>
        <w:gridCol w:w="109"/>
        <w:gridCol w:w="109"/>
        <w:gridCol w:w="109"/>
        <w:gridCol w:w="318"/>
        <w:gridCol w:w="612"/>
        <w:gridCol w:w="166"/>
        <w:gridCol w:w="109"/>
        <w:gridCol w:w="109"/>
        <w:gridCol w:w="109"/>
        <w:gridCol w:w="211"/>
        <w:gridCol w:w="466"/>
        <w:gridCol w:w="109"/>
        <w:gridCol w:w="109"/>
        <w:gridCol w:w="109"/>
        <w:gridCol w:w="109"/>
        <w:gridCol w:w="211"/>
        <w:gridCol w:w="466"/>
        <w:gridCol w:w="154"/>
      </w:tblGrid>
      <w:tr>
        <w:trPr/>
        <w:tc>
          <w:tcPr>
            <w:tcW w:w="57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Severance and other employee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Stock-based compensation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Lease exit fees</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Severance and other employee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Stock-based compensation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Lease exit fees</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These expenses reduced operating lease right-of-use assets on the consolidated balance sheets.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no restructuring charges for the fiscal year ended January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19. Segment Information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chief operating decision maker ("CODM") is the Company's Chief Executive Officer, who reviews financial information on a consolidated basis. The Company brings together people and data to enable financial institutions to enhance strategic decision-making, risk management, and customer satisfaction through the selection of intelligent solutions provided by the nCino Platform as a SaaS company. As such, the Company has one operating and reportable segment. The CODM uses consolidated net loss in deciding how to make operating decisions, allocate resources, and assess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selected financial information that is provided to our CODM:</w:t>
      </w:r>
    </w:p>
    <w:p>
      <w:pPr>
        <w:pStyle w:val="TextBody"/>
        <w:bidi w:val="0"/>
        <w:spacing w:before="240" w:after="283"/>
        <w:ind w:left="0" w:right="0" w:firstLine="720"/>
        <w:jc w:val="left"/>
        <w:rPr/>
      </w:pPr>
      <w:r>
        <w:rPr/>
      </w:r>
    </w:p>
    <w:tbl>
      <w:tblPr>
        <w:tblW w:w="8142" w:type="dxa"/>
        <w:jc w:val="left"/>
        <w:tblInd w:w="0" w:type="dxa"/>
        <w:tblLayout w:type="fixed"/>
        <w:tblCellMar>
          <w:top w:w="28" w:type="dxa"/>
          <w:left w:w="28" w:type="dxa"/>
          <w:bottom w:w="28" w:type="dxa"/>
          <w:right w:w="28" w:type="dxa"/>
        </w:tblCellMar>
      </w:tblPr>
      <w:tblGrid>
        <w:gridCol w:w="1425"/>
        <w:gridCol w:w="1248"/>
        <w:gridCol w:w="1257"/>
        <w:gridCol w:w="211"/>
        <w:gridCol w:w="901"/>
        <w:gridCol w:w="109"/>
        <w:gridCol w:w="109"/>
        <w:gridCol w:w="109"/>
        <w:gridCol w:w="109"/>
        <w:gridCol w:w="211"/>
        <w:gridCol w:w="826"/>
        <w:gridCol w:w="109"/>
        <w:gridCol w:w="109"/>
        <w:gridCol w:w="109"/>
        <w:gridCol w:w="109"/>
        <w:gridCol w:w="211"/>
        <w:gridCol w:w="826"/>
        <w:gridCol w:w="154"/>
      </w:tblGrid>
      <w:tr>
        <w:trPr/>
        <w:tc>
          <w:tcPr>
            <w:tcW w:w="1425"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cost of revenues</w:t>
            </w:r>
            <w:r>
              <w:rPr>
                <w:rFonts w:ascii="Times New Roman;sans-serif" w:hAnsi="Times New Roman;sans-serif"/>
                <w:b w:val="false"/>
                <w:color w:val="000000"/>
                <w:sz w:val="13"/>
              </w:rPr>
              <w:t>(1)</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sales and marketing expense</w:t>
            </w:r>
            <w:r>
              <w:rPr>
                <w:rFonts w:ascii="Times New Roman;sans-serif" w:hAnsi="Times New Roman;sans-serif"/>
                <w:b w:val="false"/>
                <w:color w:val="000000"/>
                <w:sz w:val="13"/>
              </w:rPr>
              <w:t>(1)</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research and development expense</w:t>
            </w:r>
            <w:r>
              <w:rPr>
                <w:rFonts w:ascii="Times New Roman;sans-serif" w:hAnsi="Times New Roman;sans-serif"/>
                <w:b w:val="false"/>
                <w:color w:val="000000"/>
                <w:sz w:val="13"/>
              </w:rPr>
              <w:t>(1)</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general and administrative expense</w:t>
            </w:r>
            <w:r>
              <w:rPr>
                <w:rFonts w:ascii="Times New Roman;sans-serif" w:hAnsi="Times New Roman;sans-serif"/>
                <w:b w:val="false"/>
                <w:color w:val="000000"/>
                <w:sz w:val="13"/>
              </w:rPr>
              <w:t>(1)</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items</w:t>
            </w:r>
            <w:r>
              <w:rPr>
                <w:rFonts w:ascii="Times New Roman;sans-serif" w:hAnsi="Times New Roman;sans-serif"/>
                <w:b w:val="false"/>
                <w:color w:val="000000"/>
                <w:sz w:val="13"/>
              </w:rPr>
              <w:t>(2)</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(101,844)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(33,049)</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Cost of revenue, sales and marketing expense, research and development expense, general and administrative expense and other expense, net in the consolidated statements of operations, adjusted to exclude amortization of intangible assets, stock-based compensation expense, acquisition-related expenses, certain litigation expenses, and restructuring and related charges.</w:t>
      </w:r>
    </w:p>
    <w:p>
      <w:pPr>
        <w:pStyle w:val="TextBody"/>
        <w:bidi w:val="0"/>
        <w:spacing w:lineRule="auto" w:line="288" w:before="240" w:after="283"/>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Other segment items are the adjustments described in the note above.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Revenues by geographic region were as follows:</w:t>
      </w:r>
    </w:p>
    <w:tbl>
      <w:tblPr>
        <w:tblW w:w="5622" w:type="dxa"/>
        <w:jc w:val="left"/>
        <w:tblInd w:w="0" w:type="dxa"/>
        <w:tblLayout w:type="fixed"/>
        <w:tblCellMar>
          <w:top w:w="28" w:type="dxa"/>
          <w:left w:w="28" w:type="dxa"/>
          <w:bottom w:w="28" w:type="dxa"/>
          <w:right w:w="28" w:type="dxa"/>
        </w:tblCellMar>
      </w:tblPr>
      <w:tblGrid>
        <w:gridCol w:w="539"/>
        <w:gridCol w:w="472"/>
        <w:gridCol w:w="474"/>
        <w:gridCol w:w="211"/>
        <w:gridCol w:w="826"/>
        <w:gridCol w:w="109"/>
        <w:gridCol w:w="109"/>
        <w:gridCol w:w="109"/>
        <w:gridCol w:w="109"/>
        <w:gridCol w:w="211"/>
        <w:gridCol w:w="826"/>
        <w:gridCol w:w="109"/>
        <w:gridCol w:w="109"/>
        <w:gridCol w:w="109"/>
        <w:gridCol w:w="109"/>
        <w:gridCol w:w="211"/>
        <w:gridCol w:w="826"/>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Revenues by geography are determined based on the region of the Company’s contracting entity, which may be different than the region of the customer. For the fiscal years ended January 31, 2023, 2024, and 2025, no other country represented 10% or more of total revenues for the periods presented.</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Long-lived assets, which consist of property and equipment, net and operating ROU assets, net by geographic region were as follows:</w:t>
      </w:r>
    </w:p>
    <w:tbl>
      <w:tblPr>
        <w:tblW w:w="3939" w:type="dxa"/>
        <w:jc w:val="left"/>
        <w:tblInd w:w="0" w:type="dxa"/>
        <w:tblLayout w:type="fixed"/>
        <w:tblCellMar>
          <w:top w:w="28" w:type="dxa"/>
          <w:left w:w="28" w:type="dxa"/>
          <w:bottom w:w="28" w:type="dxa"/>
          <w:right w:w="28" w:type="dxa"/>
        </w:tblCellMar>
      </w:tblPr>
      <w:tblGrid>
        <w:gridCol w:w="539"/>
        <w:gridCol w:w="472"/>
        <w:gridCol w:w="474"/>
        <w:gridCol w:w="211"/>
        <w:gridCol w:w="721"/>
        <w:gridCol w:w="109"/>
        <w:gridCol w:w="109"/>
        <w:gridCol w:w="109"/>
        <w:gridCol w:w="109"/>
        <w:gridCol w:w="211"/>
        <w:gridCol w:w="721"/>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20. Subsequent Events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Effective February 1, 2025, Pierre Naudé retired as the Company's Chairman and Chief Executive Officer and Sean Desmond was appointed to succeed Mr. Naudé as the Company's new President and Chief Executive Officer and as a member of the Company's Board of Directors. On the same date, Mr. Naudé was appointed Executive Chairman of the Board.</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 February 2025, the Company's wholly-owned subsidiary, nCino OpCo, acquired all of the outstanding equity of Alphapack, Co. dba Sandbox Banking ("Sandbox Banking"), a digital transformation leader serving the financial services industry. The aggregate purchase price for the Sandbox Banking acquisition totaled $52.5 million, subject to customary adjustments, with an additional earn-out opportunity of up to $10.0 million and was funded with proceeds from the 2024 Credit Facility. The acquisition will be accounted for as a business combination under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The Company is in the process of finalizing the accounting for this transaction and will complete the preliminary allocation of the purchase consideration to the assets acquired and liabilities assumed by the end of our first quarter of fiscal 2026.</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2025, the Company repaid $50.0 million on the 2024 Credit Facility.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2025, we recorded a realized gain of $1.2 million from the sale of all our shares in Zest AI. See Note 16 "Related-Party Transactions" for additional information.</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 March 2025, our Board of Directors authorized a stock repurchase program to acquire up to $100.0 million of the Company's common stock. </w:t>
      </w:r>
      <w:r>
        <w:rPr>
          <w:rFonts w:ascii="Times New Roman;sans-serif" w:hAnsi="Times New Roman;sans-serif"/>
          <w:b w:val="false"/>
          <w:color w:val="000000"/>
          <w:sz w:val="20"/>
          <w:shd w:fill="FFFFFF" w:val="clear"/>
        </w:rPr>
        <w:t>Under the stock repurchase program, the Company may make repurchases, from time to time, through open market purchases, block trades, in privately negotiated transactions, accelerated stock repurchase transactions, or by other means. Open market repurchases will be structured to occur in accordance with applicable federal securities laws. The Company may also, from time to time, enter into Rule 10b5-1 plans to facilitate repurchases under this authorization. The volume, price, timing, and manner of any repurchases will be determined at the Company’s discretion, subject to general market conditions, as well as the Company’s management of capital, general business conditions, other investment opportunities, regulatory requirements and other factors. The repurchase program does not obligate the Company to repurchase any specific amount of common stock, has no time limit, and may be modified, suspended, or discontinued at any time without notice at the discretion of nCino’s Board of Directors. The stock repurchase program will be funded using existing cash and cash equivalents, credit facility capacity and/or future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Chief Executive Officer and Chief Financial Officer, evaluated the effectiveness of our disclosure controls and procedures at January 31, 2025, the last day of the period covered by this Annual Report on Form 10-K. Based on this evaluation, our Chief Executive Officer and Chief Financial Officer have concluded that, at January 31, 2025, our disclosure controls and procedures were effective at the reasonable assurance level.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Rules 13a-15(f) and 15d-15(f) of the Exchange Act. Under the supervision and with the participation of our management, including our Chief Executive Officer and Chief Financial Officer, we conducted an evaluation of the effectiveness of our internal control over financial reporting as of January 31, 2025 based on the guidelines established in the Internal Control-Integrated Framework (2013 framework) issued by the Committee of Sponsoring Organizations of the Treadway Commission. Our internal control over financial reporting includes policies and procedures that provide reasonable assurance regarding the reliability of financial reporting and the preparation of financial statements for external reporting purposes in accordance with GAAP. Based on the results of our evaluation, our management concluded that our internal control over financial reporting was effective as of January 31, 2025.</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we completed our acquisition of DocFox, in April 2024 we completed our acquisition of ILT, and in November 2024 we completed our acquisition of FullCircl. We accounted for these acquisitions as business combinations as discussed in Note 6 "Business Combinations" of the Notes to the Consolidated Financial Statements. The scope of management's assessment of the effectiveness of our disclosure controls and procedures did not include the internal controls over financial reporting of DocFox, ILT, and FullCircl. This exclusion is in accordance with the SEC staff's general guidance that an assessment of internal controls over financial reporting of a recently acquired business may be omitted from the scope of management's assessment for one year from the date of acquisition. We have included the financial results of DocFox, ILT, and FullCircl in the consolidated financial statements from the dates of their respective acquisitions and on a combined basis accounted for approximately 0.7% and 0.1% of total and net assets, respectively, as of January 31, 2025 and 1.9% and 2.5% of revenues and net loss, respectively for the year then ended.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January 31, 2025 has been audited by Ernst &amp; Young LLP, an independent registered public accounting firm, as stated in its report which is included in Part II, Item 8 of this Annual Report on Form 10-K.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acquisitions of DocFox, ILT, and FullCircl as noted above, we are in the process of reviewing the internal control structures of DocFox, ILT, and FullCircl and, if necessary, will make appropriate changes as we continue to integrate DocFox, ILT, and FullCircl into our overall internal control over financial reporting process. There were no other changes in our internal control over financial reporting identified in connection with the evaluation required by Rule 13a-15(d) and 15d-15(d) of the Exchange Act that occurred during the fiscal quarter ended January 31, 2025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Inherent Limitations on the Effectiveness of Controls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Securities Trading Plans of Directors and Executive Officers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January 31, 2025, the following Section 16 officers or directors adopted, modified or terminated a “Rule 10b5-1 trading arrangement” as defined in Item 408 of Regulation S-K, as follows:</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pPr>
      <w:r>
        <w:rPr>
          <w:rFonts w:ascii="Times New Roman;sans-serif" w:hAnsi="Times New Roman;sans-serif"/>
          <w:b w:val="false"/>
          <w:color w:val="000000"/>
          <w:sz w:val="20"/>
        </w:rPr>
        <w:t>On December 6, 2024, April Rieger, Chief Legal &amp; Compliance Officer and Secretary, adopted a Rule 10b5-1 trading arrangement providing for the sale from time to time of an aggregate of up to 24,665</w:t>
      </w:r>
      <w:r>
        <w:rPr>
          <w:color w:val="000000"/>
        </w:rPr>
        <w:t xml:space="preserve"> </w:t>
      </w:r>
      <w:r>
        <w:rPr>
          <w:rFonts w:ascii="Times New Roman;sans-serif" w:hAnsi="Times New Roman;sans-serif"/>
          <w:b w:val="false"/>
          <w:color w:val="000000"/>
          <w:sz w:val="20"/>
        </w:rPr>
        <w:t>shares of our common stock. The trading arrangement is intended to satisfy the affirmative defense in Rule 10b5-1(c). The duration of the trading arrangement is until December 5, 2025, or earlier if all transactions under the trading arrangement are completed.</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6, 2024, Jeanette Sellers, VP of Accounting, adopted a Rule 10b5-1 trading arrangement providing for the sale from time to time of an aggregate of up to 7,815 shares of our common stock. The trading arrangement is intended to satisfy the affirmative defense in Rule 10b5-1(c). The duration of the trading arrangement is until May 30, 2025, or earlier if all transactions under the trading arrangement are completed.</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7, 2024, Sean Desmond, President &amp; Chief Executive Officer, adopted a Rule 10b5-1 trading arrangement providing for the sale from time to time of an aggregate of up to 153,123 shares of our common stock. The trading arrangement is intended to satisfy the affirmative defense in Rule 10b5-1(c). The duration of the trading arrangement is until December 31, 2025, or earlier if all transactions under the trading arrangement are completed.</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16, 2024, Pierre Naudé, Director, adopted a Rule 10b5-1 trading arrangement providing for the sale from time to time of an aggregate of up to 102,815 shares of our common stock. The trading arrangement is intended to satisfy the affirmative defense in Rule 10b5-1(c). The duration of the trading arrangement is until December 15, 2025, or earlier if all transactions under the trading arrangement are completed.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 other officers or directors, as defined in Rule 16a-1(f), adopted, modified, or terminated a “Rule 10b5-1 trading arrangement” or a “non-Rule 10b5-1 trading arrangement,” as defined in Regulation S-K Item 408, during the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The information required by this Item 10 is incorporated by reference from the sections entitled “</w:t>
      </w:r>
      <w:r>
        <w:rPr>
          <w:rFonts w:ascii="Times New Roman;sans-serif" w:hAnsi="Times New Roman;sans-serif"/>
          <w:b w:val="false"/>
          <w:i/>
          <w:color w:val="000000"/>
          <w:sz w:val="20"/>
        </w:rPr>
        <w:t>Proposal One: Election of Class II Directors Named in this Proxy Statement</w:t>
      </w:r>
      <w:r>
        <w:rPr>
          <w:rFonts w:ascii="Times New Roman;sans-serif" w:hAnsi="Times New Roman;sans-serif"/>
          <w:b w:val="false"/>
          <w:color w:val="000000"/>
          <w:sz w:val="20"/>
        </w:rPr>
        <w:t>,” “</w:t>
      </w:r>
      <w:r>
        <w:rPr>
          <w:rFonts w:ascii="Times New Roman;sans-serif" w:hAnsi="Times New Roman;sans-serif"/>
          <w:b w:val="false"/>
          <w:i/>
          <w:color w:val="000000"/>
          <w:sz w:val="20"/>
        </w:rPr>
        <w:t>Corporate Governance</w:t>
      </w:r>
      <w:r>
        <w:rPr>
          <w:rFonts w:ascii="Times New Roman;sans-serif" w:hAnsi="Times New Roman;sans-serif"/>
          <w:b w:val="false"/>
          <w:color w:val="000000"/>
          <w:sz w:val="20"/>
        </w:rPr>
        <w:t>,” and “</w:t>
      </w:r>
      <w:r>
        <w:rPr>
          <w:rFonts w:ascii="Times New Roman;sans-serif" w:hAnsi="Times New Roman;sans-serif"/>
          <w:b w:val="false"/>
          <w:i/>
          <w:color w:val="000000"/>
          <w:sz w:val="20"/>
        </w:rPr>
        <w:t>Executive Officers</w:t>
      </w:r>
      <w:r>
        <w:rPr>
          <w:color w:val="000000"/>
        </w:rPr>
        <w:t xml:space="preserve">” </w:t>
      </w:r>
      <w:r>
        <w:rPr>
          <w:rFonts w:ascii="Times New Roman;sans-serif" w:hAnsi="Times New Roman;sans-serif"/>
          <w:b w:val="false"/>
          <w:color w:val="000000"/>
          <w:sz w:val="20"/>
        </w:rPr>
        <w:t xml:space="preserve">from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Proxy Statement relating to our 2025 Annual Meeting of Shareholders which will be filed with the SEC within 120 days of the fiscal year ended January 31, 2025</w:t>
      </w:r>
      <w:r>
        <w:rPr>
          <w:rFonts w:ascii="Times New Roman;sans-serif" w:hAnsi="Times New Roman;sans-serif"/>
          <w:b/>
          <w:color w:val="000000"/>
          <w:sz w:val="20"/>
        </w:rPr>
        <w: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an insider trading policy governing the purchase, sale, and/or other dispositions of our securities by our directors, officers, and employees that is reasonably designed to promote compliance with insider trading laws, rules and regulations, and the exchange listing standards applicable to us. A copy of our insider trading policy is filed as Exhibit 19.1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The information required by this Item 11 is incorporated by reference from the sections entitled “</w:t>
      </w:r>
      <w:r>
        <w:rPr>
          <w:rFonts w:ascii="Times New Roman;sans-serif" w:hAnsi="Times New Roman;sans-serif"/>
          <w:b w:val="false"/>
          <w:i/>
          <w:color w:val="000000"/>
          <w:sz w:val="20"/>
        </w:rPr>
        <w:t>Compensation Discussion and Analysis</w:t>
      </w:r>
      <w:r>
        <w:rPr>
          <w:rFonts w:ascii="Times New Roman;sans-serif" w:hAnsi="Times New Roman;sans-serif"/>
          <w:b w:val="false"/>
          <w:color w:val="000000"/>
          <w:sz w:val="20"/>
        </w:rPr>
        <w:t>,” “</w:t>
      </w:r>
      <w:r>
        <w:rPr>
          <w:rFonts w:ascii="Times New Roman;sans-serif" w:hAnsi="Times New Roman;sans-serif"/>
          <w:b w:val="false"/>
          <w:i/>
          <w:color w:val="000000"/>
          <w:sz w:val="20"/>
        </w:rPr>
        <w:t>Compensation Committee Report</w:t>
      </w:r>
      <w:r>
        <w:rPr>
          <w:rFonts w:ascii="Times New Roman;sans-serif" w:hAnsi="Times New Roman;sans-serif"/>
          <w:b w:val="false"/>
          <w:color w:val="000000"/>
          <w:sz w:val="20"/>
        </w:rPr>
        <w:t>,” "</w:t>
      </w:r>
      <w:r>
        <w:rPr>
          <w:rFonts w:ascii="Times New Roman;sans-serif" w:hAnsi="Times New Roman;sans-serif"/>
          <w:b w:val="false"/>
          <w:i/>
          <w:color w:val="000000"/>
          <w:sz w:val="20"/>
        </w:rPr>
        <w:t>Executive Compensation,</w:t>
      </w:r>
      <w:r>
        <w:rPr>
          <w:rFonts w:ascii="Times New Roman;sans-serif" w:hAnsi="Times New Roman;sans-serif"/>
          <w:b w:val="false"/>
          <w:color w:val="000000"/>
          <w:sz w:val="20"/>
        </w:rPr>
        <w:t>" and “</w:t>
      </w:r>
      <w:r>
        <w:rPr>
          <w:rFonts w:ascii="Times New Roman;sans-serif" w:hAnsi="Times New Roman;sans-serif"/>
          <w:b w:val="false"/>
          <w:i/>
          <w:color w:val="000000"/>
          <w:sz w:val="20"/>
        </w:rPr>
        <w:t>Director Compensation</w:t>
      </w:r>
      <w:r>
        <w:rPr>
          <w:color w:val="000000"/>
        </w:rPr>
        <w:t xml:space="preserve">” </w:t>
      </w:r>
      <w:r>
        <w:rPr>
          <w:rFonts w:ascii="Times New Roman;sans-serif" w:hAnsi="Times New Roman;sans-serif"/>
          <w:b w:val="false"/>
          <w:color w:val="000000"/>
          <w:sz w:val="20"/>
        </w:rPr>
        <w:t>from our Proxy Statement relating to our 2025 Annual Meeting of Shareholders which will be filed with the SEC within 120 days of the fiscal year ended January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The information required by this Item 12 is incorporated by reference from the sections entitled “</w:t>
      </w:r>
      <w:r>
        <w:rPr>
          <w:rFonts w:ascii="Times New Roman;sans-serif" w:hAnsi="Times New Roman;sans-serif"/>
          <w:b w:val="false"/>
          <w:i/>
          <w:color w:val="000000"/>
          <w:sz w:val="20"/>
        </w:rPr>
        <w:t>Security Ownership of Certain Beneficial Owners and Management</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Equity Compensation Plan Information</w:t>
      </w:r>
      <w:r>
        <w:rPr>
          <w:color w:val="000000"/>
        </w:rPr>
        <w:t xml:space="preserve">” </w:t>
      </w:r>
      <w:r>
        <w:rPr>
          <w:rFonts w:ascii="Times New Roman;sans-serif" w:hAnsi="Times New Roman;sans-serif"/>
          <w:b w:val="false"/>
          <w:color w:val="000000"/>
          <w:sz w:val="20"/>
        </w:rPr>
        <w:t>from our Proxy Statement relating to our 2025 Annual Meeting of Shareholders which will be filed with the SEC within 120 days of the fiscal year ended January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The information required by this Item 13 is incorporated by reference from the sections entitled “</w:t>
      </w:r>
      <w:r>
        <w:rPr>
          <w:rFonts w:ascii="Times New Roman;sans-serif" w:hAnsi="Times New Roman;sans-serif"/>
          <w:b w:val="false"/>
          <w:i/>
          <w:color w:val="000000"/>
          <w:sz w:val="20"/>
        </w:rPr>
        <w:t>Certain Relationships and Related Party Transactions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Director Independence</w:t>
      </w:r>
      <w:r>
        <w:rPr>
          <w:color w:val="000000"/>
        </w:rPr>
        <w:t xml:space="preserve">” </w:t>
      </w:r>
      <w:r>
        <w:rPr>
          <w:rFonts w:ascii="Times New Roman;sans-serif" w:hAnsi="Times New Roman;sans-serif"/>
          <w:b w:val="false"/>
          <w:color w:val="000000"/>
          <w:sz w:val="20"/>
        </w:rPr>
        <w:t>from our Proxy Statement relating to our 2025 Annual Meeting of Shareholders which will be filed with the SEC within 120 days of the fiscal year ended January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The information required by this Item 14 is incorporated by reference from the sections entitled “</w:t>
      </w:r>
      <w:r>
        <w:rPr>
          <w:rFonts w:ascii="Times New Roman;sans-serif" w:hAnsi="Times New Roman;sans-serif"/>
          <w:b w:val="false"/>
          <w:i/>
          <w:color w:val="000000"/>
          <w:sz w:val="20"/>
        </w:rPr>
        <w:t>Principal Accountant Fees and Services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Pre-Approval Policy</w:t>
      </w:r>
      <w:r>
        <w:rPr>
          <w:color w:val="000000"/>
        </w:rPr>
        <w:t xml:space="preserve">” </w:t>
      </w:r>
      <w:r>
        <w:rPr>
          <w:rFonts w:ascii="Times New Roman;sans-serif" w:hAnsi="Times New Roman;sans-serif"/>
          <w:b w:val="false"/>
          <w:color w:val="000000"/>
          <w:sz w:val="20"/>
        </w:rPr>
        <w:t>from our Proxy Statement relating to our 2025 Annual Meeting of Shareholders which will be filed with the SEC within 120 days of the fiscal year ended January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Index to Consolidated Financial Statements in Part II, Item 8 of this Annual Report on Form 10-K.</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2.Financial Statement Schedules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Statement Schedules have been omitted because they are not required, not applicable, or the required information is included in the Consolidated Financial Statements or Notes thereto.</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3.Exhibits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listed in the Exhibit Index below are filed or incorporated by reference as part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00"/>
        <w:gridCol w:w="264"/>
        <w:gridCol w:w="265"/>
        <w:gridCol w:w="1920"/>
        <w:gridCol w:w="1674"/>
        <w:gridCol w:w="1680"/>
        <w:gridCol w:w="208"/>
        <w:gridCol w:w="208"/>
        <w:gridCol w:w="205"/>
        <w:gridCol w:w="338"/>
        <w:gridCol w:w="256"/>
        <w:gridCol w:w="222"/>
        <w:gridCol w:w="210"/>
        <w:gridCol w:w="210"/>
        <w:gridCol w:w="211"/>
        <w:gridCol w:w="369"/>
        <w:gridCol w:w="369"/>
        <w:gridCol w:w="374"/>
        <w:gridCol w:w="267"/>
        <w:gridCol w:w="267"/>
        <w:gridCol w:w="388"/>
      </w:tblGrid>
      <w:tr>
        <w:trPr/>
        <w:tc>
          <w:tcPr>
            <w:tcW w:w="3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5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6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11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9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Agreement and Plan of Merger, dated as of November 16, 2021, by and among nCino, Inc., Penny HoldCo, Inc., Dollar Merger Sub, Inc., Penny Merger Sub, LLC, SimpleNexus, LLC, Insight Venture Partners, LLC, and the other parties thereto</w:t>
              </w:r>
            </w:hyperlink>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17, 2021</w:t>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Certificate of Incorporation</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8-K12B</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10, 2022</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Bylaws</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29, 2022</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5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Second Amended and Restated Certificate of Incorporation</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24, 2024</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Form of Common Stock Certificate</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5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First Amended and Restated Investors’ Rights Agreement, dated February 12, 2015, as amended, among nCino, Inc. and certain holders of its capital stock.</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22,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5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First Amendment to First Amended and Restated Investors’ Rights Agreement, dated May 25, 2016, among nCino, Inc. and certain holders of its capital stock.</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5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Second Amendment to First Amended and Restated Investors’ Rights Agreement, dated November 23, 2016, among nCino, Inc. and certain holders of its capital stock.</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5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Third Amendment to First Amended and Restated Investors’ Rights Agreement, dated July 31, 2017, among nCino, Inc. and certain holders of its capital stock.</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5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Fourth Amendment to First Amended and Restated Investors’ Rights Agreement, dated January 16, 2018, among nCino, Inc. and certain holders of its capital stock.</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5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Fifth Amendment to First Amended and Restated Investors’ Rights Agreement, dated July 12, 2018, among nCino, Inc. and certain holders of its capital stock.</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94"/>
        <w:gridCol w:w="260"/>
        <w:gridCol w:w="261"/>
        <w:gridCol w:w="1989"/>
        <w:gridCol w:w="1725"/>
        <w:gridCol w:w="1669"/>
        <w:gridCol w:w="206"/>
        <w:gridCol w:w="206"/>
        <w:gridCol w:w="204"/>
        <w:gridCol w:w="336"/>
        <w:gridCol w:w="235"/>
        <w:gridCol w:w="236"/>
        <w:gridCol w:w="210"/>
        <w:gridCol w:w="210"/>
        <w:gridCol w:w="211"/>
        <w:gridCol w:w="503"/>
        <w:gridCol w:w="295"/>
        <w:gridCol w:w="244"/>
        <w:gridCol w:w="264"/>
        <w:gridCol w:w="264"/>
        <w:gridCol w:w="383"/>
      </w:tblGrid>
      <w:tr>
        <w:trPr/>
        <w:tc>
          <w:tcPr>
            <w:tcW w:w="29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53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6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8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9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Sixth Amendment to First Amended and Restated Investors’ Rights Agreement, dated September 16, 2019, among nCino, Inc. and certain holders of its capital stock.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Seventh Amendment to First Amended and Restated Investors’ Rights Agreement, dated September 30, 2019, among nCino, Inc. and certain holders of its capital stock.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Assignment and Assumption Agreement, dated January 7, 2022, by and among nCino, Inc. and nCino OpCo, Inc., with respect to the First Amended and Restated Investors’ Rights Agreement, dated as of February 12, 2015, by and among nCino, Inc. and certain Investors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8-K12B</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10, 2022</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Description of Capital Stock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nCino, Inc. 2014 Omnibus Stock Ownership and Long Term Incentive Plan and related form agreements.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22,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nCino, Inc. 2019 Amended and Restated Equity Incentive Plan and related form agreements.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nCino, Inc. Employee Stock Purchase Plan.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Amended and Restated Employment Agreement with Pierre Naudé.</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Amended and Restated Employment Agreement with Joshua Glover.</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Amended and Restated Employment Agreement with Gregory D. Orenstein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Employment Agreement with April Rieger</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Employment Agreement with Matthew Hansen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Form of Indemnification Agreement entered into by and between nCino, Inc. and its directors and executive officers.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Form of Assignment and Assumption Agreement entered into by and among nCino OpCo, Inc., nCino, Inc., and its directors and executive officers relating to each applicable Indemnification Agreement</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Form of Assignment and Assumption Agreement entered into by and among nCino OpCo, Inc., nCino, Inc., and its executive officers relating to each applicable Executive Employment Agreement</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Partner Application Distribution Agreement by and between Salesforce and the Company, dated June 19, 2020, as amended.</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22,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Office Lease by and between nCino, Inc. and Cloud Real Estate Holdings, LLC, dated November 29, 2020.</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Amendment to Office Lease by and between Wilmington Investors LLC and nCino, Inc., dated November 25, 2020</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Agreement Regarding Exercise and Assignment of Purchase Option among nCino, Inc. and Cloud Real Estate Holdings, LLC, dated November 29, 2020</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First Amendment to Office Lease by and between nCino, Inc. and Cloud Real Estate Holdings, LLC, dated January 27, 2021</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5"/>
        <w:gridCol w:w="278"/>
        <w:gridCol w:w="279"/>
        <w:gridCol w:w="1907"/>
        <w:gridCol w:w="1707"/>
        <w:gridCol w:w="1713"/>
        <w:gridCol w:w="171"/>
        <w:gridCol w:w="171"/>
        <w:gridCol w:w="169"/>
        <w:gridCol w:w="257"/>
        <w:gridCol w:w="257"/>
        <w:gridCol w:w="226"/>
        <w:gridCol w:w="210"/>
        <w:gridCol w:w="210"/>
        <w:gridCol w:w="211"/>
        <w:gridCol w:w="445"/>
        <w:gridCol w:w="432"/>
        <w:gridCol w:w="293"/>
        <w:gridCol w:w="276"/>
        <w:gridCol w:w="276"/>
        <w:gridCol w:w="402"/>
      </w:tblGrid>
      <w:tr>
        <w:trPr/>
        <w:tc>
          <w:tcPr>
            <w:tcW w:w="31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5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11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9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5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Lease by and between nCino, Inc. and Cloud Real Estate Holdings, LLC, dated April 5, 2021</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7, 2021</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5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Second Amendment to Office Lease by and between nCino, Inc. and Cloud Real Estate Holdings, LLC, dated April 5, 2021</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 2021</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5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Restrictive Covenant Agreement, dated as of November 16, 2021, by and among nCino, Inc. and the Insight Parties thereto</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17, 2021</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5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Parking Deck Rent Adjustment Notice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2021</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5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Credit Agreement by and among nCino, Inc., nCino OpCo, Inc., certain subsidiaries of nCino, Inc. as guarantors and Bank of America, N.A., dated February 11, 2022</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14, 2022</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5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New Building Completion Notice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30, 2022</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5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First Amendment to Office Lease (New Building) by and between nCino, Inc. and Cloud Real Estate Holdings, LLC, dated March 20, 2023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5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Third Amendment to Office Lease (Existing Building) by and between nCino, Inc. and Cloud Real Estate Holdings, LLC, dated March 20, 2023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5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Amendment to Partner Application Distribution Agreement by and between Salesforce and the Company, dated December 20, 2023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26, 2024</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5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First Amendment to Credit Agreement by and among nCino, Inc., nCino OpCo, Inc., certain subsidiaries of nCino, Inc. as guarantors and Bank of America, N.A., dated February 9, 2024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13, 2024</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5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Second Amendment to Credit Agreement by and among nCino, Inc., nCino OpCo, Inc., certain subsidiaries of nCino, Inc. as guarantors and Bank of America, N.A., dated March 17, 2024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18, 2024</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5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Independent Contractor Agreement with Joshua Glover</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29, 2024</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5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Amended and Restated Employment Agreement with Sean Desmond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29, 2024</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5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Credit Agreement by and among nCino, Inc., nCino OpCo, Inc., certain subsidiaries of nCino, Inc. as guarantors and Bank of America, N.A., dated October 28, 2024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30, 2024</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5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Amended and Restated Employment Agreement, Naudé</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19, 2024</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5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Amended and Restated Employment Agreement, Orenstein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19, 2024</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5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Amended and Restated Employment Agreement, Desmond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19, 2024</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5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20"/>
                  <w:u w:val="single"/>
                </w:rPr>
                <w:t>Amended and Restated Employment Agreement, by and between nCino OpCo, Inc. and Sean Desmond, entered into and effective February 1, 2025</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3, 2025</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5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20"/>
                  <w:u w:val="single"/>
                </w:rPr>
                <w:t>Letter Agreement, by and between nCino, Inc. and Pierre Naudé entered into February 1, 2025</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3, 2025</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5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20"/>
                  <w:u w:val="single"/>
                </w:rPr>
                <w:t>Cooperation Agreement, dated February 9, 2025, by and between nCino, Inc. and HMI Capital Management, L.P.</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10, 2025</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5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91ncinoinsidertrad.htm">
              <w:r>
                <w:rPr>
                  <w:rStyle w:val="InternetLink"/>
                  <w:rFonts w:ascii="Times New Roman;sans-serif" w:hAnsi="Times New Roman;sans-serif"/>
                  <w:b w:val="false"/>
                  <w:color w:val="0000FF"/>
                  <w:sz w:val="20"/>
                  <w:u w:val="single"/>
                </w:rPr>
                <w:t>nCino, Inc. Insider Trading Policy</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2"/>
        <w:gridCol w:w="267"/>
        <w:gridCol w:w="268"/>
        <w:gridCol w:w="2088"/>
        <w:gridCol w:w="1743"/>
        <w:gridCol w:w="1749"/>
        <w:gridCol w:w="178"/>
        <w:gridCol w:w="178"/>
        <w:gridCol w:w="176"/>
        <w:gridCol w:w="264"/>
        <w:gridCol w:w="264"/>
        <w:gridCol w:w="230"/>
        <w:gridCol w:w="218"/>
        <w:gridCol w:w="218"/>
        <w:gridCol w:w="219"/>
        <w:gridCol w:w="341"/>
        <w:gridCol w:w="261"/>
        <w:gridCol w:w="263"/>
        <w:gridCol w:w="284"/>
        <w:gridCol w:w="284"/>
        <w:gridCol w:w="410"/>
      </w:tblGrid>
      <w:tr>
        <w:trPr/>
        <w:tc>
          <w:tcPr>
            <w:tcW w:w="30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55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5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8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9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fy202510k.htm">
              <w:r>
                <w:rPr>
                  <w:rStyle w:val="InternetLink"/>
                  <w:rFonts w:ascii="Times New Roman;sans-serif" w:hAnsi="Times New Roman;sans-serif"/>
                  <w:b w:val="false"/>
                  <w:color w:val="0000FF"/>
                  <w:sz w:val="20"/>
                  <w:u w:val="single"/>
                </w:rPr>
                <w:t>List of subsidiaries of nCino, Inc.</w:t>
              </w:r>
            </w:hyperlink>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fy202510k.htm">
              <w:r>
                <w:rPr>
                  <w:rStyle w:val="InternetLink"/>
                  <w:rFonts w:ascii="Times New Roman;sans-serif" w:hAnsi="Times New Roman;sans-serif"/>
                  <w:b w:val="false"/>
                  <w:color w:val="0000FF"/>
                  <w:sz w:val="20"/>
                  <w:u w:val="single"/>
                </w:rPr>
                <w:t>Consent of Ernst &amp; Young LLP, Independent Registered Public Accounting Firm</w:t>
              </w:r>
            </w:hyperlink>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fy202510k.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fy202510k.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fy202510k.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fy202510k.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20"/>
                  <w:u w:val="single"/>
                </w:rPr>
                <w:t>nCino, Inc. Policy on Recoupment of Incentive Compensation</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26, 2024</w:t>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Extension Definition</w:t>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 </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8"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schedules and exhibits to this agreement have been omitted pursuant to Items 601(a)(5) of Regulation S-K, and the Company agrees to furnish supplementally to the Securities and Exchange Commission a copy of any omitted schedule and/or exhibit upon request.</w:t>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68"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compensatory plan or arrangement.</w:t>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8"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this exhibit have been redacted in accordance with Item 601(b)(10)(iv) of Regulation S-K.</w:t>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8"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furnished in Exhibit 32.1 and 32.2 hereto are deemed to accompany this Annual Report on Form 10-K and will not be deemed "filed" for purpose of Section 18 of the Securities Exchange Act of 1934, as amended, except to the extent that the registrant specifically incorporates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1934, the registrant has duly caused this report to be signed on its behalf by the undersigned thereunto duly authorized.</w:t>
      </w:r>
    </w:p>
    <w:tbl>
      <w:tblPr>
        <w:tblW w:w="5633" w:type="dxa"/>
        <w:jc w:val="left"/>
        <w:tblInd w:w="0" w:type="dxa"/>
        <w:tblLayout w:type="fixed"/>
        <w:tblCellMar>
          <w:top w:w="28" w:type="dxa"/>
          <w:left w:w="28" w:type="dxa"/>
          <w:bottom w:w="28" w:type="dxa"/>
          <w:right w:w="28" w:type="dxa"/>
        </w:tblCellMar>
      </w:tblPr>
      <w:tblGrid>
        <w:gridCol w:w="607"/>
        <w:gridCol w:w="535"/>
        <w:gridCol w:w="538"/>
        <w:gridCol w:w="134"/>
        <w:gridCol w:w="134"/>
        <w:gridCol w:w="136"/>
        <w:gridCol w:w="113"/>
        <w:gridCol w:w="113"/>
        <w:gridCol w:w="113"/>
        <w:gridCol w:w="939"/>
        <w:gridCol w:w="939"/>
        <w:gridCol w:w="1332"/>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nCino, Inc.</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1,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Desmond</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Desmond</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1,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D. Orenstein</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D. Orenstein</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&amp; Treasurer</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e6835920a6d54c90ba08f9b83063467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below by the following persons on behalf of the registrant in the capacities and on the dates indicated.</w:t>
      </w:r>
    </w:p>
    <w:tbl>
      <w:tblPr>
        <w:tblW w:w="7116" w:type="dxa"/>
        <w:jc w:val="left"/>
        <w:tblInd w:w="0" w:type="dxa"/>
        <w:tblLayout w:type="fixed"/>
        <w:tblCellMar>
          <w:top w:w="28" w:type="dxa"/>
          <w:left w:w="28" w:type="dxa"/>
          <w:bottom w:w="28" w:type="dxa"/>
          <w:right w:w="28" w:type="dxa"/>
        </w:tblCellMar>
      </w:tblPr>
      <w:tblGrid>
        <w:gridCol w:w="747"/>
        <w:gridCol w:w="658"/>
        <w:gridCol w:w="664"/>
        <w:gridCol w:w="109"/>
        <w:gridCol w:w="109"/>
        <w:gridCol w:w="109"/>
        <w:gridCol w:w="1050"/>
        <w:gridCol w:w="1050"/>
        <w:gridCol w:w="1064"/>
        <w:gridCol w:w="109"/>
        <w:gridCol w:w="109"/>
        <w:gridCol w:w="109"/>
        <w:gridCol w:w="357"/>
        <w:gridCol w:w="357"/>
        <w:gridCol w:w="515"/>
      </w:tblGrid>
      <w:tr>
        <w:trPr/>
        <w:tc>
          <w:tcPr>
            <w:tcW w:w="74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Sean Desmond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2025</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Sean Desmond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Gregory D. Orenstein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&amp;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2025</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Gregory D. Orenstein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Jeanette Sellers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of Accounting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2025</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Jeanette Sellers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Pierre Naudé</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2025</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Pierre Naudé</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/s/Steven Collins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2025</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Steven Collins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Jon Doyle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2025</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Jon Doyle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Horing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2025</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Horing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Pam Kilday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2025</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Pam Kilday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Spencer Lake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2025</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Spencer Lake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Ruh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2025</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Ruh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Spruill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2025</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Spruill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Justin Nyweide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2025</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Justin Nyweide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61" w:after="283"/>
        <w:jc w:val="center"/>
        <w:rPr>
          <w:rFonts w:ascii="Times New Roman;sans-serif" w:hAnsi="Times New Roman;sans-serif"/>
          <w:b/>
          <w:color w:val="000000"/>
          <w:sz w:val="24"/>
        </w:rPr>
      </w:pPr>
      <w:r>
        <w:rPr>
          <w:rFonts w:ascii="Times New Roman;sans-serif" w:hAnsi="Times New Roman;sans-serif"/>
          <w:b/>
          <w:color w:val="000000"/>
          <w:sz w:val="24"/>
        </w:rPr>
        <w:t>NCINO, INC.</w:t>
      </w:r>
    </w:p>
    <w:p>
      <w:pPr>
        <w:pStyle w:val="TextBody"/>
        <w:bidi w:val="0"/>
        <w:spacing w:lineRule="auto" w:line="288" w:before="274" w:after="283"/>
        <w:jc w:val="center"/>
        <w:rPr>
          <w:rFonts w:ascii="Times New Roman;sans-serif" w:hAnsi="Times New Roman;sans-serif"/>
          <w:b/>
          <w:color w:val="000000"/>
          <w:sz w:val="24"/>
        </w:rPr>
      </w:pPr>
      <w:r>
        <w:rPr>
          <w:rFonts w:ascii="Times New Roman;sans-serif" w:hAnsi="Times New Roman;sans-serif"/>
          <w:b/>
          <w:color w:val="000000"/>
          <w:sz w:val="24"/>
        </w:rPr>
        <w:t>INSIDER TRADING AND CONFIDENTIALITY POLICY</w:t>
      </w:r>
    </w:p>
    <w:p>
      <w:pPr>
        <w:pStyle w:val="TextBody"/>
        <w:bidi w:val="0"/>
        <w:spacing w:lineRule="auto" w:line="288" w:before="274" w:after="283"/>
        <w:jc w:val="center"/>
        <w:rPr>
          <w:rFonts w:ascii="Times New Roman;sans-serif" w:hAnsi="Times New Roman;sans-serif"/>
          <w:b/>
          <w:color w:val="000000"/>
          <w:sz w:val="23"/>
        </w:rPr>
      </w:pPr>
      <w:r>
        <w:rPr>
          <w:rFonts w:ascii="Times New Roman;sans-serif" w:hAnsi="Times New Roman;sans-serif"/>
          <w:b/>
          <w:color w:val="000000"/>
          <w:sz w:val="23"/>
        </w:rPr>
        <w:t>As adopted by the Board of Directors, effective March 19, 2024</w:t>
      </w:r>
    </w:p>
    <w:p>
      <w:pPr>
        <w:pStyle w:val="TextBody"/>
        <w:bidi w:val="0"/>
        <w:spacing w:before="17" w:after="283"/>
        <w:jc w:val="left"/>
        <w:rPr/>
      </w:pPr>
      <w:r>
        <w:rPr/>
      </w:r>
    </w:p>
    <w:p>
      <w:pPr>
        <w:pStyle w:val="TextBody"/>
        <w:bidi w:val="0"/>
        <w:spacing w:lineRule="auto" w:line="288" w:before="0" w:after="0"/>
        <w:ind w:left="0" w:right="0" w:firstLine="715"/>
        <w:jc w:val="left"/>
        <w:rPr/>
      </w:pPr>
      <w:r>
        <w:rPr>
          <w:rFonts w:ascii="Times New Roman;sans-serif" w:hAnsi="Times New Roman;sans-serif"/>
          <w:b w:val="false"/>
          <w:color w:val="000000"/>
          <w:sz w:val="24"/>
        </w:rPr>
        <w:t>This Policy confirms procedures that employees and directors of nCino, Inc. (“</w:t>
      </w:r>
      <w:r>
        <w:rPr>
          <w:rFonts w:ascii="Times New Roman;sans-serif" w:hAnsi="Times New Roman;sans-serif"/>
          <w:b/>
          <w:color w:val="000000"/>
          <w:sz w:val="24"/>
        </w:rPr>
        <w:t>nCino</w:t>
      </w:r>
      <w:r>
        <w:rPr>
          <w:color w:val="000000"/>
        </w:rPr>
        <w:t xml:space="preserve">” </w:t>
      </w:r>
      <w:r>
        <w:rPr>
          <w:rFonts w:ascii="Times New Roman;sans-serif" w:hAnsi="Times New Roman;sans-serif"/>
          <w:b w:val="false"/>
          <w:color w:val="000000"/>
          <w:sz w:val="24"/>
        </w:rPr>
        <w:t>or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must follow.</w:t>
      </w:r>
    </w:p>
    <w:p>
      <w:pPr>
        <w:pStyle w:val="TextBody"/>
        <w:bidi w:val="0"/>
        <w:spacing w:lineRule="auto" w:line="288" w:before="273"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Introduction</w:t>
      </w:r>
    </w:p>
    <w:p>
      <w:pPr>
        <w:pStyle w:val="TextBody"/>
        <w:bidi w:val="0"/>
        <w:spacing w:before="3" w:after="283"/>
        <w:jc w:val="left"/>
        <w:rPr/>
      </w:pPr>
      <w:r>
        <w:rPr/>
      </w:r>
    </w:p>
    <w:p>
      <w:pPr>
        <w:pStyle w:val="TextBody"/>
        <w:bidi w:val="0"/>
        <w:spacing w:lineRule="auto" w:line="288" w:before="0" w:after="0"/>
        <w:ind w:left="0" w:right="0" w:firstLine="620"/>
        <w:jc w:val="both"/>
        <w:rPr/>
      </w:pPr>
      <w:r>
        <w:rPr>
          <w:rFonts w:ascii="Times New Roman;sans-serif" w:hAnsi="Times New Roman;sans-serif"/>
          <w:b w:val="false"/>
          <w:color w:val="000000"/>
          <w:sz w:val="24"/>
        </w:rPr>
        <w:t>Federal and state securities laws prohibit the purchase or sale of the securities of nCino anywhere in the world by persons who are aware of material, nonpublic information about the Company. These laws also prohibit persons who are aware of such material, nonpublic information from disclosing such information to others who may trade on the basis thereof (i.e., “tipping”). The Board of Directors of the Company (the “</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4"/>
        </w:rPr>
        <w:t>) has adopted this policy (this “</w:t>
      </w:r>
      <w:r>
        <w:rPr>
          <w:rFonts w:ascii="Times New Roman;sans-serif" w:hAnsi="Times New Roman;sans-serif"/>
          <w:b/>
          <w:color w:val="000000"/>
          <w:sz w:val="24"/>
        </w:rPr>
        <w:t>Policy</w:t>
      </w:r>
      <w:r>
        <w:rPr>
          <w:color w:val="000000"/>
        </w:rPr>
        <w:t>”</w:t>
      </w:r>
      <w:r>
        <w:rPr>
          <w:rFonts w:ascii="Times New Roman;sans-serif" w:hAnsi="Times New Roman;sans-serif"/>
          <w:b w:val="false"/>
          <w:color w:val="000000"/>
          <w:sz w:val="24"/>
        </w:rPr>
        <w:t>) both to support the Company’s obligation to prevent insider trading by all personnel and to help Company personnel avoid the severe consequences associated with violations of insider trading laws. This Policy is also intended to prevent even the appearance of improper conduct on the part of anyone employed by or associated with the Company. It is important to note that this Policy imposes restrictions that are in addition to, and not in lieu of, any other applicable preclearance and reporting requirements established by the Company. The adoption of this Policy is not intended to discourage ownership of the Company’s securities. This Policy creates a framework for investing in the Company’s securities while safeguarding the Company’s confidential information and helping avoid the severe consequences associated with violations of the insider trading laws.</w:t>
      </w:r>
    </w:p>
    <w:p>
      <w:pPr>
        <w:pStyle w:val="TextBody"/>
        <w:bidi w:val="0"/>
        <w:spacing w:before="1" w:after="283"/>
        <w:jc w:val="left"/>
        <w:rPr/>
      </w:pPr>
      <w:r>
        <w:rPr/>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Persons Subject to this Policy</w:t>
      </w:r>
    </w:p>
    <w:p>
      <w:pPr>
        <w:pStyle w:val="TextBody"/>
        <w:bidi w:val="0"/>
        <w:spacing w:lineRule="atLeast" w:line="274" w:before="269" w:after="283"/>
        <w:jc w:val="both"/>
        <w:rPr/>
      </w:pPr>
      <w:r>
        <w:rPr>
          <w:rFonts w:ascii="Times New Roman;sans-serif" w:hAnsi="Times New Roman;sans-serif"/>
          <w:b w:val="false"/>
          <w:color w:val="000000"/>
          <w:sz w:val="24"/>
        </w:rPr>
        <w:t>This Policy applies to the following persons (“</w:t>
      </w:r>
      <w:r>
        <w:rPr>
          <w:rFonts w:ascii="Times New Roman;sans-serif" w:hAnsi="Times New Roman;sans-serif"/>
          <w:b/>
          <w:color w:val="000000"/>
          <w:sz w:val="24"/>
        </w:rPr>
        <w:t>Covered Persons</w:t>
      </w:r>
      <w:r>
        <w:rPr>
          <w:color w:val="000000"/>
        </w:rPr>
        <w:t>”</w:t>
      </w:r>
      <w:r>
        <w:rPr>
          <w:rFonts w:ascii="Times New Roman;sans-serif" w:hAnsi="Times New Roman;sans-serif"/>
          <w:b w:val="false"/>
          <w:color w:val="000000"/>
          <w:sz w:val="24"/>
        </w:rPr>
        <w:t>):</w:t>
      </w:r>
    </w:p>
    <w:p>
      <w:pPr>
        <w:pStyle w:val="TextBody"/>
        <w:bidi w:val="0"/>
        <w:spacing w:lineRule="atLeast" w:line="292" w:before="0" w:after="0"/>
        <w:ind w:left="0" w:right="0" w:hanging="359"/>
        <w:jc w:val="both"/>
        <w:rPr/>
      </w:pPr>
      <w:r>
        <w:rPr>
          <w:color w:val="000000"/>
        </w:rPr>
        <w:t>•</w:t>
      </w:r>
      <w:r>
        <w:rPr>
          <w:rFonts w:ascii="Times New Roman;sans-serif" w:hAnsi="Times New Roman;sans-serif"/>
          <w:b w:val="false"/>
          <w:color w:val="000000"/>
          <w:sz w:val="24"/>
        </w:rPr>
        <w:t>all members of the Board;</w:t>
      </w:r>
    </w:p>
    <w:p>
      <w:pPr>
        <w:pStyle w:val="TextBody"/>
        <w:bidi w:val="0"/>
        <w:spacing w:lineRule="auto" w:line="288" w:before="12" w:after="283"/>
        <w:ind w:left="0" w:right="0" w:hanging="360"/>
        <w:jc w:val="both"/>
        <w:rPr/>
      </w:pPr>
      <w:r>
        <w:rPr>
          <w:color w:val="000000"/>
        </w:rPr>
        <w:t>•</w:t>
      </w:r>
      <w:r>
        <w:rPr>
          <w:rFonts w:ascii="Times New Roman;sans-serif" w:hAnsi="Times New Roman;sans-serif"/>
          <w:b w:val="false"/>
          <w:color w:val="000000"/>
          <w:sz w:val="24"/>
        </w:rPr>
        <w:t>all employees of the Company (including part-time and temporary employees, consultants and independent contractors)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any family members of a Covered Person who reside with such Covered Person (including a child away at college), anyone else who lives in such Covered Person’s household, and any family members who do not live in such Covered Person’s household but whose transactions in the Company’s securities are directed by such Covered Person or are subject to a Covered Person’s influence or control (collectively, “Covered Family Members”); and</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4"/>
        </w:rPr>
        <w:t>any entities, including any corporations, partnerships or trusts, that a Covered Person influences or controls (“Controlled Entities”).</w:t>
      </w:r>
    </w:p>
    <w:p>
      <w:pPr>
        <w:pStyle w:val="TextBody"/>
        <w:bidi w:val="0"/>
        <w:spacing w:lineRule="auto" w:line="288" w:before="274"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You are responsible for the transactions of your Covered Family Members and Controlled Entities, and you should therefore make them aware of the need to confer with you before they trade in the Company’s securities. You should treat all such transactions for purposes of this Policy and applicable securities laws as if the transactions were for your own account.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39700"/>
                <wp:effectExtent l="0" t="0" r="0" b="0"/>
                <wp:wrapNone/>
                <wp:docPr id="110" name="Frame10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- 1 -</w:t>
                      </w:r>
                    </w:p>
                  </w:txbxContent>
                </v:textbox>
                <w10:wrap type="none"/>
              </v:rect>
            </w:pict>
          </mc:Fallback>
        </mc:AlternateContent>
      </w:r>
    </w:p>
    <w:p>
      <w:pPr>
        <w:pStyle w:val="TextBody"/>
        <w:bidi w:val="0"/>
        <w:spacing w:lineRule="auto" w:line="288" w:before="76"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Transactions Subject to the Policy</w:t>
      </w:r>
    </w:p>
    <w:p>
      <w:pPr>
        <w:pStyle w:val="TextBody"/>
        <w:bidi w:val="0"/>
        <w:spacing w:before="3"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applies to transactions in the Company’s securities, including the Company’s common and preferred stock, any options to purchase common stock, and any other type of securities that the Company may issue, including convertible securities and warrants, debt securities such as debentures, bonds and notes, as well as derivative securities that are not issued by the Company, such as exchange traded put or call options and swaps relating to the Company’s securities.</w:t>
      </w:r>
    </w:p>
    <w:p>
      <w:pPr>
        <w:pStyle w:val="TextBody"/>
        <w:bidi w:val="0"/>
        <w:spacing w:lineRule="auto" w:line="288" w:before="274"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The Consequences of Noncompliance</w:t>
      </w:r>
    </w:p>
    <w:p>
      <w:pPr>
        <w:pStyle w:val="TextBody"/>
        <w:bidi w:val="0"/>
        <w:spacing w:lineRule="auto" w:line="280" w:before="274" w:after="283"/>
        <w:ind w:left="0" w:right="0" w:firstLine="720"/>
        <w:jc w:val="both"/>
        <w:rPr/>
      </w:pPr>
      <w:r>
        <w:rPr>
          <w:rFonts w:ascii="Times New Roman;sans-serif" w:hAnsi="Times New Roman;sans-serif"/>
          <w:b/>
          <w:color w:val="000000"/>
          <w:sz w:val="24"/>
        </w:rPr>
        <w:t>Violations of Law</w:t>
      </w:r>
      <w:r>
        <w:rPr>
          <w:rFonts w:ascii="Times New Roman;sans-serif" w:hAnsi="Times New Roman;sans-serif"/>
          <w:b w:val="false"/>
          <w:color w:val="000000"/>
          <w:sz w:val="24"/>
        </w:rPr>
        <w:t>. Covered Persons who engage in transactions in the Company’s securities in violation of this Policy or applicable law may be subject to the following penalties under U.S. law:</w:t>
      </w:r>
    </w:p>
    <w:p>
      <w:pPr>
        <w:pStyle w:val="TextBody"/>
        <w:bidi w:val="0"/>
        <w:spacing w:lineRule="atLeast" w:line="286" w:before="0" w:after="0"/>
        <w:ind w:left="0" w:right="0" w:hanging="169"/>
        <w:jc w:val="left"/>
        <w:rPr/>
      </w:pPr>
      <w:r>
        <w:rPr>
          <w:color w:val="000000"/>
        </w:rPr>
        <w:t>•</w:t>
      </w:r>
      <w:r>
        <w:rPr>
          <w:rFonts w:ascii="Times New Roman;sans-serif" w:hAnsi="Times New Roman;sans-serif"/>
          <w:b w:val="false"/>
          <w:color w:val="000000"/>
          <w:sz w:val="24"/>
        </w:rPr>
        <w:t>Disgorgement of profits;</w:t>
      </w:r>
    </w:p>
    <w:p>
      <w:pPr>
        <w:pStyle w:val="TextBody"/>
        <w:bidi w:val="0"/>
        <w:spacing w:lineRule="atLeast" w:line="288" w:before="0" w:after="0"/>
        <w:ind w:left="0" w:right="0" w:hanging="169"/>
        <w:jc w:val="left"/>
        <w:rPr/>
      </w:pPr>
      <w:r>
        <w:rPr>
          <w:color w:val="000000"/>
        </w:rPr>
        <w:t>•</w:t>
      </w:r>
      <w:r>
        <w:rPr>
          <w:rFonts w:ascii="Times New Roman;sans-serif" w:hAnsi="Times New Roman;sans-serif"/>
          <w:b w:val="false"/>
          <w:color w:val="000000"/>
          <w:sz w:val="24"/>
        </w:rPr>
        <w:t>A civil penalty of up to three times the profit gained or loss avoided;</w:t>
      </w:r>
    </w:p>
    <w:p>
      <w:pPr>
        <w:pStyle w:val="TextBody"/>
        <w:bidi w:val="0"/>
        <w:spacing w:lineRule="atLeast" w:line="292" w:before="0" w:after="0"/>
        <w:ind w:left="0" w:right="0" w:hanging="169"/>
        <w:jc w:val="left"/>
        <w:rPr/>
      </w:pPr>
      <w:r>
        <w:rPr>
          <w:color w:val="000000"/>
        </w:rPr>
        <w:t>•</w:t>
      </w:r>
      <w:r>
        <w:rPr>
          <w:rFonts w:ascii="Times New Roman;sans-serif" w:hAnsi="Times New Roman;sans-serif"/>
          <w:b w:val="false"/>
          <w:color w:val="000000"/>
          <w:sz w:val="24"/>
        </w:rPr>
        <w:t>A criminal fine of up to $5,000,000 (no matter how small the profit); and</w:t>
      </w:r>
    </w:p>
    <w:p>
      <w:pPr>
        <w:pStyle w:val="TextBody"/>
        <w:bidi w:val="0"/>
        <w:spacing w:lineRule="auto" w:line="288" w:before="11" w:after="283"/>
        <w:ind w:left="0" w:right="0" w:firstLine="715"/>
        <w:jc w:val="both"/>
        <w:rPr/>
      </w:pPr>
      <w:r>
        <w:rPr>
          <w:color w:val="000000"/>
        </w:rPr>
        <w:t>•</w:t>
      </w:r>
      <w:r>
        <w:rPr>
          <w:rFonts w:ascii="Times New Roman;sans-serif" w:hAnsi="Times New Roman;sans-serif"/>
          <w:b w:val="false"/>
          <w:color w:val="000000"/>
          <w:sz w:val="24"/>
        </w:rPr>
        <w:t>A prison sentence of up to 20 years. A person who passes along, or “tips,” information to a person who then trades (a “tippee”), is subject to the same penalties as the tippee, even if the tipper did not trade and did not profit from the tippee’s trading.</w:t>
      </w:r>
    </w:p>
    <w:p>
      <w:pPr>
        <w:pStyle w:val="TextBody"/>
        <w:bidi w:val="0"/>
        <w:spacing w:lineRule="auto" w:line="280" w:before="272" w:after="283"/>
        <w:ind w:left="0" w:right="0" w:firstLine="715"/>
        <w:jc w:val="both"/>
        <w:rPr/>
      </w:pPr>
      <w:r>
        <w:rPr>
          <w:rFonts w:ascii="Times New Roman;sans-serif" w:hAnsi="Times New Roman;sans-serif"/>
          <w:b/>
          <w:color w:val="000000"/>
          <w:sz w:val="24"/>
        </w:rPr>
        <w:t>Company-Imposed Sanctions</w:t>
      </w:r>
      <w:r>
        <w:rPr>
          <w:rFonts w:ascii="Times New Roman;sans-serif" w:hAnsi="Times New Roman;sans-serif"/>
          <w:b w:val="false"/>
          <w:color w:val="000000"/>
          <w:sz w:val="24"/>
        </w:rPr>
        <w:t>. The failure of a Covered Person to comply with this Policy may subject such Covered Person to sanctions by the Company, up to and including termination, whether or not the failure to comply results in a violation of applicable law.</w:t>
      </w:r>
    </w:p>
    <w:p>
      <w:pPr>
        <w:pStyle w:val="TextBody"/>
        <w:bidi w:val="0"/>
        <w:spacing w:lineRule="auto" w:line="288" w:before="269"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Policy on Insider Trading</w:t>
      </w:r>
    </w:p>
    <w:p>
      <w:pPr>
        <w:pStyle w:val="TextBody"/>
        <w:bidi w:val="0"/>
        <w:spacing w:lineRule="auto" w:line="288" w:before="274" w:after="283"/>
        <w:ind w:left="0" w:right="0" w:firstLine="715"/>
        <w:jc w:val="both"/>
        <w:rPr>
          <w:rFonts w:ascii="Times New Roman;sans-serif" w:hAnsi="Times New Roman;sans-serif"/>
          <w:b w:val="false"/>
          <w:color w:val="000000"/>
          <w:sz w:val="24"/>
        </w:rPr>
      </w:pPr>
      <w:r>
        <w:rPr>
          <w:rFonts w:ascii="Times New Roman;sans-serif" w:hAnsi="Times New Roman;sans-serif"/>
          <w:b w:val="false"/>
          <w:color w:val="000000"/>
          <w:sz w:val="24"/>
        </w:rPr>
        <w:t>It is the policy of the Company, that unless such trade is made pursuant to a properly qualified, adopted and submitted Rule 10b5-1 trading plan, no Covered Person who is aware of material, nonpublic information relating to the Company may, directly or indirectly through family members or other persons or entities:</w:t>
      </w:r>
    </w:p>
    <w:p>
      <w:pPr>
        <w:pStyle w:val="TextBody"/>
        <w:bidi w:val="0"/>
        <w:spacing w:lineRule="auto" w:line="288" w:before="5" w:after="283"/>
        <w:ind w:left="0" w:right="0" w:firstLine="715"/>
        <w:jc w:val="both"/>
        <w:rPr/>
      </w:pPr>
      <w:r>
        <w:rPr>
          <w:color w:val="000000"/>
        </w:rPr>
        <w:t>•</w:t>
      </w:r>
      <w:r>
        <w:rPr>
          <w:rFonts w:ascii="Times New Roman;sans-serif" w:hAnsi="Times New Roman;sans-serif"/>
          <w:b w:val="false"/>
          <w:color w:val="000000"/>
          <w:sz w:val="24"/>
        </w:rPr>
        <w:t>buy or sell securities of the Company (including the Company’s common and preferred stock, any options to purchase common stock, and any other type of securities that the Company may issue), other than as expressly exempted by this Policy, or engage in any other action to take personal advantage of the material, nonpublic information;</w:t>
      </w:r>
    </w:p>
    <w:p>
      <w:pPr>
        <w:pStyle w:val="TextBody"/>
        <w:bidi w:val="0"/>
        <w:spacing w:lineRule="atLeast" w:line="282" w:before="0" w:after="0"/>
        <w:ind w:left="0" w:right="0" w:hanging="169"/>
        <w:jc w:val="both"/>
        <w:rPr/>
      </w:pPr>
      <w:r>
        <w:rPr>
          <w:color w:val="000000"/>
        </w:rPr>
        <w:t>•</w:t>
      </w:r>
      <w:r>
        <w:rPr>
          <w:rFonts w:ascii="Times New Roman;sans-serif" w:hAnsi="Times New Roman;sans-serif"/>
          <w:b w:val="false"/>
          <w:color w:val="000000"/>
          <w:sz w:val="24"/>
        </w:rPr>
        <w:t>recommend the purchase or sale of Company securities;</w:t>
      </w:r>
    </w:p>
    <w:p>
      <w:pPr>
        <w:pStyle w:val="TextBody"/>
        <w:bidi w:val="0"/>
        <w:spacing w:lineRule="auto" w:line="288" w:before="11" w:after="283"/>
        <w:ind w:left="0" w:right="0" w:firstLine="715"/>
        <w:jc w:val="both"/>
        <w:rPr/>
      </w:pPr>
      <w:r>
        <w:rPr>
          <w:color w:val="000000"/>
        </w:rPr>
        <w:t>•</w:t>
      </w:r>
      <w:r>
        <w:rPr>
          <w:rFonts w:ascii="Times New Roman;sans-serif" w:hAnsi="Times New Roman;sans-serif"/>
          <w:b w:val="false"/>
          <w:color w:val="000000"/>
          <w:sz w:val="24"/>
        </w:rPr>
        <w:t>disclose such material, nonpublic information to persons within the Company whose jobs do not require them to have that information, or to others outside the Company (including family and friends), unless such disclosure is made in accordance with the Company’s policies regarding the protection or authorized disclosure of information; or</w:t>
      </w:r>
    </w:p>
    <w:p>
      <w:pPr>
        <w:pStyle w:val="TextBody"/>
        <w:bidi w:val="0"/>
        <w:spacing w:lineRule="atLeast" w:line="282" w:before="0" w:after="0"/>
        <w:ind w:left="0" w:right="0" w:hanging="169"/>
        <w:jc w:val="both"/>
        <w:rPr/>
      </w:pPr>
      <w:r>
        <w:rPr>
          <w:color w:val="000000"/>
        </w:rPr>
        <w:t>•</w:t>
      </w:r>
      <w:r>
        <w:rPr>
          <w:rFonts w:ascii="Times New Roman;sans-serif" w:hAnsi="Times New Roman;sans-serif"/>
          <w:b w:val="false"/>
          <w:color w:val="000000"/>
          <w:sz w:val="24"/>
        </w:rPr>
        <w:t>assist anyone engaged in the above activities.</w:t>
      </w:r>
    </w:p>
    <w:p>
      <w:pPr>
        <w:pStyle w:val="TextBody"/>
        <w:bidi w:val="0"/>
        <w:spacing w:before="8" w:after="283"/>
        <w:jc w:val="left"/>
        <w:rPr/>
      </w:pPr>
      <w:r>
        <w:rPr/>
      </w:r>
    </w:p>
    <w:p>
      <w:pPr>
        <w:pStyle w:val="TextBody"/>
        <w:bidi w:val="0"/>
        <w:spacing w:lineRule="auto" w:line="288" w:before="0" w:after="0"/>
        <w:ind w:left="0" w:right="0" w:firstLine="715"/>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it is the policy of the Company that no Covered Person who, in the course of working for the Company, learns of material, nonpublic information about another company (such as an issuer of securities included in the Company’s portfolio, clients or vendors of the Company, or a company with which the Company may be negotiating a major transaction such as an acquisition, investment or sale) may trade in that other company’s securities or tip the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39700"/>
                <wp:effectExtent l="0" t="0" r="0" b="0"/>
                <wp:wrapNone/>
                <wp:docPr id="111" name="Frame11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- 2 -</w:t>
                      </w:r>
                    </w:p>
                  </w:txbxContent>
                </v:textbox>
                <w10:wrap type="none"/>
              </v:rect>
            </w:pict>
          </mc:Fallback>
        </mc:AlternateContent>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to others until the information becomes public or is no longer material. Information that is not material to the Company may nevertheless be material to one of those other companies.</w:t>
      </w:r>
    </w:p>
    <w:p>
      <w:pPr>
        <w:pStyle w:val="TextBody"/>
        <w:bidi w:val="0"/>
        <w:spacing w:lineRule="auto" w:line="288" w:before="0" w:after="0"/>
        <w:ind w:left="0" w:right="0" w:firstLine="715"/>
        <w:jc w:val="both"/>
        <w:rPr>
          <w:rFonts w:ascii="Times New Roman;sans-serif" w:hAnsi="Times New Roman;sans-serif"/>
          <w:b w:val="false"/>
          <w:color w:val="000000"/>
          <w:sz w:val="24"/>
        </w:rPr>
      </w:pPr>
      <w:r>
        <w:rPr>
          <w:rFonts w:ascii="Times New Roman;sans-serif" w:hAnsi="Times New Roman;sans-serif"/>
          <w:b w:val="false"/>
          <w:color w:val="000000"/>
          <w:sz w:val="24"/>
        </w:rPr>
        <w:t>Unless you have been provided guidance to the contrary from the Chief Legal Officer, you may not trade in the Company’s securities while you are aware of material, nonpublic information even if you believe that the information has not influenced your trading decision—in other words, even if you would have traded without having the information.</w:t>
      </w:r>
    </w:p>
    <w:p>
      <w:pPr>
        <w:pStyle w:val="TextBody"/>
        <w:bidi w:val="0"/>
        <w:spacing w:lineRule="auto" w:line="288" w:before="275" w:after="283"/>
        <w:ind w:left="0" w:right="0" w:firstLine="715"/>
        <w:jc w:val="both"/>
        <w:rPr>
          <w:rFonts w:ascii="Times New Roman;sans-serif" w:hAnsi="Times New Roman;sans-serif"/>
          <w:b w:val="false"/>
          <w:color w:val="000000"/>
          <w:sz w:val="24"/>
        </w:rPr>
      </w:pPr>
      <w:r>
        <w:rPr>
          <w:rFonts w:ascii="Times New Roman;sans-serif" w:hAnsi="Times New Roman;sans-serif"/>
          <w:b w:val="false"/>
          <w:color w:val="000000"/>
          <w:sz w:val="24"/>
        </w:rPr>
        <w:t>Transactions that may be necessary or that may appear justifiable for independent reasons (such as the need to raise money for an emergency expenditure or because they are small transactions) are not excepted from this Policy. The securities laws do not recognize such mitigating circumstances, and in any event even the appearance of an improper transaction must be avoided in order to preserve the Company’s reputation for adhering to the highest standards of ethical conduct.</w:t>
      </w:r>
    </w:p>
    <w:p>
      <w:pPr>
        <w:pStyle w:val="TextBody"/>
        <w:bidi w:val="0"/>
        <w:spacing w:before="3" w:after="283"/>
        <w:jc w:val="left"/>
        <w:rPr/>
      </w:pPr>
      <w:r>
        <w:rPr/>
      </w:r>
    </w:p>
    <w:p>
      <w:pPr>
        <w:pStyle w:val="TextBody"/>
        <w:bidi w:val="0"/>
        <w:spacing w:lineRule="auto" w:line="288" w:before="1"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Definition of Material, Nonpublic Information</w:t>
      </w:r>
    </w:p>
    <w:p>
      <w:pPr>
        <w:pStyle w:val="TextBody"/>
        <w:bidi w:val="0"/>
        <w:spacing w:lineRule="auto" w:line="288" w:before="274" w:after="283"/>
        <w:ind w:left="0" w:right="0" w:firstLine="715"/>
        <w:jc w:val="both"/>
        <w:rPr>
          <w:rFonts w:ascii="Times New Roman;sans-serif" w:hAnsi="Times New Roman;sans-serif"/>
          <w:b w:val="false"/>
          <w:color w:val="000000"/>
          <w:sz w:val="24"/>
        </w:rPr>
      </w:pPr>
      <w:r>
        <w:rPr>
          <w:rFonts w:ascii="Times New Roman;sans-serif" w:hAnsi="Times New Roman;sans-serif"/>
          <w:b w:val="false"/>
          <w:color w:val="000000"/>
          <w:sz w:val="24"/>
        </w:rPr>
        <w:t>Material, nonpublic information has two important elements: (i) materiality, and (ii) public availability, each of which is discussed separately below.</w:t>
      </w:r>
    </w:p>
    <w:p>
      <w:pPr>
        <w:pStyle w:val="TextBody"/>
        <w:bidi w:val="0"/>
        <w:spacing w:lineRule="auto" w:line="288" w:before="273" w:after="283"/>
        <w:ind w:left="0" w:right="0" w:firstLine="715"/>
        <w:jc w:val="both"/>
        <w:rPr/>
      </w:pPr>
      <w:r>
        <w:rPr>
          <w:color w:val="000000"/>
        </w:rPr>
        <w:t>“</w:t>
      </w:r>
      <w:r>
        <w:rPr>
          <w:rFonts w:ascii="Times New Roman;sans-serif" w:hAnsi="Times New Roman;sans-serif"/>
          <w:b/>
          <w:color w:val="000000"/>
          <w:sz w:val="24"/>
        </w:rPr>
        <w:t>Material</w:t>
      </w:r>
      <w:r>
        <w:rPr>
          <w:color w:val="000000"/>
        </w:rPr>
        <w:t>”</w:t>
      </w:r>
      <w:r>
        <w:rPr>
          <w:rFonts w:ascii="Times New Roman;sans-serif" w:hAnsi="Times New Roman;sans-serif"/>
          <w:b w:val="false"/>
          <w:color w:val="000000"/>
          <w:sz w:val="24"/>
        </w:rPr>
        <w:t>: There is no bright-line rule on what constitutes “material” information. However, generally “material” information means information, positive or negative, which might be of significance to an investor, as part of the total mix of available information, in determining whether to purchase, sell or hold nCino stock. Any information that could reasonably be expected to affect the Company’s stock price should also be considered material. Some examples of information that ordinarily would be regarded as material are:</w:t>
      </w:r>
    </w:p>
    <w:p>
      <w:pPr>
        <w:pStyle w:val="TextBody"/>
        <w:bidi w:val="0"/>
        <w:spacing w:lineRule="auto" w:line="280" w:before="2" w:after="283"/>
        <w:ind w:left="0" w:right="0" w:hanging="360"/>
        <w:jc w:val="left"/>
        <w:rPr/>
      </w:pPr>
      <w:r>
        <w:rPr>
          <w:color w:val="000000"/>
        </w:rPr>
        <w:t>•</w:t>
      </w:r>
      <w:r>
        <w:rPr>
          <w:rFonts w:ascii="Times New Roman;sans-serif" w:hAnsi="Times New Roman;sans-serif"/>
          <w:b w:val="false"/>
          <w:color w:val="000000"/>
          <w:sz w:val="24"/>
        </w:rPr>
        <w:t>financial performance, especially quarterly and year-end results of operations, and significant changes in financial performance, conditions or liquidity;</w:t>
      </w:r>
    </w:p>
    <w:p>
      <w:pPr>
        <w:pStyle w:val="TextBody"/>
        <w:bidi w:val="0"/>
        <w:spacing w:lineRule="atLeast" w:line="277" w:before="0" w:after="0"/>
        <w:ind w:left="0" w:right="0" w:hanging="359"/>
        <w:jc w:val="left"/>
        <w:rPr/>
      </w:pPr>
      <w:r>
        <w:rPr>
          <w:color w:val="000000"/>
        </w:rPr>
        <w:t>•</w:t>
      </w:r>
      <w:r>
        <w:rPr>
          <w:rFonts w:ascii="Times New Roman;sans-serif" w:hAnsi="Times New Roman;sans-serif"/>
          <w:b w:val="false"/>
          <w:color w:val="000000"/>
          <w:sz w:val="24"/>
        </w:rPr>
        <w:t>projections of future earnings or losses or other earnings guidance;</w:t>
      </w:r>
    </w:p>
    <w:p>
      <w:pPr>
        <w:pStyle w:val="TextBody"/>
        <w:bidi w:val="0"/>
        <w:spacing w:lineRule="atLeast" w:line="292" w:before="0" w:after="0"/>
        <w:ind w:left="0" w:right="0" w:hanging="359"/>
        <w:jc w:val="left"/>
        <w:rPr/>
      </w:pPr>
      <w:r>
        <w:rPr>
          <w:color w:val="000000"/>
        </w:rPr>
        <w:t>•</w:t>
      </w:r>
      <w:r>
        <w:rPr>
          <w:rFonts w:ascii="Times New Roman;sans-serif" w:hAnsi="Times New Roman;sans-serif"/>
          <w:b w:val="false"/>
          <w:color w:val="000000"/>
          <w:sz w:val="24"/>
        </w:rPr>
        <w:t>changes in previously released earnings estimates or guidance;</w:t>
      </w:r>
    </w:p>
    <w:p>
      <w:pPr>
        <w:pStyle w:val="TextBody"/>
        <w:bidi w:val="0"/>
        <w:spacing w:lineRule="auto" w:line="288" w:before="11" w:after="283"/>
        <w:ind w:left="0" w:right="0" w:hanging="360"/>
        <w:jc w:val="left"/>
        <w:rPr/>
      </w:pPr>
      <w:r>
        <w:rPr>
          <w:color w:val="000000"/>
        </w:rPr>
        <w:t>•</w:t>
      </w:r>
      <w:r>
        <w:rPr>
          <w:rFonts w:ascii="Times New Roman;sans-serif" w:hAnsi="Times New Roman;sans-serif"/>
          <w:b w:val="false"/>
          <w:color w:val="000000"/>
          <w:sz w:val="24"/>
        </w:rPr>
        <w:t>earnings that are inconsistent with the consensus expectations of the investment community;</w:t>
      </w:r>
    </w:p>
    <w:p>
      <w:pPr>
        <w:pStyle w:val="TextBody"/>
        <w:bidi w:val="0"/>
        <w:spacing w:lineRule="auto" w:line="288" w:before="1" w:after="283"/>
        <w:ind w:left="0" w:right="0" w:hanging="360"/>
        <w:jc w:val="left"/>
        <w:rPr/>
      </w:pPr>
      <w:r>
        <w:rPr>
          <w:color w:val="000000"/>
        </w:rPr>
        <w:t>•</w:t>
      </w:r>
      <w:r>
        <w:rPr>
          <w:rFonts w:ascii="Times New Roman;sans-serif" w:hAnsi="Times New Roman;sans-serif"/>
          <w:b w:val="false"/>
          <w:color w:val="000000"/>
          <w:sz w:val="24"/>
        </w:rPr>
        <w:t>a pending or proposed merger, acquisition or tender offer, or an acquisition or disposition of significant assets;</w:t>
      </w:r>
    </w:p>
    <w:p>
      <w:pPr>
        <w:pStyle w:val="TextBody"/>
        <w:bidi w:val="0"/>
        <w:spacing w:lineRule="atLeast" w:line="282" w:before="0" w:after="0"/>
        <w:ind w:left="0" w:right="0" w:hanging="359"/>
        <w:jc w:val="left"/>
        <w:rPr/>
      </w:pPr>
      <w:r>
        <w:rPr>
          <w:color w:val="000000"/>
        </w:rPr>
        <w:t>•</w:t>
      </w:r>
      <w:r>
        <w:rPr>
          <w:rFonts w:ascii="Times New Roman;sans-serif" w:hAnsi="Times New Roman;sans-serif"/>
          <w:b w:val="false"/>
          <w:color w:val="000000"/>
          <w:sz w:val="24"/>
        </w:rPr>
        <w:t>a change in dividend policy or an offering of additional securities;</w:t>
      </w:r>
    </w:p>
    <w:p>
      <w:pPr>
        <w:pStyle w:val="TextBody"/>
        <w:bidi w:val="0"/>
        <w:spacing w:lineRule="atLeast" w:line="292" w:before="0" w:after="0"/>
        <w:ind w:left="0" w:right="0" w:hanging="359"/>
        <w:jc w:val="left"/>
        <w:rPr/>
      </w:pPr>
      <w:r>
        <w:rPr>
          <w:color w:val="000000"/>
        </w:rPr>
        <w:t>•</w:t>
      </w:r>
      <w:r>
        <w:rPr>
          <w:rFonts w:ascii="Times New Roman;sans-serif" w:hAnsi="Times New Roman;sans-serif"/>
          <w:b w:val="false"/>
          <w:color w:val="000000"/>
          <w:sz w:val="24"/>
        </w:rPr>
        <w:t>bank borrowings or other financing transactions out of the ordinary course;</w:t>
      </w:r>
    </w:p>
    <w:p>
      <w:pPr>
        <w:pStyle w:val="TextBody"/>
        <w:bidi w:val="0"/>
        <w:spacing w:lineRule="atLeast" w:line="292" w:before="1" w:after="283"/>
        <w:ind w:left="0" w:right="0" w:hanging="359"/>
        <w:jc w:val="left"/>
        <w:rPr/>
      </w:pPr>
      <w:r>
        <w:rPr>
          <w:color w:val="000000"/>
        </w:rPr>
        <w:t>•</w:t>
      </w:r>
      <w:r>
        <w:rPr>
          <w:rFonts w:ascii="Times New Roman;sans-serif" w:hAnsi="Times New Roman;sans-serif"/>
          <w:b w:val="false"/>
          <w:color w:val="000000"/>
          <w:sz w:val="24"/>
        </w:rPr>
        <w:t>a change in executive officers or Board of the Company;</w:t>
      </w:r>
    </w:p>
    <w:p>
      <w:pPr>
        <w:pStyle w:val="TextBody"/>
        <w:bidi w:val="0"/>
        <w:spacing w:lineRule="atLeast" w:line="292" w:before="0" w:after="0"/>
        <w:ind w:left="0" w:right="0" w:hanging="359"/>
        <w:jc w:val="left"/>
        <w:rPr/>
      </w:pPr>
      <w:r>
        <w:rPr>
          <w:color w:val="000000"/>
        </w:rPr>
        <w:t>•</w:t>
      </w:r>
      <w:r>
        <w:rPr>
          <w:rFonts w:ascii="Times New Roman;sans-serif" w:hAnsi="Times New Roman;sans-serif"/>
          <w:b w:val="false"/>
          <w:color w:val="000000"/>
          <w:sz w:val="24"/>
        </w:rPr>
        <w:t>a significant cybersecurity breach;</w:t>
      </w:r>
    </w:p>
    <w:p>
      <w:pPr>
        <w:pStyle w:val="TextBody"/>
        <w:bidi w:val="0"/>
        <w:spacing w:lineRule="auto" w:line="288" w:before="11" w:after="283"/>
        <w:ind w:left="0" w:right="0" w:hanging="360"/>
        <w:jc w:val="left"/>
        <w:rPr/>
      </w:pPr>
      <w:r>
        <w:rPr>
          <w:color w:val="000000"/>
        </w:rPr>
        <w:t>•</w:t>
      </w:r>
      <w:r>
        <w:rPr>
          <w:rFonts w:ascii="Times New Roman;sans-serif" w:hAnsi="Times New Roman;sans-serif"/>
          <w:b w:val="false"/>
          <w:color w:val="000000"/>
          <w:sz w:val="24"/>
        </w:rPr>
        <w:t>a change in auditors or notification that the auditor’s reports may no longer be relied upon;</w:t>
      </w:r>
    </w:p>
    <w:p>
      <w:pPr>
        <w:pStyle w:val="TextBody"/>
        <w:bidi w:val="0"/>
        <w:spacing w:lineRule="atLeast" w:line="282" w:before="0" w:after="0"/>
        <w:ind w:left="0" w:right="0" w:hanging="359"/>
        <w:jc w:val="left"/>
        <w:rPr/>
      </w:pPr>
      <w:r>
        <w:rPr>
          <w:color w:val="000000"/>
        </w:rPr>
        <w:t>•</w:t>
      </w:r>
      <w:r>
        <w:rPr>
          <w:rFonts w:ascii="Times New Roman;sans-serif" w:hAnsi="Times New Roman;sans-serif"/>
          <w:b w:val="false"/>
          <w:color w:val="000000"/>
          <w:sz w:val="24"/>
        </w:rPr>
        <w:t>pending or threatened significant litigation, or the resolution thereof; and</w:t>
      </w:r>
    </w:p>
    <w:p>
      <w:pPr>
        <w:pStyle w:val="TextBody"/>
        <w:bidi w:val="0"/>
        <w:spacing w:lineRule="atLeast" w:line="292" w:before="0" w:after="0"/>
        <w:ind w:left="0" w:right="0" w:hanging="359"/>
        <w:jc w:val="left"/>
        <w:rPr/>
      </w:pPr>
      <w:r>
        <w:rPr>
          <w:color w:val="000000"/>
        </w:rPr>
        <w:t>•</w:t>
      </w:r>
      <w:r>
        <w:rPr>
          <w:rFonts w:ascii="Times New Roman;sans-serif" w:hAnsi="Times New Roman;sans-serif"/>
          <w:b w:val="false"/>
          <w:color w:val="000000"/>
          <w:sz w:val="24"/>
        </w:rPr>
        <w:t>impending bankruptcy or severe liquidity problems; and</w:t>
      </w:r>
    </w:p>
    <w:p>
      <w:pPr>
        <w:pStyle w:val="TextBody"/>
        <w:bidi w:val="0"/>
        <w:spacing w:lineRule="auto" w:line="288" w:before="11" w:after="283"/>
        <w:ind w:left="0" w:right="0" w:hanging="360"/>
        <w:jc w:val="left"/>
        <w:rPr/>
      </w:pPr>
      <w:r>
        <w:rPr>
          <w:color w:val="000000"/>
        </w:rPr>
        <w:t>•</w:t>
      </w:r>
      <w:r>
        <w:rPr>
          <w:rFonts w:ascii="Times New Roman;sans-serif" w:hAnsi="Times New Roman;sans-serif"/>
          <w:b w:val="false"/>
          <w:color w:val="000000"/>
          <w:sz w:val="24"/>
        </w:rPr>
        <w:t>an accounting restatement or announcement that nCino’s previously issued financial statements may not be relied upon.</w:t>
      </w:r>
    </w:p>
    <w:p>
      <w:pPr>
        <w:pStyle w:val="TextBody"/>
        <w:bidi w:val="0"/>
        <w:spacing w:lineRule="auto" w:line="288" w:before="273" w:after="283"/>
        <w:ind w:left="0" w:right="0" w:firstLine="620"/>
        <w:jc w:val="both"/>
        <w:rPr/>
      </w:pPr>
      <w:r>
        <w:rPr>
          <w:color w:val="000000"/>
        </w:rPr>
        <w:t>“</w:t>
      </w:r>
      <w:r>
        <w:rPr>
          <w:rFonts w:ascii="Times New Roman;sans-serif" w:hAnsi="Times New Roman;sans-serif"/>
          <w:b/>
          <w:color w:val="000000"/>
          <w:sz w:val="24"/>
        </w:rPr>
        <w:t>Public</w:t>
      </w:r>
      <w:r>
        <w:rPr>
          <w:color w:val="000000"/>
        </w:rPr>
        <w:t>”</w:t>
      </w:r>
      <w:r>
        <w:rPr>
          <w:rFonts w:ascii="Times New Roman;sans-serif" w:hAnsi="Times New Roman;sans-serif"/>
          <w:b w:val="false"/>
          <w:color w:val="000000"/>
          <w:sz w:val="24"/>
        </w:rPr>
        <w:t>: Information is considered to be available to the public only after it has been widely disseminated to the marketplace (e.g., by press release, webcast conference or a filing with the SEC). By contrast, information would likely not be considered widely disseminated to the marketplace (i.e., “nonpublic”) if it is available only to the Company employees, or if it is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39700"/>
                <wp:effectExtent l="0" t="0" r="0" b="0"/>
                <wp:wrapNone/>
                <wp:docPr id="112" name="Frame11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- 3 -</w:t>
                      </w:r>
                    </w:p>
                  </w:txbxContent>
                </v:textbox>
                <w10:wrap type="none"/>
              </v:rect>
            </w:pict>
          </mc:Fallback>
        </mc:AlternateContent>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only to a select group of analysts, brokers and institutional investors. Once information has been widely disseminated, it is still necessary to afford the investing public with sufficient time to absorb the information. To avoid the appearance of impropriety, and as a general rule, information should not be considered fully absorbed by the marketplace until after the second full Trading Day after the information is released. Depending on the particular circumstances, the Company may determine that a longer or shorter period should apply to the release of specific material, nonpublic information. Under SEC rules, except in limited circumstances, the prohibition against trading while in possession of material, nonpublic information is true regardless of whether the information is “used” or otherwise relied upon in making the decision to trade.</w:t>
      </w:r>
    </w:p>
    <w:p>
      <w:pPr>
        <w:pStyle w:val="TextBody"/>
        <w:bidi w:val="0"/>
        <w:spacing w:before="1" w:after="283"/>
        <w:jc w:val="left"/>
        <w:rPr/>
      </w:pPr>
      <w:r>
        <w:rPr/>
      </w:r>
    </w:p>
    <w:p>
      <w:pPr>
        <w:pStyle w:val="TextBody"/>
        <w:bidi w:val="0"/>
        <w:spacing w:lineRule="auto" w:line="288" w:before="0" w:after="0"/>
        <w:ind w:left="0" w:right="0" w:firstLine="620"/>
        <w:jc w:val="both"/>
        <w:rPr/>
      </w:pPr>
      <w:r>
        <w:rPr>
          <w:rFonts w:ascii="Times New Roman;sans-serif" w:hAnsi="Times New Roman;sans-serif"/>
          <w:b w:val="false"/>
          <w:color w:val="000000"/>
          <w:sz w:val="24"/>
        </w:rPr>
        <w:t>For the purposes of this policy, a “</w:t>
      </w:r>
      <w:r>
        <w:rPr>
          <w:rFonts w:ascii="Times New Roman;sans-serif" w:hAnsi="Times New Roman;sans-serif"/>
          <w:b/>
          <w:color w:val="000000"/>
          <w:sz w:val="24"/>
        </w:rPr>
        <w:t>Trading Day</w:t>
      </w:r>
      <w:r>
        <w:rPr>
          <w:color w:val="000000"/>
        </w:rPr>
        <w:t xml:space="preserve">” </w:t>
      </w:r>
      <w:r>
        <w:rPr>
          <w:rFonts w:ascii="Times New Roman;sans-serif" w:hAnsi="Times New Roman;sans-serif"/>
          <w:b w:val="false"/>
          <w:color w:val="000000"/>
          <w:sz w:val="24"/>
        </w:rPr>
        <w:t>shall mean any day on which the Nasdaq Stock Market is open for trading. For example, if nCino issues a press release containing material information at 6:00 p.m. on a Tuesday, and the Nasdaq Stock Market is open for trading on Wednesday, persons subject to this policy shall not be permitted to trade in nCino stock until Thursday. If nCino issues a press release containing material information at 6:00 p.m. on a Friday, and the Nasdaq Stock Market is open for trading on Monday, persons subject to this policy shall not be permitted to trade in nCino stock until Tuesday.</w:t>
      </w:r>
    </w:p>
    <w:p>
      <w:pPr>
        <w:pStyle w:val="TextBody"/>
        <w:bidi w:val="0"/>
        <w:spacing w:lineRule="auto" w:line="288" w:before="274" w:after="283"/>
        <w:jc w:val="both"/>
        <w:rPr>
          <w:rFonts w:ascii="Times New Roman;sans-serif" w:hAnsi="Times New Roman;sans-serif"/>
          <w:b/>
          <w:color w:val="000000"/>
          <w:sz w:val="24"/>
          <w:u w:val="single"/>
        </w:rPr>
      </w:pPr>
      <w:r>
        <w:rPr>
          <w:rFonts w:ascii="Times New Roman;sans-serif" w:hAnsi="Times New Roman;sans-serif"/>
          <w:b/>
          <w:color w:val="000000"/>
          <w:sz w:val="24"/>
          <w:u w:val="single"/>
        </w:rPr>
        <w:t>Rule 10b5-1 Trading Plans</w:t>
      </w:r>
    </w:p>
    <w:p>
      <w:pPr>
        <w:pStyle w:val="TextBody"/>
        <w:bidi w:val="0"/>
        <w:spacing w:before="3" w:after="283"/>
        <w:jc w:val="left"/>
        <w:rPr/>
      </w:pPr>
      <w:r>
        <w:rPr/>
      </w:r>
    </w:p>
    <w:p>
      <w:pPr>
        <w:pStyle w:val="TextBody"/>
        <w:bidi w:val="0"/>
        <w:spacing w:lineRule="auto" w:line="288" w:before="0" w:after="0"/>
        <w:ind w:left="0" w:right="0" w:firstLine="855"/>
        <w:jc w:val="right"/>
        <w:rPr>
          <w:rFonts w:ascii="Times New Roman;sans-serif" w:hAnsi="Times New Roman;sans-serif"/>
          <w:b w:val="false"/>
          <w:color w:val="000000"/>
          <w:sz w:val="24"/>
        </w:rPr>
      </w:pPr>
      <w:r>
        <w:rPr>
          <w:rFonts w:ascii="Times New Roman;sans-serif" w:hAnsi="Times New Roman;sans-serif"/>
          <w:b w:val="false"/>
          <w:color w:val="000000"/>
          <w:sz w:val="24"/>
        </w:rPr>
        <w:t>Rule 10b5-1 under the Securities Exchange Act of 1934 provides an affirmative defense against a claim of insider trading if trades are made pursuant to a written plan that was adopted in good faith at a time when the individual was not aware of material nonpublic information. All individuals entering into a Rule 10b5-1 trading plan must act in good faith in respect to that plan. It is the Company’s policy that employees and directors may make trades pursuant to a Rule 10b5-1 plan adopted in good faith provided that, without limitation (i) such plan meets the requirements of Rule 10b5-1, (ii) such plan was adopted at a time when the employee or director would otherwise have been able to trade under this Policy, (iii) employees and directors include a representation in their Rule 10b5-1 plans that at the time of adoption or modification of the plan they are not aware of any material nonpublic information and are adopting the plan in good faith</w:t>
      </w:r>
    </w:p>
    <w:p>
      <w:pPr>
        <w:pStyle w:val="TextBody"/>
        <w:bidi w:val="0"/>
        <w:spacing w:lineRule="atLeast" w:line="275"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and (iv) adoption of the plan is approved in writing by the Company’s Chief Legal Officer.</w:t>
      </w:r>
    </w:p>
    <w:p>
      <w:pPr>
        <w:pStyle w:val="TextBody"/>
        <w:bidi w:val="0"/>
        <w:spacing w:lineRule="auto" w:line="288" w:before="0" w:after="0"/>
        <w:ind w:left="0" w:right="0" w:firstLine="620"/>
        <w:jc w:val="both"/>
        <w:rPr>
          <w:rFonts w:ascii="Times New Roman;sans-serif" w:hAnsi="Times New Roman;sans-serif"/>
          <w:b w:val="false"/>
          <w:color w:val="000000"/>
          <w:sz w:val="24"/>
        </w:rPr>
      </w:pPr>
      <w:r>
        <w:rPr>
          <w:rFonts w:ascii="Times New Roman;sans-serif" w:hAnsi="Times New Roman;sans-serif"/>
          <w:b w:val="false"/>
          <w:color w:val="000000"/>
          <w:sz w:val="24"/>
        </w:rPr>
        <w:t>Following the adoption or modification of a Rule 10b5-1 plan, the first trade may not take place until after the expiration of the applicable cooling off period: (1) for nCino executive officers and directors, the later of (i) 90 days after adoption of the plan or (ii) two business days following disclosure of nCino’s financial results in a Form 10-Q or 10-K for the completed fiscal period in which the plan was adopted, and (2) for all other employees with 10b5-1 plans, 30 days after adoption of the plan.</w:t>
      </w:r>
    </w:p>
    <w:p>
      <w:pPr>
        <w:pStyle w:val="TextBody"/>
        <w:bidi w:val="0"/>
        <w:spacing w:lineRule="auto" w:line="288" w:before="0" w:after="0"/>
        <w:ind w:left="0" w:right="0" w:firstLine="620"/>
        <w:jc w:val="both"/>
        <w:rPr>
          <w:rFonts w:ascii="Times New Roman;sans-serif" w:hAnsi="Times New Roman;sans-serif"/>
          <w:b w:val="false"/>
          <w:color w:val="000000"/>
          <w:sz w:val="24"/>
        </w:rPr>
      </w:pPr>
      <w:r>
        <w:rPr>
          <w:rFonts w:ascii="Times New Roman;sans-serif" w:hAnsi="Times New Roman;sans-serif"/>
          <w:b w:val="false"/>
          <w:color w:val="000000"/>
          <w:sz w:val="24"/>
        </w:rPr>
        <w:t>Only one active plan is permitted, unless an exception is approved in advance by the Company’s Chief Legal Officer, after evaluating whether any such additional plan would be permitted under Rule 10b5-1. In addition, only one single-trade plan is permitted within any consecutive 12-month period.</w:t>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Note that trades made pursuant to Rule 10b5-1 plans by executive officers and directors must still be reported to the Company’s Chief Legal Officer. Such trades are subject to any applicable reporting requirements of Section 16 of the Securities Exchange Act and Rule 144 of the Securities Act of 1933, as amended, and you are responsible for ensuring that any required filings are timely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39700"/>
                <wp:effectExtent l="0" t="0" r="0" b="0"/>
                <wp:wrapNone/>
                <wp:docPr id="113" name="Frame11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- 4 -</w:t>
                      </w:r>
                    </w:p>
                  </w:txbxContent>
                </v:textbox>
                <w10:wrap type="none"/>
              </v:rect>
            </w:pict>
          </mc:Fallback>
        </mc:AlternateContent>
      </w:r>
    </w:p>
    <w:p>
      <w:pPr>
        <w:pStyle w:val="TextBody"/>
        <w:bidi w:val="0"/>
        <w:spacing w:lineRule="auto" w:line="288" w:before="61"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Pre-clearance Group</w:t>
      </w:r>
    </w:p>
    <w:p>
      <w:pPr>
        <w:pStyle w:val="TextBody"/>
        <w:bidi w:val="0"/>
        <w:spacing w:lineRule="auto" w:line="283" w:before="274" w:after="283"/>
        <w:ind w:left="0" w:right="0" w:firstLine="720"/>
        <w:jc w:val="left"/>
        <w:rPr/>
      </w:pPr>
      <w:r>
        <w:rPr>
          <w:rFonts w:ascii="Times New Roman;sans-serif" w:hAnsi="Times New Roman;sans-serif"/>
          <w:b w:val="false"/>
          <w:color w:val="000000"/>
          <w:sz w:val="24"/>
        </w:rPr>
        <w:t>The pre-clearance procedures described in this Policy apply to (the “</w:t>
      </w:r>
      <w:r>
        <w:rPr>
          <w:rFonts w:ascii="Times New Roman;sans-serif" w:hAnsi="Times New Roman;sans-serif"/>
          <w:b/>
          <w:color w:val="000000"/>
          <w:sz w:val="24"/>
        </w:rPr>
        <w:t>Pre-clearance Group</w:t>
      </w:r>
      <w:r>
        <w:rPr>
          <w:color w:val="000000"/>
        </w:rPr>
        <w:t>”</w:t>
      </w:r>
      <w:r>
        <w:rPr>
          <w:rFonts w:ascii="Times New Roman;sans-serif" w:hAnsi="Times New Roman;sans-serif"/>
          <w:b w:val="false"/>
          <w:color w:val="000000"/>
          <w:sz w:val="24"/>
        </w:rPr>
        <w:t>):</w:t>
      </w:r>
    </w:p>
    <w:p>
      <w:pPr>
        <w:pStyle w:val="TextBody"/>
        <w:bidi w:val="0"/>
        <w:spacing w:lineRule="atLeast" w:line="274" w:before="0" w:after="0"/>
        <w:ind w:left="0" w:right="0" w:hanging="359"/>
        <w:jc w:val="left"/>
        <w:rPr/>
      </w:pPr>
      <w:r>
        <w:rPr>
          <w:color w:val="000000"/>
        </w:rPr>
        <w:t>•</w:t>
      </w:r>
      <w:r>
        <w:rPr>
          <w:rFonts w:ascii="Times New Roman;sans-serif" w:hAnsi="Times New Roman;sans-serif"/>
          <w:b w:val="false"/>
          <w:color w:val="000000"/>
          <w:sz w:val="24"/>
        </w:rPr>
        <w:t>members of the Board;</w:t>
      </w:r>
    </w:p>
    <w:p>
      <w:pPr>
        <w:pStyle w:val="TextBody"/>
        <w:bidi w:val="0"/>
        <w:spacing w:lineRule="auto" w:line="288" w:before="1" w:after="283"/>
        <w:ind w:left="0" w:right="0" w:hanging="359"/>
        <w:jc w:val="left"/>
        <w:rPr/>
      </w:pPr>
      <w:r>
        <w:rPr>
          <w:color w:val="000000"/>
        </w:rPr>
        <w:t>•</w:t>
      </w:r>
      <w:r>
        <w:rPr>
          <w:rFonts w:ascii="Times New Roman;sans-serif" w:hAnsi="Times New Roman;sans-serif"/>
          <w:b w:val="false"/>
          <w:color w:val="000000"/>
          <w:sz w:val="24"/>
        </w:rPr>
        <w:t>executive officers of the Company;</w:t>
      </w:r>
    </w:p>
    <w:p>
      <w:pPr>
        <w:pStyle w:val="TextBody"/>
        <w:bidi w:val="0"/>
        <w:spacing w:lineRule="auto" w:line="288" w:before="11" w:after="283"/>
        <w:ind w:left="0" w:right="0" w:hanging="360"/>
        <w:jc w:val="left"/>
        <w:rPr/>
      </w:pPr>
      <w:r>
        <w:rPr>
          <w:color w:val="000000"/>
        </w:rPr>
        <w:t>•</w:t>
      </w:r>
      <w:r>
        <w:rPr>
          <w:rFonts w:ascii="Times New Roman;sans-serif" w:hAnsi="Times New Roman;sans-serif"/>
          <w:b w:val="false"/>
          <w:color w:val="000000"/>
          <w:sz w:val="24"/>
        </w:rPr>
        <w:t>those individuals that the Company has notified in writing to be a member of the Pre- clearance Group, and</w:t>
      </w:r>
    </w:p>
    <w:p>
      <w:pPr>
        <w:pStyle w:val="TextBody"/>
        <w:bidi w:val="0"/>
        <w:spacing w:lineRule="atLeast" w:line="279" w:before="0" w:after="0"/>
        <w:ind w:left="0" w:right="0" w:hanging="359"/>
        <w:jc w:val="left"/>
        <w:rPr/>
      </w:pPr>
      <w:r>
        <w:rPr>
          <w:color w:val="000000"/>
        </w:rPr>
        <w:t>•</w:t>
      </w:r>
      <w:r>
        <w:rPr>
          <w:rFonts w:ascii="Times New Roman;sans-serif" w:hAnsi="Times New Roman;sans-serif"/>
          <w:b w:val="false"/>
          <w:color w:val="000000"/>
          <w:sz w:val="24"/>
        </w:rPr>
        <w:t>the Covered Family Members of each of the persons described above.</w:t>
      </w:r>
    </w:p>
    <w:p>
      <w:pPr>
        <w:pStyle w:val="TextBody"/>
        <w:bidi w:val="0"/>
        <w:spacing w:before="8" w:after="283"/>
        <w:jc w:val="left"/>
        <w:rPr/>
      </w:pPr>
      <w:r>
        <w:rPr/>
      </w:r>
    </w:p>
    <w:p>
      <w:pPr>
        <w:pStyle w:val="TextBody"/>
        <w:bidi w:val="0"/>
        <w:spacing w:lineRule="auto" w:line="288" w:before="0" w:after="0"/>
        <w:ind w:left="0" w:right="0" w:firstLine="715"/>
        <w:jc w:val="both"/>
        <w:rPr/>
      </w:pPr>
      <w:r>
        <w:rPr>
          <w:rFonts w:ascii="Times New Roman;sans-serif" w:hAnsi="Times New Roman;sans-serif"/>
          <w:b/>
          <w:color w:val="000000"/>
          <w:sz w:val="24"/>
        </w:rPr>
        <w:t xml:space="preserve">Pre-clearance Procedures. </w:t>
      </w:r>
      <w:r>
        <w:rPr>
          <w:rFonts w:ascii="Times New Roman;sans-serif" w:hAnsi="Times New Roman;sans-serif"/>
          <w:b w:val="false"/>
          <w:color w:val="000000"/>
          <w:sz w:val="24"/>
        </w:rPr>
        <w:t xml:space="preserve">The Pre-clearance Group may not engage in any transaction involving Company securities (including a stock plan transaction and gifts) at any time without first obtaining pre-clearance of the transaction in accordance with the pre-clearances procedures set forth in this Policy. Requests for pre-clearance by members of the Pre-clearance Group (including requests on behalf of their respective Covered Family Members) must be made to </w:t>
      </w:r>
      <w:r>
        <w:rPr>
          <w:rFonts w:ascii="Times New Roman;sans-serif" w:hAnsi="Times New Roman;sans-serif"/>
          <w:b/>
          <w:color w:val="000000"/>
          <w:sz w:val="24"/>
        </w:rPr>
        <w:t xml:space="preserve">preclearance@ncino.com </w:t>
      </w:r>
      <w:r>
        <w:rPr>
          <w:rFonts w:ascii="Times New Roman;sans-serif" w:hAnsi="Times New Roman;sans-serif"/>
          <w:b w:val="false"/>
          <w:color w:val="000000"/>
          <w:sz w:val="24"/>
        </w:rPr>
        <w:t xml:space="preserve">and should be submitted at least </w:t>
      </w:r>
      <w:r>
        <w:rPr>
          <w:rFonts w:ascii="Times New Roman;sans-serif" w:hAnsi="Times New Roman;sans-serif"/>
          <w:b/>
          <w:color w:val="000000"/>
          <w:sz w:val="24"/>
        </w:rPr>
        <w:t xml:space="preserve">two (2) business days in advance </w:t>
      </w:r>
      <w:r>
        <w:rPr>
          <w:rFonts w:ascii="Times New Roman;sans-serif" w:hAnsi="Times New Roman;sans-serif"/>
          <w:b w:val="false"/>
          <w:color w:val="000000"/>
          <w:sz w:val="24"/>
        </w:rPr>
        <w:t>of the proposed transaction. The fact that a particular transaction has been approved by the Company does not indicate that such transaction complies with the federal securities laws and will not insulate the person engaging in the transaction from liability if it in fact the transaction violates such laws. If a proposed transaction receives pre-clearance, the pre-cleared trade must be effected within 48 hours of receipt of pre-clearance. If the person becomes aware of material nonpublic information before the trade is executed, the pre-clearance is void and the trade must not be completed. Transactions not effected within the time limit become subject to pre-clearance again. If a person seeks pre-clearance and permission to engage in the transaction is denied, then he or she should refrain from initiating any transaction in securities of the Company and should not inform any other person of the restriction.</w:t>
      </w:r>
    </w:p>
    <w:p>
      <w:pPr>
        <w:pStyle w:val="TextBody"/>
        <w:bidi w:val="0"/>
        <w:spacing w:lineRule="auto" w:line="288" w:before="246" w:after="283"/>
        <w:ind w:left="0" w:right="0" w:firstLine="715"/>
        <w:jc w:val="both"/>
        <w:rPr>
          <w:rFonts w:ascii="Times New Roman;sans-serif" w:hAnsi="Times New Roman;sans-serif"/>
          <w:b w:val="false"/>
          <w:color w:val="000000"/>
          <w:sz w:val="24"/>
        </w:rPr>
      </w:pPr>
      <w:r>
        <w:rPr>
          <w:rFonts w:ascii="Times New Roman;sans-serif" w:hAnsi="Times New Roman;sans-serif"/>
          <w:b w:val="false"/>
          <w:color w:val="000000"/>
          <w:sz w:val="24"/>
        </w:rPr>
        <w:t>Executive officers and directors must submit to the Company’s Chief Legal Officer a copy of any trade order or confirmation relating to the purchase or sale of nCino securities within one business day of any such transaction. This information is necessary to enable us to monitor trading by executive officers and directors and ensure that all such trades are properly reported. Your adherence to this policy is vital to your protection as well as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nCino’s.</w:t>
      </w:r>
    </w:p>
    <w:p>
      <w:pPr>
        <w:pStyle w:val="TextBody"/>
        <w:bidi w:val="0"/>
        <w:spacing w:lineRule="auto" w:line="288" w:before="274" w:after="283"/>
        <w:ind w:left="0" w:right="0" w:firstLine="720"/>
        <w:jc w:val="both"/>
        <w:rPr/>
      </w:pPr>
      <w:r>
        <w:rPr>
          <w:rFonts w:ascii="Times New Roman;sans-serif" w:hAnsi="Times New Roman;sans-serif"/>
          <w:b/>
          <w:color w:val="000000"/>
          <w:sz w:val="24"/>
        </w:rPr>
        <w:t xml:space="preserve">Post-Termination Transactions. </w:t>
      </w:r>
      <w:r>
        <w:rPr>
          <w:rFonts w:ascii="Times New Roman;sans-serif" w:hAnsi="Times New Roman;sans-serif"/>
          <w:b w:val="false"/>
          <w:color w:val="000000"/>
          <w:sz w:val="24"/>
        </w:rPr>
        <w:t>If you are a member of the Pre-clearance Group and you aware of material, nonpublic information when you terminate service with the Company, you may not trade in Company securities until that information has become public or is no longer material. In all other respects, the procedures set forth in this Policy will cease to apply to transactions in Company securities upon the expiration of any blackout period that is applicable at the time of a Pre-clearance Group member’s (excluding officers and directors) termination of service.</w:t>
      </w:r>
    </w:p>
    <w:p>
      <w:pPr>
        <w:pStyle w:val="TextBody"/>
        <w:bidi w:val="0"/>
        <w:spacing w:before="83"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4"/>
        </w:rPr>
        <w:t>Permitted Trading Periods for Preclearance Group</w:t>
      </w:r>
      <w:r>
        <w:rPr>
          <w:rFonts w:ascii="Times New Roman;sans-serif" w:hAnsi="Times New Roman;sans-serif"/>
          <w:b w:val="false"/>
          <w:color w:val="000000"/>
          <w:sz w:val="24"/>
        </w:rPr>
        <w:t>. Preclearance Group members may only trade nCino securities during the period commencing one full Trading Day following a release of quarterly results, and ending on the first Trading Day that is fifteen days prior to the end of the subsequent quarter.</w:t>
      </w:r>
    </w:p>
    <w:p>
      <w:pPr>
        <w:pStyle w:val="TextBody"/>
        <w:bidi w:val="0"/>
        <w:spacing w:lineRule="auto" w:line="288" w:before="77" w:after="283"/>
        <w:ind w:left="0" w:right="0" w:firstLine="715"/>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as mentioned above, no trade of nCino securities may be made during these periods if the person covered by this Policy possesses material nonpublic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39700"/>
                <wp:effectExtent l="0" t="0" r="0" b="0"/>
                <wp:wrapNone/>
                <wp:docPr id="114" name="Frame11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- 5 -</w:t>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information which has not been disseminated in the public market for at least one full Trading Day.</w:t>
      </w:r>
    </w:p>
    <w:p>
      <w:pPr>
        <w:pStyle w:val="TextBody"/>
        <w:bidi w:val="0"/>
        <w:spacing w:before="3" w:after="283"/>
        <w:jc w:val="left"/>
        <w:rPr/>
      </w:pPr>
      <w:r>
        <w:rPr/>
      </w:r>
    </w:p>
    <w:p>
      <w:pPr>
        <w:pStyle w:val="TextBody"/>
        <w:bidi w:val="0"/>
        <w:spacing w:lineRule="auto" w:line="288" w:before="0" w:after="0"/>
        <w:ind w:left="0" w:right="0" w:firstLine="715"/>
        <w:jc w:val="both"/>
        <w:rPr>
          <w:rFonts w:ascii="Times New Roman;sans-serif" w:hAnsi="Times New Roman;sans-serif"/>
          <w:b w:val="false"/>
          <w:color w:val="000000"/>
          <w:sz w:val="24"/>
        </w:rPr>
      </w:pPr>
      <w:r>
        <w:rPr>
          <w:rFonts w:ascii="Times New Roman;sans-serif" w:hAnsi="Times New Roman;sans-serif"/>
          <w:b w:val="false"/>
          <w:color w:val="000000"/>
          <w:sz w:val="24"/>
        </w:rPr>
        <w:t>From time to time, the Company may impose event-specific special blackout periods during which some or all Preclearance Group members are prohibited from trading in nCino securities. The existence of an event-specific special blackout period should itself be treated as material, nonpublic information.</w:t>
      </w:r>
    </w:p>
    <w:p>
      <w:pPr>
        <w:pStyle w:val="TextBody"/>
        <w:bidi w:val="0"/>
        <w:spacing w:before="0" w:after="0"/>
        <w:jc w:val="left"/>
        <w:rPr/>
      </w:pPr>
      <w:r>
        <w:rPr/>
      </w:r>
    </w:p>
    <w:p>
      <w:pPr>
        <w:pStyle w:val="TextBody"/>
        <w:bidi w:val="0"/>
        <w:spacing w:lineRule="auto" w:line="288" w:before="0" w:after="0"/>
        <w:ind w:left="0" w:right="0" w:firstLine="715"/>
        <w:jc w:val="both"/>
        <w:rPr>
          <w:rFonts w:ascii="Times New Roman;sans-serif" w:hAnsi="Times New Roman;sans-serif"/>
          <w:b w:val="false"/>
          <w:color w:val="000000"/>
          <w:sz w:val="24"/>
        </w:rPr>
      </w:pPr>
      <w:r>
        <w:rPr>
          <w:rFonts w:ascii="Times New Roman;sans-serif" w:hAnsi="Times New Roman;sans-serif"/>
          <w:b w:val="false"/>
          <w:color w:val="000000"/>
          <w:sz w:val="24"/>
        </w:rPr>
        <w:t>The trading restrictions set forth in this section do not apply to any trades made pursuant to properly qualified, adopted and submitted Rule 10b5-1 trading plans.</w:t>
      </w:r>
    </w:p>
    <w:p>
      <w:pPr>
        <w:pStyle w:val="TextBody"/>
        <w:bidi w:val="0"/>
        <w:spacing w:lineRule="auto" w:line="288" w:before="273"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Hedging Transactions</w:t>
      </w:r>
    </w:p>
    <w:p>
      <w:pPr>
        <w:pStyle w:val="TextBody"/>
        <w:bidi w:val="0"/>
        <w:spacing w:lineRule="auto" w:line="288" w:before="239" w:after="283"/>
        <w:ind w:left="0" w:right="0" w:firstLine="715"/>
        <w:jc w:val="both"/>
        <w:rPr>
          <w:rFonts w:ascii="Times New Roman;sans-serif" w:hAnsi="Times New Roman;sans-serif"/>
          <w:b w:val="false"/>
          <w:color w:val="000000"/>
          <w:sz w:val="24"/>
        </w:rPr>
      </w:pPr>
      <w:r>
        <w:rPr>
          <w:rFonts w:ascii="Times New Roman;sans-serif" w:hAnsi="Times New Roman;sans-serif"/>
          <w:b w:val="false"/>
          <w:color w:val="000000"/>
          <w:sz w:val="24"/>
        </w:rPr>
        <w:t>Hedging transactions may insulate you from upside or downside price movement in nCino stock which can result in the perception that you no longer have the same interests as the Company’s other stockholders. Accordingly, no Covered Person may enter into hedging or monetization transactions or similar arrangements with respect to nCino stock, including the purchase or sale of puts or calls or the use of any other derivative instruments.</w:t>
      </w:r>
    </w:p>
    <w:p>
      <w:pPr>
        <w:pStyle w:val="TextBody"/>
        <w:bidi w:val="0"/>
        <w:spacing w:lineRule="auto" w:line="288" w:before="246"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Margin Accounts and Pledging</w:t>
      </w:r>
    </w:p>
    <w:p>
      <w:pPr>
        <w:pStyle w:val="TextBody"/>
        <w:bidi w:val="0"/>
        <w:spacing w:before="78" w:after="283"/>
        <w:jc w:val="left"/>
        <w:rPr/>
      </w:pPr>
      <w:r>
        <w:rPr/>
      </w:r>
    </w:p>
    <w:p>
      <w:pPr>
        <w:pStyle w:val="TextBody"/>
        <w:bidi w:val="0"/>
        <w:spacing w:lineRule="auto" w:line="288" w:before="0" w:after="0"/>
        <w:ind w:left="0" w:right="0" w:firstLine="715"/>
        <w:jc w:val="both"/>
        <w:rPr>
          <w:rFonts w:ascii="Times New Roman;sans-serif" w:hAnsi="Times New Roman;sans-serif"/>
          <w:b w:val="false"/>
          <w:color w:val="000000"/>
          <w:sz w:val="24"/>
        </w:rPr>
      </w:pPr>
      <w:r>
        <w:rPr>
          <w:rFonts w:ascii="Times New Roman;sans-serif" w:hAnsi="Times New Roman;sans-serif"/>
          <w:b w:val="false"/>
          <w:color w:val="000000"/>
          <w:sz w:val="24"/>
        </w:rPr>
        <w:t>Securities held in a margin account or pledged as collateral for a loan may be sold without your consent by the broker if you fail to meet a margin call or by the lender in foreclosure if you default on the loan. A margin or foreclosure sale that occurs when you are aware of material nonpublic information may, under some circumstances, result in unlawful insider trading. Because of this risk, no Covered Person may hold Company securities in a margin account nor pledge Company securities as collateral for a loan.</w:t>
      </w:r>
    </w:p>
    <w:p>
      <w:pPr>
        <w:pStyle w:val="TextBody"/>
        <w:bidi w:val="0"/>
        <w:spacing w:lineRule="auto" w:line="288" w:before="275"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Confidentiality</w:t>
      </w:r>
    </w:p>
    <w:p>
      <w:pPr>
        <w:pStyle w:val="TextBody"/>
        <w:bidi w:val="0"/>
        <w:spacing w:lineRule="auto" w:line="288" w:before="239" w:after="283"/>
        <w:ind w:left="0" w:right="0" w:firstLine="715"/>
        <w:jc w:val="both"/>
        <w:rPr>
          <w:rFonts w:ascii="Times New Roman;sans-serif" w:hAnsi="Times New Roman;sans-serif"/>
          <w:b w:val="false"/>
          <w:color w:val="000000"/>
          <w:sz w:val="24"/>
        </w:rPr>
      </w:pPr>
      <w:r>
        <w:rPr>
          <w:rFonts w:ascii="Times New Roman;sans-serif" w:hAnsi="Times New Roman;sans-serif"/>
          <w:b w:val="false"/>
          <w:color w:val="000000"/>
          <w:sz w:val="24"/>
        </w:rPr>
        <w:t>Unauthorized disclosure of internal information about nCino could create significant problems for nCino and for you. These problems may arise whether or not the disclosure was made for the purpose of facilitating improper trading in nCino securities. Therefore, Covered Persons should not discuss internal matters or developments with anyone outside of nCino, except as required in the performance of regular job requirements.</w:t>
      </w:r>
    </w:p>
    <w:p>
      <w:pPr>
        <w:pStyle w:val="TextBody"/>
        <w:bidi w:val="0"/>
        <w:spacing w:before="5" w:after="283"/>
        <w:jc w:val="left"/>
        <w:rPr/>
      </w:pPr>
      <w:r>
        <w:rPr/>
      </w:r>
    </w:p>
    <w:p>
      <w:pPr>
        <w:pStyle w:val="TextBody"/>
        <w:bidi w:val="0"/>
        <w:spacing w:lineRule="auto" w:line="288" w:before="0" w:after="0"/>
        <w:ind w:left="0" w:right="0" w:firstLine="715"/>
        <w:jc w:val="both"/>
        <w:rPr>
          <w:rFonts w:ascii="Times New Roman;sans-serif" w:hAnsi="Times New Roman;sans-serif"/>
          <w:b w:val="false"/>
          <w:color w:val="000000"/>
          <w:sz w:val="24"/>
        </w:rPr>
      </w:pPr>
      <w:r>
        <w:rPr>
          <w:rFonts w:ascii="Times New Roman;sans-serif" w:hAnsi="Times New Roman;sans-serif"/>
          <w:b w:val="false"/>
          <w:color w:val="000000"/>
          <w:sz w:val="24"/>
        </w:rPr>
        <w:t>This prohibition applies specifically (but not exclusively) to inquiries about nCino which may be made by customers (except for ordinary-course customer-sales representative discourse), the press, investment analysts or others in the financial community. It is important that all such communications on behalf of nCino be made in accordance with the procedures set forth in our Statement of Regulation FD Policy Regarding the Disclosure of Company Information. Unless you are expressly authorized to the contrary, if you receive any inquiries of this nature, you should decline comment and refer the inquiry to the Chief Executive Officer, Chief Financial Officer or Chief Legal Officer.</w:t>
      </w:r>
    </w:p>
    <w:p>
      <w:pPr>
        <w:pStyle w:val="TextBody"/>
        <w:bidi w:val="0"/>
        <w:spacing w:before="2" w:after="283"/>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bidi w:val="0"/>
        <w:spacing w:lineRule="auto" w:line="288" w:before="274" w:after="283"/>
        <w:ind w:left="0" w:right="0" w:firstLine="715"/>
        <w:jc w:val="both"/>
        <w:rPr>
          <w:rFonts w:ascii="Times New Roman;sans-serif" w:hAnsi="Times New Roman;sans-serif"/>
          <w:b w:val="false"/>
          <w:color w:val="000000"/>
          <w:sz w:val="24"/>
        </w:rPr>
      </w:pPr>
      <w:r>
        <w:rPr>
          <w:rFonts w:ascii="Times New Roman;sans-serif" w:hAnsi="Times New Roman;sans-serif"/>
          <w:b w:val="false"/>
          <w:color w:val="000000"/>
          <w:sz w:val="24"/>
        </w:rPr>
        <w:t>THESE ARE VERY SERIOUS MATTERS. INSIDER TRADING IS ILLEGAL AND CAN RESULT IN JAIL SENTENCES AS WELL AS CIVIL PENALTIES, INCLUDING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39700"/>
                <wp:effectExtent l="0" t="0" r="0" b="0"/>
                <wp:wrapNone/>
                <wp:docPr id="115" name="Frame11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- 6 -</w:t>
                      </w:r>
                    </w:p>
                  </w:txbxContent>
                </v:textbox>
                <w10:wrap type="none"/>
              </v:rect>
            </w:pict>
          </mc:Fallback>
        </mc:AlternateContent>
      </w:r>
    </w:p>
    <w:p>
      <w:pPr>
        <w:pStyle w:val="TextBody"/>
        <w:bidi w:val="0"/>
        <w:spacing w:lineRule="auto" w:line="288"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TRIPLE DAMAGES. EMPLOYEES WHO VIOLATE THIS POLICY MAY BE SUBJECT TO DISCIPLINARY ACTION BY THE COMPANY, INCLUDING DISMISSAL FOR CAUSE.</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YOU HAVE ANY QUESTION OR DOUBT ABOUT THE APPLICABILITY OR INTERPRETATION OF THIS POLICY OR THE PROPRIETY OF ANY DESIRED ACTION, PLEASE SEEK CLARIFICATION FROM OUR CHIEF EXECUTIVE OFFICER, CHIEF FINANCIAL OFFICER OR CHIEF LEGAL OFFICER. DO NOT TRY TO RESOLVE UNCERTAINTIES ON YOUR OWN.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39700"/>
                <wp:effectExtent l="0" t="0" r="0" b="0"/>
                <wp:wrapNone/>
                <wp:docPr id="116" name="Frame11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- 7 -</w:t>
                      </w:r>
                    </w:p>
                  </w:txbxContent>
                </v:textbox>
                <w10:wrap type="none"/>
              </v:rect>
            </w:pict>
          </mc:Fallback>
        </mc:AlternateContent>
      </w:r>
    </w:p>
    <w:p>
      <w:pPr>
        <w:pStyle w:val="TextBody"/>
        <w:bidi w:val="0"/>
        <w:spacing w:lineRule="auto" w:line="288" w:before="61" w:after="283"/>
        <w:jc w:val="left"/>
        <w:rPr>
          <w:rFonts w:ascii="Times New Roman;sans-serif" w:hAnsi="Times New Roman;sans-serif"/>
          <w:b/>
          <w:color w:val="000000"/>
          <w:sz w:val="24"/>
        </w:rPr>
      </w:pPr>
      <w:r>
        <w:rPr>
          <w:rFonts w:ascii="Times New Roman;sans-serif" w:hAnsi="Times New Roman;sans-serif"/>
          <w:b/>
          <w:color w:val="000000"/>
          <w:sz w:val="24"/>
        </w:rPr>
        <w:t>ACKNOWLEDGMENT</w:t>
      </w:r>
    </w:p>
    <w:p>
      <w:pPr>
        <w:pStyle w:val="TextBody"/>
        <w:bidi w:val="0"/>
        <w:spacing w:lineRule="auto" w:line="288" w:before="274"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acknowledges that he/she has read this Insider Trading and Confidentiality Policy and agrees to comply with the restrictions and procedures contained herein.</w:t>
      </w:r>
    </w:p>
    <w:tbl>
      <w:tblPr>
        <w:tblW w:w="392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64"/>
        <w:gridCol w:w="664"/>
        <w:gridCol w:w="666"/>
        <w:gridCol w:w="109"/>
        <w:gridCol w:w="109"/>
        <w:gridCol w:w="109"/>
        <w:gridCol w:w="272"/>
        <w:gridCol w:w="272"/>
        <w:gridCol w:w="3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(Please Print)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21.1</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LIST OF SUBSIDIARIES OF THE REGISTRANT</w:t>
      </w:r>
    </w:p>
    <w:p>
      <w:pPr>
        <w:pStyle w:val="TextBody"/>
        <w:bidi w:val="0"/>
        <w:spacing w:before="0" w:after="0"/>
        <w:jc w:val="left"/>
        <w:rPr/>
      </w:pPr>
      <w:r>
        <w:rPr/>
      </w:r>
    </w:p>
    <w:tbl>
      <w:tblPr>
        <w:tblW w:w="7422" w:type="dxa"/>
        <w:jc w:val="left"/>
        <w:tblInd w:w="0" w:type="dxa"/>
        <w:tblLayout w:type="fixed"/>
        <w:tblCellMar>
          <w:top w:w="28" w:type="dxa"/>
          <w:left w:w="28" w:type="dxa"/>
          <w:bottom w:w="28" w:type="dxa"/>
          <w:right w:w="28" w:type="dxa"/>
        </w:tblCellMar>
      </w:tblPr>
      <w:tblGrid>
        <w:gridCol w:w="1102"/>
        <w:gridCol w:w="970"/>
        <w:gridCol w:w="973"/>
        <w:gridCol w:w="109"/>
        <w:gridCol w:w="109"/>
        <w:gridCol w:w="109"/>
        <w:gridCol w:w="1184"/>
        <w:gridCol w:w="1184"/>
        <w:gridCol w:w="1682"/>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Incorporation or Organization</w:t>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Artesian Solutions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Compliance Solutions Holding,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(Delaware)</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DocFox Africa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South Africa</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DocFox,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(Delaware)</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DueDil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FinSuite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FullCircl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APAC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Canada,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France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Germany GmbH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Global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K.K.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New Zealand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Zealand</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OpCo,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(Delaware)</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Spain S.L.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Sweden 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Sweden</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W2 Global Data Solutions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
        <w:jc w:val="right"/>
        <w:rPr>
          <w:rFonts w:ascii="Times New Roman;sans-serif" w:hAnsi="Times New Roman;sans-serif"/>
          <w:b/>
          <w:color w:val="000000"/>
          <w:sz w:val="22"/>
        </w:rPr>
      </w:pPr>
      <w:r>
        <w:rPr>
          <w:rFonts w:ascii="Times New Roman;sans-serif" w:hAnsi="Times New Roman;sans-serif"/>
          <w:b/>
          <w:color w:val="000000"/>
          <w:sz w:val="22"/>
        </w:rPr>
        <w:t>Exhibit 23.1</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333333"/>
          <w:sz w:val="22"/>
        </w:rPr>
      </w:pPr>
      <w:r>
        <w:rPr>
          <w:rFonts w:ascii="Times New Roman;sans-serif" w:hAnsi="Times New Roman;sans-serif"/>
          <w:b w:val="false"/>
          <w:color w:val="333333"/>
          <w:sz w:val="22"/>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333333"/>
          <w:sz w:val="22"/>
        </w:rPr>
      </w:pPr>
      <w:r>
        <w:rPr>
          <w:rFonts w:ascii="Times New Roman;sans-serif" w:hAnsi="Times New Roman;sans-serif"/>
          <w:b w:val="false"/>
          <w:color w:val="333333"/>
          <w:sz w:val="22"/>
        </w:rPr>
        <w:t xml:space="preserve">We consent to the incorporation by reference in the following Registration Statements: </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(1)Registration Statement (Form S-3 No. 333-262084) of nCino, Inc.,</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(2)Registration Statements (Form S-8 Nos. 333-264042, 333-270916, and 333-278235) pertaining to the nCino, Inc. 2019 Amended and Restated Equity Incentive Plan and the nCino, Inc. Employee Stock Purchase Plan, and</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(3)Registration Statements (Form S-8 Nos. 333-239907 and 333-254938) pertaining to the nCino, Inc. 2019 Amended and Restated Equity Incentive Plan, the nCino, Inc 2014 Omnibus Stock Ownership and Long Term Incentive Plan and the nCino, Inc. Employee Stock Purchase Plan;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333333"/>
          <w:sz w:val="22"/>
        </w:rPr>
      </w:pPr>
      <w:r>
        <w:rPr>
          <w:rFonts w:ascii="Times New Roman;sans-serif" w:hAnsi="Times New Roman;sans-serif"/>
          <w:b w:val="false"/>
          <w:color w:val="333333"/>
          <w:sz w:val="22"/>
        </w:rPr>
        <w:t xml:space="preserve">of our reports dated April 1, 2025, with respect to the consolidated financial statements of nCino, Inc. and the effectiveness of internal control over financial reporting of nCino, Inc., included in this Annual Report (Form 10-K) for the year ended January 31, 2025.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0"/>
        <w:jc w:val="left"/>
        <w:rPr>
          <w:rFonts w:ascii="Times New Roman;sans-serif" w:hAnsi="Times New Roman;sans-serif"/>
          <w:b w:val="false"/>
          <w:color w:val="333333"/>
          <w:sz w:val="22"/>
        </w:rPr>
      </w:pPr>
      <w:r>
        <w:rPr>
          <w:rFonts w:ascii="Times New Roman;sans-serif" w:hAnsi="Times New Roman;sans-serif"/>
          <w:b w:val="false"/>
          <w:color w:val="333333"/>
          <w:sz w:val="22"/>
        </w:rPr>
        <w:t>/s/ Ernst &amp; Young LLP</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Raleigh, North Carolina</w:t>
      </w:r>
    </w:p>
    <w:p>
      <w:pPr>
        <w:pStyle w:val="TextBody"/>
        <w:bidi w:val="0"/>
        <w:spacing w:lineRule="auto" w:line="256"/>
        <w:jc w:val="left"/>
        <w:rPr>
          <w:rFonts w:ascii="Times New Roman;sans-serif" w:hAnsi="Times New Roman;sans-serif"/>
          <w:b w:val="false"/>
          <w:color w:val="000000"/>
          <w:sz w:val="22"/>
        </w:rPr>
      </w:pPr>
      <w:r>
        <w:rPr>
          <w:rFonts w:ascii="Times New Roman;sans-serif" w:hAnsi="Times New Roman;sans-serif"/>
          <w:b w:val="false"/>
          <w:color w:val="000000"/>
          <w:sz w:val="22"/>
        </w:rPr>
        <w:t>April 1,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Sean Desmond, certify that: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2"/>
        </w:rPr>
        <w:t>1.</w:t>
      </w:r>
      <w:r>
        <w:rPr>
          <w:color w:val="000000"/>
        </w:rPr>
        <w:t xml:space="preserve"> </w:t>
      </w:r>
      <w:r>
        <w:rPr>
          <w:rFonts w:ascii="Times New Roman;sans-serif" w:hAnsi="Times New Roman;sans-serif"/>
          <w:b w:val="false"/>
          <w:color w:val="000000"/>
          <w:sz w:val="22"/>
        </w:rPr>
        <w:t>I have reviewed this Annual Report on Form 10-K of nCino, Inc.;</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6385" w:type="dxa"/>
        <w:jc w:val="left"/>
        <w:tblInd w:w="0" w:type="dxa"/>
        <w:tblLayout w:type="fixed"/>
        <w:tblCellMar>
          <w:top w:w="28" w:type="dxa"/>
          <w:left w:w="28" w:type="dxa"/>
          <w:bottom w:w="28" w:type="dxa"/>
          <w:right w:w="28" w:type="dxa"/>
        </w:tblCellMar>
      </w:tblPr>
      <w:tblGrid>
        <w:gridCol w:w="700"/>
        <w:gridCol w:w="616"/>
        <w:gridCol w:w="619"/>
        <w:gridCol w:w="109"/>
        <w:gridCol w:w="109"/>
        <w:gridCol w:w="109"/>
        <w:gridCol w:w="144"/>
        <w:gridCol w:w="144"/>
        <w:gridCol w:w="146"/>
        <w:gridCol w:w="1077"/>
        <w:gridCol w:w="1077"/>
        <w:gridCol w:w="1535"/>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April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Sean Desmond</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Sean Desmond</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President and 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Gregory D. Orenstein, certify that: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2"/>
        </w:rPr>
        <w:t>1.</w:t>
      </w:r>
      <w:r>
        <w:rPr>
          <w:color w:val="000000"/>
        </w:rPr>
        <w:t xml:space="preserve"> </w:t>
      </w:r>
      <w:r>
        <w:rPr>
          <w:rFonts w:ascii="Times New Roman;sans-serif" w:hAnsi="Times New Roman;sans-serif"/>
          <w:b w:val="false"/>
          <w:color w:val="000000"/>
          <w:sz w:val="22"/>
        </w:rPr>
        <w:t>I have reviewed this Annual Report on Form 10-K of nCino, Inc.;</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tbl>
      <w:tblPr>
        <w:tblW w:w="6175" w:type="dxa"/>
        <w:jc w:val="left"/>
        <w:tblInd w:w="0" w:type="dxa"/>
        <w:tblLayout w:type="fixed"/>
        <w:tblCellMar>
          <w:top w:w="28" w:type="dxa"/>
          <w:left w:w="28" w:type="dxa"/>
          <w:bottom w:w="28" w:type="dxa"/>
          <w:right w:w="28" w:type="dxa"/>
        </w:tblCellMar>
      </w:tblPr>
      <w:tblGrid>
        <w:gridCol w:w="700"/>
        <w:gridCol w:w="616"/>
        <w:gridCol w:w="619"/>
        <w:gridCol w:w="109"/>
        <w:gridCol w:w="109"/>
        <w:gridCol w:w="109"/>
        <w:gridCol w:w="144"/>
        <w:gridCol w:w="144"/>
        <w:gridCol w:w="146"/>
        <w:gridCol w:w="1016"/>
        <w:gridCol w:w="1016"/>
        <w:gridCol w:w="1447"/>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April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Gregory D. Orenstein</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Gregory D. Orenstein</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Chief Financial Officer &amp; Treasurer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88" w:before="360" w:after="283"/>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CERTIFICATION PURSUANT TO</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SECTION 906 OF THE SARBANES-OXLEY ACT OF 2002</w:t>
      </w:r>
    </w:p>
    <w:p>
      <w:pPr>
        <w:pStyle w:val="TextBody"/>
        <w:bidi w:val="0"/>
        <w:spacing w:lineRule="auto" w:line="288" w:before="240" w:after="283"/>
        <w:ind w:left="0" w:right="0" w:firstLine="573"/>
        <w:jc w:val="left"/>
        <w:rPr>
          <w:rFonts w:ascii="Times New Roman;sans-serif" w:hAnsi="Times New Roman;sans-serif"/>
          <w:b w:val="false"/>
          <w:color w:val="000000"/>
          <w:sz w:val="22"/>
        </w:rPr>
      </w:pPr>
      <w:r>
        <w:rPr>
          <w:rFonts w:ascii="Times New Roman;sans-serif" w:hAnsi="Times New Roman;sans-serif"/>
          <w:b w:val="false"/>
          <w:color w:val="000000"/>
          <w:sz w:val="22"/>
        </w:rPr>
        <w:t>In connection with the Annual Report of nCino, Inc. (the “Company”) on Form 10-K for the fiscal year ended January 31, 2025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240" w:after="283"/>
        <w:ind w:left="0" w:right="0" w:hanging="864"/>
        <w:jc w:val="left"/>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864"/>
        <w:jc w:val="left"/>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ind w:left="0" w:right="0" w:hanging="573"/>
        <w:jc w:val="left"/>
        <w:rPr/>
      </w:pPr>
      <w:r>
        <w:rPr/>
      </w:r>
    </w:p>
    <w:tbl>
      <w:tblPr>
        <w:tblW w:w="6385" w:type="dxa"/>
        <w:jc w:val="left"/>
        <w:tblInd w:w="0" w:type="dxa"/>
        <w:tblLayout w:type="fixed"/>
        <w:tblCellMar>
          <w:top w:w="28" w:type="dxa"/>
          <w:left w:w="28" w:type="dxa"/>
          <w:bottom w:w="28" w:type="dxa"/>
          <w:right w:w="28" w:type="dxa"/>
        </w:tblCellMar>
      </w:tblPr>
      <w:tblGrid>
        <w:gridCol w:w="700"/>
        <w:gridCol w:w="616"/>
        <w:gridCol w:w="619"/>
        <w:gridCol w:w="109"/>
        <w:gridCol w:w="109"/>
        <w:gridCol w:w="109"/>
        <w:gridCol w:w="144"/>
        <w:gridCol w:w="144"/>
        <w:gridCol w:w="146"/>
        <w:gridCol w:w="1077"/>
        <w:gridCol w:w="1077"/>
        <w:gridCol w:w="1535"/>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April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Sean Desmond</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Sean Desmond</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President and Chief Executive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88" w:before="360" w:after="283"/>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CERTIFICATION PURSUANT TO</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SECTION 906 OF THE SARBANES-OXLEY ACT OF 2002</w:t>
      </w:r>
    </w:p>
    <w:p>
      <w:pPr>
        <w:pStyle w:val="TextBody"/>
        <w:bidi w:val="0"/>
        <w:spacing w:lineRule="auto" w:line="288" w:before="240" w:after="283"/>
        <w:ind w:left="0" w:right="0" w:firstLine="573"/>
        <w:jc w:val="left"/>
        <w:rPr>
          <w:rFonts w:ascii="Times New Roman;sans-serif" w:hAnsi="Times New Roman;sans-serif"/>
          <w:b w:val="false"/>
          <w:color w:val="000000"/>
          <w:sz w:val="22"/>
        </w:rPr>
      </w:pPr>
      <w:r>
        <w:rPr>
          <w:rFonts w:ascii="Times New Roman;sans-serif" w:hAnsi="Times New Roman;sans-serif"/>
          <w:b w:val="false"/>
          <w:color w:val="000000"/>
          <w:sz w:val="22"/>
        </w:rPr>
        <w:t>In connection with the Annual Report of nCino, Inc. (the “Company”) on Form 10-K for the fiscal year ended January 31, 2025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240" w:after="283"/>
        <w:ind w:left="0" w:right="0" w:hanging="864"/>
        <w:jc w:val="left"/>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864"/>
        <w:jc w:val="left"/>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ind w:left="0" w:right="0" w:hanging="573"/>
        <w:jc w:val="left"/>
        <w:rPr/>
      </w:pPr>
      <w:r>
        <w:rPr/>
      </w:r>
    </w:p>
    <w:tbl>
      <w:tblPr>
        <w:tblW w:w="6175" w:type="dxa"/>
        <w:jc w:val="left"/>
        <w:tblInd w:w="0" w:type="dxa"/>
        <w:tblLayout w:type="fixed"/>
        <w:tblCellMar>
          <w:top w:w="28" w:type="dxa"/>
          <w:left w:w="28" w:type="dxa"/>
          <w:bottom w:w="28" w:type="dxa"/>
          <w:right w:w="28" w:type="dxa"/>
        </w:tblCellMar>
      </w:tblPr>
      <w:tblGrid>
        <w:gridCol w:w="700"/>
        <w:gridCol w:w="616"/>
        <w:gridCol w:w="619"/>
        <w:gridCol w:w="109"/>
        <w:gridCol w:w="109"/>
        <w:gridCol w:w="109"/>
        <w:gridCol w:w="144"/>
        <w:gridCol w:w="144"/>
        <w:gridCol w:w="146"/>
        <w:gridCol w:w="1016"/>
        <w:gridCol w:w="1016"/>
        <w:gridCol w:w="1447"/>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April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Gregory D. Orenstein</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Gregory D. Orenstein</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Chief Financial Officer &amp; Treasurer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66895/000156689521000036/agreementandplanofmerger11.htm" TargetMode="External"/><Relationship Id="rId4" Type="http://schemas.openxmlformats.org/officeDocument/2006/relationships/hyperlink" Target="https://www.sec.gov/Archives/edgar/data/1902733/000119312522005239/d246602dex31.htm" TargetMode="External"/><Relationship Id="rId5" Type="http://schemas.openxmlformats.org/officeDocument/2006/relationships/hyperlink" Target="https://www.sec.gov/Archives/edgar/data/1902733/000190273322000031/amendedandrestatedbylaws.htm" TargetMode="External"/><Relationship Id="rId6" Type="http://schemas.openxmlformats.org/officeDocument/2006/relationships/hyperlink" Target="https://www.sec.gov/Archives/edgar/data/1902733/000190273324000139/secondamendedandrestatedce.htm" TargetMode="External"/><Relationship Id="rId7" Type="http://schemas.openxmlformats.org/officeDocument/2006/relationships/hyperlink" Target="https://www.sec.gov/Archives/edgar/data/1902733/000190273322000013/exhibit41ncinoincstockce.htm" TargetMode="External"/><Relationship Id="rId8" Type="http://schemas.openxmlformats.org/officeDocument/2006/relationships/hyperlink" Target="https://www.sec.gov/Archives/edgar/data/1566895/000119312520174870/d828449dex42.htm" TargetMode="External"/><Relationship Id="rId9" Type="http://schemas.openxmlformats.org/officeDocument/2006/relationships/hyperlink" Target="https://www.sec.gov/Archives/edgar/data/1566895/000119312520187868/d828449dex43.htm" TargetMode="External"/><Relationship Id="rId10" Type="http://schemas.openxmlformats.org/officeDocument/2006/relationships/hyperlink" Target="https://www.sec.gov/Archives/edgar/data/1566895/000119312520187868/d828449dex44.htm" TargetMode="External"/><Relationship Id="rId11" Type="http://schemas.openxmlformats.org/officeDocument/2006/relationships/hyperlink" Target="https://www.sec.gov/Archives/edgar/data/1566895/000119312520187868/d828449dex45.htm" TargetMode="External"/><Relationship Id="rId12" Type="http://schemas.openxmlformats.org/officeDocument/2006/relationships/hyperlink" Target="https://www.sec.gov/Archives/edgar/data/1566895/000119312520187868/d828449dex46.htm" TargetMode="External"/><Relationship Id="rId13" Type="http://schemas.openxmlformats.org/officeDocument/2006/relationships/hyperlink" Target="https://www.sec.gov/Archives/edgar/data/1566895/000119312520187868/d828449dex47.htm" TargetMode="External"/><Relationship Id="rId14" Type="http://schemas.openxmlformats.org/officeDocument/2006/relationships/hyperlink" Target="https://www.sec.gov/Archives/edgar/data/1566895/000119312520187868/d828449dex48.htm" TargetMode="External"/><Relationship Id="rId15" Type="http://schemas.openxmlformats.org/officeDocument/2006/relationships/hyperlink" Target="https://www.sec.gov/Archives/edgar/data/1566895/000119312520187868/d828449dex49.htm" TargetMode="External"/><Relationship Id="rId16" Type="http://schemas.openxmlformats.org/officeDocument/2006/relationships/hyperlink" Target="https://www.sec.gov/Archives/edgar/data/1902733/000119312522005239/d246602dex41.htm" TargetMode="External"/><Relationship Id="rId17" Type="http://schemas.openxmlformats.org/officeDocument/2006/relationships/hyperlink" Target="https://www.sec.gov/Archives/edgar/data/1902733/000190273323000024/exhibit411descriptionofcom.htm" TargetMode="External"/><Relationship Id="rId18" Type="http://schemas.openxmlformats.org/officeDocument/2006/relationships/hyperlink" Target="https://www.sec.gov/Archives/edgar/data/1566895/000119312520174870/d828449dex101.htm" TargetMode="External"/><Relationship Id="rId19" Type="http://schemas.openxmlformats.org/officeDocument/2006/relationships/hyperlink" Target="https://www.sec.gov/Archives/edgar/data/1566895/000119312520187868/d828449dex102.htm" TargetMode="External"/><Relationship Id="rId20" Type="http://schemas.openxmlformats.org/officeDocument/2006/relationships/hyperlink" Target="https://www.sec.gov/Archives/edgar/data/1566895/000119312520187868/d828449dex103.htm" TargetMode="External"/><Relationship Id="rId21" Type="http://schemas.openxmlformats.org/officeDocument/2006/relationships/hyperlink" Target="https://www.sec.gov/Archives/edgar/data/1566895/000119312520187868/d828449dex104.htm" TargetMode="External"/><Relationship Id="rId22" Type="http://schemas.openxmlformats.org/officeDocument/2006/relationships/hyperlink" Target="https://www.sec.gov/Archives/edgar/data/1566895/000119312520187868/d828449dex106.htm" TargetMode="External"/><Relationship Id="rId23" Type="http://schemas.openxmlformats.org/officeDocument/2006/relationships/hyperlink" Target="https://www.sec.gov/Archives/edgar/data/1902733/000190273323000024/exhibit107amendedandrestat.htm" TargetMode="External"/><Relationship Id="rId24" Type="http://schemas.openxmlformats.org/officeDocument/2006/relationships/hyperlink" Target="https://www.sec.gov/Archives/edgar/data/1902733/000190273323000024/exhibit108employmentagreem.htm" TargetMode="External"/><Relationship Id="rId25" Type="http://schemas.openxmlformats.org/officeDocument/2006/relationships/hyperlink" Target="https://www.sec.gov/Archives/edgar/data/1902733/000190273323000024/exhibit109employmentagreem.htm" TargetMode="External"/><Relationship Id="rId26" Type="http://schemas.openxmlformats.org/officeDocument/2006/relationships/hyperlink" Target="https://www.sec.gov/Archives/edgar/data/1566895/000119312520187868/d828449dex108.htm" TargetMode="External"/><Relationship Id="rId27" Type="http://schemas.openxmlformats.org/officeDocument/2006/relationships/hyperlink" Target="https://www.sec.gov/Archives/edgar/data/1902733/000190273322000013/exhibit109formofindemnific.htm" TargetMode="External"/><Relationship Id="rId28" Type="http://schemas.openxmlformats.org/officeDocument/2006/relationships/hyperlink" Target="https://www.sec.gov/Archives/edgar/data/1902733/000190273322000013/exhibit1010formofexecutive.htm" TargetMode="External"/><Relationship Id="rId29" Type="http://schemas.openxmlformats.org/officeDocument/2006/relationships/hyperlink" Target="https://www.sec.gov/Archives/edgar/data/1566895/000119312520174870/d828449dex107.htm" TargetMode="External"/><Relationship Id="rId30" Type="http://schemas.openxmlformats.org/officeDocument/2006/relationships/hyperlink" Target="https://www.sec.gov/Archives/edgar/data/1566895/000162828020016993/existingbuildinglease-.htm" TargetMode="External"/><Relationship Id="rId31" Type="http://schemas.openxmlformats.org/officeDocument/2006/relationships/hyperlink" Target="https://www.sec.gov/Archives/edgar/data/1566895/000162828020016993/wilmingtoninvestorsnci.htm" TargetMode="External"/><Relationship Id="rId32" Type="http://schemas.openxmlformats.org/officeDocument/2006/relationships/hyperlink" Target="https://www.sec.gov/Archives/edgar/data/1566895/000162828020016993/ncinocloud-agreementre.htm" TargetMode="External"/><Relationship Id="rId33" Type="http://schemas.openxmlformats.org/officeDocument/2006/relationships/hyperlink" Target="https://www.sec.gov/Archives/edgar/data/1566895/000156689521000007/exhibit1012fy202110k.htm" TargetMode="External"/><Relationship Id="rId34" Type="http://schemas.openxmlformats.org/officeDocument/2006/relationships/hyperlink" Target="https://www.sec.gov/Archives/edgar/data/1566895/000156689521000012/exhibit1018-k4521.htm" TargetMode="External"/><Relationship Id="rId35" Type="http://schemas.openxmlformats.org/officeDocument/2006/relationships/hyperlink" Target="https://www.sec.gov/Archives/edgar/data/1566895/000156689521000020/exhibit101q1202210q.htm" TargetMode="External"/><Relationship Id="rId36" Type="http://schemas.openxmlformats.org/officeDocument/2006/relationships/hyperlink" Target="https://www.sec.gov/Archives/edgar/data/1566895/000156689521000036/restrictivecovenantagreeme.htm" TargetMode="External"/><Relationship Id="rId37" Type="http://schemas.openxmlformats.org/officeDocument/2006/relationships/hyperlink" Target="https://www.sec.gov/Archives/edgar/data/1566895/000156689521000044/exhibit102parkingdeckrenta.htm" TargetMode="External"/><Relationship Id="rId38" Type="http://schemas.openxmlformats.org/officeDocument/2006/relationships/hyperlink" Target="https://www.sec.gov/Archives/edgar/data/1902733/000119312522041613/d319370dex101.htm" TargetMode="External"/><Relationship Id="rId39" Type="http://schemas.openxmlformats.org/officeDocument/2006/relationships/hyperlink" Target="https://www.sec.gov/Archives/edgar/data/1902733/000190273322000036/exhibit101newbuildingcompl.htm" TargetMode="External"/><Relationship Id="rId40" Type="http://schemas.openxmlformats.org/officeDocument/2006/relationships/hyperlink" Target="https://www.sec.gov/Archives/edgar/data/1902733/000190273323000024/exhibit1025firstamendmentt.htm" TargetMode="External"/><Relationship Id="rId41" Type="http://schemas.openxmlformats.org/officeDocument/2006/relationships/hyperlink" Target="https://www.sec.gov/Archives/edgar/data/1902733/000190273323000024/exhibit1026thirdamendmentt.htm" TargetMode="External"/><Relationship Id="rId42" Type="http://schemas.openxmlformats.org/officeDocument/2006/relationships/hyperlink" Target="https://www.sec.gov/Archives/edgar/data/1902733/000190273324000053/exhibit1025amendmenttopart.htm" TargetMode="External"/><Relationship Id="rId43" Type="http://schemas.openxmlformats.org/officeDocument/2006/relationships/hyperlink" Target="https://www.sec.gov/Archives/edgar/data/1902733/000190273324000041/firstamendmenttocreditagre.htm" TargetMode="External"/><Relationship Id="rId44" Type="http://schemas.openxmlformats.org/officeDocument/2006/relationships/hyperlink" Target="https://www.sec.gov/ix?doc=/Archives/edgar/data/1902733/000190273324000046/ncno-20240317.htm" TargetMode="External"/><Relationship Id="rId45" Type="http://schemas.openxmlformats.org/officeDocument/2006/relationships/hyperlink" Target="https://www.sec.gov/Archives/edgar/data/1902733/000190273324000115/exhibit103contractoragreem.htm" TargetMode="External"/><Relationship Id="rId46" Type="http://schemas.openxmlformats.org/officeDocument/2006/relationships/hyperlink" Target="https://www.sec.gov/Archives/edgar/data/1902733/000190273324000115/exhibit104amendedandrestat.htm" TargetMode="External"/><Relationship Id="rId47" Type="http://schemas.openxmlformats.org/officeDocument/2006/relationships/hyperlink" Target="https://www.sec.gov/Archives/edgar/data/1902733/000190273324000171/exhibit101creditagreementb.htm" TargetMode="External"/><Relationship Id="rId48" Type="http://schemas.openxmlformats.org/officeDocument/2006/relationships/hyperlink" Target="https://www.sec.gov/Archives/edgar/data/1902733/000190273324000199/exhibit101naude.htm" TargetMode="External"/><Relationship Id="rId49" Type="http://schemas.openxmlformats.org/officeDocument/2006/relationships/hyperlink" Target="https://www.sec.gov/Archives/edgar/data/1902733/000190273324000199/exhibit102orenstein.htm" TargetMode="External"/><Relationship Id="rId50" Type="http://schemas.openxmlformats.org/officeDocument/2006/relationships/hyperlink" Target="https://www.sec.gov/Archives/edgar/data/1902733/000190273324000199/exhibit103desmond.htm" TargetMode="External"/><Relationship Id="rId51" Type="http://schemas.openxmlformats.org/officeDocument/2006/relationships/hyperlink" Target="https://www.sec.gov/Archives/edgar/data/1902733/000190273325000002/exhibit101amendedandrestat.htm" TargetMode="External"/><Relationship Id="rId52" Type="http://schemas.openxmlformats.org/officeDocument/2006/relationships/hyperlink" Target="https://www.sec.gov/Archives/edgar/data/1902733/000190273325000002/exhibit102letteragreementn.htm" TargetMode="External"/><Relationship Id="rId53" Type="http://schemas.openxmlformats.org/officeDocument/2006/relationships/hyperlink" Target="https://www.sec.gov/Archives/edgar/data/1902733/000190273325000014/exhibit101ncno-cooperation.htm" TargetMode="External"/><Relationship Id="rId54" Type="http://schemas.openxmlformats.org/officeDocument/2006/relationships/hyperlink" Target="https://www.sec.gov/Archives/edgar/data/1902733/000190273324000053/exhibit971ncinocompensatio.htm"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65161</Words>
  <Characters>368405</Characters>
  <CharactersWithSpaces>430377</CharactersWithSpaces>
  <Paragraphs>4455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