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68043d8k.htm"/>
      <w:bookmarkStart w:id="1" w:name="ksd6804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June 18,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nCino,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001-41211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87-4154342</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80" w:after="0"/>
        <w:jc w:val="center"/>
        <w:rPr>
          <w:rFonts w:ascii="Times New Roman" w:hAnsi="Times New Roman"/>
          <w:b/>
          <w:sz w:val="20"/>
        </w:rPr>
      </w:pPr>
      <w:r>
        <w:rPr>
          <w:rFonts w:ascii="Times New Roman" w:hAnsi="Times New Roman"/>
          <w:b/>
          <w:sz w:val="20"/>
        </w:rPr>
        <w:t>6770 Parker Farm Drive</w:t>
      </w:r>
    </w:p>
    <w:p>
      <w:pPr>
        <w:pStyle w:val="TextBody"/>
        <w:bidi w:val="0"/>
        <w:spacing w:before="0" w:after="0"/>
        <w:jc w:val="center"/>
        <w:rPr>
          <w:rFonts w:ascii="Times New Roman" w:hAnsi="Times New Roman"/>
          <w:b/>
          <w:sz w:val="20"/>
        </w:rPr>
      </w:pPr>
      <w:r>
        <w:rPr>
          <w:rFonts w:ascii="Times New Roman" w:hAnsi="Times New Roman"/>
          <w:b/>
          <w:sz w:val="20"/>
        </w:rPr>
        <w:t>Wilmington, North Carolina 28405</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(888) 676-2466</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385" w:type="dxa"/>
        <w:jc w:val="left"/>
        <w:tblInd w:w="0" w:type="dxa"/>
        <w:tblLayout w:type="fixed"/>
        <w:tblCellMar>
          <w:top w:w="0" w:type="dxa"/>
          <w:left w:w="0" w:type="dxa"/>
          <w:bottom w:w="0" w:type="dxa"/>
          <w:right w:w="0" w:type="dxa"/>
        </w:tblCellMar>
      </w:tblPr>
      <w:tblGrid>
        <w:gridCol w:w="4265"/>
        <w:gridCol w:w="60"/>
        <w:gridCol w:w="740"/>
        <w:gridCol w:w="60"/>
        <w:gridCol w:w="326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par value $0.0005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NCNO</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7435" w:type="dxa"/>
        <w:jc w:val="left"/>
        <w:tblInd w:w="0" w:type="dxa"/>
        <w:tblLayout w:type="fixed"/>
        <w:tblCellMar>
          <w:top w:w="0" w:type="dxa"/>
          <w:left w:w="0" w:type="dxa"/>
          <w:bottom w:w="0" w:type="dxa"/>
          <w:right w:w="0" w:type="dxa"/>
        </w:tblCellMar>
      </w:tblPr>
      <w:tblGrid>
        <w:gridCol w:w="965"/>
        <w:gridCol w:w="6470"/>
      </w:tblGrid>
      <w:tr>
        <w:trPr/>
        <w:tc>
          <w:tcPr>
            <w:tcW w:w="965" w:type="dxa"/>
            <w:tcBorders/>
            <w:vAlign w:val="center"/>
          </w:tcPr>
          <w:p>
            <w:pPr>
              <w:pStyle w:val="TableContents"/>
              <w:bidi w:val="0"/>
              <w:spacing w:before="0" w:after="283"/>
              <w:jc w:val="left"/>
              <w:rPr>
                <w:b/>
              </w:rPr>
            </w:pPr>
            <w:r>
              <w:rPr>
                <w:b/>
              </w:rPr>
              <w:t>Item 5.03</w:t>
            </w:r>
          </w:p>
        </w:tc>
        <w:tc>
          <w:tcPr>
            <w:tcW w:w="64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to Articles of Incorporation or Bylaws; Change in Fiscal Year.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discussed below under Item 5.07, on June 18, 2026, the stockholders of nCino, Inc., a Delaware corporation (the “Company”), approved a proposal to amend and restate (the “Amendment”) the Company’s Third Amended and Restated Certificate of Incorporation (the “Charter”) to permit stockholders to remove any director from office with or without cause, which is required to conform the Charter to the requirements of the Delaware General Corporation Law following the completion of the declassification of the board of directors (the “Board”) as of the 2028 annual meeting of stockholders (the “Declassification”). The Declassification was previously approved by the Company’s stockholders at the 2025 annual meeting of stockholders. The Amendment is described in more detail in the Company’s definitive proxy statement filed with the Securities and Exchange Commission on May 8, 2026 (such filing, as amended by the additional and revised proxy materials filed thereafter in connection therewith, the “Proxy Statement”). The Amendment was previously approved by the Board and became effective upon the filing of the Fourth Amended and Restated Certificate of Incorporation (the “Fourth A&amp;R Certificate of Incorporation”) with the Secretary of State of the State of Delaware on June 18, 2026. The foregoing summary of the Amendment does not purport to be complete and is qualified in its entirety by reference to the complete text of the Fourth A&amp;R Certificate of Incorporation, which is attached hereto as Exhibit 3.1 and is incorporated herein by reference. </w:t>
      </w:r>
    </w:p>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965"/>
        <w:gridCol w:w="4475"/>
      </w:tblGrid>
      <w:tr>
        <w:trPr/>
        <w:tc>
          <w:tcPr>
            <w:tcW w:w="965" w:type="dxa"/>
            <w:tcBorders/>
            <w:vAlign w:val="center"/>
          </w:tcPr>
          <w:p>
            <w:pPr>
              <w:pStyle w:val="TableContents"/>
              <w:bidi w:val="0"/>
              <w:spacing w:before="0" w:after="283"/>
              <w:jc w:val="left"/>
              <w:rPr>
                <w:b/>
              </w:rPr>
            </w:pPr>
            <w:r>
              <w:rPr>
                <w:b/>
              </w:rPr>
              <w:t>Item 5.07</w:t>
            </w:r>
          </w:p>
        </w:tc>
        <w:tc>
          <w:tcPr>
            <w:tcW w:w="4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held its Annual Meeting of Stockholders on June 18, 2026 (the “Annual Meeting”). On April 20, 2026, the record date for the Annual Meeting, 108,794,598 shares of the Company’s common stock were entitled to vote at the Annual Meeting, of which 96,531,303, or approximately 88.7%, of the eligible shares were represented virtually in person or by proxy. </w:t>
      </w:r>
    </w:p>
    <w:p>
      <w:pPr>
        <w:pStyle w:val="TextBody"/>
        <w:bidi w:val="0"/>
        <w:spacing w:before="240" w:after="0"/>
        <w:jc w:val="left"/>
        <w:rPr>
          <w:rFonts w:ascii="Times New Roman" w:hAnsi="Times New Roman"/>
          <w:sz w:val="20"/>
        </w:rPr>
      </w:pPr>
      <w:r>
        <w:rPr>
          <w:rFonts w:ascii="Times New Roman" w:hAnsi="Times New Roman"/>
          <w:sz w:val="20"/>
        </w:rPr>
        <w:t xml:space="preserve">The matters voted upon at the Annual Meeting and the results of those votes are as follows: </w:t>
      </w:r>
    </w:p>
    <w:p>
      <w:pPr>
        <w:pStyle w:val="TextBody"/>
        <w:bidi w:val="0"/>
        <w:spacing w:before="360" w:after="0"/>
        <w:jc w:val="left"/>
        <w:rPr>
          <w:rFonts w:ascii="Times New Roman" w:hAnsi="Times New Roman"/>
          <w:i/>
          <w:sz w:val="20"/>
        </w:rPr>
      </w:pPr>
      <w:r>
        <w:rPr>
          <w:rFonts w:ascii="Times New Roman" w:hAnsi="Times New Roman"/>
          <w:i/>
          <w:sz w:val="20"/>
        </w:rPr>
        <w:t xml:space="preserve">Proposal 1: Election of three directors to hold office for one-year terms and one Class II director to hold office for a two-year term until each of their respective successors are elected and qualified, or their earlier death, resignation or removal. </w:t>
      </w:r>
    </w:p>
    <w:p>
      <w:pPr>
        <w:pStyle w:val="TextBody"/>
        <w:bidi w:val="0"/>
        <w:spacing w:before="0" w:after="0"/>
        <w:jc w:val="left"/>
        <w:rPr/>
      </w:pPr>
      <w:r>
        <w:rPr/>
        <w:t> </w:t>
      </w:r>
    </w:p>
    <w:tbl>
      <w:tblPr>
        <w:tblW w:w="8950" w:type="dxa"/>
        <w:jc w:val="left"/>
        <w:tblInd w:w="0" w:type="dxa"/>
        <w:tblLayout w:type="fixed"/>
        <w:tblCellMar>
          <w:top w:w="0" w:type="dxa"/>
          <w:left w:w="0" w:type="dxa"/>
          <w:bottom w:w="0" w:type="dxa"/>
          <w:right w:w="0" w:type="dxa"/>
        </w:tblCellMar>
      </w:tblPr>
      <w:tblGrid>
        <w:gridCol w:w="2045"/>
        <w:gridCol w:w="120"/>
        <w:gridCol w:w="60"/>
        <w:gridCol w:w="1100"/>
        <w:gridCol w:w="60"/>
        <w:gridCol w:w="120"/>
        <w:gridCol w:w="73"/>
        <w:gridCol w:w="1357"/>
        <w:gridCol w:w="60"/>
        <w:gridCol w:w="120"/>
        <w:gridCol w:w="97"/>
        <w:gridCol w:w="1588"/>
        <w:gridCol w:w="60"/>
        <w:gridCol w:w="120"/>
        <w:gridCol w:w="109"/>
        <w:gridCol w:w="1786"/>
        <w:gridCol w:w="75"/>
      </w:tblGrid>
      <w:tr>
        <w:trPr/>
        <w:tc>
          <w:tcPr>
            <w:tcW w:w="2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Votes 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Votes Against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Votes Abstained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Broker Non-Votes</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Jon Doyle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56,634,108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26,482,385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3,785,800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right"/>
              <w:rPr/>
            </w:pPr>
            <w:r>
              <w:rPr/>
              <w:t>9,629,010</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William Spruill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57,843,009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25,273,467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right"/>
              <w:rPr/>
            </w:pPr>
            <w:r>
              <w:rPr/>
              <w:t>3,785,817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right"/>
              <w:rPr/>
            </w:pPr>
            <w:r>
              <w:rPr/>
              <w:t>9,629,010</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Diego Dugatkin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86,043,323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838,911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20,059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right"/>
              <w:rPr/>
            </w:pPr>
            <w:r>
              <w:rPr/>
              <w:t>9,629,010</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Andy Yasutake (Class II)</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86,188,762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693,405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right"/>
              <w:rPr/>
            </w:pPr>
            <w:r>
              <w:rPr/>
              <w:t>20,126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right"/>
              <w:rPr/>
            </w:pPr>
            <w:r>
              <w:rPr/>
              <w:t>9,629,010</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the votes set forth above, each of the director nominees were duly elected. </w:t>
      </w:r>
    </w:p>
    <w:p>
      <w:pPr>
        <w:pStyle w:val="TextBody"/>
        <w:bidi w:val="0"/>
        <w:spacing w:before="360" w:after="0"/>
        <w:jc w:val="left"/>
        <w:rPr>
          <w:rFonts w:ascii="Times New Roman" w:hAnsi="Times New Roman"/>
          <w:i/>
          <w:sz w:val="20"/>
        </w:rPr>
      </w:pPr>
      <w:r>
        <w:rPr>
          <w:rFonts w:ascii="Times New Roman" w:hAnsi="Times New Roman"/>
          <w:i/>
          <w:sz w:val="20"/>
        </w:rPr>
        <w:t xml:space="preserve">Proposal 2: Ratification of the appointment of Ernst &amp; Young LLP as the Company’s independent registered public accounting firm for the fiscal year ending January 31, 2027. </w:t>
      </w:r>
    </w:p>
    <w:p>
      <w:pPr>
        <w:pStyle w:val="TextBody"/>
        <w:bidi w:val="0"/>
        <w:spacing w:before="0" w:after="0"/>
        <w:jc w:val="left"/>
        <w:rPr/>
      </w:pPr>
      <w:r>
        <w:rPr/>
        <w:t> </w:t>
      </w:r>
    </w:p>
    <w:tbl>
      <w:tblPr>
        <w:tblW w:w="3465" w:type="dxa"/>
        <w:jc w:val="left"/>
        <w:tblInd w:w="0" w:type="dxa"/>
        <w:tblLayout w:type="fixed"/>
        <w:tblCellMar>
          <w:top w:w="0" w:type="dxa"/>
          <w:left w:w="0" w:type="dxa"/>
          <w:bottom w:w="0" w:type="dxa"/>
          <w:right w:w="0" w:type="dxa"/>
        </w:tblCellMar>
      </w:tblPr>
      <w:tblGrid>
        <w:gridCol w:w="1115"/>
        <w:gridCol w:w="60"/>
        <w:gridCol w:w="1025"/>
        <w:gridCol w:w="60"/>
        <w:gridCol w:w="120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Abstained</w:t>
            </w:r>
          </w:p>
        </w:tc>
      </w:tr>
      <w:tr>
        <w:trPr/>
        <w:tc>
          <w:tcPr>
            <w:tcW w:w="1115" w:type="dxa"/>
            <w:tcBorders/>
            <w:shd w:fill="CCEEFF" w:val="clear"/>
            <w:vAlign w:val="center"/>
          </w:tcPr>
          <w:p>
            <w:pPr>
              <w:pStyle w:val="TableContents"/>
              <w:bidi w:val="0"/>
              <w:spacing w:before="0" w:after="283"/>
              <w:jc w:val="center"/>
              <w:rPr/>
            </w:pPr>
            <w:r>
              <w:rPr/>
              <w:t>96,196,995</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321,399</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12,909</w:t>
            </w:r>
          </w:p>
        </w:tc>
      </w:tr>
    </w:tbl>
    <w:p>
      <w:pPr>
        <w:pStyle w:val="TextBody"/>
        <w:bidi w:val="0"/>
        <w:spacing w:before="120" w:after="0"/>
        <w:jc w:val="left"/>
        <w:rPr>
          <w:rFonts w:ascii="Times New Roman" w:hAnsi="Times New Roman"/>
          <w:sz w:val="20"/>
        </w:rPr>
      </w:pPr>
      <w:r>
        <w:rPr>
          <w:rFonts w:ascii="Times New Roman" w:hAnsi="Times New Roman"/>
          <w:sz w:val="20"/>
        </w:rPr>
        <w:t xml:space="preserve">Based on the votes set forth above, the appointment of Ernst &amp; Young LLP as the Company’s independent registered public accounting firm for the fiscal year ending January 31, 2027 was ratified. </w:t>
      </w:r>
    </w:p>
    <w:p>
      <w:pPr>
        <w:pStyle w:val="TextBody"/>
        <w:bidi w:val="0"/>
        <w:spacing w:before="360" w:after="0"/>
        <w:jc w:val="left"/>
        <w:rPr>
          <w:rFonts w:ascii="Times New Roman" w:hAnsi="Times New Roman"/>
          <w:i/>
          <w:sz w:val="20"/>
        </w:rPr>
      </w:pPr>
      <w:r>
        <w:rPr>
          <w:rFonts w:ascii="Times New Roman" w:hAnsi="Times New Roman"/>
          <w:i/>
          <w:sz w:val="20"/>
        </w:rPr>
        <w:t xml:space="preserve">Proposal 3: Advisory vote to approve the compensation paid to the Company’s named executive officers. </w:t>
      </w:r>
    </w:p>
    <w:p>
      <w:pPr>
        <w:pStyle w:val="TextBody"/>
        <w:bidi w:val="0"/>
        <w:spacing w:before="0" w:after="0"/>
        <w:jc w:val="left"/>
        <w:rPr/>
      </w:pPr>
      <w:r>
        <w:rPr/>
        <w:t> </w:t>
      </w:r>
    </w:p>
    <w:tbl>
      <w:tblPr>
        <w:tblW w:w="4865" w:type="dxa"/>
        <w:jc w:val="left"/>
        <w:tblInd w:w="0" w:type="dxa"/>
        <w:tblLayout w:type="fixed"/>
        <w:tblCellMar>
          <w:top w:w="0" w:type="dxa"/>
          <w:left w:w="0" w:type="dxa"/>
          <w:bottom w:w="0" w:type="dxa"/>
          <w:right w:w="0" w:type="dxa"/>
        </w:tblCellMar>
      </w:tblPr>
      <w:tblGrid>
        <w:gridCol w:w="1115"/>
        <w:gridCol w:w="60"/>
        <w:gridCol w:w="1025"/>
        <w:gridCol w:w="60"/>
        <w:gridCol w:w="1190"/>
        <w:gridCol w:w="60"/>
        <w:gridCol w:w="135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11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Abstained</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115" w:type="dxa"/>
            <w:tcBorders/>
            <w:shd w:fill="CCEEFF" w:val="clear"/>
            <w:vAlign w:val="center"/>
          </w:tcPr>
          <w:p>
            <w:pPr>
              <w:pStyle w:val="TableContents"/>
              <w:bidi w:val="0"/>
              <w:spacing w:before="0" w:after="283"/>
              <w:jc w:val="center"/>
              <w:rPr/>
            </w:pPr>
            <w:r>
              <w:rPr/>
              <w:t>75,668,064</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7,513,803</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center"/>
              <w:rPr/>
            </w:pPr>
            <w:r>
              <w:rPr/>
              <w:t>3,720,426</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9,629,010</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Based on the votes set forth above, the stockholders approved, on an advisory basis, the compensation paid to the Company’s named executive officers. </w:t>
      </w:r>
    </w:p>
    <w:p>
      <w:pPr>
        <w:pStyle w:val="TextBody"/>
        <w:bidi w:val="0"/>
        <w:spacing w:before="360" w:after="0"/>
        <w:jc w:val="left"/>
        <w:rPr>
          <w:rFonts w:ascii="Times New Roman" w:hAnsi="Times New Roman"/>
          <w:i/>
          <w:sz w:val="20"/>
        </w:rPr>
      </w:pPr>
      <w:r>
        <w:rPr>
          <w:rFonts w:ascii="Times New Roman" w:hAnsi="Times New Roman"/>
          <w:i/>
          <w:sz w:val="20"/>
        </w:rPr>
        <w:t xml:space="preserve">Proposal 4: Approval of an amendment to the Company’s Certificate of Incorporation to permit stockholders to remove any director with or without cause. </w:t>
      </w:r>
    </w:p>
    <w:p>
      <w:pPr>
        <w:pStyle w:val="TextBody"/>
        <w:bidi w:val="0"/>
        <w:spacing w:before="0" w:after="0"/>
        <w:jc w:val="left"/>
        <w:rPr/>
      </w:pPr>
      <w:r>
        <w:rPr/>
        <w:t> </w:t>
      </w:r>
    </w:p>
    <w:tbl>
      <w:tblPr>
        <w:tblW w:w="4865" w:type="dxa"/>
        <w:jc w:val="left"/>
        <w:tblInd w:w="0" w:type="dxa"/>
        <w:tblLayout w:type="fixed"/>
        <w:tblCellMar>
          <w:top w:w="0" w:type="dxa"/>
          <w:left w:w="0" w:type="dxa"/>
          <w:bottom w:w="0" w:type="dxa"/>
          <w:right w:w="0" w:type="dxa"/>
        </w:tblCellMar>
      </w:tblPr>
      <w:tblGrid>
        <w:gridCol w:w="1115"/>
        <w:gridCol w:w="60"/>
        <w:gridCol w:w="1025"/>
        <w:gridCol w:w="60"/>
        <w:gridCol w:w="1190"/>
        <w:gridCol w:w="60"/>
        <w:gridCol w:w="135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11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Abstained</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115" w:type="dxa"/>
            <w:tcBorders/>
            <w:shd w:fill="CCEEFF" w:val="clear"/>
            <w:vAlign w:val="center"/>
          </w:tcPr>
          <w:p>
            <w:pPr>
              <w:pStyle w:val="TableContents"/>
              <w:bidi w:val="0"/>
              <w:spacing w:before="0" w:after="283"/>
              <w:jc w:val="center"/>
              <w:rPr/>
            </w:pPr>
            <w:r>
              <w:rPr/>
              <w:t>86,731,161</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160,872</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center"/>
              <w:rPr/>
            </w:pPr>
            <w:r>
              <w:rPr/>
              <w:t>10,260</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9,629,010</w:t>
            </w:r>
          </w:p>
        </w:tc>
      </w:tr>
    </w:tbl>
    <w:p>
      <w:pPr>
        <w:pStyle w:val="TextBody"/>
        <w:bidi w:val="0"/>
        <w:spacing w:before="120" w:after="0"/>
        <w:jc w:val="left"/>
        <w:rPr>
          <w:rFonts w:ascii="Times New Roman" w:hAnsi="Times New Roman"/>
          <w:sz w:val="20"/>
        </w:rPr>
      </w:pPr>
      <w:r>
        <w:rPr>
          <w:rFonts w:ascii="Times New Roman" w:hAnsi="Times New Roman"/>
          <w:sz w:val="20"/>
        </w:rPr>
        <w:t xml:space="preserve">Based on the votes set forth above, the stockholders approved the Amendment to the Company’s Charter to permit stockholders to remove any director with or without cause. </w:t>
      </w:r>
    </w:p>
    <w:p>
      <w:pPr>
        <w:pStyle w:val="TextBody"/>
        <w:bidi w:val="0"/>
        <w:spacing w:before="0" w:after="0"/>
        <w:jc w:val="left"/>
        <w:rPr/>
      </w:pPr>
      <w:r>
        <w:rPr/>
        <w:t>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85"/>
        <w:gridCol w:w="120"/>
        <w:gridCol w:w="7625"/>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3.1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68043dex31.htm">
              <w:r>
                <w:rPr>
                  <w:rStyle w:val="InternetLink"/>
                </w:rPr>
                <w:t xml:space="preserve">Fourth Amended and Restated Certificate of Incorporation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933" w:type="dxa"/>
        <w:jc w:val="left"/>
        <w:tblInd w:w="0" w:type="dxa"/>
        <w:tblLayout w:type="fixed"/>
        <w:tblCellMar>
          <w:top w:w="0" w:type="dxa"/>
          <w:left w:w="0" w:type="dxa"/>
          <w:bottom w:w="0" w:type="dxa"/>
          <w:right w:w="0" w:type="dxa"/>
        </w:tblCellMar>
      </w:tblPr>
      <w:tblGrid>
        <w:gridCol w:w="1940"/>
        <w:gridCol w:w="60"/>
        <w:gridCol w:w="23"/>
        <w:gridCol w:w="60"/>
        <w:gridCol w:w="365"/>
        <w:gridCol w:w="60"/>
        <w:gridCol w:w="3425"/>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25"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b/>
              </w:rPr>
            </w:pPr>
            <w:r>
              <w:rPr>
                <w:b/>
              </w:rPr>
              <w:t>nCino, Inc.</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485"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June 22,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Greg Orenstein</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pPr>
            <w:r>
              <w:rPr/>
              <w:t>Greg Orenstein</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pPr>
            <w:r>
              <w:rPr/>
              <w:t>Chief Financial Officer &amp; Treasurer</w:t>
            </w:r>
          </w:p>
        </w:tc>
      </w:tr>
    </w:tbl>
    <w:p>
      <w:pPr>
        <w:pStyle w:val="TextBody"/>
        <w:bidi w:val="0"/>
        <w:spacing w:before="0" w:after="0"/>
        <w:jc w:val="right"/>
        <w:rPr>
          <w:rFonts w:ascii="Times New Roman" w:hAnsi="Times New Roman"/>
          <w:b/>
          <w:sz w:val="20"/>
        </w:rPr>
      </w:pPr>
      <w:bookmarkStart w:id="2" w:name="d68043dex31.htm"/>
      <w:bookmarkStart w:id="3" w:name="ksd68043dex31"/>
      <w:bookmarkEnd w:id="2"/>
      <w:bookmarkEnd w:id="3"/>
      <w:r>
        <w:rPr>
          <w:rFonts w:ascii="Times New Roman" w:hAnsi="Times New Roman"/>
          <w:b/>
          <w:sz w:val="20"/>
        </w:rPr>
        <w:t xml:space="preserve">Exhibit 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CERTIFICATE OF INCORPORATION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NCINO, INC., </w:t>
      </w:r>
    </w:p>
    <w:p>
      <w:pPr>
        <w:pStyle w:val="TextBody"/>
        <w:bidi w:val="0"/>
        <w:spacing w:before="120" w:after="0"/>
        <w:jc w:val="center"/>
        <w:rPr>
          <w:rFonts w:ascii="Times New Roman" w:hAnsi="Times New Roman"/>
          <w:sz w:val="20"/>
        </w:rPr>
      </w:pPr>
      <w:r>
        <w:rPr>
          <w:rFonts w:ascii="Times New Roman" w:hAnsi="Times New Roman"/>
          <w:sz w:val="20"/>
        </w:rPr>
        <w:t xml:space="preserve">a Delaware corporation </w:t>
      </w:r>
    </w:p>
    <w:p>
      <w:pPr>
        <w:pStyle w:val="TextBody"/>
        <w:bidi w:val="0"/>
        <w:spacing w:before="240" w:after="0"/>
        <w:jc w:val="left"/>
        <w:rPr>
          <w:rFonts w:ascii="Times New Roman" w:hAnsi="Times New Roman"/>
          <w:sz w:val="20"/>
        </w:rPr>
      </w:pPr>
      <w:r>
        <w:rPr>
          <w:rFonts w:ascii="Times New Roman" w:hAnsi="Times New Roman"/>
          <w:sz w:val="20"/>
        </w:rPr>
        <w:t xml:space="preserve">nCino, Inc., a corporation organized and existing under the laws of the State of Delaware (the “Corporation”), hereby certifies as follows: </w:t>
      </w:r>
    </w:p>
    <w:p>
      <w:pPr>
        <w:pStyle w:val="TextBody"/>
        <w:bidi w:val="0"/>
        <w:spacing w:before="120" w:after="0"/>
        <w:jc w:val="left"/>
        <w:rPr>
          <w:rFonts w:ascii="Times New Roman" w:hAnsi="Times New Roman"/>
          <w:sz w:val="20"/>
        </w:rPr>
      </w:pPr>
      <w:r>
        <w:rPr>
          <w:rFonts w:ascii="Times New Roman" w:hAnsi="Times New Roman"/>
          <w:sz w:val="20"/>
        </w:rPr>
        <w:t xml:space="preserve">A. The original name of the Corporation was Penny HoldCo, Inc. The Corporation’s original certificate of incorporation was filed with the office of the Secretary of State of the State of Delaware on November 12, 2021. </w:t>
      </w:r>
    </w:p>
    <w:p>
      <w:pPr>
        <w:pStyle w:val="TextBody"/>
        <w:bidi w:val="0"/>
        <w:spacing w:before="240" w:after="0"/>
        <w:jc w:val="left"/>
        <w:rPr>
          <w:rFonts w:ascii="Times New Roman" w:hAnsi="Times New Roman"/>
          <w:sz w:val="20"/>
        </w:rPr>
      </w:pPr>
      <w:r>
        <w:rPr>
          <w:rFonts w:ascii="Times New Roman" w:hAnsi="Times New Roman"/>
          <w:sz w:val="20"/>
        </w:rPr>
        <w:t xml:space="preserve">B. This Amended and Restated Certificate of Incorporation was duly adopted in accordance with Sections 242 and 245 of the General Corporation Law of the State of Delaware (“DGCL”). </w:t>
      </w:r>
    </w:p>
    <w:p>
      <w:pPr>
        <w:pStyle w:val="TextBody"/>
        <w:bidi w:val="0"/>
        <w:spacing w:before="240" w:after="0"/>
        <w:jc w:val="left"/>
        <w:rPr>
          <w:rFonts w:ascii="Times New Roman" w:hAnsi="Times New Roman"/>
          <w:sz w:val="20"/>
        </w:rPr>
      </w:pPr>
      <w:r>
        <w:rPr>
          <w:rFonts w:ascii="Times New Roman" w:hAnsi="Times New Roman"/>
          <w:sz w:val="20"/>
        </w:rPr>
        <w:t xml:space="preserve">C. Effective as of 5:00 p.m. EDT on June 18, 2026, the text of the Amended and Restated Certificate of Incorporation is hereby further amended and restated to read in its entirety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NAME </w:t>
      </w:r>
    </w:p>
    <w:p>
      <w:pPr>
        <w:pStyle w:val="TextBody"/>
        <w:bidi w:val="0"/>
        <w:spacing w:before="240" w:after="0"/>
        <w:jc w:val="left"/>
        <w:rPr>
          <w:rFonts w:ascii="Times New Roman" w:hAnsi="Times New Roman"/>
          <w:sz w:val="20"/>
        </w:rPr>
      </w:pPr>
      <w:r>
        <w:rPr>
          <w:rFonts w:ascii="Times New Roman" w:hAnsi="Times New Roman"/>
          <w:sz w:val="20"/>
        </w:rPr>
        <w:t xml:space="preserve">The name of the Corporation is nCino, Inc.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REGISTERED OFFICE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Corporation’s registered office in the State of Delaware is 251 Little Falls Drive, City of Wilmington, County of New Castle, 19808. The name of its registered agent at such address is Corporation Service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PURPOSE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Corporation is to engage in any lawful act or activity for which corporations may be organized under the DGCL.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CAPITAL STOCK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Authorized Capital Stock</w:t>
      </w:r>
      <w:r>
        <w:rPr>
          <w:rFonts w:ascii="Times New Roman" w:hAnsi="Times New Roman"/>
          <w:sz w:val="20"/>
        </w:rPr>
        <w:t xml:space="preserve">. The total number of shares of all classes of capital stock that the Corporation is authorized to issue is 510,000,000 shares, consisting of 500,000,000 shares of common stock, par value $0.0005 per share (“Common Stock”), and 10,000,000 shares of preferred stock, par value $0.001 per share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Increase or Decrease in Authorized Capital Stock</w:t>
      </w:r>
      <w:r>
        <w:rPr>
          <w:rFonts w:ascii="Times New Roman" w:hAnsi="Times New Roman"/>
          <w:sz w:val="20"/>
        </w:rPr>
        <w:t xml:space="preserve">. The number of authorized shares of Common Stock or Preferred Stock may be increased or decreased (but not below the number of shares thereof then outstanding) by the affirmative vote of the holders of a majority in voting power of the stock of the Corporation entitled to vote generally in the election of directors, irrespective of the provisions of Section 242(b)(2) of the DGCL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any successor provision thereto), voting together as a single class, without a separate vote of the holders of the class or classes the number of authorized shares of which are being increased or decreased, unless a vote by any holders of one or more series of Preferred Stock is required by the express terms of any series of Preferred Stock as provided for or fixed pursuant to the provisions of Section 4.4 of this Certificate of Incorporation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holders of shares of Common Stock shall be entitled to one vote for each such share on each matter properly submitted to the stockholders of the Corporation on which the holders of shares of Common Stock are entitled to vote. The holders of shares of Common Stock shall not have cumulative voting rights. Except as otherwise required by law or this amended and restated certificate of incorporation of the Corporation (as further amended from time to time in accordance with the provisions hereof and including, without limitation, the terms of any certificate of designation with respect to any series of Preferred Stock, this “Certificate of Incorporation”), and subject to the rights of the holders of shares of Preferred Stock, if any, at any annual or special meeting of the stockholders of the Corporation, the holders of shares of Common Stock shall have the right to vote for the election of directors of the Corporation and on all other matters properly submitted to the stockholders of the Corporation for their vote; provided, however, that, except as otherwise required by law, holders of shares of Common Stock shall not be entitled to vote on any amendment to this Certificate of Incorporation that relates solely to the terms, number of shares, powers, designations, preferences or relative, participating, optional or other special rights (including, without limitation, voting rights), or to qualifications, limitations or restrictions thereof, of one or more outstanding series of Preferred Stock if the holders of such affected series are entitled, either separately or together with the holders of one or more other such series, to vote thereon pursuant to this Certificate of Incorporation or pursuant to the DGCL.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rights of the holders of shares of Preferred Stock, the holders of shares of Common Stock shall be entitled to receive such dividends and other distributions (payable in cash, property or capital stock of the Corporation) when, as and if declared thereon by the board of directors of the Corporation (the “Board”) from time to time out of any assets or funds of the Corporation legally available therefor and shall share equally on a per share basis in such dividends and distributions.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of any voluntary or involuntary liquidation, dissolution or winding-up of the Corporation, after payment or provision for payment of the debts and other liabilities of the Corporation, and subject to the rights of the holders of shares of Preferred Stock in respect thereof, the holders of shares of Common Stock shall be entitled to receive all of the remaining assets of the Corporation available for distribution to its stockholders, ratably in proportion to the number of shares of Common Stock held by them.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Board is expressly authorized to issue from time to time shares of Preferred Stock in one or more series pursuant to a resolution or resolutions providing for such issue duly adopted by the Board. The Board is further authorized, subject to limitations prescribed by law, to fix by resolution or resolutions and to set forth in a certification of designation filed pursuant to the DGCL the powers, designations, preferences and relative, participating, optional or other special rights, if any, and the qualifications, limitations or restrictions thereof, if any, of any wholly unissued series of Preferred Stock, including, without limitation, dividend rights, dividend rate, conversion rights, voting rights, rights and terms of redemption (including, without limitation, sinking fund provisions), redemption price or prices and liquidation preferences of any such series, and the number of shares constituting any such series and the designation thereof, or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The Board is further authorized to increase (but not above the total number of authorized shares of the class) or decrease (but not below the number of shares of any such series then outstanding) the number of shares of any series of Preferred Stock, the number of which was fixed by it, subsequent to the issuance of shares of such series then outstanding, subject to the powers, preferences and rights, and the qualifications, limitations and restrictions thereof, stated in this Certificate of Incorporation or the resolution of the Board originally fixing the number of shares of such series. If the number of shares of any series of Preferred Stock is so decreased, then the shares constituting such decrease shall resume the status that they had prior to the adoption of the resolution originally fixing the number of shares of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General Powers</w:t>
      </w:r>
      <w:r>
        <w:rPr>
          <w:rFonts w:ascii="Times New Roman" w:hAnsi="Times New Roman"/>
          <w:sz w:val="20"/>
        </w:rPr>
        <w:t xml:space="preserve">. The business and affairs of the Corporation shall be managed by or under the direction of the Board.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Number of Directors; Election; Term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number of directors that shall constitute the entire Board shall be fixed from time to time exclusively by the Board in accordance with the bylaws of the Corporation (as amended from time to time in accordance with the provisions hereof, the “Bylaws”), subject to the rights of holders of any series of Preferred Stock with respect to the election of directors, if any. </w:t>
      </w:r>
    </w:p>
    <w:p>
      <w:pPr>
        <w:pStyle w:val="TextBody"/>
        <w:bidi w:val="0"/>
        <w:spacing w:before="240" w:after="0"/>
        <w:jc w:val="left"/>
        <w:rPr>
          <w:rFonts w:ascii="Times New Roman" w:hAnsi="Times New Roman"/>
          <w:sz w:val="20"/>
        </w:rPr>
      </w:pPr>
      <w:r>
        <w:rPr>
          <w:rFonts w:ascii="Times New Roman" w:hAnsi="Times New Roman"/>
          <w:sz w:val="20"/>
        </w:rPr>
        <w:t xml:space="preserve">(b) Effective as of the annual meeting of stockholders of the Corporation to be held in 2026, the successors of the directors whose terms expire at such meeting shall be elected for a term expiring at the annual meeting of stockholders of the Corporation to be held in 2027; at the annual meeting of stockholders of the Corporation to be held in 2027, the successors of the directors whose terms expire at such meeting shall be elected for a term expiring at the annual meeting of stockholders of the Corporation to be held in 2028; and at each annual meeting of stockholders of the Corporation held in 2028 and thereafter, the directors shall be elected for terms expiring at the next succeeding annual meeting of stockholders of the Corporation, with each director to hold office until his or her successor shall have been duly elected and qualified, or until such director’s earlier death, resignation, removal or retirement. Commencing with the annual meeting of stockholders of the Corporation to be held in 2028 (the “Declassification Date”), the Board will no longer be classified under Section 141(d) of the DGCL and directors shall no longer be divided into classes. Until the Declassification Date, the Board is authorized to assign members of the Board already in office to their respective classes and, subject to the rights of holders of any series of Preferred Stock with respect to the election of directors, if the number of directors that constitutes the Board is changed, any newly created directorships or decrease in directorships shall be so apportioned by the Board among the classes as to make all classes as nearly equal in number as is practicable, provided that no decrease in the number of directors constituting the Board shall shorten the term of any incumbent director.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rights of holders of any series of Preferred Stock with respect to the election of directors, each director shall serve until such director’s successor is duly elected and qualified or until such director’s earlier death,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(d) Elections of directors need not be by written ballot unless the Bylaws shall so provide.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 of the other provisions of this Article V, whenever the holders of any one or more series of Preferred Stock issued by the Corporation shall have the right, voting separately by series, to elect directors at an annual or special meeting of stockholders, the election, term of office, filling of vacancies and other features of such directorships shall be governed by the terms of the certificate of designation for such series of Preferred Stock. During any period when the holders of any series of Preferred Stock have the right to elect additional directors as provided for or fixed pursuant to the provisions of this Article V,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such provisions, and (ii) each such additional director shall serve until such director’s successor shall have been duly elected and qualified, or until such director’s right to hold such office terminates pursuant to such provisions, whichever occurs earlier, subject to such director’s earlier death, resignation or removal. Except as otherwise provided by the Board in the resolution or resolutions establishing such series, whenever the holders of any series of Preferred Stock having such right to elect additional directors are divested of such right pursuant to the provisions of such series of stock, the terms of office of all such additional directors elected by the holders of such stock, or elected to fill any vacancies resulting from the death, resignation or removal of such additional directors, shall forthwith terminate, and the total authorized number of directors of the Corporation shall be reduced accordingly. </w:t>
      </w:r>
    </w:p>
    <w:p>
      <w:pPr>
        <w:pStyle w:val="TextBody"/>
        <w:bidi w:val="0"/>
        <w:spacing w:before="240" w:after="0"/>
        <w:jc w:val="left"/>
        <w:rPr>
          <w:rFonts w:ascii="Times New Roman" w:hAnsi="Times New Roman"/>
          <w:sz w:val="20"/>
        </w:rPr>
      </w:pPr>
      <w:r>
        <w:rPr>
          <w:rFonts w:ascii="Times New Roman" w:hAnsi="Times New Roman"/>
          <w:sz w:val="20"/>
        </w:rPr>
        <w:t xml:space="preserve">5.3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Vacancies and Newly Created Directorships</w:t>
      </w:r>
      <w:r>
        <w:rPr>
          <w:rFonts w:ascii="Times New Roman" w:hAnsi="Times New Roman"/>
          <w:sz w:val="20"/>
        </w:rPr>
        <w:t xml:space="preserve">. Subject to the rights of holders of any series of Preferred Stock with respect to the election of directors, vacancies occurring on the Board for any reason and newly created directorships resulting from an increase in the number of directors shall be filled only by vote of a majority of the remaining members of the Board, although less than a quorum, or by a sole remaining director, and not by the stockholders. Until the Declassification Date, a person so elected by the Board to fill a vacancy or newly created directorship shall hold office until the next election of the class for which such person shall have been assigned by the Board and until such person’s successor shall be duly elected and qualified or until such director’s earlier death, resignation or removal. Upon and after the Declassification Date, a person so elected by the Board to fill a vacancy or newly created directorship shall hold office until the annual meeting next succeeding such person’s election and until such person’s successor shall have been duly elected and qualified, or until such director’s earlier death, resignation, removal or retirement.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AMENDMENT OF BYLAWS </w:t>
      </w:r>
    </w:p>
    <w:p>
      <w:pPr>
        <w:pStyle w:val="TextBody"/>
        <w:bidi w:val="0"/>
        <w:spacing w:before="240" w:after="0"/>
        <w:jc w:val="left"/>
        <w:rPr>
          <w:rFonts w:ascii="Times New Roman" w:hAnsi="Times New Roman"/>
          <w:sz w:val="20"/>
        </w:rPr>
      </w:pPr>
      <w:r>
        <w:rPr>
          <w:rFonts w:ascii="Times New Roman" w:hAnsi="Times New Roman"/>
          <w:sz w:val="20"/>
        </w:rPr>
        <w:t xml:space="preserve">In furtherance and not in limitation of the powers conferred by statute, the Board is expressly authorized to adopt, amend, alter or repeal the Bylaws. The Bylaws may also be adopted, amended, altered or repealed by the stockholders of the Corporation by the affirmative vote of the holders of at least a majority of the voting power of all then outstanding shares of capital stock of the Corporation entitled to vote generally in the election of directors, voting together as a single class; provided, however, that, in the case of any adoption, amendment, alteration or repeal of the Bylaws by the stockholders of the Corporation, notwithstanding any other provision of the Bylaws, and in addition to any other vote that may be required by law or the terms of any series of Preferred Stock, the affirmative vote of the holders of at least sixty six and two-thirds percent (66 2/3%) of the voting power of all of the then outstanding shares of capital stock of the Corporation entitled to vote generally in the election of directors, voting together as a single class, shall be required to amend, alter, repeal or adopt any provision inconsistent with Sections 1.3, 1.7(b), 1.11, 1.13, 1.16, 1.17, 2.1, 2.8, 2.9, 2.10, 2.13 or 2.14 or Article VI of the Bylaws.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STOCKHOLDERS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No Action by Written Consent of Stockholders</w:t>
      </w:r>
      <w:r>
        <w:rPr>
          <w:rFonts w:ascii="Times New Roman" w:hAnsi="Times New Roman"/>
          <w:sz w:val="20"/>
        </w:rPr>
        <w:t xml:space="preserve">. Except as otherwise expressly provided by the terms of any series of Preferred Stock permitting the holders of such series of Preferred Stock to act by written consent, any action required or permitted to be taken by the stockholders of the Corporation must be effected at a duly called annual or special meeting of the stockholders of the Corporation and may not be effected by written consent in lieu of a meeting. </w:t>
      </w:r>
    </w:p>
    <w:p>
      <w:pPr>
        <w:pStyle w:val="TextBody"/>
        <w:bidi w:val="0"/>
        <w:spacing w:before="240" w:after="0"/>
        <w:jc w:val="left"/>
        <w:rPr>
          <w:rFonts w:ascii="Times New Roman" w:hAnsi="Times New Roman"/>
          <w:sz w:val="20"/>
        </w:rPr>
      </w:pPr>
      <w:r>
        <w:rPr>
          <w:rFonts w:ascii="Times New Roman" w:hAnsi="Times New Roman"/>
          <w:sz w:val="20"/>
        </w:rPr>
        <w:t xml:space="preserve">7.2 Advance Notice. Advance notice of stockholder nominations for the election of directors and of business to be brought by stockholders before any meeting of the stockholders of the Corporation shall be given in the manner provided in the Bylaws.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LIMITATION OF LIABILITY AND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Limitation of Personal Liability</w:t>
      </w:r>
      <w:r>
        <w:rPr>
          <w:rFonts w:ascii="Times New Roman" w:hAnsi="Times New Roman"/>
          <w:sz w:val="20"/>
        </w:rPr>
        <w:t xml:space="preserve">. No director or officer of the Corporation shall be personally liable to the Corporation or its stockholders for monetary damages for breach of fiduciary duty as a director or officer, except to the extent such exemption from liability or limitation thereof is not permitted under the DGCL, as it presently exists or may hereafter be amended from time to time. If the DGCL is amended to authorize corporate action further eliminating or limiting the personal liability of directors or officers, then the liability of a director or officer of the Corporation shall be eliminated or limited to the fullest extent permitted by the DGCL, as so amended. For purposes of this Section 8.1, “officer” shall have the same meaning provided in Section 102(b)(7) of the DGCL, as it presently exists or may hereafter be amended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Indemnification and Advancement of Expenses</w:t>
      </w:r>
      <w:r>
        <w:rPr>
          <w:rFonts w:ascii="Times New Roman" w:hAnsi="Times New Roman"/>
          <w:sz w:val="20"/>
        </w:rPr>
        <w:t xml:space="preserve">. The Corporation shall indemnify its directors and officers to the fullest extent authorized or permitted by the DGCL, as now or hereafter in effect, and such right to indemnification shall continue as to a person who has ceased to be a director or officer of the Corporation and shall inure to the benefit of such person’s heirs, executors and personal and legal representatives. A director’s or officer’s right to indemnification conferred by this Section 8.2 shall include the right to be paid by the Corporation the expenses incurred in defending or otherwise participating in any proceeding in advance of its final disposition, provided that such director or officer presents to the Corporation a written undertaking to repay such amount if it shall ultimately be determined that such director or officer is not entitled to be indemnified by the Corporation under this Article VIII or otherwise. Notwithstanding the foregoing, except for proceedings to enforce any director’s or officer’s rights to indemnification or rights to advancement of expenses, the Corporation shall not be obligated to indemnify any director or officer, or advance expenses of any director, (or such director’s or officer’s heirs, executors or personal or legal representatives) in connection with any proceeding (or part thereof) initiated by such person unless such proceeding (or part thereof) was authorized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Non-Exclusivity of Rights</w:t>
      </w:r>
      <w:r>
        <w:rPr>
          <w:rFonts w:ascii="Times New Roman" w:hAnsi="Times New Roman"/>
          <w:sz w:val="20"/>
        </w:rPr>
        <w:t xml:space="preserve">. The rights to indemnification and advancement of expenses conferred in Section 8.2 of this Certificate of Incorporation shall neither be exclusive of, nor be deemed in limitation of, any rights to which any person may otherwise be or become entitled or permitted under this Certificate of Incorporation, the Bylaws, any statute, agreement, vote of stockholders or disinterested directors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Insurance</w:t>
      </w:r>
      <w:r>
        <w:rPr>
          <w:rFonts w:ascii="Times New Roman" w:hAnsi="Times New Roman"/>
          <w:sz w:val="20"/>
        </w:rPr>
        <w:t xml:space="preserve">. To the fullest extent authorized or permitted by the DGCL, the Corporation may purchase and maintain insurance on behalf of any current or former director or officer of the Corporation against any liability asserted against such person, whether or not the Corporation would have the power to indemnify such person against such liability under the provisions of this Article VIII or otherwise.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Persons Other Than Directors and Officers</w:t>
      </w:r>
      <w:r>
        <w:rPr>
          <w:rFonts w:ascii="Times New Roman" w:hAnsi="Times New Roman"/>
          <w:sz w:val="20"/>
        </w:rPr>
        <w:t xml:space="preserve">. This Article VIII shall not limit the right of the Corporation, to the extent and in the manner permitted by law, to indemnify and to advance expenses to, or to purchase and maintain insurance on behalf of, persons other than those persons described in the first sentence of Section 8.2 of this Certificate of Incorporation or to advance expenses to persons other than directors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Effect of Modifications</w:t>
      </w:r>
      <w:r>
        <w:rPr>
          <w:rFonts w:ascii="Times New Roman" w:hAnsi="Times New Roman"/>
          <w:sz w:val="20"/>
        </w:rPr>
        <w:t xml:space="preserve">. Any amendment, repeal or modification of any provision contained in this Article VIII shall, unless otherwise required by law, be prospective only (except to the extent such amendment or change in law permits the Corporation to further limit or eliminate the liability of directors or officers) and shall not adversely affect any right or protection of any current or former director or officer of the Corporation existing at the time of such amendment, repeal or modification with respect to any acts or omissions occurring prior to such amendment, repeal or modification.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Forum for Certain Actions.</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Forum</w:t>
      </w:r>
      <w:r>
        <w:rPr>
          <w:rFonts w:ascii="Times New Roman" w:hAnsi="Times New Roman"/>
          <w:sz w:val="20"/>
        </w:rPr>
        <w:t xml:space="preserve">. Unless a majority of the Board, acting on behalf of the Corporation, consents in writing to the selection of an alternative forum (which consent may be given at any time, including during the pendency of litigation), the Court of Chancery of the State of Delaware (or, if the Court of Chancery does not have jurisdiction, another state court located within the State of Delaware or, if no court located within the State of Delaware has jurisdiction, the federal district court for the District of Delaware), to the fullest extent permitted by law, shall be the sole and exclusive forum for (i) any derivative action or proceeding brought on behalf of the Corporation, (ii) any action asserting a claim of breach of a fiduciary duty owed by any current or former director, officer or other employee of the Corporation to the Corporation or the Corporation’s stockholders, (iii) any action asserting a claim against the Corporation or any of its directors, officers or other employees arising pursuant to any provision of the DGCL, this Certificate of Incorporation or the Bylaws (in each case, as may be amended from time to time), (iv) any action asserting a claim against the Corporation or any of its directors, officers or other employees governed by the internal affairs doctrine of the State of Delaware or (v) any other action asserting an “internal corporate claim,” as defined in Section 115 of the DGCL, in all cases subject to the court’s having personal jurisdiction over all indispensable parties named as defendants. Unless a majority of the Board, acting on behalf of the Corporation, consents in writing to the selection of an alternative forum, the federal district courts of the United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States of America shall be the exclusive forum for the resolution of any complaint asserting a cause of action arising under the Securities Act of 1933, as amended. To the fullest extent permitted by law, any person or entity purchasing or otherwise acquiring or holding any interest in shares of capital stock of the Corporation shall be deemed to have notice of and consented to the provisions of this Article IX.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Personal Jurisdiction</w:t>
      </w:r>
      <w:r>
        <w:rPr>
          <w:rFonts w:ascii="Times New Roman" w:hAnsi="Times New Roman"/>
          <w:sz w:val="20"/>
        </w:rPr>
        <w:t xml:space="preserve">. If any action the subject matter of which is within the scope of subparagraph (a) of this Section 9.1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subparagraph (a) of this Section 9.1 (an “Enforcement Action”) and (ii) having service of process made upon such stockholder in any such Enforcement Action by service upon such stockholder’s counsel in the Foreign Action as agent for such stockholder.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Enforceability</w:t>
      </w:r>
      <w:r>
        <w:rPr>
          <w:rFonts w:ascii="Times New Roman" w:hAnsi="Times New Roman"/>
          <w:sz w:val="20"/>
        </w:rPr>
        <w:t xml:space="preserve">. If any provision of this Section 9.1 shall be held to be invalid, illegal or unenforceable as applied to any person, entity or circumstance for any reason whatsoever, then, to the fullest extent permitted by law, the validity, legality and enforceability of such provision in any other circumstance and of the remaining provisions of this Section 9.1, and the application of such provision to other persons or entities and circumstances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Amendment</w:t>
      </w:r>
      <w:r>
        <w:rPr>
          <w:rFonts w:ascii="Times New Roman" w:hAnsi="Times New Roman"/>
          <w:sz w:val="20"/>
        </w:rPr>
        <w:t xml:space="preserve">. The Corporation reserves the right to amend, alter or repeal any provision contained in this Certificate of Incorporation, in the manner now or hereafter prescribed by this Certificate of Incorporation and the DGCL; and all rights, preferences and privileges herein conferred upon stockholders of the Corporation by and pursuant to this Certificate of Incorporation in its present form or as hereafter amended are granted subject to the right reserved in this Section 9.2. In addition to any other vote that may be required by law, applicable stock exchange rule or the terms of any series of Preferred Stock, the affirmative vote of the holders of at least a majority of the voting power of all then outstanding shares of capital stock of the Corporation entitled to vote generally in the election of directors, voting together as a single class, shall be required to amend, alter, repeal or adopt any provision of this Certificate of Incorporation. Notwithstanding any other provision of this Certificate of Incorporation, and in addition to any other vote that may be required by law, applicable stock exchange rule or the terms of any series of Preferred Stock, the affirmative vote of the holders of at least sixty six and two-thirds percent (66 2/3%) of the voting power of all then outstanding shares of capital stock of the Corporation entitled to vote generally in the election of directors, voting together as a single class, shall be required to amend, alter, repeal or adopt any provision of this Certificate of Incorporation inconsistent with the purpose and intent of Article V, Article VI, Article VII, Article VIII or this Article IX (including, without limitation, any such Article as renumbered as a result of any amendment, alternation, repeal or adoption of any other Article).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Severability</w:t>
      </w:r>
      <w:r>
        <w:rPr>
          <w:rFonts w:ascii="Times New Roman" w:hAnsi="Times New Roman"/>
          <w:sz w:val="20"/>
        </w:rPr>
        <w:t xml:space="preserve">. If any provision or provisions of this Certificate of Incorporation shall be held to be invalid, illegal or unenforceable as applied to any circumstance for any reason whatsoever, the validity, legality and enforceability of such provision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Corporation has caused this Amended and Restated Certificate of Incorporation to be signed by a duly authorized officer of the Corporation on this 18th day of June,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2"/>
        <w:gridCol w:w="60"/>
        <w:gridCol w:w="3400"/>
      </w:tblGrid>
      <w:tr>
        <w:trPr/>
        <w:tc>
          <w:tcPr>
            <w:tcW w:w="62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nCino, Inc.</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r>
      <w:tr>
        <w:trPr>
          <w:trHeight w:val="240" w:hRule="atLeast"/>
        </w:trPr>
        <w:tc>
          <w:tcPr>
            <w:tcW w:w="622" w:type="dxa"/>
            <w:tcBorders/>
            <w:vAlign w:val="center"/>
          </w:tcPr>
          <w:p>
            <w:pPr>
              <w:pStyle w:val="TableContents"/>
              <w:bidi w:val="0"/>
              <w:spacing w:before="0" w:after="283"/>
              <w:jc w:val="left"/>
              <w:rPr>
                <w:sz w:val="4"/>
                <w:szCs w:val="4"/>
              </w:rPr>
            </w:pPr>
            <w:r>
              <w:rPr>
                <w:sz w:val="4"/>
                <w:szCs w:val="4"/>
              </w:rPr>
            </w:r>
          </w:p>
        </w:tc>
        <w:tc>
          <w:tcPr>
            <w:tcW w:w="3460" w:type="dxa"/>
            <w:gridSpan w:val="2"/>
            <w:tcBorders/>
            <w:vAlign w:val="center"/>
          </w:tcPr>
          <w:p>
            <w:pPr>
              <w:pStyle w:val="TableContents"/>
              <w:bidi w:val="0"/>
              <w:spacing w:before="0" w:after="283"/>
              <w:jc w:val="left"/>
              <w:rPr>
                <w:sz w:val="4"/>
                <w:szCs w:val="4"/>
              </w:rPr>
            </w:pPr>
            <w:r>
              <w:rPr>
                <w:sz w:val="4"/>
                <w:szCs w:val="4"/>
              </w:rPr>
            </w:r>
          </w:p>
        </w:tc>
      </w:tr>
      <w:tr>
        <w:trPr/>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400"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Sean Desmond</w:t>
            </w:r>
          </w:p>
        </w:tc>
      </w:tr>
      <w:tr>
        <w:trPr/>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Sean Desmond</w:t>
            </w:r>
          </w:p>
        </w:tc>
      </w:tr>
      <w:tr>
        <w:trPr/>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5157</Words>
  <Characters>26985</Characters>
  <CharactersWithSpaces>32189</CharactersWithSpaces>
  <Paragraphs>343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EX-3.1</dc:title>
</cp:coreProperties>
</file>