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Naude Pierre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6770 PARKER FARM DRIVE,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nCino,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NCNO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WILMINGTON 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28405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02/02/2026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12"/>
              <w:spacing w:after="0"/>
              <w:rPr>
                <w:sz w:val="20"/>
                <w:szCs w:val="20"/>
                <w:color w:val="auto"/>
              </w:rPr>
            </w:pPr>
            <w:r>
              <w:rPr>
                <w:rFonts w:ascii="Times New Roman" w:cs="Times New Roman" w:eastAsia="Times New Roman" w:hAnsi="Times New Roman"/>
                <w:sz w:val="17"/>
                <w:szCs w:val="17"/>
                <w:color w:val="0000FF"/>
              </w:rPr>
              <w:t>3,516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1,191,096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02/03/2026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24,273</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18.682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1,166,823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full on the earlier of June 18, 2026 and the date of the next annual meeting of the Issuer's stockholders, subject to the reporting person's continued service through the applicable vesting date. These RSUs vest fully upon a change in control of the Issuer.</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to cover tax withholding due upon vesting of RSUs. Such "sales to cover" are mandated by the Issuer's equity incentive plans to satisfy tax withholding obligations and do not represent a discretionary trade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Jeanette Sellers,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02/04/2026</w:t>
            </w:r>
          </w:p>
        </w:tc>
        <w:tc>
          <w:tcPr>
            <w:tcW w:w="0" w:type="dxa"/>
            <w:vAlign w:val="bottom"/>
          </w:tcPr>
          <w:p>
            <w:pPr>
              <w:spacing w:after="0"/>
              <w:rPr>
                <w:sz w:val="1"/>
                <w:szCs w:val="1"/>
                <w:color w:val="auto"/>
              </w:rPr>
            </w:pPr>
          </w:p>
        </w:tc>
      </w:tr>
      <w:tr>
        <w:trPr>
          <w:trHeight w:val="87"/>
        </w:trPr>
        <w:tc>
          <w:tcPr>
            <w:tcW w:w="17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Pierre Naude</w:t>
            </w:r>
          </w:p>
        </w:tc>
        <w:tc>
          <w:tcPr>
            <w:tcW w:w="4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00" w:type="dxa"/>
            <w:vAlign w:val="bottom"/>
            <w:tcBorders>
              <w:bottom w:val="single" w:sz="8" w:color="auto"/>
            </w:tcBorders>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5186" TargetMode="External"/><Relationship Id="rId14" Type="http://schemas.openxmlformats.org/officeDocument/2006/relationships/hyperlink" Target="http://www.sec.gov/cgi-bin/browse-edgar?action=getcompany&amp;CIK=00019027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2026-02-04T16:57:09Z</dcterms:created>
  <dcterms:modified xsi:type="dcterms:W3CDTF">2026-02-04T16:57:09Z</dcterms:modified>
</cp:coreProperties>
</file>