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28, 2024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nCino,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204" w:right="339" w:bottom="1440" w:gutter="0" w:footer="0" w:header="0"/>
        </w:sectPr>
      </w:pPr>
    </w:p>
    <w:p>
      <w:pPr>
        <w:spacing w:after="0" w:line="3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001-41211</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87-4154342</w:t>
      </w:r>
    </w:p>
    <w:p>
      <w:pPr>
        <w:spacing w:after="0" w:line="50" w:lineRule="exact"/>
        <w:rPr>
          <w:sz w:val="24"/>
          <w:szCs w:val="24"/>
          <w:color w:val="auto"/>
        </w:rPr>
      </w:pPr>
    </w:p>
    <w:p>
      <w:pPr>
        <w:sectPr>
          <w:pgSz w:w="11900" w:h="16838" w:orient="portrait"/>
          <w:cols w:equalWidth="0" w:num="3">
            <w:col w:w="4520" w:space="720"/>
            <w:col w:w="2940" w:space="720"/>
            <w:col w:w="2340"/>
          </w:cols>
          <w:pgMar w:left="320" w:top="1204"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9" w:lineRule="exact"/>
        <w:rPr>
          <w:sz w:val="24"/>
          <w:szCs w:val="24"/>
          <w:color w:val="auto"/>
        </w:rPr>
      </w:pPr>
    </w:p>
    <w:p>
      <w:pPr>
        <w:sectPr>
          <w:pgSz w:w="11900" w:h="16838" w:orient="portrait"/>
          <w:cols w:equalWidth="0" w:num="3">
            <w:col w:w="4060" w:space="720"/>
            <w:col w:w="3340" w:space="720"/>
            <w:col w:w="2400"/>
          </w:cols>
          <w:pgMar w:left="320" w:top="1204"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5" w:lineRule="exact"/>
        <w:rPr>
          <w:sz w:val="24"/>
          <w:szCs w:val="24"/>
          <w:color w:val="auto"/>
        </w:rPr>
      </w:pPr>
    </w:p>
    <w:p>
      <w:pPr>
        <w:sectPr>
          <w:pgSz w:w="11900" w:h="16838" w:orient="portrait"/>
          <w:cols w:equalWidth="0" w:num="2">
            <w:col w:w="8020" w:space="720"/>
            <w:col w:w="2500"/>
          </w:cols>
          <w:pgMar w:left="320" w:top="120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6770 Parker Farm Drive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Wilmington, North Carolina 28405</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(888) 676-2466</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04" w:right="339" w:bottom="1440" w:gutter="0" w:footer="0" w:header="0"/>
          <w:type w:val="continuous"/>
        </w:sect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499"/>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3"/>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par value $0.0005 per share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NCNO</w:t>
            </w:r>
          </w:p>
        </w:tc>
        <w:tc>
          <w:tcPr>
            <w:tcW w:w="4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57" w:lineRule="exact"/>
        <w:rPr>
          <w:sz w:val="24"/>
          <w:szCs w:val="24"/>
          <w:color w:val="auto"/>
        </w:rPr>
      </w:pPr>
    </w:p>
    <w:p>
      <w:pPr>
        <w:ind w:right="6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25" w:lineRule="exact"/>
        <w:rPr>
          <w:sz w:val="24"/>
          <w:szCs w:val="24"/>
          <w:color w:val="auto"/>
        </w:rPr>
      </w:pPr>
    </w:p>
    <w:p>
      <w:pPr>
        <w:ind w:right="580"/>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On October 28, 2024, nCino,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Company, nCino OpCo,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certain subsidiaries of the Company as guarantors, the lenders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Bank of America, N.A., as administrative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pursuant to which the Lenders are providing to the Borrower a senior secured revolving credit facility of up to $250,000,000 (the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The Credit Facility includes borrowing capacity available for letters of credit subject to a sublimit of $45,000,000. Any issuance of letters of credit will reduce the amount available under the Credit Facility.</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Borrowings under the Credit Facility bear interest, at the Borrower’s option, at: (i) a base rate equal to the greatest of (a) the Agent’s “prime rate”,</w:t>
      </w:r>
    </w:p>
    <w:p>
      <w:pPr>
        <w:spacing w:after="0" w:line="16" w:lineRule="exact"/>
        <w:rPr>
          <w:sz w:val="20"/>
          <w:szCs w:val="20"/>
          <w:color w:val="auto"/>
        </w:rPr>
      </w:pPr>
    </w:p>
    <w:p>
      <w:pPr>
        <w:ind w:firstLine="8"/>
        <w:spacing w:after="0" w:line="234"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plus 0.50%, and (c) the Term SOFR rate plus 1.00% (provided that the base rate shall not be less than 0.00%), plus a margin of 1.00%; or (ii) the Term SOFR rate (provided that the Term SOFR shall not be less than 0.00%), plus a margin of 2.00%, in each case with such margin subject to step ups based on certain leverage ratios. The Company is also required to pay an unused commitment fee to the Lenders of 0.25% of the average daily unutilized commitments (with step ups based on certain leverage ratios). The Company must also pay customary letter of credit fees.</w:t>
      </w:r>
    </w:p>
    <w:p>
      <w:pPr>
        <w:spacing w:after="0" w:line="212" w:lineRule="exact"/>
        <w:rPr>
          <w:sz w:val="20"/>
          <w:szCs w:val="20"/>
          <w:color w:val="auto"/>
        </w:rPr>
      </w:pPr>
    </w:p>
    <w:p>
      <w:pPr>
        <w:ind w:right="560" w:firstLine="488"/>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Facility are scheduled to mature on October 28, 2029, and the Company may repay amounts borrowed any time without penalty. Borrowings under the Credit Facility may be reborrowed.</w:t>
      </w:r>
    </w:p>
    <w:p>
      <w:pPr>
        <w:spacing w:after="0" w:line="189" w:lineRule="exact"/>
        <w:rPr>
          <w:sz w:val="20"/>
          <w:szCs w:val="20"/>
          <w:color w:val="auto"/>
        </w:rPr>
      </w:pPr>
    </w:p>
    <w:p>
      <w:pPr>
        <w:ind w:right="40" w:firstLine="488"/>
        <w:spacing w:after="0" w:line="245" w:lineRule="auto"/>
        <w:rPr>
          <w:sz w:val="20"/>
          <w:szCs w:val="20"/>
          <w:color w:val="auto"/>
        </w:rPr>
      </w:pPr>
      <w:r>
        <w:rPr>
          <w:rFonts w:ascii="Times New Roman" w:cs="Times New Roman" w:eastAsia="Times New Roman" w:hAnsi="Times New Roman"/>
          <w:sz w:val="18"/>
          <w:szCs w:val="18"/>
          <w:color w:val="auto"/>
        </w:rPr>
        <w:t>The Credit Agreement contains representations and warranties, affirmative, negative and financial covenants, and events of default that are customary for loans of this type. The financial covenant requires the Company and its subsidiaries on a consolidated basis to maintain (i) a Consolidated Total Leverage Ratio not in excess of 4.00:1.00 as of the end of any fiscal quarter and (ii) a Consolidated Interest Coverage Ratio not less than 3.00:1.00 as of the end of any fiscal quarter, commencing with the fiscal quarter ending January 31, 2025.</w:t>
      </w:r>
    </w:p>
    <w:p>
      <w:pPr>
        <w:spacing w:after="0" w:line="208" w:lineRule="exact"/>
        <w:rPr>
          <w:sz w:val="20"/>
          <w:szCs w:val="20"/>
          <w:color w:val="auto"/>
        </w:rPr>
      </w:pPr>
    </w:p>
    <w:p>
      <w:pPr>
        <w:ind w:right="60" w:firstLine="396"/>
        <w:spacing w:after="0" w:line="236" w:lineRule="auto"/>
        <w:rPr>
          <w:sz w:val="20"/>
          <w:szCs w:val="20"/>
          <w:color w:val="auto"/>
        </w:rPr>
      </w:pPr>
      <w:r>
        <w:rPr>
          <w:rFonts w:ascii="Times New Roman" w:cs="Times New Roman" w:eastAsia="Times New Roman" w:hAnsi="Times New Roman"/>
          <w:sz w:val="17"/>
          <w:szCs w:val="17"/>
          <w:color w:val="auto"/>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w:t>
      </w:r>
    </w:p>
    <w:p>
      <w:pPr>
        <w:ind w:right="320"/>
        <w:spacing w:after="0" w:line="233" w:lineRule="auto"/>
        <w:rPr>
          <w:sz w:val="20"/>
          <w:szCs w:val="20"/>
          <w:color w:val="auto"/>
        </w:rPr>
      </w:pPr>
      <w:r>
        <w:rPr>
          <w:rFonts w:ascii="Times New Roman" w:cs="Times New Roman" w:eastAsia="Times New Roman" w:hAnsi="Times New Roman"/>
          <w:sz w:val="18"/>
          <w:szCs w:val="18"/>
          <w:color w:val="auto"/>
        </w:rPr>
        <w:t>including a pledge of all of the Borrower’s capital stock, the capital stock of all of the Company’s domestic subsidiaries and 65% of the capital stock of foreign subsidiaries that are directly owned by the Borrower or a Guarantor.</w:t>
      </w:r>
    </w:p>
    <w:p>
      <w:pPr>
        <w:spacing w:after="0" w:line="199" w:lineRule="exact"/>
        <w:rPr>
          <w:sz w:val="20"/>
          <w:szCs w:val="20"/>
          <w:color w:val="auto"/>
        </w:rPr>
      </w:pPr>
    </w:p>
    <w:p>
      <w:pPr>
        <w:ind w:firstLine="401"/>
        <w:spacing w:after="0" w:line="237" w:lineRule="auto"/>
        <w:rPr>
          <w:sz w:val="20"/>
          <w:szCs w:val="20"/>
          <w:color w:val="auto"/>
        </w:rPr>
      </w:pPr>
      <w:r>
        <w:rPr>
          <w:rFonts w:ascii="Times New Roman" w:cs="Times New Roman" w:eastAsia="Times New Roman" w:hAnsi="Times New Roman"/>
          <w:sz w:val="18"/>
          <w:szCs w:val="18"/>
          <w:color w:val="auto"/>
        </w:rPr>
        <w:t>A copy of the Credit Agreement is filed with this report as Exhibit 10.1 and is hereby incorporated by reference herein. The foregoing summary of the Credit Agreement does not purport to be complete and is subject to and qualified in its entirety by reference to the full text of the Credit Agreement.</w:t>
      </w:r>
    </w:p>
    <w:p>
      <w:pPr>
        <w:spacing w:after="0" w:line="199" w:lineRule="exact"/>
        <w:rPr>
          <w:sz w:val="20"/>
          <w:szCs w:val="20"/>
          <w:color w:val="auto"/>
        </w:rPr>
      </w:pPr>
    </w:p>
    <w:p>
      <w:pPr>
        <w:ind w:right="580" w:firstLine="405"/>
        <w:spacing w:after="0" w:line="250" w:lineRule="auto"/>
        <w:rPr>
          <w:sz w:val="20"/>
          <w:szCs w:val="20"/>
          <w:color w:val="auto"/>
        </w:rPr>
      </w:pPr>
      <w:r>
        <w:rPr>
          <w:rFonts w:ascii="Times New Roman" w:cs="Times New Roman" w:eastAsia="Times New Roman" w:hAnsi="Times New Roman"/>
          <w:sz w:val="18"/>
          <w:szCs w:val="18"/>
          <w:color w:val="auto"/>
        </w:rPr>
        <w:t>In connection with the Credit Facility, the Borrower terminated its existing credit agreement, dated as of February 11, 2022, by and among the Borrower, the Company, the other guarantors party thereto, and the Agent.</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8-K is incorporated herein by reference.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dated October 30, 2024, related to the FullCircl acquisition described below. A copy of this press release is furnished herewith as Exhibit 99.1 to this Current Report on Form 8-K and incorporated herein by reference.</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October 29, 2024, the Company entered into a Share Purchase Agreement (the "SPA") to acquire Artesian Solutions Limited (trading as FullCircl), a private limited company incorporated under the laws of England and Wales ("FullCircl), a company that offers a Customer Lifecycle Intelligence (CLI) platform for B2B companies in financially regulated industries. The acquisition is expected to close on or about November 4, 2024 (the "Closing"). A portion of the funds available under the Credit Agreement will be used to fund the purchase price. The purchase price for FullCircl is One Hundred Thirty-five Million Dollar ($135,000,000) in cash, subject to customary adjustments (the "Purchase Price"). Fifteen Million Dollars ($15,000,000) of the Purchase Price will be retained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Company for two years following the Closing as security for the performance of certain warranties and covenants arising under the SPA.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1"/>
                <w:szCs w:val="21"/>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Credit Agreement by and among nCino, Inc., nCino OpCo, Inc., certain subsidiaries of nCino, Inc. as guarantors and Bank of America,</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2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N.A., dated October 28, 2024</w:t>
            </w:r>
          </w:p>
        </w:tc>
        <w:tc>
          <w:tcPr>
            <w:tcW w:w="180" w:type="dxa"/>
            <w:vAlign w:val="bottom"/>
          </w:tcPr>
          <w:p>
            <w:pPr>
              <w:spacing w:after="0"/>
              <w:rPr>
                <w:sz w:val="17"/>
                <w:szCs w:val="17"/>
                <w:color w:val="auto"/>
              </w:rPr>
            </w:pPr>
          </w:p>
        </w:tc>
      </w:tr>
      <w:tr>
        <w:trPr>
          <w:trHeight w:val="20"/>
        </w:trPr>
        <w:tc>
          <w:tcPr>
            <w:tcW w:w="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25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1"/>
                <w:szCs w:val="21"/>
                <w:color w:val="auto"/>
              </w:rPr>
            </w:pPr>
          </w:p>
        </w:tc>
        <w:tc>
          <w:tcPr>
            <w:tcW w:w="5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Press release of nCino, Inc. dated October 30, 2024 (furnished and not filed)</w:t>
            </w:r>
          </w:p>
        </w:tc>
        <w:tc>
          <w:tcPr>
            <w:tcW w:w="4400" w:type="dxa"/>
            <w:vAlign w:val="bottom"/>
            <w:gridSpan w:val="2"/>
          </w:tcPr>
          <w:p>
            <w:pPr>
              <w:spacing w:after="0"/>
              <w:rPr>
                <w:sz w:val="21"/>
                <w:szCs w:val="21"/>
                <w:color w:val="auto"/>
              </w:rPr>
            </w:pPr>
          </w:p>
        </w:tc>
      </w:tr>
      <w:tr>
        <w:trPr>
          <w:trHeight w:val="29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67" w:lineRule="exact"/>
        <w:rPr>
          <w:sz w:val="20"/>
          <w:szCs w:val="20"/>
          <w:color w:val="auto"/>
        </w:rPr>
      </w:pPr>
    </w:p>
    <w:p>
      <w:pPr>
        <w:ind w:left="20"/>
        <w:spacing w:after="0"/>
        <w:tabs>
          <w:tab w:leader="none" w:pos="5000" w:val="left"/>
          <w:tab w:leader="none" w:pos="558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D.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Gregory D. Orenstein</w:t>
      </w:r>
    </w:p>
    <w:p>
      <w:pPr>
        <w:spacing w:after="0" w:line="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ectPr>
          <w:pgSz w:w="11900" w:h="16838" w:orient="portrait"/>
          <w:cols w:equalWidth="0" w:num="1">
            <w:col w:w="11200"/>
          </w:cols>
          <w:pgMar w:left="320" w:top="1103"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Published Deal CUSIP Number: 63948AAA8</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Published Revolver CUSIP Number: 63948AAB6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Dated as of October 28, 2024</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NCINO OPCO,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NCINO, INC. AND CERTAIN OF ITS SUBSIDIARIES PARTY HERETO,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the Guarantors,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Administrative Agent, Swingline Lender and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L/C Issuer,</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U.S. BANK NATIONAL ASSOCIATION and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13817883v8</w:t>
      </w:r>
    </w:p>
    <w:p>
      <w:pPr>
        <w:sectPr>
          <w:pgSz w:w="11900" w:h="16838" w:orient="portrait"/>
          <w:cols w:equalWidth="0" w:num="1">
            <w:col w:w="11240"/>
          </w:cols>
          <w:pgMar w:left="320" w:top="122"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58"/>
        </w:trPr>
        <w:tc>
          <w:tcPr>
            <w:tcW w:w="1400" w:type="dxa"/>
            <w:vAlign w:val="bottom"/>
          </w:tcPr>
          <w:p>
            <w:pPr>
              <w:spacing w:after="0"/>
              <w:rPr>
                <w:sz w:val="22"/>
                <w:szCs w:val="22"/>
                <w:color w:val="auto"/>
              </w:rPr>
            </w:pPr>
          </w:p>
        </w:tc>
        <w:tc>
          <w:tcPr>
            <w:tcW w:w="7780" w:type="dxa"/>
            <w:vAlign w:val="bottom"/>
          </w:tcPr>
          <w:p>
            <w:pPr>
              <w:ind w:left="3200"/>
              <w:spacing w:after="0"/>
              <w:rPr>
                <w:sz w:val="20"/>
                <w:szCs w:val="20"/>
                <w:color w:val="auto"/>
              </w:rPr>
            </w:pPr>
            <w:r>
              <w:rPr>
                <w:rFonts w:ascii="Times New Roman" w:cs="Times New Roman" w:eastAsia="Times New Roman" w:hAnsi="Times New Roman"/>
                <w:sz w:val="20"/>
                <w:szCs w:val="20"/>
                <w:color w:val="auto"/>
              </w:rPr>
              <w:t>TABLE OF CONTENTS</w:t>
            </w:r>
          </w:p>
        </w:tc>
        <w:tc>
          <w:tcPr>
            <w:tcW w:w="2020" w:type="dxa"/>
            <w:vAlign w:val="bottom"/>
          </w:tcPr>
          <w:p>
            <w:pPr>
              <w:spacing w:after="0"/>
              <w:rPr>
                <w:sz w:val="22"/>
                <w:szCs w:val="22"/>
                <w:color w:val="auto"/>
              </w:rPr>
            </w:pPr>
          </w:p>
        </w:tc>
      </w:tr>
      <w:tr>
        <w:trPr>
          <w:trHeight w:val="475"/>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Terms.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Terms.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Rounding.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Times of Day.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Letter of Credit Amounts.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UCC Terms.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COMMITMENTS AND CREDIT EXTENSIONS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Letters of Credit.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2.04</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Swingline 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Prepayments.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2.08</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Default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2.09</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2.10</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Evidence of Debt.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2.12</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2.13</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2.14</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Collateral.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2.15</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Defaulting Lenders.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2.16</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Incremental Facility Loans.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3.01</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3.02</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Illegality.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3.03</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3.04</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Increased Costs.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3.05</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for Losses.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3.06</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3.07</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PRECEDENT TO CREDIT EXTENSIONS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4.01</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of Initial Credit Extension.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4.02</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5.01</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5.02</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5.03</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5.04</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Binding Effect.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5.05</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5.06</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5.07</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Default.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00"/>
          </w:cols>
          <w:pgMar w:left="340" w:top="1305"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5.08</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Property.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5.09</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Compliance.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5.10</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5.11</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5.12</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ERISA Compliance.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5.13</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5.14</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Disclosure.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5.15</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5.16</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Solvency.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5.17</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Sanctions Concerns and Anti-Corruption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5.18</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Loan Parties.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5.19</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Collateral Representations.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5.20</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5.21</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6.02</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6.03</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6.04</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6.05</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6.06</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6.07</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6.08</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Books and Records.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6.10</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Inspection Rights.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6.11</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6.12</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Covenant to Guarantee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6.13</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Covenant to Give Security.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6.14</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Anti-Corruption Laws; Sanctions.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6.15</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Maintenance.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6.16</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Further Assurances.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6.17</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Post-Closing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7.01</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7.02</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Indebtedness.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7.03</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7.04</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Fundamental Changes.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7.05</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Dispositions.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7.06</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Payments.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7.07</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7.08</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7.09</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Burdensome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7.10</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7.11</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7.12</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 of Organization Documents; Fiscal Year; Legal Name, State of Formation; Form of Entity.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7.13</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7.14</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200"/>
          </w:cols>
          <w:pgMar w:left="340" w:top="135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7.15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Anti-Corruption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7.16</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Restrictions on Holdings.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8.01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8.02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8.03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of Funds.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ADMINISTRATIVE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9.01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9.02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as a Lender.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9.03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Exculpatory Provisions.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9.04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9.05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Delegation of Duties.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9.06</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9.07</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9.08</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Other Duties,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9.09</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9.10</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9.11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9.12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ERISA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9.13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CONTINUING GUARANTY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Guaranty.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of Lender.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Waivers.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Obligations Independent.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Subrogation.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10.06</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Reinstatement.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10.07</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Stay of Acceleration.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10.08</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 of Borrower.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10.09</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Appointment of Borrower.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10.10</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Contribution.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10.11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Keepwell.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 Effectiveness; Electronic Communications.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11.05</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Set Aside.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11.06</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Successors and Assigns.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11.07</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11.08</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Setoff.</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11.09</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11.10</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Integration; Effectiveness.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11.11</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11.12</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11.13</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Replacement of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14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11.14</w:t>
            </w:r>
          </w:p>
        </w:tc>
        <w:tc>
          <w:tcPr>
            <w:tcW w:w="7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1200"/>
          </w:cols>
          <w:pgMar w:left="340" w:top="1350"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11.15</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11.16</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11.17</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11.18</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Electronic Execution; Electronic Records; Counterparts.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11.19</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 PATRIOT Act Notice.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11.20</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11.21</w:t>
            </w: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320"/>
          </w:cols>
          <w:pgMar w:left="1220" w:top="135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color w:val="auto"/>
        </w:rPr>
        <w:t>SCHEDULES</w:t>
      </w:r>
    </w:p>
    <w:p>
      <w:pPr>
        <w:sectPr>
          <w:pgSz w:w="11900" w:h="16838" w:orient="portrait"/>
          <w:cols w:equalWidth="0" w:num="1">
            <w:col w:w="10119"/>
          </w:cols>
          <w:pgMar w:left="340" w:top="1129"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9"/>
          <w:szCs w:val="19"/>
          <w:color w:val="auto"/>
        </w:rPr>
        <w:t>Schedule 1.01(a) Schedule 2.01 Schedule 2.03 Schedule 5.18 Schedule 5.19 Schedule 6.17 Schedule 7.01 Schedule 7.02 Schedule 7.03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Addresses for Notices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Initial Commitments and Applicable Percentages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Credit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Parties;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Intellectual Property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Post-Closing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Liens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Investments</w:t>
      </w:r>
    </w:p>
    <w:p>
      <w:pPr>
        <w:spacing w:after="0" w:line="267" w:lineRule="exact"/>
        <w:rPr>
          <w:sz w:val="20"/>
          <w:szCs w:val="20"/>
          <w:color w:val="auto"/>
        </w:rPr>
      </w:pPr>
    </w:p>
    <w:p>
      <w:pPr>
        <w:sectPr>
          <w:pgSz w:w="11900" w:h="16838" w:orient="portrait"/>
          <w:cols w:equalWidth="0" w:num="2">
            <w:col w:w="1520" w:space="720"/>
            <w:col w:w="7879"/>
          </w:cols>
          <w:pgMar w:left="340" w:top="1129"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EXHIBITS</w:t>
      </w:r>
    </w:p>
    <w:p>
      <w:pPr>
        <w:sectPr>
          <w:pgSz w:w="11900" w:h="16838" w:orient="portrait"/>
          <w:cols w:equalWidth="0" w:num="1">
            <w:col w:w="10119"/>
          </w:cols>
          <w:pgMar w:left="340" w:top="1129" w:right="1440" w:bottom="1440" w:gutter="0" w:footer="0" w:header="0"/>
          <w:type w:val="continuous"/>
        </w:sectPr>
      </w:pPr>
    </w:p>
    <w:p>
      <w:pPr>
        <w:spacing w:after="0" w:line="29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9"/>
          <w:szCs w:val="19"/>
          <w:color w:val="auto"/>
        </w:rPr>
        <w:t>Exhibit 1.01 Exhibit 2.01 Exhibit 2.04 Exhibit 2.05 Exhibit 2.11(a) Exhibit 3.01 Exhibit 4.01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Secured Designation Notice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Loan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Swingline Loan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Notice of Loan Prepayment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Forms of U.S. Tax Compliance Certificates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Solvency Certificate</w:t>
      </w:r>
    </w:p>
    <w:p>
      <w:pPr>
        <w:spacing w:after="0" w:line="27" w:lineRule="exact"/>
        <w:rPr>
          <w:sz w:val="20"/>
          <w:szCs w:val="20"/>
          <w:color w:val="auto"/>
        </w:rPr>
      </w:pPr>
    </w:p>
    <w:p>
      <w:pPr>
        <w:sectPr>
          <w:pgSz w:w="11900" w:h="16838" w:orient="portrait"/>
          <w:cols w:equalWidth="0" w:num="2">
            <w:col w:w="1520" w:space="720"/>
            <w:col w:w="7879"/>
          </w:cols>
          <w:pgMar w:left="340" w:top="112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Exhibit 6.02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Compliance Certificate</w:t>
      </w:r>
    </w:p>
    <w:p>
      <w:pPr>
        <w:spacing w:after="0" w:line="43" w:lineRule="exact"/>
        <w:rPr>
          <w:sz w:val="20"/>
          <w:szCs w:val="20"/>
          <w:color w:val="auto"/>
        </w:rPr>
      </w:pPr>
    </w:p>
    <w:p>
      <w:pPr>
        <w:sectPr>
          <w:pgSz w:w="11900" w:h="16838" w:orient="portrait"/>
          <w:cols w:equalWidth="0" w:num="2">
            <w:col w:w="1520" w:space="720"/>
            <w:col w:w="7879"/>
          </w:cols>
          <w:pgMar w:left="340" w:top="1129" w:right="1440" w:bottom="1440" w:gutter="0" w:footer="0" w:header="0"/>
          <w:type w:val="continuous"/>
        </w:sectPr>
      </w:pPr>
    </w:p>
    <w:p>
      <w:pPr>
        <w:spacing w:after="0" w:line="296" w:lineRule="auto"/>
        <w:rPr>
          <w:sz w:val="20"/>
          <w:szCs w:val="20"/>
          <w:color w:val="auto"/>
        </w:rPr>
      </w:pPr>
      <w:r>
        <w:rPr>
          <w:rFonts w:ascii="Times New Roman" w:cs="Times New Roman" w:eastAsia="Times New Roman" w:hAnsi="Times New Roman"/>
          <w:sz w:val="19"/>
          <w:szCs w:val="19"/>
          <w:color w:val="auto"/>
        </w:rPr>
        <w:t>Exhibit 6.12 Exhibit 11.06(b) Exhibit 11.06(b)(iv)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Form of Joinder Agreement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Assignment and Assumption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Administrative Questionnaire</w:t>
      </w:r>
    </w:p>
    <w:p>
      <w:pPr>
        <w:spacing w:after="0" w:line="288" w:lineRule="exact"/>
        <w:rPr>
          <w:sz w:val="20"/>
          <w:szCs w:val="20"/>
          <w:color w:val="auto"/>
        </w:rPr>
      </w:pPr>
    </w:p>
    <w:p>
      <w:pPr>
        <w:sectPr>
          <w:pgSz w:w="11900" w:h="16838" w:orient="portrait"/>
          <w:cols w:equalWidth="0" w:num="2">
            <w:col w:w="1600" w:space="640"/>
            <w:col w:w="7879"/>
          </w:cols>
          <w:pgMar w:left="340" w:top="112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19"/>
          </w:cols>
          <w:pgMar w:left="340" w:top="1129" w:right="1440"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CREDIT AGREEMENT is entered into as of October 28, 2024,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and the other Guarantors (defined herein), the Lenders (defined herein) and BANK OF AMERICA, N.A., as Administrative Agent, Swingline Lender and L/C Issuer.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PRELIMINARY STATEMENTS:</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Loan Parties (as hereinafter defined) have requested that the Lenders, the Swingline Lender and the L/C Issuer make loans and other financial accommodations to the Loan Parties in an aggregate amount of up to $250,000,000.</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the Lenders, the Swingline Lender and the L/C Issuer have agreed to make such loans and other financial accommodations to the Loan Parties on the terms and subject to the conditions set forth herein.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agreements herein contained, the parties hereto covenant and agree as follows:</w:t>
      </w:r>
    </w:p>
    <w:p>
      <w:pPr>
        <w:spacing w:after="0" w:line="1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u w:val="single" w:color="auto"/>
          <w:color w:val="auto"/>
        </w:rPr>
        <w:t>Defined Terms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of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Secured Obligations</w:t>
      </w:r>
      <w:r>
        <w:rPr>
          <w:rFonts w:ascii="Times New Roman" w:cs="Times New Roman" w:eastAsia="Times New Roman" w:hAnsi="Times New Roman"/>
          <w:sz w:val="20"/>
          <w:szCs w:val="20"/>
          <w:color w:val="auto"/>
        </w:rPr>
        <w:t>” means (a) all obligations arising under Secured Cash Management Agreements and Secured Hedge Agreements, and (b) all costs and expenses incurred in connection with enforcement and collection of the foregoing, including the reasonable and documented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provided, that, Additional Secured Obligations of a Guarantor shall exclude any Excluded Swap Obligations with respect to such Guarantor.</w:t>
      </w:r>
    </w:p>
    <w:p>
      <w:pPr>
        <w:spacing w:after="0" w:line="18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the Administrative Agent’s address and, as appropriate, account as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w:t>
      </w:r>
      <w:r>
        <w:rPr>
          <w:rFonts w:ascii="Times New Roman" w:cs="Times New Roman" w:eastAsia="Times New Roman" w:hAnsi="Times New Roman"/>
          <w:sz w:val="20"/>
          <w:szCs w:val="20"/>
          <w:color w:val="auto"/>
        </w:rPr>
        <w:t>, or such other address or account as the Administrative Agent may from time to time notify the Borrower and the Lenders.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86" w:right="339" w:bottom="1440" w:gutter="0" w:footer="0" w:header="0"/>
        </w:sectPr>
      </w:pPr>
    </w:p>
    <w:bookmarkStart w:id="11" w:name="page12"/>
    <w:bookmarkEnd w:id="11"/>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11.06(b)(iv)</w:t>
      </w:r>
      <w:r>
        <w:rPr>
          <w:rFonts w:ascii="Times New Roman" w:cs="Times New Roman" w:eastAsia="Times New Roman" w:hAnsi="Times New Roman"/>
          <w:sz w:val="20"/>
          <w:szCs w:val="20"/>
          <w:color w:val="auto"/>
        </w:rPr>
        <w:t xml:space="preserve"> or any other form approved by the Administrative Agent.</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means the Commitments of all the Lenders. The initial amount of the Aggregate Revolving Commitments in effect on the Closing Date is $250,000,000.</w:t>
      </w:r>
    </w:p>
    <w:p>
      <w:pPr>
        <w:spacing w:after="0" w:line="9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including all schedules, exhibits and annexes hereto, as amended, restated, supplemented or otherwise modified from time to time.</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at any time, (a) in respect of the Revolving Facility, the percentage (carried out to the ninth decimal place) of the Revolving Facility represented by such Lender’s Commitment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if the Commitments of all of the Lenders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Commitments have expired, then the Applicable Percentage of each such Lender shall be determined based on the Applicable Percentage of such Lender most recently in effect, giving effect to any subsequent assignments and to any Lender’s status as a Defaulting Lender at the time of determination. The Applicable Percentage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or in any documentation executed by such Lender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as applicable. The Applicable Percentages shall be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2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the rate per annum set forth below opposite the applicable Level then in effect (based on the Consolidated Total Leverage Ratio), it being understood that the Applicable Rate for (a) Revolving Loans that are Base Rate Loans shall be the percentage set forth under the column “Base Rate”, (b) Revolving Loans that are Term SOFR Loans shall be the percentage set forth under the column “Term SOFR &amp; Letter of Credit Fee”, (c) the Letter of Credit Fee shall be the percentage set forth under the column “Term SOFR &amp; Letter of Credit Fee” and (d) the Commitment Fee shall be the percentage set forth under the column “Commitment Fee”:</w:t>
      </w:r>
    </w:p>
    <w:p>
      <w:pPr>
        <w:spacing w:after="0" w:line="202" w:lineRule="exact"/>
        <w:rPr>
          <w:sz w:val="20"/>
          <w:szCs w:val="20"/>
          <w:color w:val="auto"/>
        </w:rPr>
      </w:pPr>
    </w:p>
    <w:tbl>
      <w:tblPr>
        <w:tblLayout w:type="fixed"/>
        <w:tblInd w:w="50" w:type="dxa"/>
        <w:tblCellMar>
          <w:top w:w="0" w:type="dxa"/>
          <w:left w:w="0" w:type="dxa"/>
          <w:bottom w:w="0" w:type="dxa"/>
          <w:right w:w="0" w:type="dxa"/>
        </w:tblCellMar>
      </w:tblPr>
      <w:tr>
        <w:trPr>
          <w:trHeight w:val="203"/>
        </w:trPr>
        <w:tc>
          <w:tcPr>
            <w:tcW w:w="98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3140" w:type="dxa"/>
            <w:vAlign w:val="bottom"/>
            <w:tcBorders>
              <w:top w:val="single" w:sz="8" w:color="auto"/>
              <w:right w:val="single" w:sz="8" w:color="auto"/>
            </w:tcBorders>
            <w:gridSpan w:val="3"/>
            <w:vMerge w:val="restart"/>
            <w:shd w:val="clear" w:color="auto" w:fill="D9D9D9"/>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Consolidated Total Leverage Ratio</w:t>
            </w:r>
          </w:p>
        </w:tc>
        <w:tc>
          <w:tcPr>
            <w:tcW w:w="2880" w:type="dxa"/>
            <w:vAlign w:val="bottom"/>
            <w:tcBorders>
              <w:top w:val="single" w:sz="8" w:color="auto"/>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6"/>
              </w:rPr>
              <w:t>Term SOFR</w:t>
            </w:r>
          </w:p>
        </w:tc>
        <w:tc>
          <w:tcPr>
            <w:tcW w:w="17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c>
          <w:tcPr>
            <w:tcW w:w="23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 Fee</w:t>
            </w:r>
          </w:p>
        </w:tc>
        <w:tc>
          <w:tcPr>
            <w:tcW w:w="0" w:type="dxa"/>
            <w:vAlign w:val="bottom"/>
          </w:tcPr>
          <w:p>
            <w:pPr>
              <w:spacing w:after="0"/>
              <w:rPr>
                <w:sz w:val="1"/>
                <w:szCs w:val="1"/>
                <w:color w:val="auto"/>
              </w:rPr>
            </w:pPr>
          </w:p>
        </w:tc>
      </w:tr>
      <w:tr>
        <w:trPr>
          <w:trHeight w:val="154"/>
        </w:trPr>
        <w:tc>
          <w:tcPr>
            <w:tcW w:w="980" w:type="dxa"/>
            <w:vAlign w:val="bottom"/>
            <w:tcBorders>
              <w:left w:val="single" w:sz="8" w:color="auto"/>
              <w:right w:val="single" w:sz="8" w:color="auto"/>
            </w:tcBorders>
            <w:vMerge w:val="continue"/>
            <w:shd w:val="clear" w:color="auto" w:fill="D9D9D9"/>
          </w:tcPr>
          <w:p>
            <w:pPr>
              <w:spacing w:after="0"/>
              <w:rPr>
                <w:sz w:val="13"/>
                <w:szCs w:val="13"/>
                <w:color w:val="auto"/>
              </w:rPr>
            </w:pPr>
          </w:p>
        </w:tc>
        <w:tc>
          <w:tcPr>
            <w:tcW w:w="3140" w:type="dxa"/>
            <w:vAlign w:val="bottom"/>
            <w:tcBorders>
              <w:right w:val="single" w:sz="8" w:color="auto"/>
            </w:tcBorders>
            <w:gridSpan w:val="3"/>
            <w:vMerge w:val="continue"/>
            <w:shd w:val="clear" w:color="auto" w:fill="D9D9D9"/>
          </w:tcPr>
          <w:p>
            <w:pPr>
              <w:spacing w:after="0"/>
              <w:rPr>
                <w:sz w:val="13"/>
                <w:szCs w:val="13"/>
                <w:color w:val="auto"/>
              </w:rPr>
            </w:pPr>
          </w:p>
        </w:tc>
        <w:tc>
          <w:tcPr>
            <w:tcW w:w="28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&amp; Letter of Credit Fee</w:t>
            </w:r>
          </w:p>
        </w:tc>
        <w:tc>
          <w:tcPr>
            <w:tcW w:w="1700" w:type="dxa"/>
            <w:vAlign w:val="bottom"/>
            <w:tcBorders>
              <w:right w:val="single" w:sz="8" w:color="auto"/>
            </w:tcBorders>
            <w:vMerge w:val="continue"/>
            <w:shd w:val="clear" w:color="auto" w:fill="D9D9D9"/>
          </w:tcPr>
          <w:p>
            <w:pPr>
              <w:spacing w:after="0"/>
              <w:rPr>
                <w:sz w:val="13"/>
                <w:szCs w:val="13"/>
                <w:color w:val="auto"/>
              </w:rPr>
            </w:pPr>
          </w:p>
        </w:tc>
        <w:tc>
          <w:tcPr>
            <w:tcW w:w="230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98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100" w:type="dxa"/>
            <w:vAlign w:val="bottom"/>
            <w:tcBorders>
              <w:bottom w:val="single" w:sz="8" w:color="auto"/>
            </w:tcBorders>
            <w:shd w:val="clear" w:color="auto" w:fill="D9D9D9"/>
          </w:tcPr>
          <w:p>
            <w:pPr>
              <w:spacing w:after="0"/>
              <w:rPr>
                <w:sz w:val="8"/>
                <w:szCs w:val="8"/>
                <w:color w:val="auto"/>
              </w:rPr>
            </w:pPr>
          </w:p>
        </w:tc>
        <w:tc>
          <w:tcPr>
            <w:tcW w:w="160" w:type="dxa"/>
            <w:vAlign w:val="bottom"/>
            <w:tcBorders>
              <w:bottom w:val="single" w:sz="8" w:color="auto"/>
            </w:tcBorders>
            <w:shd w:val="clear" w:color="auto" w:fill="D9D9D9"/>
          </w:tcPr>
          <w:p>
            <w:pPr>
              <w:spacing w:after="0"/>
              <w:rPr>
                <w:sz w:val="8"/>
                <w:szCs w:val="8"/>
                <w:color w:val="auto"/>
              </w:rPr>
            </w:pPr>
          </w:p>
        </w:tc>
        <w:tc>
          <w:tcPr>
            <w:tcW w:w="1880" w:type="dxa"/>
            <w:vAlign w:val="bottom"/>
            <w:tcBorders>
              <w:bottom w:val="single" w:sz="8" w:color="auto"/>
              <w:right w:val="single" w:sz="8" w:color="auto"/>
            </w:tcBorders>
            <w:shd w:val="clear" w:color="auto" w:fill="D9D9D9"/>
          </w:tcPr>
          <w:p>
            <w:pPr>
              <w:spacing w:after="0"/>
              <w:rPr>
                <w:sz w:val="8"/>
                <w:szCs w:val="8"/>
                <w:color w:val="auto"/>
              </w:rPr>
            </w:pPr>
          </w:p>
        </w:tc>
        <w:tc>
          <w:tcPr>
            <w:tcW w:w="2880" w:type="dxa"/>
            <w:vAlign w:val="bottom"/>
            <w:tcBorders>
              <w:bottom w:val="single" w:sz="8" w:color="auto"/>
              <w:right w:val="single" w:sz="8" w:color="auto"/>
            </w:tcBorders>
            <w:vMerge w:val="continue"/>
            <w:shd w:val="clear" w:color="auto" w:fill="D9D9D9"/>
          </w:tcPr>
          <w:p>
            <w:pPr>
              <w:spacing w:after="0"/>
              <w:rPr>
                <w:sz w:val="8"/>
                <w:szCs w:val="8"/>
                <w:color w:val="auto"/>
              </w:rPr>
            </w:pPr>
          </w:p>
        </w:tc>
        <w:tc>
          <w:tcPr>
            <w:tcW w:w="1700" w:type="dxa"/>
            <w:vAlign w:val="bottom"/>
            <w:tcBorders>
              <w:bottom w:val="single" w:sz="8" w:color="auto"/>
              <w:right w:val="single" w:sz="8" w:color="auto"/>
            </w:tcBorders>
            <w:shd w:val="clear" w:color="auto" w:fill="D9D9D9"/>
          </w:tcPr>
          <w:p>
            <w:pPr>
              <w:spacing w:after="0"/>
              <w:rPr>
                <w:sz w:val="8"/>
                <w:szCs w:val="8"/>
                <w:color w:val="auto"/>
              </w:rPr>
            </w:pPr>
          </w:p>
        </w:tc>
        <w:tc>
          <w:tcPr>
            <w:tcW w:w="230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31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 xml:space="preserve">&lt; </w:t>
            </w:r>
            <w:r>
              <w:rPr>
                <w:rFonts w:ascii="Times New Roman" w:cs="Times New Roman" w:eastAsia="Times New Roman" w:hAnsi="Times New Roman"/>
                <w:sz w:val="20"/>
                <w:szCs w:val="20"/>
                <w:color w:val="auto"/>
                <w:w w:val="99"/>
              </w:rPr>
              <w:t>2.00:1.00</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2.00%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1.00%</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0.25%</w:t>
            </w:r>
          </w:p>
        </w:tc>
        <w:tc>
          <w:tcPr>
            <w:tcW w:w="0" w:type="dxa"/>
            <w:vAlign w:val="bottom"/>
          </w:tcPr>
          <w:p>
            <w:pPr>
              <w:spacing w:after="0"/>
              <w:rPr>
                <w:sz w:val="1"/>
                <w:szCs w:val="1"/>
                <w:color w:val="auto"/>
              </w:rPr>
            </w:pPr>
          </w:p>
        </w:tc>
      </w:tr>
      <w:tr>
        <w:trPr>
          <w:trHeight w:val="88"/>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31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 xml:space="preserve">&gt; </w:t>
            </w:r>
            <w:r>
              <w:rPr>
                <w:rFonts w:ascii="Times New Roman" w:cs="Times New Roman" w:eastAsia="Times New Roman" w:hAnsi="Times New Roman"/>
                <w:sz w:val="20"/>
                <w:szCs w:val="20"/>
                <w:color w:val="auto"/>
                <w:w w:val="97"/>
              </w:rPr>
              <w:t>2.00:1.00 but</w:t>
            </w:r>
          </w:p>
        </w:tc>
        <w:tc>
          <w:tcPr>
            <w:tcW w:w="2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2.25%</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1.25%</w:t>
            </w:r>
          </w:p>
        </w:tc>
        <w:tc>
          <w:tcPr>
            <w:tcW w:w="2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0.30%</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vMerge w:val="continue"/>
          </w:tcPr>
          <w:p>
            <w:pPr>
              <w:spacing w:after="0"/>
              <w:rPr>
                <w:sz w:val="11"/>
                <w:szCs w:val="11"/>
                <w:color w:val="auto"/>
              </w:rPr>
            </w:pPr>
          </w:p>
        </w:tc>
        <w:tc>
          <w:tcPr>
            <w:tcW w:w="3140" w:type="dxa"/>
            <w:vAlign w:val="bottom"/>
            <w:tcBorders>
              <w:right w:val="single" w:sz="8" w:color="auto"/>
            </w:tcBorders>
            <w:gridSpan w:val="3"/>
            <w:vMerge w:val="restart"/>
          </w:tcPr>
          <w:p>
            <w:pPr>
              <w:jc w:val="center"/>
              <w:ind w:right="20"/>
              <w:spacing w:after="0" w:line="224" w:lineRule="exact"/>
              <w:rPr>
                <w:sz w:val="20"/>
                <w:szCs w:val="20"/>
                <w:color w:val="auto"/>
              </w:rPr>
            </w:pPr>
            <w:r>
              <w:rPr>
                <w:rFonts w:ascii="Times New Roman" w:cs="Times New Roman" w:eastAsia="Times New Roman" w:hAnsi="Times New Roman"/>
                <w:sz w:val="20"/>
                <w:szCs w:val="20"/>
                <w:b w:val="1"/>
                <w:bCs w:val="1"/>
                <w:color w:val="auto"/>
                <w:w w:val="99"/>
              </w:rPr>
              <w:t xml:space="preserve">&lt; </w:t>
            </w:r>
            <w:r>
              <w:rPr>
                <w:rFonts w:ascii="Times New Roman" w:cs="Times New Roman" w:eastAsia="Times New Roman" w:hAnsi="Times New Roman"/>
                <w:sz w:val="20"/>
                <w:szCs w:val="20"/>
                <w:color w:val="auto"/>
                <w:w w:val="99"/>
              </w:rPr>
              <w:t>3.00:1.00</w:t>
            </w:r>
          </w:p>
        </w:tc>
        <w:tc>
          <w:tcPr>
            <w:tcW w:w="288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23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980" w:type="dxa"/>
            <w:vAlign w:val="bottom"/>
            <w:tcBorders>
              <w:left w:val="single" w:sz="8" w:color="auto"/>
              <w:right w:val="single" w:sz="8" w:color="auto"/>
            </w:tcBorders>
          </w:tcPr>
          <w:p>
            <w:pPr>
              <w:spacing w:after="0"/>
              <w:rPr>
                <w:sz w:val="7"/>
                <w:szCs w:val="7"/>
                <w:color w:val="auto"/>
              </w:rPr>
            </w:pPr>
          </w:p>
        </w:tc>
        <w:tc>
          <w:tcPr>
            <w:tcW w:w="3140" w:type="dxa"/>
            <w:vAlign w:val="bottom"/>
            <w:tcBorders>
              <w:right w:val="single" w:sz="8" w:color="auto"/>
            </w:tcBorders>
            <w:gridSpan w:val="3"/>
            <w:vMerge w:val="continue"/>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31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 xml:space="preserve">&gt; </w:t>
            </w:r>
            <w:r>
              <w:rPr>
                <w:rFonts w:ascii="Times New Roman" w:cs="Times New Roman" w:eastAsia="Times New Roman" w:hAnsi="Times New Roman"/>
                <w:sz w:val="20"/>
                <w:szCs w:val="20"/>
                <w:color w:val="auto"/>
                <w:w w:val="99"/>
              </w:rPr>
              <w:t>3.00:1.00</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2.50%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1.50%</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0.35%</w:t>
            </w:r>
          </w:p>
        </w:tc>
        <w:tc>
          <w:tcPr>
            <w:tcW w:w="0" w:type="dxa"/>
            <w:vAlign w:val="bottom"/>
          </w:tcPr>
          <w:p>
            <w:pPr>
              <w:spacing w:after="0"/>
              <w:rPr>
                <w:sz w:val="1"/>
                <w:szCs w:val="1"/>
                <w:color w:val="auto"/>
              </w:rPr>
            </w:pPr>
          </w:p>
        </w:tc>
      </w:tr>
      <w:tr>
        <w:trPr>
          <w:trHeight w:val="62"/>
        </w:trPr>
        <w:tc>
          <w:tcPr>
            <w:tcW w:w="980" w:type="dxa"/>
            <w:vAlign w:val="bottom"/>
            <w:tcBorders>
              <w:left w:val="single" w:sz="8" w:color="auto"/>
              <w:bottom w:val="single" w:sz="8" w:color="auto"/>
              <w:right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Total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that</w:t>
      </w:r>
      <w:r>
        <w:rPr>
          <w:rFonts w:ascii="Times New Roman" w:cs="Times New Roman" w:eastAsia="Times New Roman" w:hAnsi="Times New Roman"/>
          <w:sz w:val="20"/>
          <w:szCs w:val="20"/>
          <w:color w:val="auto"/>
        </w:rPr>
        <w:t>, if a Compliance Certificate is not delivered when due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then, Pricing Level 3 shall apply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unless otherwise agreed to by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70"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20"/>
          <w:szCs w:val="20"/>
          <w:color w:val="auto"/>
        </w:rPr>
        <w:t>Required Lenders, in each case as of the first Business Day after the date on which such Compliance Certificate was required to have been delivered and in each case shall remain in effect until the first Business Day following the date on which such Compliance Certificate is delivered.</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(a)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and (b) the initial Applicable Rate shall be set at Pricing Level 1 until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for the first fiscal quarter to occur following the Closing Date to the Administrative Agent. Any adjustment in the Applicable Rate shall be applicable to all Credit Extensions then existing or subsequently made or issued.</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BofA Securities, Inc., U.S. Bank National Association and Wells Fargo Securities, LLC, in their capacities as joint lead arrangers and joint bookrunners.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11.06(b)</w:t>
      </w:r>
      <w:r>
        <w:rPr>
          <w:rFonts w:ascii="Times New Roman" w:cs="Times New Roman" w:eastAsia="Times New Roman" w:hAnsi="Times New Roman"/>
          <w:sz w:val="20"/>
          <w:szCs w:val="20"/>
          <w:color w:val="auto"/>
        </w:rPr>
        <w:t xml:space="preserve"> or any other form (including an electronic documentation form generated by use of an electronic platform) approved by the Administrative Agent and the Borrower.</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all Synthetic Debt of such Person and (d) in respect of any Securitization Transaction, the outstanding principal amount of such financing, after taking into account reserve accounts and making appropriate adjustments, determined by the Administrative Agent in its reasonable judgment.</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Holdings and its Subsidiaries for the fiscal year ended January 31, 2024, and the related Consolidated statements of income or operations, Shareholders’ Equity and cash flows for such fiscal year of Holdings and its Subsidiaries, including the notes thereto.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Auto-Reinstatement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the period from and including the Closing Date to the earliest of (a) the Maturity Date, (b) the date of termination of the Commitment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Commitments of each Lender to make Loans and of the obligation of the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implementinglaw, rule, regulation or requirement for such EEA Member Country from time to time which is described in the EU Bail-In Legislation Schedule, and (b) with respect to the United Kingdom, Part I of the United Kingdom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3"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20"/>
          <w:szCs w:val="20"/>
          <w:color w:val="auto"/>
        </w:rPr>
        <w:t>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plus one-half of one percent (0.50%), (b) the rate of interest in effect for such day as publicly announced from time to time by Bank of America as its “prime rate,” and (c) Term SOFR plus one percent (1.00%), subject to the interest rate floors set forth therein; provided,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above.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23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Bona Fide Debt Fund</w:t>
      </w:r>
      <w:r>
        <w:rPr>
          <w:rFonts w:ascii="Times New Roman" w:cs="Times New Roman" w:eastAsia="Times New Roman" w:hAnsi="Times New Roman"/>
          <w:sz w:val="20"/>
          <w:szCs w:val="20"/>
          <w:color w:val="auto"/>
        </w:rPr>
        <w:t>” means any debt fund or investment vehicle that is primarily engaged in making, purchasing, holding or otherwise investing in commercial loans or bonds and similar extensions of credit in the ordinary course of business.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specified in the introductory paragraph 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xml:space="preserve">” means a borrowing consisting of simultaneous Revolving Loans of the same Type and, in the case of Term SOFR Loans, having the same Interest Period made by each of the applicable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 Headquarters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7.03(g)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is located.</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means any lease that has been or is required to be, in accordance with GAAP, recorded, classified and accounted for as a capitalized lease or financing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05" w:right="339" w:bottom="1440" w:gutter="0" w:footer="0" w:header="0"/>
        </w:sectPr>
      </w:pPr>
    </w:p>
    <w:bookmarkStart w:id="14" w:name="page15"/>
    <w:bookmarkEnd w:id="14"/>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means to pledge and deposit with or deliver to the Administrative Agent, for the benefit of one or more of the L/C Issuer or the Lenders, as Collateral for L/C Obligations or obligations of the Lenders to fund participations in respect of L/C Obligations,</w:t>
      </w:r>
    </w:p>
    <w:p>
      <w:pPr>
        <w:spacing w:after="0" w:line="1" w:lineRule="exact"/>
        <w:rPr>
          <w:sz w:val="20"/>
          <w:szCs w:val="20"/>
          <w:color w:val="auto"/>
        </w:rPr>
      </w:pPr>
    </w:p>
    <w:p>
      <w:pPr>
        <w:jc w:val="both"/>
        <w:ind w:firstLine="8"/>
        <w:spacing w:after="0" w:line="251" w:lineRule="auto"/>
        <w:tabs>
          <w:tab w:leader="none" w:pos="2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deposit account balances, (b) backstop letters of credit entered into on terms, from issuers and in amounts satisfactory to the Administrative Agent and the applicable L/C Issuer, and/or (c) if the Administrative Agent and the applicable L/C Issuer shall agree, in their sole discretion, other credit support, in each case, in Dollars and pursuant to documentation in form and substance satisfactory to the Administrative Agent and the L/C Issuer.</w:t>
      </w:r>
    </w:p>
    <w:p>
      <w:pPr>
        <w:spacing w:after="0" w:line="19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any of the following, to the extent owned by Holdings or any of its Subsidiaries:</w:t>
      </w:r>
    </w:p>
    <w:p>
      <w:pPr>
        <w:spacing w:after="0" w:line="216" w:lineRule="exact"/>
        <w:rPr>
          <w:sz w:val="20"/>
          <w:szCs w:val="20"/>
          <w:color w:val="auto"/>
        </w:rPr>
      </w:pPr>
    </w:p>
    <w:p>
      <w:pPr>
        <w:jc w:val="both"/>
        <w:ind w:firstLine="656"/>
        <w:spacing w:after="0" w:line="268" w:lineRule="auto"/>
        <w:tabs>
          <w:tab w:leader="none" w:pos="128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obligations issued or directly and fully guaranteed or insured by the United States or any agency or instrumentality thereof having maturities of not more than three hundred sixty (360) days from the date of acquisition thereof; provided, that, the full faith and credit of the United States is pledged in support thereof;</w:t>
      </w:r>
    </w:p>
    <w:p>
      <w:pPr>
        <w:spacing w:after="0" w:line="161" w:lineRule="exact"/>
        <w:rPr>
          <w:rFonts w:ascii="Times New Roman" w:cs="Times New Roman" w:eastAsia="Times New Roman" w:hAnsi="Times New Roman"/>
          <w:sz w:val="20"/>
          <w:szCs w:val="20"/>
          <w:color w:val="auto"/>
        </w:rPr>
      </w:pPr>
    </w:p>
    <w:p>
      <w:pPr>
        <w:jc w:val="both"/>
        <w:ind w:firstLine="656"/>
        <w:spacing w:after="0" w:line="267" w:lineRule="auto"/>
        <w:tabs>
          <w:tab w:leader="none" w:pos="1284"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of this definition, and</w:t>
      </w:r>
    </w:p>
    <w:p>
      <w:pPr>
        <w:spacing w:after="0" w:line="1" w:lineRule="exact"/>
        <w:rPr>
          <w:rFonts w:ascii="Times New Roman" w:cs="Times New Roman" w:eastAsia="Times New Roman" w:hAnsi="Times New Roman"/>
          <w:sz w:val="19"/>
          <w:szCs w:val="19"/>
          <w:color w:val="auto"/>
        </w:rPr>
      </w:pPr>
    </w:p>
    <w:p>
      <w:pPr>
        <w:ind w:firstLine="8"/>
        <w:spacing w:after="0" w:line="253" w:lineRule="auto"/>
        <w:tabs>
          <w:tab w:leader="none" w:pos="34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combined capital and surplus of at least $1,000,000,000, in each case with maturities of not more than one hundred eighty (180) days from the date of acquisition thereof;</w:t>
      </w:r>
    </w:p>
    <w:p>
      <w:pPr>
        <w:spacing w:after="0" w:line="188"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and rated at least “Prime– 1” (or the then equivalent grade) by Moody’s or at least “A–1” (or the then equivalent grade) by S&amp;P, in each case with maturities of not more than one hundred eighty (180) days from the date of acquisition thereof;</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funds (including such funds investing a portion of their assets in municipal securities) having a rating of at least “Prime-2” (or the then equivalent grade) by Moody’s or at least “A-2” (or the then equivalent grade) by S&amp;P;</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obligations with a term of not more than thirty (30) days for underlying Investments of the types described in clauses (a) and (b) above and entered into with any financial institution meeting the qualifications specified in clause (b) above;</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1"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classified in accordance with GAAP as current assets of Holdings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of this definition; and</w:t>
      </w:r>
    </w:p>
    <w:p>
      <w:pPr>
        <w:spacing w:after="0" w:line="18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short-term investments acceptable to the Administrative Agent.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089" w:right="339" w:bottom="1440" w:gutter="0" w:footer="0" w:header="0"/>
        </w:sectPr>
      </w:pPr>
    </w:p>
    <w:bookmarkStart w:id="15" w:name="page16"/>
    <w:bookmarkEnd w:id="15"/>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Bank</w:t>
      </w:r>
      <w:r>
        <w:rPr>
          <w:rFonts w:ascii="Times New Roman" w:cs="Times New Roman" w:eastAsia="Times New Roman" w:hAnsi="Times New Roman"/>
          <w:sz w:val="19"/>
          <w:szCs w:val="19"/>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6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Person that is a controlled foreign corporation under Section 957 of the Code in which the Borrower or any Loan Party is a United States shareholder within the meaning of Section 951(b) of the Code.</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16" w:lineRule="exact"/>
        <w:rPr>
          <w:sz w:val="20"/>
          <w:szCs w:val="20"/>
          <w:color w:val="auto"/>
        </w:rPr>
      </w:pPr>
    </w:p>
    <w:p>
      <w:pPr>
        <w:jc w:val="both"/>
        <w:ind w:firstLine="656"/>
        <w:spacing w:after="0" w:line="251" w:lineRule="auto"/>
        <w:tabs>
          <w:tab w:leader="none" w:pos="128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(excluding Insight Partners and its Affiliates)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35% or more of the equity securities of Holdings entitled to vote for members of the board of directors or equivalent governing body of Holdings on a fully-diluted basis (and taking into account all such securities that such “person” or “group” has the right to acquire pursuant to any option right); or</w:t>
      </w:r>
    </w:p>
    <w:p>
      <w:pPr>
        <w:spacing w:after="0" w:line="195"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shall cease to own and control, of record and beneficially, directly or indirectly, one-hundred percent (100.0%) of the Equity Interests of the Borrower.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hereof.</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Acquisition</w:t>
      </w:r>
      <w:r>
        <w:rPr>
          <w:rFonts w:ascii="Times New Roman" w:cs="Times New Roman" w:eastAsia="Times New Roman" w:hAnsi="Times New Roman"/>
          <w:sz w:val="20"/>
          <w:szCs w:val="20"/>
          <w:color w:val="auto"/>
        </w:rPr>
        <w:t>” means the acquisition of Artesian Solutions Limited, a private limited company incorporated in England, with company number 05667880 and having its registered office at 2 Winnersh Fields, Gazelle Close Winnersh, Wokingham, Berkshire, RG41 5QS by nCino Global LTD pursuant to that certain Share Purchase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846" w:right="339" w:bottom="1440" w:gutter="0" w:footer="0" w:header="0"/>
        </w:sectPr>
      </w:pPr>
    </w:p>
    <w:bookmarkStart w:id="16" w:name="page17"/>
    <w:bookmarkEnd w:id="16"/>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property that is or is intended under the terms of the Collateral Documents to be subject to Liens in favor of the Administrative Agent for the benefit of the Secured Parties. For the sake of clarity, “Collateral” does not include any Excluded Property.</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means, collectively, the Security Agreement, each Joinder Agreement, each of the collateral assignments, security agreements, pledge agreements or other similar agreements delivered to the Administrative Agent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and each of the other agreements, instruments or documents that creates or purports to create a Lien in favor of the Administrative Agent for the benefit of the Secured Parties.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as to each Lender, its obligation to (a) make Revolving Loans to the Borrower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jc w:val="both"/>
        <w:ind w:firstLine="8"/>
        <w:spacing w:after="0" w:line="251" w:lineRule="auto"/>
        <w:tabs>
          <w:tab w:leader="none" w:pos="29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participations in L/C Obligations, and (c) purchase participations in Swingline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“Commitment” or opposite such caption in the Assignment and Assumption pursuant to which such Lender becomes a party hereto, as applicable, as such amount may be adjusted from time to time in accordance with this Agreement. Commitments shall include any Incremental Revolving Commitments.</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any amendment, approval, consent, information, notice, certificate, request, statement, disclosure or authorization related to any Loan Document.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9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w:t>
      </w:r>
      <w:r>
        <w:rPr>
          <w:rFonts w:ascii="Times New Roman" w:cs="Times New Roman" w:eastAsia="Times New Roman" w:hAnsi="Times New Roman"/>
          <w:sz w:val="20"/>
          <w:szCs w:val="20"/>
          <w:color w:val="auto"/>
        </w:rPr>
        <w:t>” means, when used with reference to financial statements or financial statement items of Holdings and its Subsidiaries or any other Person, such statements or items on a consolidated basis in accordance with the consolidation principles of GAAP.</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Deferred Revenue</w:t>
      </w:r>
      <w:r>
        <w:rPr>
          <w:rFonts w:ascii="Times New Roman" w:cs="Times New Roman" w:eastAsia="Times New Roman" w:hAnsi="Times New Roman"/>
          <w:sz w:val="20"/>
          <w:szCs w:val="20"/>
          <w:color w:val="auto"/>
        </w:rPr>
        <w:t>” means all amounts received or invoiced in advance of performance under contracts and not yet recognized as revenue.</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xml:space="preserve"> the following determined on a Consolidated basis, without duplication, for Holdings and its Subsidiaries in accordance with GAAP: (a) Consolidated Net Income for the most recently completed Measurement Period;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sum of the following, without duplication, to the extent deducted in calculating such Consolidated Net Income (other than with respect to clauses (vi) and (vii) below) for such period: (i) Consolidated Interest Charges, (ii) the provision for federal, state,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846" w:right="339" w:bottom="1440" w:gutter="0" w:footer="0" w:header="0"/>
        </w:sectPr>
      </w:pPr>
    </w:p>
    <w:bookmarkStart w:id="17" w:name="page18"/>
    <w:bookmarkEnd w:id="17"/>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and foreign income taxes payable, (iii) depreciation and amortization expense (including amortization of capitalized costs to obtain new revenue contracts), (iv) non-cash charges and losses (including non-cash charges for stock compensation expenses but excluding any such non-cash charges or losses to the extent (A) there were cash charges with respect to such charges and losses in past accounting periods, or (B) there is a reasonable expectation that there will be cash charges with respect to such charges and losses in future accounting periods), (v) non-recurring or one-time cash charges; provided, that the aggregate amount added back pursuant to this clause (v) for any period shall not exceed 25% of Consolidated EBITDA (as calculated prior to giving effect to such addback), and (vi) any increase (if any) in Consolidated Deferred Revenue from the first day of such period to the last day of such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(c) the sum of the following, without duplication, to the extent reflected as a gain or otherwise included in the calculation of Consolidated Net Income (other than with respect to clauses (iv) and (v)) for such period: (i) non-cash gains (excluding any such non-cash gains to the extent (A) there were cash gains with respect to such gains in past accounting periods, or (B) there is a reasonable expectation that there will be cash gains with respect to such gains in future accounting periods), (ii) interest income, (iii) non-recurring cash gains, (iv) any decrease (if any) in Consolidated Deferred Revenue from the first day of such period to the last day of such period and (v) all capitalized costs to obtain new revenue contracts from the first day of such period to the last day of such period.</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Funded Indebtedness</w:t>
      </w:r>
      <w:r>
        <w:rPr>
          <w:rFonts w:ascii="Times New Roman" w:cs="Times New Roman" w:eastAsia="Times New Roman" w:hAnsi="Times New Roman"/>
          <w:sz w:val="20"/>
          <w:szCs w:val="20"/>
          <w:color w:val="auto"/>
        </w:rPr>
        <w:t xml:space="preserve">” means, as of any date of determination, for Holdings and its Subsidiaries on a Consolidated basis, the sum of: (a) the outstanding principal amount of all obligations for borrowed money (including Obligations hereunder) and all obligations evidenced by bonds, debentures, notes, loan agreements or other similar instruments; (b) the maximum amount available to be drawn under issued and outstanding letters of credit (including standby and commercial), bankers’ acceptances, bank guaranties, surety bonds and similar instruments; (c) all obligations in respect of the deferred purchase price of property or services (including purchase money Indebtedness but excluding (i) trade accounts payable and accrued expenses payable in the ordinary course of business (including on an intercompany basis), (ii) purchase price holdbacks in respect of the portion of the purchase price of an asset to satisfy warranty or other unperformed obligations of the respective seller or to satisfy any liabilities, (iii) any earn-out obligation to the extent such obligation remains due and unpaid for three (3) or more Business Days, (iv) any such obligations under ERISA, (v) prepaid and deferred revenue arising in the ordinary course of business, (vi) purchase price and working capital adjustments (other than earn-outs or similar deferred consideration described above in clause (iii)), (vii) customer deposits and prepaid items and (viii) accruals for payroll, benefits and other liabilities accrued in the ordinary course of business); (d) all Attributable Indebtedness; (e) all obligations to purchase, redeem, retire, defease or otherwise make any payment in respect of any Disqualified Equity Interests; (f) without duplication, all Guarantees with respect to outstanding Indebtedness of the types specified in clauses (a) through (e) above of Persons other than Holdings or any Subsidiary; and (g) all Indebtedness of the types referred to in clauses (a) through (f) above of any partnership or joint venture (other than a joint venture that is itself a corporation or limited liability company) in which Holdings or a Subsidiary is a general partner or joint venturer, unless such Indebtedness is expressly made non-recourse to Holdings or such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“Consolidated Funded Indebtedness” shall not include any Indebtedness in respect of the Borrower’s Headquarters.</w:t>
      </w:r>
    </w:p>
    <w:p>
      <w:pPr>
        <w:spacing w:after="0" w:line="18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Charges</w:t>
      </w:r>
      <w:r>
        <w:rPr>
          <w:rFonts w:ascii="Times New Roman" w:cs="Times New Roman" w:eastAsia="Times New Roman" w:hAnsi="Times New Roman"/>
          <w:sz w:val="19"/>
          <w:szCs w:val="19"/>
          <w:color w:val="auto"/>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any Capitalized Lease that is treated as interest in accordance with GAAP, in each case, of or by Holdings and its Subsidiaries on a Consolidated basis for such Measurement Period; provided, that in no event shall “Consolidated Interest Charges” include any interest or expense in respect of any Indebtedness in respect of the Borrower’s Headquarters.</w:t>
      </w:r>
    </w:p>
    <w:p>
      <w:pPr>
        <w:spacing w:after="0" w:line="17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as of any date of determination, the ratio of (a) Consolidated EBITDA for the most recently completed Measurement Period to (b) Consolidated Interest Charges for such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089" w:right="339" w:bottom="1440" w:gutter="0" w:footer="0" w:header="0"/>
        </w:sectPr>
      </w:pPr>
    </w:p>
    <w:bookmarkStart w:id="18" w:name="page19"/>
    <w:bookmarkEnd w:id="18"/>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at any date of determination, the net income (or loss) Holdings and its Subsidiaries on a Consolidated basis for the most recently completed Measurement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Consolidated Net Income shall exclude (a) unusual and infrequent gains and unusual and infrequent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Holdings’ equity in any net loss of any such Subsidiary for such Measurement Period shall be included in determining Consolidated Net Income, and (c) any income (or loss) for such Measurement Period of any Person if such Person is not a Subsidiary, except that Holdings’ equity in the net income of any such Person for such Measurement Period shall be included in Consolidated Net Income up to the aggregate amount of cash actually distributed by such Person during such Measurement Period to Holdings or a Subsidiary as a dividend or other distribution (and in the case of a dividend or other distribution to a Subsidiary, such Subsidiary is not precluded from further distributing such amount to Holdings as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of this proviso).</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Revenue</w:t>
      </w:r>
      <w:r>
        <w:rPr>
          <w:rFonts w:ascii="Times New Roman" w:cs="Times New Roman" w:eastAsia="Times New Roman" w:hAnsi="Times New Roman"/>
          <w:sz w:val="20"/>
          <w:szCs w:val="20"/>
          <w:color w:val="auto"/>
        </w:rPr>
        <w:t>” means, as of the date of any determination thereof, revenue of Holdings and its Subsidiaries calculated in accordance with GAAP on a Consolidated basis for the most recent Measurement Period ending as of such date.</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the date of any determination thereof, total assets of Holdings and its Subsidiaries calculated in accordance with GAAP on a Consolidated basis as of such date.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Leverage Ratio</w:t>
      </w:r>
      <w:r>
        <w:rPr>
          <w:rFonts w:ascii="Times New Roman" w:cs="Times New Roman" w:eastAsia="Times New Roman" w:hAnsi="Times New Roman"/>
          <w:sz w:val="20"/>
          <w:szCs w:val="20"/>
          <w:color w:val="auto"/>
        </w:rPr>
        <w:t>” means, as of any date of determination, the ratio of (a) Consolidated Funded Indebtedness as of such date to (b) Consolidated EBITDA for the most recently completed Measurement Period.</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 Without limiting the generality of the foregoing, a Person shall be deemed to be Controlled by Holdings or any of its Subsidiaries if Holdings or any such Subsidiary possesses, directly or indirectly, power to vote ten percent (10%) or more of the securities having ordinary voting power for the election of directors, managing general partners or the equivalent.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SOFR published on such date on the Federal Reserve Bank of New York’s website (or any successor source).</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089" w:right="339" w:bottom="1440" w:gutter="0" w:footer="0" w:header="0"/>
        </w:sectPr>
      </w:pPr>
    </w:p>
    <w:bookmarkStart w:id="19" w:name="page20"/>
    <w:bookmarkEnd w:id="19"/>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plus the Applicable Rate for Revolving Loans that are Base Rate Loans, plus two percent (2%), in each case, to the fullest extent permitted by Applicable Law.</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2.15(b</w:t>
      </w:r>
      <w:r>
        <w:rPr>
          <w:rFonts w:ascii="Times New Roman" w:cs="Times New Roman" w:eastAsia="Times New Roman" w:hAnsi="Times New Roman"/>
          <w:sz w:val="19"/>
          <w:szCs w:val="19"/>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upon receipt of such written confirmation by the Administrative Agent and the Borrower), or (d) has, or has a direct or indirect parent company that has,</w:t>
      </w:r>
    </w:p>
    <w:p>
      <w:pPr>
        <w:spacing w:after="0" w:line="10" w:lineRule="exact"/>
        <w:rPr>
          <w:sz w:val="20"/>
          <w:szCs w:val="20"/>
          <w:color w:val="auto"/>
        </w:rPr>
      </w:pPr>
    </w:p>
    <w:p>
      <w:pPr>
        <w:jc w:val="both"/>
        <w:ind w:firstLine="8"/>
        <w:spacing w:after="0" w:line="249" w:lineRule="auto"/>
        <w:tabs>
          <w:tab w:leader="none" w:pos="26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spacing w:after="0" w:line="18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is the subject of comprehensive economic Sanctions.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of any property by any Loan Party or Subsidiary (or the granting of any option or other right to do any of the foregoing), including any sale, assignment, transfer or other disposal, with or without recourse, of any notes or accounts receivable or any rights and claims associated therewith.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927" w:right="339" w:bottom="1440" w:gutter="0" w:footer="0" w:header="0"/>
        </w:sectPr>
      </w:pPr>
    </w:p>
    <w:bookmarkStart w:id="20" w:name="page21"/>
    <w:bookmarkEnd w:id="20"/>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w:t>
      </w:r>
      <w:r>
        <w:rPr>
          <w:rFonts w:ascii="Times New Roman" w:cs="Times New Roman" w:eastAsia="Times New Roman" w:hAnsi="Times New Roman"/>
          <w:sz w:val="20"/>
          <w:szCs w:val="20"/>
          <w:color w:val="auto"/>
        </w:rPr>
        <w:t>” means any Equity Interest which, by its terms (or by the terms of any security or other Equity Interest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in termination of the Commitments), (b) is redeemable at the option of the holder thereof (other than solely for Equity Interests that are not Disqualified Equity Interests), in whole or in part, (c) provides for the scheduled payments of dividends in cash (except to the extent such payments can be converted to being payable in kind or the failure of which to pay would not constitute a default or breach under the documentation governing such Equity Interests), or (d) is or becomes convertible into or exchangeable for Indebtedness or any other Equity Interest that would constitute Disqualified Equity Interests, in each case, prior to the date that is 91 days after the latest applicable Maturity Date; provided that (i) if such Equity Interests are issued pursuant to a plan for the benefit of employees of Holdings, the Borrower or any of their respective Subsidiaries or by any such plan to such employees as in effect on the date of the issuance of such Equity Interest, such Equity Interests shall not constitute Disqualified Equity Interests solely because it may be required to be repurchased by Holdings or its Subsidiaries in order to satisfy applicable statutory or regulatory obligations or as a result of such employee’s termination, death or disability and (ii) compensatory equity awards in which shares are withheld (redeemed) upon vesting or exercise to pay applicable withholding taxes or, the case of an option, the exercise price of the option, in each case, shall not constitute Disqualified Equity Interests.</w:t>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Institution</w:t>
      </w:r>
      <w:r>
        <w:rPr>
          <w:rFonts w:ascii="Times New Roman" w:cs="Times New Roman" w:eastAsia="Times New Roman" w:hAnsi="Times New Roman"/>
          <w:sz w:val="19"/>
          <w:szCs w:val="19"/>
          <w:color w:val="auto"/>
        </w:rPr>
        <w:t xml:space="preserve">” means, on any date, (a) any Person designated by the Borrower as a “Disqualified Institution” by written notice delivered to the Administrative Agent on or prior to the Closing Date, (b) any other Person that is a competitor of the Borrower or any of its Subsidiaries, which Person has been designated by the Borrower as a “Disqualified Institution” by written notice to the Administrative Agent and the Lenders (by posting such notice to the Platform) not less than two (2) Business Days prior to such date and (c) Affiliates of the foregoing (other than, unless such entity is separately identified in writing in connection with the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in the case of </w:t>
      </w:r>
      <w:r>
        <w:rPr>
          <w:rFonts w:ascii="Times New Roman" w:cs="Times New Roman" w:eastAsia="Times New Roman" w:hAnsi="Times New Roman"/>
          <w:sz w:val="19"/>
          <w:szCs w:val="19"/>
          <w:u w:val="single" w:color="auto"/>
          <w:color w:val="auto"/>
        </w:rPr>
        <w:t>clause</w:t>
      </w:r>
    </w:p>
    <w:p>
      <w:pPr>
        <w:spacing w:after="0" w:line="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Affiliates that are Bona Fide Debt Funds) that (x) are identified in writing by the Borrower to the Administrative Agent from time to time or (y) are reasonably identifiable on the basis that such Affiliate’s legal entity name shares a material and identifying component (as determined by the Administrative Agent) with the legal entity name of any Disqualified Institution (including funds managed, sponsored or advised by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“Disqualified Institutions” shall exclude any Person that the Borrower has designated as no longer being a “Disqualified Institution” by written notice delivered to the Administrative Agent and the Lenders from time to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the United States, any state thereof or the District of Columbia, other than a FSHCO or a direct subsidiary of a CFC.</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11.06(g)(iv)</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of this definition and is subject to consolidated supervision with its parent.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008" w:right="339" w:bottom="1440" w:gutter="0" w:footer="0" w:header="0"/>
        </w:sectPr>
      </w:pPr>
    </w:p>
    <w:bookmarkStart w:id="21" w:name="page22"/>
    <w:bookmarkEnd w:id="21"/>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11.06(b)(iii)</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w:t>
      </w:r>
      <w:r>
        <w:rPr>
          <w:rFonts w:ascii="Times New Roman" w:cs="Times New Roman" w:eastAsia="Times New Roman" w:hAnsi="Times New Roman"/>
          <w:sz w:val="20"/>
          <w:szCs w:val="20"/>
          <w:color w:val="auto"/>
        </w:rPr>
        <w:t>” means ambient air, indoor air, surface water, groundwater, drinking water, soil, surface and subsurface strata, and natural resources such as wetland, flora and fauna.</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applicable Laws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violation of any Environmental Law, (b) the generation, use, handling, transportation, storage, treatment or disposal of any Hazardous Materials, (c) exposure to any Hazardous Materials, (d) Release or threatened Release of any Hazardous Materials into the Environment, or (e) any contract, agreement or other consensual arrangement to the extent liability is assumed or imposed with respect to any of the foregoing.</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any Person, all of the shares, interests, rights, participations or other equivalents (however designated) of capital stock of (or other ownership or profit interests or units in) such Person, all of the warrants, options or other rights for the purchase or acquisition from such Person of shares, interests, rights, participations or other equivalents (however designated) of capital stock of (or other ownership or profit interests or units in) such Person, all of the securities convertible into or exchangeable for shares, interests, rights, participations or other equivalents (however designated) of capital stock of (or other ownership or profit interests or units in) such Person or warrants, rights or options for the purchase or acquisition from such Person of such shares, interests, rights, participations or other equivalents (however designated) (or such other interests or units),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Borrower within the meaning of Sections 414(b) or (c) of the Code (and Sections 414(m) and (o) of the Code for purposes of provisions relating to Section 412 of the Code).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1" w:lineRule="exact"/>
        <w:rPr>
          <w:sz w:val="20"/>
          <w:szCs w:val="20"/>
          <w:color w:val="auto"/>
        </w:rPr>
      </w:pPr>
    </w:p>
    <w:p>
      <w:pPr>
        <w:jc w:val="both"/>
        <w:ind w:firstLine="8"/>
        <w:spacing w:after="0" w:line="249" w:lineRule="auto"/>
        <w:tabs>
          <w:tab w:leader="none" w:pos="27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 or partial withdrawal by the Borrower or any ERISA Affiliate from a Multiemployer Plan or notification that a Multiemployer Plan is insolvent; (d) the filing of a notice of intent to terminate, or the treatment of a Pension Plan or Multiemployer Plan amendment as a termination, under Section 4041 or 4041A of ERISA; (e) the institution by the PBGC of proceedings to terminate a Pension Plan; (f) during any time that a Pension Plan exists, any event or condition which, under Section 4042 of ERISA, would be reasonably likely to result in the termination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008"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20"/>
          <w:szCs w:val="20"/>
          <w:color w:val="auto"/>
        </w:rPr>
        <w:t>the appointment of a trustee to administer, any Pension Plan; (g) the determination that any Pension Plan is considered an at-risk plan or a plan in endangered or critical status within the meaning of Sections 430, 431 and 432 of the Code or Sections 303, 304 and 305 of ERISA;</w:t>
      </w:r>
    </w:p>
    <w:p>
      <w:pPr>
        <w:jc w:val="both"/>
        <w:ind w:firstLine="8"/>
        <w:spacing w:after="0" w:line="251" w:lineRule="auto"/>
        <w:tabs>
          <w:tab w:leader="none" w:pos="29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any liability under Title IV of ERISA, other than for PBGC premiums due but not delinquent under Section 4007 of ERISA, upon the Borrower; or (i) a failure by the Borrower or any ERISA Affiliate to meet all applicable requirements under the Pension Funding Rules in respect of a Pension Plan or Multiemployer Plan, whether or not waived, or the failure by the Borrower or any ERISA Affiliate to make any required contribution to a Multiemployer Plan.</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means any (a) payroll deposit account so long as such payroll account is not holding an amount in excess of the next payroll disbursement, together with any benefits and taxes payable in connection therewith, (b) petty cash deposit accounts, amounts on deposit in which do not exceed $500,000 in any single account or $2,000,000 in the aggregate in all such accounts at any one time, (c) withholding tax and fiduciary deposit accounts to the extent such account is solely so used or (d) disbursement accounts that are zero balance accounts, in which the amounts on deposit in such disbursement accounts do not exceed the amount of outstanding checks and wire transfers payable from such accounts and amounts necessary to meet minimum balance requirements.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Property</w:t>
      </w:r>
      <w:r>
        <w:rPr>
          <w:rFonts w:ascii="Times New Roman" w:cs="Times New Roman" w:eastAsia="Times New Roman" w:hAnsi="Times New Roman"/>
          <w:sz w:val="19"/>
          <w:szCs w:val="19"/>
          <w:color w:val="auto"/>
        </w:rPr>
        <w:t xml:space="preserve">” means, with respect to any Loan Party, (a) any owned or leased real property, (b) unless requested by the Administrative Agent, any Intellectual Property for which a perfected Lien thereon is not effected either by filing of a UCC financing statement or by appropriate evidence of such Lien being filed in either the United States Copyright Office or the United States Patent and Trademark Office, (c) any personal property (other than personal property described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for which the attachment or perfection of a Lien thereon is not governed by the UCC, (d) the Equity Interests of any Foreign Subsidiary of any Loan Party to the extent not required to be pledged to secure the Secured Obligations pursuant to the Collateral Documents (e) margin stock (f) any property which, subject to the terms of </w:t>
      </w:r>
      <w:r>
        <w:rPr>
          <w:rFonts w:ascii="Times New Roman" w:cs="Times New Roman" w:eastAsia="Times New Roman" w:hAnsi="Times New Roman"/>
          <w:sz w:val="19"/>
          <w:szCs w:val="19"/>
          <w:u w:val="single" w:color="auto"/>
          <w:color w:val="auto"/>
        </w:rPr>
        <w:t>Section 7.02(c</w:t>
      </w:r>
      <w:r>
        <w:rPr>
          <w:rFonts w:ascii="Times New Roman" w:cs="Times New Roman" w:eastAsia="Times New Roman" w:hAnsi="Times New Roman"/>
          <w:sz w:val="19"/>
          <w:szCs w:val="19"/>
          <w:color w:val="auto"/>
        </w:rPr>
        <w:t xml:space="preserve">), is subject to a Lien of the type described in </w:t>
      </w:r>
      <w:r>
        <w:rPr>
          <w:rFonts w:ascii="Times New Roman" w:cs="Times New Roman" w:eastAsia="Times New Roman" w:hAnsi="Times New Roman"/>
          <w:sz w:val="19"/>
          <w:szCs w:val="19"/>
          <w:u w:val="single" w:color="auto"/>
          <w:color w:val="auto"/>
        </w:rPr>
        <w:t>Section 7.01(i</w:t>
      </w:r>
      <w:r>
        <w:rPr>
          <w:rFonts w:ascii="Times New Roman" w:cs="Times New Roman" w:eastAsia="Times New Roman" w:hAnsi="Times New Roman"/>
          <w:sz w:val="19"/>
          <w:szCs w:val="19"/>
          <w:color w:val="auto"/>
        </w:rPr>
        <w:t>) pursuant to documents that prohibit such Loan Party from granting any other Liens in such property or would create a right of termination in favor of any other party thereto (other than any Loan Party) (g) any lease, license or other agreement or property (including Intellectual Property) to the extent that the terms of such lease, license or other agreement or any agreement binding on such property prohibit the assignment of, or granting a security interest in, such lease, license or other agreement or property subject to such agreement, or would create a right of termination in favor of any other party thereto (other than any Loan Party), in each case to the extent not rendered unenforceable pursuant to the UCC or other Applicable Law and so long as the applicable provision giving rise to such violation or invalidity or such right of termination was not incurred in anticipation of entering into this Agreement, (h) any property to the extent that a pledge thereof or a grant of a security interest therein would be prohibited by Applicable Law or agreements with any Governmental Authority or would require governmental (including regulatory) consent, approval, license or authorization (after giving effect to the applicable anti-assignment provisions of the UCC) unless such consent, approval, license or authorization has been obtained after the Borrower shall have used commercially reasonable efforts to obtain any such consent, approval, license or authorization or unless such prohibition or requirement is rendered unenforceable pursuant to applicable provisions of the UCC or other Applicable Law, (i) letter-of-credit rights and commercial tort claims, in each case, to the extent having a value, individually or in the aggregate, less than $5,000,000 (except to the extent a security interest therein can be perfected by the filing of a UCC financing statement),</w:t>
      </w:r>
    </w:p>
    <w:p>
      <w:pPr>
        <w:spacing w:after="0" w:line="15" w:lineRule="exact"/>
        <w:rPr>
          <w:sz w:val="20"/>
          <w:szCs w:val="20"/>
          <w:color w:val="auto"/>
        </w:rPr>
      </w:pPr>
    </w:p>
    <w:p>
      <w:pPr>
        <w:jc w:val="both"/>
        <w:ind w:firstLine="8"/>
        <w:spacing w:after="0" w:line="249" w:lineRule="auto"/>
        <w:tabs>
          <w:tab w:leader="none" w:pos="2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United States intent-to-use application for registration of a trademark, prior to the filing and acceptance of a “Statement of Use” or an “Amendment to Allege Use” with respect thereto, solely to the extent that, and solely during the period in which, the grant of a security interest therein would impair the validity or enforceability of such intent-to-use trademark application or any registration that issues therefrom under applicable federal Law, (k) any property or assets to the extent that the creation or perfection of pledges of, or security interests in, such property or assets would result in adverse tax consequences (other than de minimis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008"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20"/>
          <w:szCs w:val="20"/>
          <w:color w:val="auto"/>
        </w:rPr>
        <w:t>for Holdings and its Subsidiaries as reasonably determined by the Borrower in consultation with the Administrative Agent, (l) Excluded Accounts and (m) those assets as to which the Administrative Agent and the Borrower reasonably agree that the cost of obtaining a security interest therein are excessive in relation to the benefit to the Secured Parties of the security to be afforded thereby.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xml:space="preserve">” means any (a) Immaterial Subsidiary; (b) any subsidiary that is prohibited by Applicable Law, regulation or Contractual Obligation existing on the Closing Date (or in the case of any newly acquired Subsidiary, at the time of acquisition of such Subsidiary, so long as such Contractual Obligation is not entered into in contemplation thereof) from Guaranteeing the Obligations or that such Guarantee would require consent, approval, license or authorization from a Governmental Authority in order to provide such Guarantee (unless such consent, approval, license or authorization has been obtained;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it being understood and agreed that there is no obligation to procure any such consent, approval, license or authorization); (c) any Subsidiary the burden or cost of providing a Guarantee of the Obligations outweighs the benefits afforded thereby as reasonably determined by the Administrative Agent and the Borrower, (d) any Foreign Subsidiary; and (e) any other Subsidiary (including, without limitation, any CFC and any Subsidiary of a CFC) to the extent that providing such a Guarantee would result in adverse tax consequences (other than de minimis tax consequences) for Holdings and its Subsidiaries as reasonably determined by the Borrower, in consultation with the Administrative Agent.</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w:t>
      </w:r>
    </w:p>
    <w:p>
      <w:pPr>
        <w:spacing w:after="0" w:line="2" w:lineRule="exact"/>
        <w:rPr>
          <w:sz w:val="20"/>
          <w:szCs w:val="20"/>
          <w:color w:val="auto"/>
        </w:rPr>
      </w:pPr>
    </w:p>
    <w:p>
      <w:pPr>
        <w:jc w:val="both"/>
        <w:ind w:firstLine="8"/>
        <w:spacing w:after="0" w:line="250" w:lineRule="auto"/>
        <w:tabs>
          <w:tab w:leader="none" w:pos="3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jc w:val="both"/>
        <w:ind w:firstLine="8"/>
        <w:spacing w:after="0" w:line="251" w:lineRule="auto"/>
        <w:tabs>
          <w:tab w:leader="none" w:pos="26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Sections 3.01(b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3.01(f</w:t>
      </w:r>
      <w:r>
        <w:rPr>
          <w:rFonts w:ascii="Times New Roman" w:cs="Times New Roman" w:eastAsia="Times New Roman" w:hAnsi="Times New Roman"/>
          <w:sz w:val="20"/>
          <w:szCs w:val="20"/>
          <w:color w:val="auto"/>
        </w:rPr>
        <w:t>) and (d) any withholding Taxes imposed pursuant to FATCA.</w:t>
      </w:r>
    </w:p>
    <w:p>
      <w:pPr>
        <w:spacing w:after="0" w:line="1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Termination Date</w:t>
      </w:r>
      <w:r>
        <w:rPr>
          <w:rFonts w:ascii="Times New Roman" w:cs="Times New Roman" w:eastAsia="Times New Roman" w:hAnsi="Times New Roman"/>
          <w:sz w:val="20"/>
          <w:szCs w:val="20"/>
          <w:color w:val="auto"/>
        </w:rPr>
        <w:t>” means the date as of which all of the following shall have occurred: (a) all Commitments have terminated, (b) all Obligations have been paid in full (other than (A) contingent indemnification obligations not yet accrued and payable and</w:t>
      </w:r>
    </w:p>
    <w:p>
      <w:pPr>
        <w:jc w:val="both"/>
        <w:ind w:firstLine="8"/>
        <w:spacing w:after="0" w:line="251" w:lineRule="auto"/>
        <w:tabs>
          <w:tab w:leader="none" w:pos="34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and liabilities under Secured Cash Management Agreements and Secured Hedge Agreements as to which arrangements reasonably satisfactory to the Administrative Agent shall have been made), and (c) all Letters of Credit have terminated or expired (other than Letters of Credit that have been Cash Collateralized or as to which other arrangements with respect thereto satisfactory to the Administrative Agent and the L/C Issuer shall have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008"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 described above) and any intergovernmental agreement (and related fiscal or regulatory legislation, or related official rules or practices) implementing the foregoing.</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October 9, 2024, between the Borrower, the Administrative Agent and BofA Securities, Inc..</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in accordance with the terms hereof.</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means a Subsidiary that has no material assets other than the Equity Interests or the Equity Interests and Indebtedness of one or more Foreign Subsidiaries that are CFCs or a FSHCO.</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089" w:right="339" w:bottom="1440" w:gutter="0" w:footer="0" w:header="0"/>
        </w:sectPr>
      </w:pPr>
    </w:p>
    <w:bookmarkStart w:id="25" w:name="page26"/>
    <w:bookmarkEnd w:id="25"/>
    <w:p>
      <w:pPr>
        <w:jc w:val="both"/>
        <w:spacing w:after="0" w:line="283" w:lineRule="auto"/>
        <w:rPr>
          <w:sz w:val="20"/>
          <w:szCs w:val="20"/>
          <w:color w:val="auto"/>
        </w:rPr>
      </w:pPr>
      <w:r>
        <w:rPr>
          <w:rFonts w:ascii="Times New Roman" w:cs="Times New Roman" w:eastAsia="Times New Roman" w:hAnsi="Times New Roman"/>
          <w:sz w:val="20"/>
          <w:szCs w:val="20"/>
          <w:color w:val="auto"/>
        </w:rPr>
        <w:t>powers or functions of or pertaining to government (including, without limitation, any supra-national bodies such as the European Union or the European Central Bank).</w:t>
      </w:r>
    </w:p>
    <w:p>
      <w:pPr>
        <w:spacing w:after="0" w:line="14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xml:space="preserve">” means, as to any Person, (a) any obligation, contingent or otherwise, of such Person guaranteeing or having the economic effect of guaranteeing any Indebtedness of the kind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of the definition thereof or other obligation payable or performable by another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as a verb has a corresponding meaning.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w:t>
      </w:r>
      <w:r>
        <w:rPr>
          <w:rFonts w:ascii="Times New Roman" w:cs="Times New Roman" w:eastAsia="Times New Roman" w:hAnsi="Times New Roman"/>
          <w:sz w:val="20"/>
          <w:szCs w:val="20"/>
          <w:color w:val="auto"/>
        </w:rPr>
        <w:t xml:space="preserve">s” has the meaning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means, collectively, (a) Holdings and the Subsidiaries of Holdings (other than the Borrower or any Excluded Subsidiary) as are or may from time to time become parties to this Agreement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(b) with respect to Additional Secured Obligations owing by any Loan Party or any of its Subsidiaries and any Swap Obligation of a Specified Loan Party (determined before giving effect to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10.11</w:t>
      </w:r>
      <w:r>
        <w:rPr>
          <w:rFonts w:ascii="Times New Roman" w:cs="Times New Roman" w:eastAsia="Times New Roman" w:hAnsi="Times New Roman"/>
          <w:sz w:val="20"/>
          <w:szCs w:val="20"/>
          <w:color w:val="auto"/>
        </w:rPr>
        <w:t>) under the Guaranty, the Borrower.</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collectively, the Guarantee made by the Guarantors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 favor of the Secured Parties, together with each other guaranty delivered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in its capacity as a party to a Swap Contract that, (a) at the time it enters into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in each case, in its capacity as a party to such Swap Contract (even if such Person ceases to be a Lender or such Person’s Affiliate ceased to be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the case of a Secured Hedge Agreement with a Person who is no longer a Lender (or Affiliate of a Lender), such Person shall be considered a Hedge Bank only through the stated termination date (without extension or renewal) of such Secured Hedge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has the meaning specified in the introductory paragraph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008" w:right="339" w:bottom="1440" w:gutter="0" w:footer="0" w:header="0"/>
        </w:sectPr>
      </w:pPr>
    </w:p>
    <w:bookmarkStart w:id="26" w:name="page27"/>
    <w:bookmarkEnd w:id="26"/>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means any Subsidiary of Holdings that (a) has generated 5% or less of the Consolidated Revenue of Holdings and its Subsidiaries for any Measurement Period or (b) holds less than 5% of the Consolidated Total Assets of Holdings and its Subsidiaries, in each case, excluding any intercompany items;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following the delivery of a Compliance Certificate in accordance with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all Immaterial Subsidiaries comprise in the aggregate more than 10% of the Consolidated Revenues of Holdings and its Subsidiaries for any Measurement Period or more than 10% of the Consolidated Total Assets of Holdings and its Subsidiaries, then the Borrower shall, within 45 days of such time (or such longer period agreed to by the Administrative Agent in its sole discretion), (i) designate in writing to the Administrative Agent that one or more of such Subsidiaries is no longer an Immaterial Subsidiary to the extent required such that the foregoing condition ceases to be true and (ii) comply with the terms and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with respect to such Subsidiaries no longer constituting Immaterial Subsidiaries. Notwithstanding anything to the contrary set forth herein, in no event shall Holdings or the Borrower constitute an Immaterial Subsidiary.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Request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46" w:lineRule="exact"/>
        <w:rPr>
          <w:sz w:val="20"/>
          <w:szCs w:val="20"/>
          <w:color w:val="auto"/>
        </w:rPr>
      </w:pPr>
    </w:p>
    <w:p>
      <w:pPr>
        <w:ind w:firstLine="656"/>
        <w:spacing w:after="0" w:line="283" w:lineRule="auto"/>
        <w:tabs>
          <w:tab w:leader="none" w:pos="128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guaranties, surety bonds and similar instruments;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15"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((including purchase money Indebtedness but excluding (i) trade accounts payable and accrued expenses payable in the ordinary course of business (including on an intercompany basis), (ii) purchase price holdbacks in respect of the portion of the purchase price of an asset to satisfy warranty or other unperformed obligations of the respective seller or to satisfy any liabilities, (iii) any earn-out obligation until such obligation becomes a liability on the balance sheet of such Person in accordance with GAAP, (iv) any such obligations under ERISA, (v) prepaid and deferred revenue arising in the ordinary course of business, (vi) purchase price and working capital adjustments (other than earn-outs or similar deferred consideration described above in clause (iii)), (vii) customer deposits and prepaid items and (viii) accruals for payroll, benefits and other liabilities accrued in the ordinary course of business);</w:t>
      </w:r>
    </w:p>
    <w:p>
      <w:pPr>
        <w:spacing w:after="0" w:line="19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of such Person;</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008" w:right="339" w:bottom="1440" w:gutter="0" w:footer="0" w:header="0"/>
          <w:type w:val="continuous"/>
        </w:sectPr>
      </w:pPr>
    </w:p>
    <w:bookmarkStart w:id="27" w:name="page28"/>
    <w:bookmarkEnd w:id="27"/>
    <w:p>
      <w:pPr>
        <w:ind w:right="20" w:firstLine="656"/>
        <w:spacing w:after="0" w:line="283" w:lineRule="auto"/>
        <w:tabs>
          <w:tab w:leader="none" w:pos="128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purchase, redeem, retire, defease or otherwise make any payment in respect of any Disqualified Equity Interest; and</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For purposes of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the amount of Indebtedness of any Person that is non-recourse to such Person shall be deemed to be equal to the lesser of (i) the aggregate unpaid amount of such Indebtedness and (ii) the fair market value of the property encumbered thereby as determined by such Person in good faith.</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or anything else herein to the contrary, “Indebtedness” shall not include (i) obligations or liabilities of any Person in respect of any of its Equity Interests not constituting Disqualified Equity Interests nor the obligations of any Person to pay rent or other amounts under any lease of (or other arrangement conveying the right to use) real or personal property, or a combination thereof, which obligations would be required to be classified and accounted for as an operating lease under GAAP as existing on the Closing Date (whether or not such lease exists on the Closing Date or hereafter arises), (ii) customary obligations under employment agreements and deferred compensation, (iii) royalty payments made in the ordinary course of business in respect of exclusive and non-exclusive licenses, (iv) any accruals for payroll, (v) accrued licensing fees owed under licenses (including Intellectual Property licenses), and (vi) deferred rent obligations in respect of real property leases incurred in the ordinary course of business.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Insight Partners</w:t>
      </w:r>
      <w:r>
        <w:rPr>
          <w:rFonts w:ascii="Times New Roman" w:cs="Times New Roman" w:eastAsia="Times New Roman" w:hAnsi="Times New Roman"/>
          <w:sz w:val="20"/>
          <w:szCs w:val="20"/>
          <w:color w:val="auto"/>
        </w:rPr>
        <w:t>” means Insight Venture Partners, LLC, a Delaware limited liability company and its Affiliates.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rights, priorities and privileges in or to intellectual property, whether arising under United States, multinational or foreign laws or otherwise, including copyrights, patents, trademarks, service marks, trade names, technology, know-how, trade secrets and processes, all registrations and applications for registration of any of the foregoing, and all goodwill associated therewith.</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as to any Term SOFR Loan, the last day of each Interest Period applicable to such Loan and the Maturity Date; provided, that if any Interest Period for a Term SOFR Loan exceeds three (3) months, the respective dates that fall every three</w:t>
      </w:r>
    </w:p>
    <w:p>
      <w:pPr>
        <w:spacing w:after="0" w:line="1" w:lineRule="exact"/>
        <w:rPr>
          <w:sz w:val="20"/>
          <w:szCs w:val="20"/>
          <w:color w:val="auto"/>
        </w:rPr>
      </w:pPr>
    </w:p>
    <w:p>
      <w:pPr>
        <w:ind w:firstLine="8"/>
        <w:spacing w:after="0" w:line="260" w:lineRule="auto"/>
        <w:tabs>
          <w:tab w:leader="none" w:pos="29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the beginning of such Interest Period shall also be Interest Payment Dates; and (b) as to any Base Rate Loan or Swingline Loan, the last Business Day of each of April, July, October, January and the Maturity Date.</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the period commencing on the date such Term SOFR Loan is disbursed or converted to or continued as a Term SOFR Loan and ending on the date one, three or six months thereafter (in each case, subject to availability), as selected by the Borrower in its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927" w:right="339" w:bottom="1440" w:gutter="0" w:footer="0" w:header="0"/>
        </w:sectPr>
      </w:pPr>
    </w:p>
    <w:bookmarkStart w:id="28" w:name="page29"/>
    <w:bookmarkEnd w:id="28"/>
    <w:p>
      <w:pPr>
        <w:jc w:val="both"/>
        <w:ind w:left="660" w:firstLine="644"/>
        <w:spacing w:after="0" w:line="261" w:lineRule="auto"/>
        <w:tabs>
          <w:tab w:leader="none" w:pos="186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5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net of all Returns on such Investment, without adjustment for subsequent increases or decreases in the value of such Investment.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6.12</w:t>
      </w:r>
      <w:r>
        <w:rPr>
          <w:rFonts w:ascii="Times New Roman" w:cs="Times New Roman" w:eastAsia="Times New Roman" w:hAnsi="Times New Roman"/>
          <w:sz w:val="20"/>
          <w:szCs w:val="20"/>
          <w:color w:val="auto"/>
        </w:rPr>
        <w:t xml:space="preserve"> executed and delivered in accordance with the provisions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Applicable Percentage.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Borrowing.</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xml:space="preserve">” means, with respect to the L/C Issuer, the commitment of the L/C Issuer to issue Letters of Credit hereunder. The initial amount of the L/C Issuer’s L/C Commitment is set forth on </w:t>
      </w:r>
      <w:r>
        <w:rPr>
          <w:rFonts w:ascii="Times New Roman" w:cs="Times New Roman" w:eastAsia="Times New Roman" w:hAnsi="Times New Roman"/>
          <w:sz w:val="20"/>
          <w:szCs w:val="20"/>
          <w:u w:val="single" w:color="auto"/>
          <w:color w:val="auto"/>
        </w:rPr>
        <w:t>Schedule 2.03</w:t>
      </w:r>
      <w:r>
        <w:rPr>
          <w:rFonts w:ascii="Times New Roman" w:cs="Times New Roman" w:eastAsia="Times New Roman" w:hAnsi="Times New Roman"/>
          <w:sz w:val="20"/>
          <w:szCs w:val="20"/>
          <w:color w:val="auto"/>
        </w:rPr>
        <w:t>. The L/C Commitment of the L/C Issuer may be modified from time to time by agreement between the L/C Issuer and the Borrower, and notified to the Administrative Agent.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the extension of the expiry date thereof, or the increase of the amount thereof.</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xml:space="preserve">” means the issuance of a Letter of Credit by the L/C Issuer in favor of the Borrower, Holdings or any of Holdings’ Subsidiaries in accordance with the terms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Bank of America, in its capacity as issuer of Letters of Credit hereunder, or any successor issuer of Letters of Credit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927"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 each of the Persons identified as a “Lender” on the signature pages hereto, each other Person that becomes a “Lender” in accordance with this Agreement and, their successors and assigns and, unless the context requires otherwise, includes the Swingline Lender.</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 Recipient Parties</w:t>
      </w:r>
      <w:r>
        <w:rPr>
          <w:rFonts w:ascii="Times New Roman" w:cs="Times New Roman" w:eastAsia="Times New Roman" w:hAnsi="Times New Roman"/>
          <w:sz w:val="20"/>
          <w:szCs w:val="20"/>
          <w:color w:val="auto"/>
        </w:rPr>
        <w:t>” mean collectively, the Lenders, the Swingline Lender and the L/C Issuer.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hereunder.</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r>
        <w:rPr>
          <w:rFonts w:ascii="Times New Roman" w:cs="Times New Roman" w:eastAsia="Times New Roman" w:hAnsi="Times New Roman"/>
          <w:sz w:val="20"/>
          <w:szCs w:val="20"/>
          <w:color w:val="7030A0"/>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2.03(j</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as of any date of determination, an amount equal to the lesser of (a) $45,000,000 and (b) the Revolving Facility. The Letter of Credit Sublimit is part of, and not in addition to, the Revolving Facility.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the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Loan or a Swingline Loan and shall include as the context requires, any Incremental Facility Loan.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collectively, (a) this Agreement, (b) the Guaranty, (c) the Collateral Documents, (d) each Issuer Document, (e) each Joinder Agreement, (f)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(g) the Fee Letter, (h) each Note, (i) each Incremental Facility Amendment and (j) all other certificates, agreements, documents and instruments executed and delivered, in each case, by or on behalf of any Loan Party pursuant to the foregoing (but specifically excluding any Secured Hedge Agreement or any Secured Cash Management Agreement) and any amendments, modifications or supplements thereto or to any other Loan Document or waivers hereof or to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9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 xml:space="preserve">Document; provided, that, for purposes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“Loan Documents” shall mean this Agreement and the Collateral Documents.</w:t>
      </w:r>
    </w:p>
    <w:p>
      <w:pPr>
        <w:spacing w:after="0" w:line="2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Notice</w:t>
      </w:r>
      <w:r>
        <w:rPr>
          <w:rFonts w:ascii="Times New Roman" w:cs="Times New Roman" w:eastAsia="Times New Roman" w:hAnsi="Times New Roman"/>
          <w:sz w:val="19"/>
          <w:szCs w:val="19"/>
          <w:color w:val="auto"/>
        </w:rPr>
        <w:t xml:space="preserve">” means a notice of (a) a Borrowing, (b) a conversion of Loans from one Type to the other, or (c) a continuation of Term SOFR Loans, pursuant to </w:t>
      </w:r>
      <w:r>
        <w:rPr>
          <w:rFonts w:ascii="Times New Roman" w:cs="Times New Roman" w:eastAsia="Times New Roman" w:hAnsi="Times New Roman"/>
          <w:sz w:val="19"/>
          <w:szCs w:val="19"/>
          <w:u w:val="single" w:color="auto"/>
          <w:color w:val="auto"/>
        </w:rPr>
        <w:t>Section 2.02(a</w:t>
      </w:r>
      <w:r>
        <w:rPr>
          <w:rFonts w:ascii="Times New Roman" w:cs="Times New Roman" w:eastAsia="Times New Roman" w:hAnsi="Times New Roman"/>
          <w:sz w:val="19"/>
          <w:szCs w:val="19"/>
          <w:color w:val="auto"/>
        </w:rPr>
        <w:t xml:space="preserve">), which, if in writing, shall be substantially in the form of </w:t>
      </w:r>
      <w:r>
        <w:rPr>
          <w:rFonts w:ascii="Times New Roman" w:cs="Times New Roman" w:eastAsia="Times New Roman" w:hAnsi="Times New Roman"/>
          <w:sz w:val="19"/>
          <w:szCs w:val="19"/>
          <w:u w:val="single" w:color="auto"/>
          <w:color w:val="auto"/>
        </w:rPr>
        <w:t>Exhibit 2.02</w:t>
      </w:r>
      <w:r>
        <w:rPr>
          <w:rFonts w:ascii="Times New Roman" w:cs="Times New Roman" w:eastAsia="Times New Roman" w:hAnsi="Times New Roman"/>
          <w:sz w:val="19"/>
          <w:szCs w:val="19"/>
          <w:color w:val="auto"/>
        </w:rPr>
        <w:t xml:space="preserve"> or such other form as may be reasonably approved by the Administrative Agent (including any form on an electronic platform or electronic transmission system as shall be reasonably approved by the Administrative Agent), appropriately completed and signed by a Responsible Officer of the Borrower.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 and each Guarantor.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has the meaning set forth in the definition of “Swap Contract.”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assets, properties, liabilities (actual or contingent) or financial condition of the Borrower and its Subsidiaries, taken as a whole; (b) a material impairment of the rights and remedies of the Administrative Agent under the Loan Documents, taken as a whole, or of the ability of the Loan Parties, taken as a whole, to perform its material obligations under the Loan Documents; or (c) a material adverse effect upon the legality, validity, binding effect or enforceability against the Borrower or any Guarantor of any Loan Document to which it is a party.</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October 28, 2029;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date is not a Business Day, the Maturity Date shall be the next preceding Business Day.</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xml:space="preserve">” means, at any date of determination, the most recently ended period of four (4) fiscal quarters of Holdings for which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prior to the first date that financial statements have been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the period of four (4) fiscal quarters of Holdings ended July 31, 2024).</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one hundred and three percent (103%) of the Outstanding Amount of all L/C Obligations, and (b) otherwise, an amount determined by Administrative Agent and the L/C Issuer in their sole discretion.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Borrower or any ERISA Affiliate (i) makes or is obligated to make contributions, or (ii) during the preceding five (5) plan years, has made or been obligated to make contributions, but only to the extent any Loan Party has or may reasonably be expected to have any liability with respect thereto.</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73"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means any Lender that does not approve any consent, waiver or amendment that (a) requires the approval of all Lenders or all affected Lenders in accordance with the terms of Section 11.01 and (b) has been approved by the Required Lenders.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Non-Reinstatement Deadline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927"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2.05</w:t>
      </w:r>
      <w:r>
        <w:rPr>
          <w:rFonts w:ascii="Times New Roman" w:cs="Times New Roman" w:eastAsia="Times New Roman" w:hAnsi="Times New Roman"/>
          <w:sz w:val="20"/>
          <w:szCs w:val="20"/>
          <w:color w:val="auto"/>
        </w:rPr>
        <w:t xml:space="preserve"> or such other form as may be reasonably approved by the Administrative Agent (including any form on an electronic platform or electronic transmission system as shall be reasonably approved by the Administrative Agent), appropriately completed and signed by a Responsible Officer.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reasonable and documented out-of-pocket fees, charges and disbursements of counsel to the extent required to be reimbursed by the Loan Parties pursuant to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provided, that, without limiting the foregoing, the Obligations of a Guarantor shall exclude any Excluded Swap Obligations with respect to such Guarantor.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Term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Loans on any date, the aggregate outstanding principal amount thereof after giving effect to any Borrowings and prepayments or repayments of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008"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Funding Rules</w:t>
      </w:r>
      <w:r>
        <w:rPr>
          <w:rFonts w:ascii="Times New Roman" w:cs="Times New Roman" w:eastAsia="Times New Roman" w:hAnsi="Times New Roman"/>
          <w:sz w:val="20"/>
          <w:szCs w:val="20"/>
          <w:color w:val="auto"/>
        </w:rPr>
        <w:t>” means the rules of the Code and ERISA regarding minimum funding standards with respect to Pension Plans and Multiemployer Plans and set forth in Sections 412, 430, 431, 432 and 436 of the Code and Sections 302, 303, 304 and 305 of ERISA.</w:t>
      </w:r>
    </w:p>
    <w:p>
      <w:pPr>
        <w:spacing w:after="0" w:line="16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Pension Plan</w:t>
      </w:r>
      <w:r>
        <w:rPr>
          <w:rFonts w:ascii="Times New Roman" w:cs="Times New Roman" w:eastAsia="Times New Roman" w:hAnsi="Times New Roman"/>
          <w:sz w:val="19"/>
          <w:szCs w:val="19"/>
          <w:color w:val="auto"/>
        </w:rPr>
        <w:t>” means any employee pension benefit plan (other than any Multiemployer Plan) that is maintained or is contributed to by the Borrower and any ERISA Affiliate or with respect to which the Borrower has any liability (including any liability on account of any ERISA Affiliate) and is either covered by Title IV of ERISA or is subject to the minimum funding standards under Section 412 of the Code.</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(i) the Closing Date Acquisition and (ii) an Acquisition by Holdings or any of its Subsidiaries (the Person or division, line of business or other business unit of the Person to be acquired in such Acquisition shall be referred to herein as the “</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in each case that is a type of business (or assets used in a type of business) permitted to be engaged in by the Borrower and its Subsidiaries pursuant to the terms of this Agreement, in each case so long as:</w:t>
      </w:r>
    </w:p>
    <w:p>
      <w:pPr>
        <w:spacing w:after="0" w:line="172" w:lineRule="exact"/>
        <w:rPr>
          <w:sz w:val="20"/>
          <w:szCs w:val="20"/>
          <w:color w:val="auto"/>
        </w:rPr>
      </w:pPr>
    </w:p>
    <w:p>
      <w:pPr>
        <w:jc w:val="both"/>
        <w:ind w:firstLine="656"/>
        <w:spacing w:after="0" w:line="268" w:lineRule="auto"/>
        <w:tabs>
          <w:tab w:leader="none" w:pos="128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Event of Default shall have occurred and be continuing on the date of entry into the definitive agreement for the Permitted Acquisition, and (ii) no payment or bankruptcy Event of Default shall have occurred and be continuing or would exist after giving effect thereto;</w:t>
      </w:r>
    </w:p>
    <w:p>
      <w:pPr>
        <w:spacing w:after="0" w:line="161"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shall demonstrate to the reasonable satisfaction of the Administrative Agent that, after giving effect to the Acquisition on a Pro Forma Basis the Loan Parties are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with respect to the Closing Date Acquisition, the aggregate consideration (including assumed Indebtedness) for all Acquisitions of (i) assets (other than Equity Interests) that are (or become at the time of such Acquisition) directly owned by non-Loan Parties or that will not become Collateral plus (ii) Equity Interests in non-Loan Parties, together with all Investments made pursuant to Section </w:t>
      </w:r>
      <w:r>
        <w:rPr>
          <w:rFonts w:ascii="Times New Roman" w:cs="Times New Roman" w:eastAsia="Times New Roman" w:hAnsi="Times New Roman"/>
          <w:sz w:val="20"/>
          <w:szCs w:val="20"/>
          <w:u w:val="single" w:color="auto"/>
          <w:color w:val="auto"/>
        </w:rPr>
        <w:t>7.03(c)(iv)</w:t>
      </w:r>
      <w:r>
        <w:rPr>
          <w:rFonts w:ascii="Times New Roman" w:cs="Times New Roman" w:eastAsia="Times New Roman" w:hAnsi="Times New Roman"/>
          <w:sz w:val="20"/>
          <w:szCs w:val="20"/>
          <w:color w:val="auto"/>
        </w:rPr>
        <w:t>, shall not exceed $15,000,000;</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Permitted Acquisition with a purchase price in excess of $30,000,000, the Administrative Agent shall have received not less than ten (10) days (or such shorter period of time as the Administrative Agent may approve) prior to the consummation of any such Acquisition (i) a description of the material terms of such Acquisition, (ii) to the extent received by the Borrower, audited financial statements (or, if unavailable, management-prepared financial statements) of the Target for its two most recent fiscal years and for any fiscal quarters ended within the fiscal year to date, and (iii) Consolidated projected income statements of the Borrower and its Subsidiaries (giving effect to such Acquisition); and</w:t>
      </w:r>
    </w:p>
    <w:p>
      <w:pPr>
        <w:spacing w:after="0" w:line="178"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a “hostile” Acquisition and shall have been approved by the board of directors (or equivalent) and/or shareholders (or equivalent) of the applicable Loan Party and the Target.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Transfers</w:t>
      </w:r>
      <w:r>
        <w:rPr>
          <w:rFonts w:ascii="Times New Roman" w:cs="Times New Roman" w:eastAsia="Times New Roman" w:hAnsi="Times New Roman"/>
          <w:sz w:val="19"/>
          <w:szCs w:val="19"/>
          <w:color w:val="auto"/>
        </w:rPr>
        <w:t>” means (a) Dispositions of inventory in the ordinary course of business; (b) Dispositions of property to Holdings or any Subsidiary; provided, that, if the transferor of such property is a Loan Party then the transferee thereof must be a Loan Party;</w:t>
      </w:r>
    </w:p>
    <w:p>
      <w:pPr>
        <w:spacing w:after="0" w:line="1" w:lineRule="exact"/>
        <w:rPr>
          <w:sz w:val="20"/>
          <w:szCs w:val="20"/>
          <w:color w:val="auto"/>
        </w:rPr>
      </w:pPr>
    </w:p>
    <w:p>
      <w:pPr>
        <w:ind w:firstLine="8"/>
        <w:spacing w:after="0" w:line="260" w:lineRule="auto"/>
        <w:tabs>
          <w:tab w:leader="none" w:pos="27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collection or compromise thereof; (d) licenses, sublicenses, leases or subleases granted to others not interfering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008"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20"/>
          <w:szCs w:val="20"/>
          <w:color w:val="auto"/>
        </w:rPr>
        <w:t>in any material respect with the business of Holdings and its Subsidiaries; (e) the sale or Disposition of Cash Equivalents for fair market value, (f) the lapse, failure to maintain, abandonment or other disposition of intellectual property that is, in the reasonable judgment of the Borrower, no longer material to the conduct of the business of the Borrower and its Subsidiaries taken as a whole, (g) the surrender or waiver of contractual rights or the settlement, release or surrender of contract or tort claims, in each case, in the ordinary course of business (h) the sale, transfer, issuance or other disposition of a de minimis number of shares of the Equity Interests of a Foreign Subsidiary in order to qualify members of the governing body of such Subsidiary if required by applicable Law, (i) the expiration of any option agreement with respect to real or personal property and (j) repurchases of Equity Interests deemed to occur upon the exercise of stock options, warrants or other convertible securities if such Equity Interests represent (i) a portion of the exercise price thereof or (ii) withholding incurred in connection with such exercise.</w:t>
      </w:r>
    </w:p>
    <w:p>
      <w:pPr>
        <w:spacing w:after="0" w:line="17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but excluding any Multiple Employer Plan or Multiemployer Plan), maintained by Borrower for employees of the Borrower or any such Plan to which the Borrower is required to contribute on behalf of any of its employees.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means, with respect to any transaction, such transaction shall be deemed to have occurred on and as of the first day of the relevant Measurement Period, and the following pro forma adjustments shall be made:</w:t>
      </w:r>
    </w:p>
    <w:p>
      <w:pPr>
        <w:spacing w:after="0" w:line="146" w:lineRule="exact"/>
        <w:rPr>
          <w:sz w:val="20"/>
          <w:szCs w:val="20"/>
          <w:color w:val="auto"/>
        </w:rPr>
      </w:pPr>
    </w:p>
    <w:p>
      <w:pPr>
        <w:jc w:val="both"/>
        <w:ind w:firstLine="656"/>
        <w:spacing w:after="0" w:line="261" w:lineRule="auto"/>
        <w:tabs>
          <w:tab w:leader="none" w:pos="128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Disposition, all income statement items (whether positive or negative) attributable to the line of business or the Person subject to such Disposition shall be excluded from the results of Holdings and its Subsidiaries for such Measurement Period;</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Acquisition, income statement items (whether positive or negative) attributable to the property, line of business or the Person subject to such Acquisition shall be included in the results of Holdings and its Subsidiaries for such Measurement Period;</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accrued during the relevant Measurement Period on, and the principal of, any Indebtedness repaid or to be repaid or refinanced in such transaction shall be excluded from the results of Holdings and its Subsidiaries for such Measurement Period; and</w:t>
      </w:r>
    </w:p>
    <w:p>
      <w:pPr>
        <w:spacing w:after="0" w:line="172" w:lineRule="exact"/>
        <w:rPr>
          <w:rFonts w:ascii="Times New Roman" w:cs="Times New Roman" w:eastAsia="Times New Roman" w:hAnsi="Times New Roman"/>
          <w:sz w:val="20"/>
          <w:szCs w:val="20"/>
          <w:color w:val="auto"/>
        </w:rPr>
      </w:pPr>
    </w:p>
    <w:p>
      <w:pPr>
        <w:jc w:val="both"/>
        <w:ind w:firstLine="656"/>
        <w:spacing w:after="0" w:line="276" w:lineRule="auto"/>
        <w:tabs>
          <w:tab w:leader="none" w:pos="128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Holdings and its Subsidiaries for such Measurement Period.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at any time, each Loan Party with total assets exceeding $10,000,000 or that qualifies at such time as an “eligible contract participant” under the Commodity Exchange Act and can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089" w:right="339" w:bottom="1440" w:gutter="0" w:footer="0" w:header="0"/>
        </w:sectPr>
      </w:pPr>
    </w:p>
    <w:bookmarkStart w:id="34" w:name="page35"/>
    <w:bookmarkEnd w:id="34"/>
    <w:p>
      <w:pPr>
        <w:jc w:val="both"/>
        <w:spacing w:after="0" w:line="283" w:lineRule="auto"/>
        <w:rPr>
          <w:sz w:val="20"/>
          <w:szCs w:val="20"/>
          <w:color w:val="auto"/>
        </w:rPr>
      </w:pPr>
      <w:r>
        <w:rPr>
          <w:rFonts w:ascii="Times New Roman" w:cs="Times New Roman" w:eastAsia="Times New Roman" w:hAnsi="Times New Roman"/>
          <w:sz w:val="20"/>
          <w:szCs w:val="20"/>
          <w:color w:val="auto"/>
        </w:rPr>
        <w:t>cause another Person to qualify as an “eligible contract participant” at such time under Section 1a(18)(A)(v)(II) of the Commodity Exchange Act.</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and representatives of such Person and of such Affiliates.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discharge, deposit, disposal, leaking, pumping, pouring, dumping, emptying, injection or leaching into the Environment, or into, from or through any building, structure or facility.</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thirty (30) day notice period has been waived by regulations.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Loans (other than Swingline Loans), a Loan Notice, (b) with respect to an L/C Credit Extension, a Letter of Credit Application and (c) with respect to a Swingline Loan, a Swingline Loan Notice.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at least two (2) unaffiliated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defined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who executes, or is to execute, a Loan Document will provide an incumbency certificate and to the extent requested by the Administrative Agent, appropriate authorization documentation, in form and substance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089"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 any dividend or other distribution, direct or indirect, on account of any shares (or equivalent) of any class of Equity Interests of Holdings or any of its Subsidiaries, now or hereafter outstanding, (b) any redemption, retirement, sinking fund or similar payment, purchase or other acquisition for value, direct or indirect, of any shares (or equivalent) of any class of Equity Interests of Holdings or any of its Subsidiaries, now or hereafter outstanding, (c) any payment made to retire, or to obtain the surrender of, any outstanding warrants, options or other rights to acquire shares of any class of Equity Interests of any Loan Party or any of its Subsidiaries, now or hereafter outstanding and (d) any payment with respect to any earnout obligation.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Returns</w:t>
      </w:r>
      <w:r>
        <w:rPr>
          <w:rFonts w:ascii="Times New Roman" w:cs="Times New Roman" w:eastAsia="Times New Roman" w:hAnsi="Times New Roman"/>
          <w:sz w:val="20"/>
          <w:szCs w:val="20"/>
          <w:color w:val="auto"/>
        </w:rPr>
        <w:t xml:space="preserve">” means (a) with respect to any Investment in the form of a loan or advance, the return of principal thereof and a termination of any commitment to relend such principal, and (b) with respect to any other Investment, any dividends, distributions, return of capital and other amounts received or realized in respect of such Investment, but only to the extent the aggregate amount thereof does not exceed the original amount of such Investment. For purposes of clarification any cancellation of intercompany Indebtedness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shall not constitute Returns.</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as to any Lender at any time, the aggregate principal amount at such time of its outstanding Revolving Loans and such Lender’s participation in L/C Obligations and Swingline Loans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xml:space="preserve">” means the revolving credit facility described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economic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or other relevant sanctions authority.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or any Governmental Authority succeeding to any of its principal functions.</w:t>
      </w:r>
    </w:p>
    <w:p>
      <w:pPr>
        <w:spacing w:after="0" w:line="24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means any Cash Management Agreement between any Loan Party or any of its Subsidiaries and any Cash Management Bank.</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xml:space="preserve">” means any interest rate, currency, foreign exchange, or commodity Swap Contract required by or not prohibited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between any Loan Party or any of its Subsidiaries and any Hedge Bank.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all Obligations and all Additional Secured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 the Cash Management Banks, the Hedge Banks, the Indemnitees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089"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Party Designation Notice</w:t>
      </w:r>
      <w:r>
        <w:rPr>
          <w:rFonts w:ascii="Times New Roman" w:cs="Times New Roman" w:eastAsia="Times New Roman" w:hAnsi="Times New Roman"/>
          <w:sz w:val="20"/>
          <w:szCs w:val="20"/>
          <w:color w:val="auto"/>
        </w:rPr>
        <w:t xml:space="preserve">” means a notice from any Lender or an Affiliate of a Lender substantially in the form of </w:t>
      </w:r>
      <w:r>
        <w:rPr>
          <w:rFonts w:ascii="Times New Roman" w:cs="Times New Roman" w:eastAsia="Times New Roman" w:hAnsi="Times New Roman"/>
          <w:sz w:val="20"/>
          <w:szCs w:val="20"/>
          <w:u w:val="single" w:color="auto"/>
          <w:color w:val="auto"/>
        </w:rPr>
        <w:t>Exhibit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including all amendments thereto and regulations promulgated thereunder.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Transaction</w:t>
      </w:r>
      <w:r>
        <w:rPr>
          <w:rFonts w:ascii="Times New Roman" w:cs="Times New Roman" w:eastAsia="Times New Roman" w:hAnsi="Times New Roman"/>
          <w:sz w:val="20"/>
          <w:szCs w:val="20"/>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security and pledge agreement, dated as of the Closing Date, executed in favor of the Administrative Agent by each of the Loan Parties.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Shareholders’ Equity</w:t>
      </w:r>
      <w:r>
        <w:rPr>
          <w:rFonts w:ascii="Times New Roman" w:cs="Times New Roman" w:eastAsia="Times New Roman" w:hAnsi="Times New Roman"/>
          <w:sz w:val="20"/>
          <w:szCs w:val="20"/>
          <w:color w:val="auto"/>
        </w:rPr>
        <w:t>” means, as of any date of determination, Consolidated shareholders’ equity of Holdings and its Subsidiaries as of such date, determined in accordance with GAAP.</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means a solvency certificate in the form of </w:t>
      </w:r>
      <w:r>
        <w:rPr>
          <w:rFonts w:ascii="Times New Roman" w:cs="Times New Roman" w:eastAsia="Times New Roman" w:hAnsi="Times New Roman"/>
          <w:sz w:val="20"/>
          <w:szCs w:val="20"/>
          <w:u w:val="single" w:color="auto"/>
          <w:color w:val="auto"/>
        </w:rPr>
        <w:t>Exhibit 4.01</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mean, with respect to any Person on any date of determination, that on such date (a) the fair value of the assets and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Loan Party</w:t>
      </w:r>
      <w:r>
        <w:rPr>
          <w:rFonts w:ascii="Times New Roman" w:cs="Times New Roman" w:eastAsia="Times New Roman" w:hAnsi="Times New Roman"/>
          <w:sz w:val="20"/>
          <w:szCs w:val="20"/>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Holdings.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089"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20"/>
          <w:szCs w:val="20"/>
          <w:color w:val="auto"/>
        </w:rPr>
        <w:t>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Commitment</w:t>
      </w:r>
      <w:r>
        <w:rPr>
          <w:rFonts w:ascii="Times New Roman" w:cs="Times New Roman" w:eastAsia="Times New Roman" w:hAnsi="Times New Roman"/>
          <w:sz w:val="19"/>
          <w:szCs w:val="19"/>
          <w:color w:val="auto"/>
        </w:rPr>
        <w:t xml:space="preserve">” means, as to any Lender (a) the amount set forth opposite such Lender’s name on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xml:space="preserve"> hereof or</w:t>
      </w:r>
    </w:p>
    <w:p>
      <w:pPr>
        <w:spacing w:after="0" w:line="40" w:lineRule="exact"/>
        <w:rPr>
          <w:sz w:val="20"/>
          <w:szCs w:val="20"/>
          <w:color w:val="auto"/>
        </w:rPr>
      </w:pPr>
    </w:p>
    <w:p>
      <w:pPr>
        <w:jc w:val="both"/>
        <w:ind w:firstLine="8"/>
        <w:spacing w:after="0" w:line="253" w:lineRule="auto"/>
        <w:tabs>
          <w:tab w:leader="none" w:pos="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Bank of America, in its capacity as provider of Swingline Loans, or any successor swingline lender hereunder.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 Notice</w:t>
      </w:r>
      <w:r>
        <w:rPr>
          <w:rFonts w:ascii="Times New Roman" w:cs="Times New Roman" w:eastAsia="Times New Roman" w:hAnsi="Times New Roman"/>
          <w:sz w:val="20"/>
          <w:szCs w:val="20"/>
          <w:color w:val="auto"/>
        </w:rPr>
        <w:t xml:space="preserve">” means a notice of a Borrowing of Swingline Loans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2.04</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Sublimit</w:t>
      </w:r>
      <w:r>
        <w:rPr>
          <w:rFonts w:ascii="Times New Roman" w:cs="Times New Roman" w:eastAsia="Times New Roman" w:hAnsi="Times New Roman"/>
          <w:sz w:val="20"/>
          <w:szCs w:val="20"/>
          <w:color w:val="auto"/>
        </w:rPr>
        <w:t>” means an amount equal to the lesser of (a) $20,000,000 and (b) the Aggregate Revolving Commitments. The Swingline Sublimit is part of, and not in addition to, the Aggregate Revolving Commitments.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Debt</w:t>
      </w:r>
      <w:r>
        <w:rPr>
          <w:rFonts w:ascii="Times New Roman" w:cs="Times New Roman" w:eastAsia="Times New Roman" w:hAnsi="Times New Roman"/>
          <w:sz w:val="20"/>
          <w:szCs w:val="20"/>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has the meaning set forth in the definition of “Permitted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927"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660" w:firstLine="644"/>
        <w:spacing w:after="0" w:line="258" w:lineRule="auto"/>
        <w:tabs>
          <w:tab w:leader="none" w:pos="172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7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in each case;</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if the Term SOFR determined in accordance with either of the foregoing provisions (a) or (b) of this definition would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be less than zero, the Term SOFR shall be deemed zero for purposes of this Agreement.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$10,000,000.</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unused Commitments, Revolving Exposure and Outstanding Amount of all Loans of such Lender at such time.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Exposure</w:t>
      </w:r>
      <w:r>
        <w:rPr>
          <w:rFonts w:ascii="Times New Roman" w:cs="Times New Roman" w:eastAsia="Times New Roman" w:hAnsi="Times New Roman"/>
          <w:sz w:val="20"/>
          <w:szCs w:val="20"/>
          <w:color w:val="auto"/>
        </w:rPr>
        <w:t>” means, as to any Lender at any time, the unused Commitments and Revolving Exposure of such Lender at such time.</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Swingline Loans and L/C Obligations.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11.06(g)(i)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 Base Rate Loan or a Term SOFR Loan.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in the State of New York; provided,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927" w:right="339" w:bottom="1440" w:gutter="0" w:footer="0" w:header="0"/>
        </w:sectPr>
      </w:pPr>
    </w:p>
    <w:bookmarkStart w:id="39" w:name="page40"/>
    <w:bookmarkEnd w:id="39"/>
    <w:p>
      <w:pPr>
        <w:jc w:val="both"/>
        <w:spacing w:after="0" w:line="283" w:lineRule="auto"/>
        <w:rPr>
          <w:sz w:val="20"/>
          <w:szCs w:val="20"/>
          <w:color w:val="auto"/>
        </w:rPr>
      </w:pPr>
      <w:r>
        <w:rPr>
          <w:rFonts w:ascii="Times New Roman" w:cs="Times New Roman" w:eastAsia="Times New Roman" w:hAnsi="Times New Roman"/>
          <w:sz w:val="20"/>
          <w:szCs w:val="20"/>
          <w:color w:val="auto"/>
        </w:rPr>
        <w:t>United Kingdom Financial Conduct Authority, which includes certain credit institutions and investment firms, and certain affiliates of such credit institutions or investment firms.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3.01(f)(ii)(B)(3)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the Borrower and the Administrative Agent.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19"/>
          <w:szCs w:val="19"/>
          <w:b w:val="1"/>
          <w:bCs w:val="1"/>
          <w:u w:val="single" w:color="auto"/>
          <w:color w:val="auto"/>
        </w:rPr>
        <w:t>Other Interpretive Provisions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reference to this Agreement and each other Loan Document, unless otherwise specified herein or in such other Loan Document:</w:t>
      </w:r>
    </w:p>
    <w:p>
      <w:pPr>
        <w:spacing w:after="0" w:line="227" w:lineRule="exact"/>
        <w:rPr>
          <w:sz w:val="20"/>
          <w:szCs w:val="20"/>
          <w:color w:val="auto"/>
        </w:rPr>
      </w:pPr>
    </w:p>
    <w:p>
      <w:pPr>
        <w:jc w:val="both"/>
        <w:ind w:firstLine="656"/>
        <w:spacing w:after="0" w:line="253" w:lineRule="auto"/>
        <w:tabs>
          <w:tab w:leader="none" w:pos="128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amendments and restatements, modifications, extensions, restatements, replacements or supplements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0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auto"/>
        </w:rPr>
        <w:t>or in any other Loan Document), (ii) any reference herein to any Person shall be construed to include such Person’s successors and assigns,</w:t>
      </w:r>
    </w:p>
    <w:p>
      <w:pPr>
        <w:spacing w:after="0" w:line="28" w:lineRule="exact"/>
        <w:rPr>
          <w:sz w:val="20"/>
          <w:szCs w:val="20"/>
          <w:color w:val="auto"/>
        </w:rPr>
      </w:pPr>
    </w:p>
    <w:p>
      <w:pPr>
        <w:jc w:val="both"/>
        <w:ind w:firstLine="8"/>
        <w:spacing w:after="0" w:line="264" w:lineRule="auto"/>
        <w:tabs>
          <w:tab w:leader="none" w:pos="38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68" w:lineRule="exact"/>
        <w:rPr>
          <w:rFonts w:ascii="Times New Roman" w:cs="Times New Roman" w:eastAsia="Times New Roman" w:hAnsi="Times New Roman"/>
          <w:sz w:val="19"/>
          <w:szCs w:val="19"/>
          <w:color w:val="auto"/>
        </w:rPr>
      </w:pPr>
    </w:p>
    <w:p>
      <w:pPr>
        <w:ind w:right="20" w:firstLine="656"/>
        <w:spacing w:after="0" w:line="283" w:lineRule="auto"/>
        <w:tabs>
          <w:tab w:leader="none" w:pos="128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28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fixed baskets are intended to be utilized together with any incurrence-based baskets in any action or transaction, (i) compliance with or satisfaction of any applicable financial ratios or tests for such action or transaction (or any portion thereof) to be consummated under any incurrence-based baskets shall first be calculated without giving effect to amounts being utilized pursuant to any fixed baskets or any substantially concurrent revolving credit loans, but giving full Pro Forma Effect to all applicable and related transactions (including, subject to the foregoing with respect to fixed baskets, any incurrence and repayments of Indebtedness) and all other permitted pro forma adjustments, and (ii) thereafter, incurrence of the portion of such action or transaction to be consummated under any fixed baskets shall be calculated.</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b w:val="1"/>
          <w:bCs w:val="1"/>
          <w:u w:val="single" w:color="auto"/>
          <w:color w:val="auto"/>
        </w:rPr>
        <w:t>Accounting Terms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1" w:lineRule="auto"/>
        <w:tabs>
          <w:tab w:leader="none" w:pos="128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Holdings and its Subsidiaries shall be deemed to be carried at one-hundred percent (100.0%) of the outstanding principal amount thereof, and the effects of FASB ASC 825 and FASB ASC 470–20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008" w:right="339" w:bottom="1440" w:gutter="0" w:footer="0" w:header="0"/>
        </w:sectPr>
      </w:pPr>
    </w:p>
    <w:bookmarkStart w:id="41" w:name="page42"/>
    <w:bookmarkEnd w:id="41"/>
    <w:p>
      <w:pPr>
        <w:jc w:val="both"/>
        <w:spacing w:after="0" w:line="276" w:lineRule="auto"/>
        <w:rPr>
          <w:sz w:val="20"/>
          <w:szCs w:val="20"/>
          <w:color w:val="auto"/>
        </w:rPr>
      </w:pPr>
      <w:r>
        <w:rPr>
          <w:rFonts w:ascii="Times New Roman" w:cs="Times New Roman" w:eastAsia="Times New Roman" w:hAnsi="Times New Roman"/>
          <w:sz w:val="19"/>
          <w:szCs w:val="19"/>
          <w:color w:val="auto"/>
        </w:rPr>
        <w:t>its Consolidated group is the lessee and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Holdings or any Subsidiary at “fair value”, as defined therein.</w:t>
      </w:r>
    </w:p>
    <w:p>
      <w:pPr>
        <w:spacing w:after="0" w:line="156" w:lineRule="exact"/>
        <w:rPr>
          <w:sz w:val="20"/>
          <w:szCs w:val="20"/>
          <w:color w:val="auto"/>
        </w:rPr>
      </w:pPr>
    </w:p>
    <w:p>
      <w:pPr>
        <w:jc w:val="both"/>
        <w:ind w:firstLine="656"/>
        <w:spacing w:after="0" w:line="251" w:lineRule="auto"/>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and notwithstanding anything to the contrary set forth herein, all obligations of any Person that are or would have been treated as operating leases for purposes of GAAP prior to the effectiveness of Accounting Standards Codification 842 shall continue to be accounted for as operating leases hereunder or under any other Loan Documents (whether or not such operating lease obligations were in effect on such date) notwithstanding the fact that such obligations are required in accordance with Accounting Standards Codification 842 (on a prospective or retroactive basis or otherwise) to be treated as capital leases.</w:t>
      </w:r>
    </w:p>
    <w:p>
      <w:pPr>
        <w:spacing w:after="0" w:line="191"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Forma Treatment</w:t>
      </w:r>
      <w:r>
        <w:rPr>
          <w:rFonts w:ascii="Times New Roman" w:cs="Times New Roman" w:eastAsia="Times New Roman" w:hAnsi="Times New Roman"/>
          <w:sz w:val="20"/>
          <w:szCs w:val="20"/>
          <w:color w:val="auto"/>
        </w:rPr>
        <w:t xml:space="preserve">. Each incurrence of Indebtedness, Acquisition, Disposition, Restricted Payment, payment made with respect to other Indebtedness of Holdings or any of its Subsidiaries, or any consolidation, merger or other fundamental change, in each case made by Holdings or any of its Subsidiaries, that is consummated during any Measurement Period and/or subsequent to the end of such Measurement Period, shall, for purposes of (i) determining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and (ii) any other transaction, determining the calculation of a financial metric on a Pro Forma Basis, be given Pro Forma Effect as of the first day of such Measurement Period; provided, that notwithstanding the foregoing, for the purposes of determining (x) the Applicable Rate and (y) actual compliance (and not compliance on a Pro Forma Basis)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any transaction that occurred subsequent to the end of the applicable Measurement Period shall not be given Pro Forma Effect.</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19"/>
          <w:szCs w:val="19"/>
          <w:b w:val="1"/>
          <w:bCs w:val="1"/>
          <w:u w:val="single" w:color="auto"/>
          <w:color w:val="auto"/>
        </w:rPr>
        <w:t>Rounding</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u w:val="single" w:color="auto"/>
          <w:color w:val="auto"/>
        </w:rPr>
        <w:t>Times of Day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u w:val="single" w:color="auto"/>
          <w:color w:val="auto"/>
        </w:rPr>
        <w:t>Letter of Credit Amounts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Unless otherwise specified herein, the amount of a Letter of Credit at any time shall be deemed to be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089" w:right="339" w:bottom="1440" w:gutter="0" w:footer="0" w:header="0"/>
        </w:sectPr>
      </w:pPr>
    </w:p>
    <w:bookmarkStart w:id="42" w:name="page43"/>
    <w:bookmarkEnd w:id="42"/>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u w:val="single" w:color="auto"/>
          <w:color w:val="auto"/>
        </w:rPr>
        <w:t>UCC Terms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6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ab/>
      </w:r>
      <w:r>
        <w:rPr>
          <w:rFonts w:ascii="Times New Roman" w:cs="Times New Roman" w:eastAsia="Times New Roman" w:hAnsi="Times New Roman"/>
          <w:sz w:val="19"/>
          <w:szCs w:val="19"/>
          <w:b w:val="1"/>
          <w:bCs w:val="1"/>
          <w:u w:val="single" w:color="auto"/>
          <w:color w:val="auto"/>
        </w:rPr>
        <w:t>Rates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rates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COMMITMENTS AND CREDIT EXTENSIONS</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2.01</w:t>
      </w:r>
      <w:r>
        <w:rPr>
          <w:sz w:val="20"/>
          <w:szCs w:val="20"/>
          <w:color w:val="auto"/>
        </w:rPr>
        <w:tab/>
      </w:r>
      <w:r>
        <w:rPr>
          <w:rFonts w:ascii="Times New Roman" w:cs="Times New Roman" w:eastAsia="Times New Roman" w:hAnsi="Times New Roman"/>
          <w:sz w:val="19"/>
          <w:szCs w:val="19"/>
          <w:b w:val="1"/>
          <w:bCs w:val="1"/>
          <w:u w:val="single" w:color="auto"/>
          <w:color w:val="auto"/>
        </w:rPr>
        <w:t>Loans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Subject to the terms and conditions set forth herein, each Lender severally agrees to make loans (each such loan, a “</w:t>
      </w:r>
      <w:r>
        <w:rPr>
          <w:rFonts w:ascii="Times New Roman" w:cs="Times New Roman" w:eastAsia="Times New Roman" w:hAnsi="Times New Roman"/>
          <w:sz w:val="20"/>
          <w:szCs w:val="20"/>
          <w:u w:val="single" w:color="auto"/>
          <w:color w:val="auto"/>
        </w:rPr>
        <w:t>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to the Borrower, in Dollars, from time to time, on any Business Day during the Availability Period, in an aggregate amount not to exceed at any time outstanding the amount of such Lender’s Commitment; provided, however, that after giving effect to any Borrowing, (i) the Total Revolving Outstandings shall not exceed the Aggregate Revolving Commitments and (ii) the Revolving Exposure of any Lender shall not exceed such Lender’s Commitment. Within the limits of each Lender’s Commitment, and subject to the other terms and conditions hereof, the Borrower may borrow Revolving Loans,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Revolving Loans may be Base Rate Loans or Term SOFR Loans, as further provided herein; provided, however, that any Borrowings made on the Closing Date or any of the three (3) Business Days following the Closing Date shall be made as Base Rate Loans unless the Borrower delivers a funding indemnity letter not less than three (3) Business Days prior to the date of such Borrowing.</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2.02</w:t>
      </w:r>
      <w:r>
        <w:rPr>
          <w:sz w:val="20"/>
          <w:szCs w:val="20"/>
          <w:color w:val="auto"/>
        </w:rPr>
        <w:tab/>
      </w:r>
      <w:r>
        <w:rPr>
          <w:rFonts w:ascii="Times New Roman" w:cs="Times New Roman" w:eastAsia="Times New Roman" w:hAnsi="Times New Roman"/>
          <w:sz w:val="19"/>
          <w:szCs w:val="19"/>
          <w:b w:val="1"/>
          <w:bCs w:val="1"/>
          <w:u w:val="single" w:color="auto"/>
          <w:color w:val="auto"/>
        </w:rPr>
        <w:t>Borrowings, Conversions and Continuations of Loans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firstLine="656"/>
        <w:spacing w:after="0" w:line="253" w:lineRule="auto"/>
        <w:tabs>
          <w:tab w:leader="none" w:pos="12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any telephonic notice must be confirmed immediately by delivery to the Administrative Agent of a Loan Notice. Each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Notice must be received by the Administrative Agent not later than 11:00 a.m. (i) two Business Days prior to the requested date of any Borrowing of, conversion to or continuation of Term SOFR Loans or of any conversion of Term SOFR Loans to Base Rate Loans, and (ii) on the requested date of any Borrowing of Base Rate Loans. Each Borrowing 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004" w:right="339" w:bottom="1440" w:gutter="0" w:footer="0" w:header="0"/>
        </w:sectPr>
      </w:pPr>
    </w:p>
    <w:bookmarkStart w:id="43" w:name="page44"/>
    <w:bookmarkEnd w:id="43"/>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conversion to or continuation of Term SOFR Loans shall be in a principal amount of $1,000,000 or a whole multiple of $500,000 in excess thereof. Except as provided in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and 2.04(c), each Borrowing of or conversion to Base Rate Loans shall be in a principal amount of $500,000 or a whole multiple of $100,000 in excess thereof (or, if less, the entire principal thereof then outstanding). Each Loan Notice shall specify (i) whether the Borrower is requesting a Borrowing, a conversion of Loans from one Type to the other, or a continuation of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then the applicable Loan shall be made as a Base Rate Loan. If the Borrower fails to give a timely notice requesting a conversion or continuation of a Term SOFR Loan, then the applicable Loan shall be continued as a Term SOFR Loan with an Interest Period of one month.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-1548765</wp:posOffset>
            </wp:positionV>
            <wp:extent cx="407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177" w:lineRule="exact"/>
        <w:rPr>
          <w:sz w:val="20"/>
          <w:szCs w:val="20"/>
          <w:color w:val="auto"/>
        </w:rPr>
      </w:pPr>
    </w:p>
    <w:p>
      <w:pPr>
        <w:jc w:val="both"/>
        <w:ind w:firstLine="656"/>
        <w:spacing w:after="0" w:line="250" w:lineRule="auto"/>
        <w:tabs>
          <w:tab w:leader="none" w:pos="1284"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Loan Notice, the Administrative Agent shall promptly notify each applicable Lender of the amount of its Applicable Percentage of the applicable Loans, and if no timely notice of a conversion or continuation is provided by the Borrower, the Administrative Agent shall notify each applicable Lender of the details of any automatic conversion to Base Rate Loans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2.02(a</w:t>
      </w:r>
      <w:r>
        <w:rPr>
          <w:rFonts w:ascii="Times New Roman" w:cs="Times New Roman" w:eastAsia="Times New Roman" w:hAnsi="Times New Roman"/>
          <w:sz w:val="20"/>
          <w:szCs w:val="20"/>
          <w:color w:val="auto"/>
        </w:rPr>
        <w:t xml:space="preserve">). In the case of a Borrowing, each applicable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the Administrative Agent shall make all funds so received available to the Borrower in like funds as received by the Administrative Agent either by (i) crediting the account of the Borrower on the books of Bank of America with the amount of such funds or</w:t>
      </w:r>
    </w:p>
    <w:p>
      <w:pPr>
        <w:spacing w:after="0" w:line="2" w:lineRule="exact"/>
        <w:rPr>
          <w:rFonts w:ascii="Times New Roman" w:cs="Times New Roman" w:eastAsia="Times New Roman" w:hAnsi="Times New Roman"/>
          <w:sz w:val="20"/>
          <w:szCs w:val="20"/>
          <w:color w:val="auto"/>
        </w:rPr>
      </w:pPr>
    </w:p>
    <w:p>
      <w:pPr>
        <w:jc w:val="both"/>
        <w:ind w:firstLine="8"/>
        <w:spacing w:after="0" w:line="253" w:lineRule="auto"/>
        <w:tabs>
          <w:tab w:leader="none" w:pos="30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wire transfer of such funds, in each case in accordance with instructions provided to (and reasonably acceptable to) the Administrative Agent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date the Loan Notice with respect to such Borrowing is given by the Borrower, there are L/C Borrowings outstanding, then the proceeds of such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shall be made available to the Borrower as provided above.</w:t>
      </w:r>
    </w:p>
    <w:p>
      <w:pPr>
        <w:spacing w:after="0" w:line="20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 Term SOFR Loan may be continued or converted only on the last day of an Interest Period for such Term SOFR Loan. During the existence of an Event of Default, no Loans may be requested as, converted to or continued as Term SOFR Loans without the consent of the Required Lenders.</w:t>
      </w:r>
    </w:p>
    <w:p>
      <w:pPr>
        <w:spacing w:after="0" w:line="208"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determination of an interest rate by the Administrative Agent pursuant to any provision of this Agreement shall be conclusive and binding on the Borrower and the Lenders in the absence of manifest error.</w:t>
      </w:r>
    </w:p>
    <w:p>
      <w:pPr>
        <w:spacing w:after="0" w:line="173"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Borrowings, all conversions of Loans from one Type to the other, and all continuations of Loans as the same Type, there shall not be more than five (5) Interest Periods in effect with respect to Loans.</w:t>
      </w:r>
    </w:p>
    <w:p>
      <w:pPr>
        <w:spacing w:after="0" w:line="173"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1"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88"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with respect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008" w:right="339" w:bottom="1440" w:gutter="0" w:footer="0" w:header="0"/>
        </w:sectPr>
      </w:pPr>
    </w:p>
    <w:bookmarkStart w:id="44" w:name="page45"/>
    <w:bookmarkEnd w:id="44"/>
    <w:p>
      <w:pPr>
        <w:spacing w:after="0" w:line="283" w:lineRule="auto"/>
        <w:rPr>
          <w:sz w:val="20"/>
          <w:szCs w:val="20"/>
          <w:color w:val="auto"/>
        </w:rPr>
      </w:pPr>
      <w:r>
        <w:rPr>
          <w:rFonts w:ascii="Times New Roman" w:cs="Times New Roman" w:eastAsia="Times New Roman" w:hAnsi="Times New Roman"/>
          <w:sz w:val="20"/>
          <w:szCs w:val="20"/>
          <w:color w:val="auto"/>
        </w:rPr>
        <w:t>to any such amendment effected, the Administrative Agent shall post each such amendment implementing such Conforming Changes to the Borrower and the Lenders reasonably promptly after such amendment becomes effective.</w:t>
      </w:r>
    </w:p>
    <w:p>
      <w:pPr>
        <w:spacing w:after="0" w:line="173"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not apply to Swingline Loans.</w:t>
      </w:r>
    </w:p>
    <w:p>
      <w:pPr>
        <w:spacing w:after="0" w:line="2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2.03</w:t>
      </w:r>
      <w:r>
        <w:rPr>
          <w:sz w:val="20"/>
          <w:szCs w:val="20"/>
          <w:color w:val="auto"/>
        </w:rPr>
        <w:tab/>
      </w:r>
      <w:r>
        <w:rPr>
          <w:rFonts w:ascii="Times New Roman" w:cs="Times New Roman" w:eastAsia="Times New Roman" w:hAnsi="Times New Roman"/>
          <w:sz w:val="19"/>
          <w:szCs w:val="19"/>
          <w:b w:val="1"/>
          <w:bCs w:val="1"/>
          <w:u w:val="single" w:color="auto"/>
          <w:color w:val="auto"/>
        </w:rPr>
        <w:t>Letters of Credit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7" w:lineRule="auto"/>
        <w:tabs>
          <w:tab w:leader="none" w:pos="107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 xml:space="preserve">. Subject to the terms and conditions set forth herein, in addition to the Loans provided for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the Borrower may request that the L/C Issuer, in reliance on the agreements of the Lenders set forth in this Section 2.03, issue, at any time and from time to time during the Availability Period, Letters of Credit denominated in Dollars for its own account or the account of Holdings or any of Holdings’ Subsidiaries in such form as is acceptable to the L/C Issuer in its reasonable determination. Letters of Credit issued hereunder shall constitute utilization of the Commitments.</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Extension, Reinstatement or Renewal</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 (2)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below),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200"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provided, that, any such Auto-Extension Letter of Credit shall permit the L/C Issuer to prevent any such extension at least once in each twelve (12) 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 (12) month period to be agreed upon by the Borrower and the L/C Issuer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expiration date not later than the date permitted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below; provided, that, the L/C Issuer shall not (A) permit any such extension if the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(B) it has received notice (which may be in writing or by telephone (if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008" w:right="339" w:bottom="1440" w:gutter="0" w:footer="0" w:header="0"/>
        </w:sectPr>
      </w:pPr>
    </w:p>
    <w:bookmarkStart w:id="45" w:name="page46"/>
    <w:bookmarkEnd w:id="45"/>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confirmed in writing)) on or before the day that is seven (7) Business Days before the Non-Extension Notice Date from the Administrative Agent that the Lenders holding a majority of the Commitments have elected not to permit such extension or (C) be obligated to permit such extension if it has received notice (which may be in writing or by telephone (if promptly confirmed in writing)) on or before the day that is seven (7) Business Days before the Non-Extension Notice Date from the Administrative Agent, any Lender or the Borrower that one (1) or more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the L/C Issuer not to permit such extension.</w:t>
      </w:r>
    </w:p>
    <w:p>
      <w:pPr>
        <w:spacing w:after="0" w:line="192" w:lineRule="exact"/>
        <w:rPr>
          <w:sz w:val="20"/>
          <w:szCs w:val="20"/>
          <w:color w:val="auto"/>
        </w:rPr>
      </w:pPr>
    </w:p>
    <w:p>
      <w:pPr>
        <w:jc w:val="both"/>
        <w:ind w:left="660" w:firstLine="644"/>
        <w:spacing w:after="0" w:line="249" w:lineRule="auto"/>
        <w:tabs>
          <w:tab w:leader="none" w:pos="195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 w:cs="Times New Roman" w:eastAsia="Times New Roman" w:hAnsi="Times New Roman"/>
          <w:sz w:val="20"/>
          <w:szCs w:val="20"/>
          <w:u w:val="single" w:color="auto"/>
          <w:color w:val="auto"/>
        </w:rPr>
        <w:t>Auto-Reinstatement Letter of Credit</w:t>
      </w:r>
      <w:r>
        <w:rPr>
          <w:rFonts w:ascii="Times New Roman" w:cs="Times New Roman" w:eastAsia="Times New Roman" w:hAnsi="Times New Roman"/>
          <w:sz w:val="20"/>
          <w:szCs w:val="20"/>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 w:cs="Times New Roman" w:eastAsia="Times New Roman" w:hAnsi="Times New Roman"/>
          <w:sz w:val="20"/>
          <w:szCs w:val="20"/>
          <w:u w:val="single" w:color="auto"/>
          <w:color w:val="auto"/>
        </w:rPr>
        <w:t>Non-Reinstatement Deadline</w:t>
      </w:r>
      <w:r>
        <w:rPr>
          <w:rFonts w:ascii="Times New Roman" w:cs="Times New Roman" w:eastAsia="Times New Roman" w:hAnsi="Times New Roman"/>
          <w:sz w:val="20"/>
          <w:szCs w:val="20"/>
          <w:color w:val="auto"/>
        </w:rPr>
        <w:t xml:space="preserve">”), the L/C Issuer shall not permit such reinstatement if it has received a notice (which may be by telephone or in writing) on or before the day that is seven (7) Business Days before the Non-Reinstatement Deadline (A) from the Administrative Agent that the Lenders holding a majority of the Commitments have elected not to permit such reinstatement or (B) from the Administrative Agent, any Lender or the Borrower that one (1)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(treating such reinstatement as an L/C Credit Extension for purposes of this clause (b)(iii)) and, in each case, directing the L/C Issuer not to permit such reinstatement.</w:t>
      </w:r>
    </w:p>
    <w:p>
      <w:pPr>
        <w:spacing w:after="0" w:line="223" w:lineRule="exact"/>
        <w:rPr>
          <w:rFonts w:ascii="Times New Roman" w:cs="Times New Roman" w:eastAsia="Times New Roman" w:hAnsi="Times New Roman"/>
          <w:sz w:val="20"/>
          <w:szCs w:val="20"/>
          <w:color w:val="auto"/>
        </w:rPr>
      </w:pPr>
    </w:p>
    <w:p>
      <w:pPr>
        <w:jc w:val="both"/>
        <w:ind w:firstLine="656"/>
        <w:spacing w:after="0" w:line="253" w:lineRule="auto"/>
        <w:tabs>
          <w:tab w:leader="none" w:pos="118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Amounts, Issuance and Amendment</w:t>
      </w:r>
      <w:r>
        <w:rPr>
          <w:rFonts w:ascii="Times New Roman" w:cs="Times New Roman" w:eastAsia="Times New Roman" w:hAnsi="Times New Roman"/>
          <w:sz w:val="20"/>
          <w:szCs w:val="20"/>
          <w:color w:val="auto"/>
        </w:rPr>
        <w:t>. A Letter of Credit shall be issued, amended, extended, reinstated or renewed only if (and, upon issuance, amendment, extension, reinstatement or renewal of each Letter of Credit, the Borrower shall be deemed to represent and warrant that), after giving effect to each such issuance, amendment, extension, reinstatement or renewal, (w) the aggregate amount of the outstanding Letters of Credit issued by the L/C Issuer shall not exceed its L/C Commitment, (x) the aggregate L/C Obligations shall not exceed the Letter of Credit Sublimit, (y) the Revolving Exposure of any Lender shall not exceed its Commitment and (z) the Total Revolving Exposure shall not exceed the Aggregate Revolving Commitments.</w:t>
      </w:r>
    </w:p>
    <w:p>
      <w:pPr>
        <w:spacing w:after="0" w:line="17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29" w:lineRule="exact"/>
        <w:rPr>
          <w:rFonts w:ascii="Times New Roman" w:cs="Times New Roman" w:eastAsia="Times New Roman" w:hAnsi="Times New Roman"/>
          <w:sz w:val="20"/>
          <w:szCs w:val="20"/>
          <w:color w:val="auto"/>
        </w:rPr>
      </w:pPr>
    </w:p>
    <w:p>
      <w:pPr>
        <w:jc w:val="both"/>
        <w:ind w:left="1300" w:firstLine="976"/>
        <w:spacing w:after="0" w:line="251" w:lineRule="auto"/>
        <w:tabs>
          <w:tab w:leader="none" w:pos="2812"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95" w:lineRule="exact"/>
        <w:rPr>
          <w:rFonts w:ascii="Times New Roman" w:cs="Times New Roman" w:eastAsia="Times New Roman" w:hAnsi="Times New Roman"/>
          <w:sz w:val="20"/>
          <w:szCs w:val="20"/>
          <w:color w:val="auto"/>
        </w:rPr>
      </w:pPr>
    </w:p>
    <w:p>
      <w:pPr>
        <w:ind w:left="1300" w:firstLine="976"/>
        <w:spacing w:after="0" w:line="269" w:lineRule="auto"/>
        <w:tabs>
          <w:tab w:leader="none" w:pos="2802"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72" w:lineRule="exact"/>
        <w:rPr>
          <w:rFonts w:ascii="Times New Roman" w:cs="Times New Roman" w:eastAsia="Times New Roman" w:hAnsi="Times New Roman"/>
          <w:sz w:val="20"/>
          <w:szCs w:val="20"/>
          <w:color w:val="auto"/>
        </w:rPr>
      </w:pPr>
    </w:p>
    <w:p>
      <w:pPr>
        <w:ind w:left="1300" w:firstLine="976"/>
        <w:spacing w:after="0" w:line="283" w:lineRule="auto"/>
        <w:tabs>
          <w:tab w:leader="none" w:pos="2793"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in an initial stated amount less than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008" w:right="339" w:bottom="1440" w:gutter="0" w:footer="0" w:header="0"/>
        </w:sectPr>
      </w:pPr>
    </w:p>
    <w:bookmarkStart w:id="46" w:name="page47"/>
    <w:bookmarkEnd w:id="46"/>
    <w:p>
      <w:pPr>
        <w:jc w:val="both"/>
        <w:ind w:left="1300" w:firstLine="976"/>
        <w:spacing w:after="0" w:line="253" w:lineRule="auto"/>
        <w:tabs>
          <w:tab w:leader="none" w:pos="286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92" w:lineRule="exact"/>
        <w:rPr>
          <w:rFonts w:ascii="Times New Roman" w:cs="Times New Roman" w:eastAsia="Times New Roman" w:hAnsi="Times New Roman"/>
          <w:sz w:val="20"/>
          <w:szCs w:val="20"/>
          <w:color w:val="auto"/>
        </w:rPr>
      </w:pPr>
    </w:p>
    <w:p>
      <w:pPr>
        <w:ind w:left="1300" w:right="20" w:firstLine="976"/>
        <w:spacing w:after="0" w:line="269" w:lineRule="auto"/>
        <w:tabs>
          <w:tab w:leader="none" w:pos="281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81" w:lineRule="exact"/>
        <w:rPr>
          <w:sz w:val="20"/>
          <w:szCs w:val="20"/>
          <w:color w:val="auto"/>
        </w:rPr>
      </w:pPr>
    </w:p>
    <w:p>
      <w:pPr>
        <w:ind w:left="1120" w:hanging="464"/>
        <w:spacing w:after="0"/>
        <w:tabs>
          <w:tab w:leader="none" w:pos="112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Each Letter of Credit shall have a stated expiration date no later than the earlier of: (i) the date that is twelve</w:t>
      </w:r>
    </w:p>
    <w:p>
      <w:pPr>
        <w:spacing w:after="0" w:line="2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the date of the issuance of such Letter of Credit (or, in the case of any extension of the expiration date thereof, whether</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automatic or by amendment, the date that is twelve (12) months after the then-current expiration date of such Letter of Credit); and (ii) the date that is twelve (12) months after the Maturity Date.</w:t>
      </w:r>
    </w:p>
    <w:p>
      <w:pPr>
        <w:spacing w:after="0" w:line="188"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Participations.</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59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issuance of a Letter of Credit (or an amendment to a Letter of Credit increasing the amount or extending the expiration date thereof), and without any further action on the part of the L/C Issuer or the Lenders, the L/C Issuer hereby grants to each Lender, and each Lender hereby acquires from the L/C Issuer, a participation in such Letter of Credit equal to such Lender’s Applicable Percentage of the aggregate amount available to be drawn under such Letter of Credit. Each Lender acknowledges and agrees that its obligation to acquire participations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Commitments.</w:t>
      </w:r>
    </w:p>
    <w:p>
      <w:pPr>
        <w:spacing w:after="0" w:line="181" w:lineRule="exact"/>
        <w:rPr>
          <w:rFonts w:ascii="Times New Roman" w:cs="Times New Roman" w:eastAsia="Times New Roman" w:hAnsi="Times New Roman"/>
          <w:sz w:val="20"/>
          <w:szCs w:val="20"/>
          <w:color w:val="auto"/>
        </w:rPr>
      </w:pPr>
    </w:p>
    <w:p>
      <w:pPr>
        <w:jc w:val="both"/>
        <w:ind w:left="1300" w:firstLine="652"/>
        <w:spacing w:after="0" w:line="250" w:lineRule="auto"/>
        <w:tabs>
          <w:tab w:leader="none" w:pos="2595"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consideration and in furtherance of the foregoing, each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Lenders pursuant to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 respect to Loans made by such Lender (and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the payment obligations of the Lenders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and the Administrative Agent shall promptly pay to the L/C Issuer the amounts so received by it from the Lenders. Promptly following receipt by the Administrative Agent of any payment from the Borrower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2.03(f</w:t>
      </w:r>
      <w:r>
        <w:rPr>
          <w:rFonts w:ascii="Times New Roman" w:cs="Times New Roman" w:eastAsia="Times New Roman" w:hAnsi="Times New Roman"/>
          <w:sz w:val="20"/>
          <w:szCs w:val="20"/>
          <w:color w:val="auto"/>
        </w:rPr>
        <w:t xml:space="preserve">), the Administrative Agent shall distribute such payment to the L/C Issuer or, to the extent that the Lenders have made payments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to reimburse the L/C Issuer, then to such Lenders and the L/C Issuer as their interests may appear. Any payment made by a Lender pursuant to this </w:t>
      </w:r>
      <w:r>
        <w:rPr>
          <w:rFonts w:ascii="Times New Roman" w:cs="Times New Roman" w:eastAsia="Times New Roman" w:hAnsi="Times New Roman"/>
          <w:sz w:val="20"/>
          <w:szCs w:val="20"/>
          <w:u w:val="single" w:color="auto"/>
          <w:color w:val="auto"/>
        </w:rPr>
        <w:t>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089" w:right="339" w:bottom="1440" w:gutter="0" w:footer="0" w:header="0"/>
        </w:sectPr>
      </w:pPr>
    </w:p>
    <w:bookmarkStart w:id="47" w:name="page48"/>
    <w:bookmarkEnd w:id="47"/>
    <w:p>
      <w:pPr>
        <w:ind w:left="1300"/>
        <w:spacing w:after="0" w:line="283" w:lineRule="auto"/>
        <w:rPr>
          <w:sz w:val="20"/>
          <w:szCs w:val="20"/>
          <w:color w:val="auto"/>
        </w:rPr>
      </w:pP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to reimburse the L/C Issuer for any L/C Disbursement shall not constitute a Loan and shall not relieve the Borrower of its obligation to reimburse such L/C Disbursement.</w:t>
      </w:r>
    </w:p>
    <w:p>
      <w:pPr>
        <w:spacing w:after="0" w:line="146" w:lineRule="exact"/>
        <w:rPr>
          <w:sz w:val="20"/>
          <w:szCs w:val="20"/>
          <w:color w:val="auto"/>
        </w:rPr>
      </w:pPr>
    </w:p>
    <w:p>
      <w:pPr>
        <w:jc w:val="both"/>
        <w:ind w:left="1300" w:firstLine="652"/>
        <w:spacing w:after="0" w:line="258" w:lineRule="auto"/>
        <w:tabs>
          <w:tab w:leader="none" w:pos="2596" w:val="left"/>
        </w:tabs>
        <w:numPr>
          <w:ilvl w:val="2"/>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(including pursuant to the operation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as a result of an assignment in accordance with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or otherwise pursuant to this Agreement.</w:t>
      </w:r>
    </w:p>
    <w:p>
      <w:pPr>
        <w:spacing w:after="0" w:line="185" w:lineRule="exact"/>
        <w:rPr>
          <w:rFonts w:ascii="Times New Roman" w:cs="Times New Roman" w:eastAsia="Times New Roman" w:hAnsi="Times New Roman"/>
          <w:sz w:val="20"/>
          <w:szCs w:val="20"/>
          <w:color w:val="auto"/>
        </w:rPr>
      </w:pPr>
    </w:p>
    <w:p>
      <w:pPr>
        <w:jc w:val="both"/>
        <w:ind w:left="1300" w:firstLine="652"/>
        <w:spacing w:after="0" w:line="265" w:lineRule="auto"/>
        <w:tabs>
          <w:tab w:leader="none" w:pos="2585"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19"/>
          <w:szCs w:val="19"/>
          <w:u w:val="single" w:color="auto"/>
          <w:color w:val="auto"/>
        </w:rPr>
        <w:t>Section 2.03(e</w:t>
      </w:r>
      <w:r>
        <w:rPr>
          <w:rFonts w:ascii="Times New Roman" w:cs="Times New Roman" w:eastAsia="Times New Roman" w:hAnsi="Times New Roman"/>
          <w:sz w:val="19"/>
          <w:szCs w:val="19"/>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w:t>
      </w:r>
      <w:r>
        <w:rPr>
          <w:rFonts w:ascii="Times New Roman" w:cs="Times New Roman" w:eastAsia="Times New Roman" w:hAnsi="Times New Roman"/>
          <w:sz w:val="19"/>
          <w:szCs w:val="19"/>
          <w:u w:val="single" w:color="auto"/>
          <w:color w:val="auto"/>
        </w:rPr>
        <w:t>clause (e)(iv)</w:t>
      </w:r>
      <w:r>
        <w:rPr>
          <w:rFonts w:ascii="Times New Roman" w:cs="Times New Roman" w:eastAsia="Times New Roman" w:hAnsi="Times New Roman"/>
          <w:sz w:val="19"/>
          <w:szCs w:val="19"/>
          <w:color w:val="auto"/>
        </w:rPr>
        <w:t xml:space="preserve"> shall be conclusive absent manifest error.</w:t>
      </w:r>
    </w:p>
    <w:p>
      <w:pPr>
        <w:spacing w:after="0" w:line="167" w:lineRule="exact"/>
        <w:rPr>
          <w:rFonts w:ascii="Times New Roman" w:cs="Times New Roman" w:eastAsia="Times New Roman" w:hAnsi="Times New Roman"/>
          <w:sz w:val="19"/>
          <w:szCs w:val="19"/>
          <w:color w:val="auto"/>
        </w:rPr>
      </w:pPr>
    </w:p>
    <w:p>
      <w:pPr>
        <w:jc w:val="both"/>
        <w:ind w:firstLine="656"/>
        <w:spacing w:after="0" w:line="250" w:lineRule="auto"/>
        <w:tabs>
          <w:tab w:leader="none" w:pos="117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the L/C Issuer shall make any L/C Disbursement in respect of a Letter of Credit, the Borrower shall reimburse the L/C Issuer in respect of such L/C Disbursement by paying to the Administrative Agent an amount equal to such L/C Disbursement not later than 12:00 p.m. (noon) on (i) the Business Day that the Borrower receives notice of such L/C Disbursement, if such notice is received prior to 10:00 a.m. on such Business Day, or (ii) the Business Day immediately following the day that the Borrower receives such notice, if such notice is not received prior to such time, provided, that, the Borrower may, subject to the conditions to borrowing set forth herein, request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that such payment be financed with a Borrowing of Loans that are Base Rate Loans or a Swingline Loan in an equivalent amount and, to the extent so financed, the Borrower’s obligation to make such payment shall be discharged and replaced by the resulting Borrowing. If the Borrower fails to make such payment when due, the Administrative Agent shall notify each Lender of the applicable L/C Disbursement, the payment then due from the Borrower in respect thereof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such Lender’s Applicable Percentage thereof. Promptly upon receipt of such notice, each Lender shall pay to the Administrative Agent its Applicable Percentage of the Unreimbursed Amount pursuant to </w:t>
      </w:r>
      <w:r>
        <w:rPr>
          <w:rFonts w:ascii="Times New Roman" w:cs="Times New Roman" w:eastAsia="Times New Roman" w:hAnsi="Times New Roman"/>
          <w:sz w:val="20"/>
          <w:szCs w:val="20"/>
          <w:u w:val="single" w:color="auto"/>
          <w:color w:val="auto"/>
        </w:rPr>
        <w:t>Section 2.03(e)(ii)</w:t>
      </w:r>
      <w:r>
        <w:rPr>
          <w:rFonts w:ascii="Times New Roman" w:cs="Times New Roman" w:eastAsia="Times New Roman" w:hAnsi="Times New Roman"/>
          <w:sz w:val="20"/>
          <w:szCs w:val="20"/>
          <w:color w:val="auto"/>
        </w:rPr>
        <w:t>, subject to the amount of the unutilized portion of the aggregate Revolving Commitments. Any notice given by the L/C Issuer or the Administrative Agent pursuant to this Section 2.03(f) may be given by telephone if immediately confirmed in writing; provided that the lack of such an immediate confirmation shall not affect the conclusiveness or binding effect of such notice.</w:t>
      </w:r>
    </w:p>
    <w:p>
      <w:pPr>
        <w:spacing w:after="0" w:line="183" w:lineRule="exact"/>
        <w:rPr>
          <w:rFonts w:ascii="Times New Roman" w:cs="Times New Roman" w:eastAsia="Times New Roman" w:hAnsi="Times New Roman"/>
          <w:sz w:val="20"/>
          <w:szCs w:val="20"/>
          <w:color w:val="auto"/>
        </w:rPr>
      </w:pPr>
    </w:p>
    <w:p>
      <w:pPr>
        <w:jc w:val="both"/>
        <w:ind w:firstLine="656"/>
        <w:spacing w:after="0" w:line="268" w:lineRule="auto"/>
        <w:tabs>
          <w:tab w:leader="none" w:pos="117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above shall be absolute, unconditional and irrevocable, and shall be performed strictly in accordance with the terms of this Agreement under any and all circumstances whatsoever, and irrespective of:</w:t>
      </w:r>
    </w:p>
    <w:p>
      <w:pPr>
        <w:spacing w:after="0" w:line="161" w:lineRule="exact"/>
        <w:rPr>
          <w:rFonts w:ascii="Times New Roman" w:cs="Times New Roman" w:eastAsia="Times New Roman" w:hAnsi="Times New Roman"/>
          <w:sz w:val="20"/>
          <w:szCs w:val="20"/>
          <w:color w:val="auto"/>
        </w:rPr>
      </w:pPr>
    </w:p>
    <w:p>
      <w:pPr>
        <w:ind w:left="660" w:firstLine="644"/>
        <w:spacing w:after="0" w:line="283" w:lineRule="auto"/>
        <w:tabs>
          <w:tab w:leader="none" w:pos="195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this Agreement, any other Loan Document or any Letter of Credit, or any term or provision herein or therein;</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55"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008" w:right="339" w:bottom="1440" w:gutter="0" w:footer="0" w:header="0"/>
        </w:sectPr>
      </w:pPr>
    </w:p>
    <w:bookmarkStart w:id="48" w:name="page49"/>
    <w:bookmarkEnd w:id="48"/>
    <w:p>
      <w:pPr>
        <w:ind w:left="660"/>
        <w:spacing w:after="0" w:line="283" w:lineRule="auto"/>
        <w:rPr>
          <w:sz w:val="20"/>
          <w:szCs w:val="20"/>
          <w:color w:val="auto"/>
        </w:rPr>
      </w:pPr>
      <w:r>
        <w:rPr>
          <w:rFonts w:ascii="Times New Roman" w:cs="Times New Roman" w:eastAsia="Times New Roman" w:hAnsi="Times New Roman"/>
          <w:sz w:val="20"/>
          <w:szCs w:val="20"/>
          <w:color w:val="auto"/>
        </w:rPr>
        <w:t>any other Person, whether in connection with this Agreement, the transactions contemplated hereby or by such Letter of Credit or any agreement or instrument relating thereto, or any unrelated transaction;</w:t>
      </w:r>
    </w:p>
    <w:p>
      <w:pPr>
        <w:spacing w:after="0" w:line="146" w:lineRule="exact"/>
        <w:rPr>
          <w:sz w:val="20"/>
          <w:szCs w:val="20"/>
          <w:color w:val="auto"/>
        </w:rPr>
      </w:pPr>
    </w:p>
    <w:p>
      <w:pPr>
        <w:jc w:val="both"/>
        <w:ind w:left="660" w:firstLine="644"/>
        <w:spacing w:after="0" w:line="258" w:lineRule="auto"/>
        <w:tabs>
          <w:tab w:leader="none" w:pos="195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8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Borrower, or any waiver by the L/C Issuer which does not in fact materially prejudice the Borrower;</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honor of a demand for payment presented electronically, even if such Letter of Credit required that demand be in the</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form of a draft;</w:t>
      </w:r>
    </w:p>
    <w:p>
      <w:pPr>
        <w:spacing w:after="0" w:line="207"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94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constitute a legal or equitable discharge of, or provide a right of setoff against, the Borrower’s obligations hereunder.</w:t>
      </w:r>
    </w:p>
    <w:p>
      <w:pPr>
        <w:spacing w:after="0" w:line="167"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Examination</w:t>
      </w:r>
      <w:r>
        <w:rPr>
          <w:rFonts w:ascii="Times New Roman" w:cs="Times New Roman" w:eastAsia="Times New Roman" w:hAnsi="Times New Roman"/>
          <w:sz w:val="20"/>
          <w:szCs w:val="20"/>
          <w:color w:val="auto"/>
        </w:rPr>
        <w:t>. The Borrower shall promptly examine a copy of each Letter of Credit and each amendment thereto that is delivered to it and, in the event of any claim of noncompliance with the Borrower’s instructions or other irregularity, the Borrower will promptly notify the L/C Issuer. The Borrower shall be conclusively deemed to have waived any such claim against the L/C Issuer and its correspondents unless such notice is given as aforesaid.</w:t>
      </w:r>
    </w:p>
    <w:p>
      <w:pPr>
        <w:spacing w:after="0" w:line="185" w:lineRule="exact"/>
        <w:rPr>
          <w:rFonts w:ascii="Times New Roman" w:cs="Times New Roman" w:eastAsia="Times New Roman" w:hAnsi="Times New Roman"/>
          <w:sz w:val="20"/>
          <w:szCs w:val="20"/>
          <w:color w:val="auto"/>
        </w:rPr>
      </w:pPr>
    </w:p>
    <w:p>
      <w:pPr>
        <w:jc w:val="both"/>
        <w:ind w:firstLine="656"/>
        <w:spacing w:after="0" w:line="249" w:lineRule="auto"/>
        <w:tabs>
          <w:tab w:leader="none" w:pos="10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provided,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008" w:right="339" w:bottom="1440" w:gutter="0" w:footer="0" w:header="0"/>
        </w:sectPr>
      </w:pPr>
    </w:p>
    <w:bookmarkStart w:id="49" w:name="page50"/>
    <w:bookmarkEnd w:id="49"/>
    <w:p>
      <w:pPr>
        <w:ind w:left="660" w:firstLine="644"/>
        <w:spacing w:after="0" w:line="283" w:lineRule="auto"/>
        <w:tabs>
          <w:tab w:leader="none" w:pos="195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replace a purportedly lost, stolen, or destroyed original Letter of Credit or missing amendment thereto with a certified true copy marked as such or waive a requirement for its presentation;</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5"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have the right, in its sole discretion, to decline to accept such documents and to make such payment if such documents are not in strict compliance with the terms of such Letter of Credit;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 (B) the L/C Issuer declining to take-up documents and make payment, (1) against documents that are fraudulent, forged, or for other reasons by which that it is entitled not to honor, or</w:t>
      </w:r>
    </w:p>
    <w:p>
      <w:pPr>
        <w:spacing w:after="0" w:line="2" w:lineRule="exact"/>
        <w:rPr>
          <w:sz w:val="20"/>
          <w:szCs w:val="20"/>
          <w:color w:val="auto"/>
        </w:rPr>
      </w:pPr>
    </w:p>
    <w:p>
      <w:pPr>
        <w:jc w:val="both"/>
        <w:ind w:firstLine="8"/>
        <w:spacing w:after="0" w:line="253" w:lineRule="auto"/>
        <w:tabs>
          <w:tab w:leader="none" w:pos="28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Borrower’s waiver of discrepancies with respect to such documents or request for honor of such documents, or (C) the L/C Issuer retaining proceeds of a Letter of Credit based on an apparently applicable attachment order, blocking regulation, or third-party claim notified to the L/C Issuer.</w:t>
      </w:r>
    </w:p>
    <w:p>
      <w:pPr>
        <w:spacing w:after="0" w:line="188" w:lineRule="exact"/>
        <w:rPr>
          <w:rFonts w:ascii="Times New Roman" w:cs="Times New Roman" w:eastAsia="Times New Roman" w:hAnsi="Times New Roman"/>
          <w:sz w:val="20"/>
          <w:szCs w:val="20"/>
          <w:color w:val="auto"/>
        </w:rPr>
      </w:pPr>
    </w:p>
    <w:p>
      <w:pPr>
        <w:jc w:val="both"/>
        <w:ind w:firstLine="656"/>
        <w:spacing w:after="0" w:line="251" w:lineRule="auto"/>
        <w:tabs>
          <w:tab w:leader="none" w:pos="103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w:t>
      </w:r>
      <w:r>
        <w:rPr>
          <w:rFonts w:ascii="Times New Roman" w:cs="Times New Roman" w:eastAsia="Times New Roman" w:hAnsi="Times New Roman"/>
          <w:sz w:val="20"/>
          <w:szCs w:val="20"/>
          <w:color w:val="auto"/>
        </w:rPr>
        <w:t>. Unless otherwise expressly agreed by the L/C Issuer and the Borrower when a Letter of Credit is issued by the L/C Issuer,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1" w:lineRule="exact"/>
        <w:rPr>
          <w:rFonts w:ascii="Times New Roman" w:cs="Times New Roman" w:eastAsia="Times New Roman" w:hAnsi="Times New Roman"/>
          <w:sz w:val="20"/>
          <w:szCs w:val="20"/>
          <w:color w:val="auto"/>
        </w:rPr>
      </w:pPr>
    </w:p>
    <w:p>
      <w:pPr>
        <w:jc w:val="both"/>
        <w:ind w:firstLine="656"/>
        <w:spacing w:after="0" w:line="257" w:lineRule="auto"/>
        <w:tabs>
          <w:tab w:leader="none" w:pos="109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The L/C Issuer shall act on behalf of the Lenders with respect to any Letters of Credit issued by it and the documents associated therewith, and the L/C Issuer shall have all of the benefits and immunities (i)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the L/C Issuer with respect to such acts or omissions, and (ii) as additionally provided herein with respect to the L/C Issuer.</w:t>
      </w:r>
    </w:p>
    <w:p>
      <w:pPr>
        <w:spacing w:after="0" w:line="172" w:lineRule="exact"/>
        <w:rPr>
          <w:rFonts w:ascii="Times New Roman" w:cs="Times New Roman" w:eastAsia="Times New Roman" w:hAnsi="Times New Roman"/>
          <w:sz w:val="20"/>
          <w:szCs w:val="20"/>
          <w:color w:val="auto"/>
        </w:rPr>
      </w:pPr>
    </w:p>
    <w:p>
      <w:pPr>
        <w:jc w:val="both"/>
        <w:ind w:firstLine="656"/>
        <w:spacing w:after="0" w:line="242" w:lineRule="auto"/>
        <w:tabs>
          <w:tab w:leader="none" w:pos="103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The Borrower shall pay to the Administrative Agent for the account of each Lender in accordance with its Applicable Percentage,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for each Letter of Credit equal to the Applicable Rate for Term SOFR Loans times the daily amount available to be drawn under such Letter of Credit. Letter of Credit Fees shall be (i) payable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Business Day following the end of each April, July, October and January, commencing with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such date to occur after the issuance of such Letter of Credit, and (ii) accrued through, and including, the last day of each calendar quarter in arrears.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008" w:right="339" w:bottom="1440" w:gutter="0" w:footer="0" w:header="0"/>
        </w:sectPr>
      </w:pPr>
    </w:p>
    <w:bookmarkStart w:id="50" w:name="page51"/>
    <w:bookmarkEnd w:id="50"/>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Lenders (other than Defaulting Lenders) holding a majority of the Commitments, while any Event of Default exists, all Letter of Credit Fees shall accrue at the Default Rate.</w:t>
      </w:r>
    </w:p>
    <w:p>
      <w:pPr>
        <w:spacing w:after="0" w:line="172" w:lineRule="exact"/>
        <w:rPr>
          <w:sz w:val="20"/>
          <w:szCs w:val="20"/>
          <w:color w:val="auto"/>
        </w:rPr>
      </w:pPr>
    </w:p>
    <w:p>
      <w:pPr>
        <w:jc w:val="both"/>
        <w:ind w:firstLine="656"/>
        <w:spacing w:after="0" w:line="266" w:lineRule="auto"/>
        <w:tabs>
          <w:tab w:leader="none" w:pos="115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Fronting Fee and Documentary and Processing Charges Payable to the L/C Issuer</w:t>
      </w:r>
      <w:r>
        <w:rPr>
          <w:rFonts w:ascii="Times New Roman" w:cs="Times New Roman" w:eastAsia="Times New Roman" w:hAnsi="Times New Roman"/>
          <w:sz w:val="19"/>
          <w:szCs w:val="19"/>
          <w:color w:val="auto"/>
        </w:rPr>
        <w:t>. The Borrower shall pay directly to the L/C Issuer for its own account a fronting fee with respect to each Letter of Credit, at the rate per annum equal to the amounts specified in the Fee Letter, computed on the daily amount available to be drawn under such Letter of Credit on a quarterly basis in arrears. Such fronting fee shall be due and payable no later than the tenth Business Day after the end of each April, July, October and January in the most recently-ended quarterly period (or portion thereof, in the case of the first payment), commencing with the first such date to occur after the issuance of such Letter of Credit, on the Maturity Date and thereafter (if applicable) on demand.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within five (5) Business Days after written demand therefor (accompanied by a reasonably detailed invoice therefor) and are non-refundable.</w:t>
      </w:r>
    </w:p>
    <w:p>
      <w:pPr>
        <w:spacing w:after="0" w:line="183" w:lineRule="exact"/>
        <w:rPr>
          <w:rFonts w:ascii="Times New Roman" w:cs="Times New Roman" w:eastAsia="Times New Roman" w:hAnsi="Times New Roman"/>
          <w:sz w:val="19"/>
          <w:szCs w:val="19"/>
          <w:color w:val="auto"/>
        </w:rPr>
      </w:pPr>
    </w:p>
    <w:p>
      <w:pPr>
        <w:jc w:val="both"/>
        <w:ind w:firstLine="656"/>
        <w:spacing w:after="0" w:line="253"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provided, that, any failure to give, or delay in giving, such notice shall not relieve the Borrower of its obligation to reimburse the L/C Issuer and the Lenders with respect to any such L/C Disbursement.</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L/C Issuer for any standby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provided, that, if the Borrower fails to reimburse such L/C Disbursement when due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then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xml:space="preserve">) shall apply. Interest accrued pursuant to this subsection shall be for the account of the L/C Issuer, except that interest accrued on and after the date of payment by any Lender pursuant to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to reimburse the L/C Issuer shall be for account of such Lender to the extent of such payment.</w:t>
      </w:r>
    </w:p>
    <w:p>
      <w:pPr>
        <w:spacing w:after="0" w:line="179" w:lineRule="exact"/>
        <w:rPr>
          <w:rFonts w:ascii="Times New Roman" w:cs="Times New Roman" w:eastAsia="Times New Roman" w:hAnsi="Times New Roman"/>
          <w:sz w:val="20"/>
          <w:szCs w:val="20"/>
          <w:color w:val="auto"/>
        </w:rPr>
      </w:pPr>
    </w:p>
    <w:p>
      <w:pPr>
        <w:jc w:val="both"/>
        <w:ind w:firstLine="656"/>
        <w:spacing w:after="0" w:line="266" w:lineRule="auto"/>
        <w:tabs>
          <w:tab w:leader="none" w:pos="1117"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Replacement of the L/C Issuer</w:t>
      </w:r>
      <w:r>
        <w:rPr>
          <w:rFonts w:ascii="Times New Roman" w:cs="Times New Roman" w:eastAsia="Times New Roman" w:hAnsi="Times New Roman"/>
          <w:sz w:val="19"/>
          <w:szCs w:val="19"/>
          <w:color w:val="auto"/>
        </w:rPr>
        <w:t xml:space="preserve">. The L/C Issuer may be replaced at any time by written agreement between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Times New Roman" w:cs="Times New Roman" w:eastAsia="Times New Roman" w:hAnsi="Times New Roman"/>
          <w:sz w:val="19"/>
          <w:szCs w:val="19"/>
          <w:u w:val="single" w:color="auto"/>
          <w:color w:val="auto"/>
        </w:rPr>
        <w:t>Section 2.03(m</w:t>
      </w:r>
      <w:r>
        <w:rPr>
          <w:rFonts w:ascii="Times New Roman" w:cs="Times New Roman" w:eastAsia="Times New Roman" w:hAnsi="Times New Roman"/>
          <w:sz w:val="19"/>
          <w:szCs w:val="19"/>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3" w:lineRule="exact"/>
        <w:rPr>
          <w:rFonts w:ascii="Times New Roman" w:cs="Times New Roman" w:eastAsia="Times New Roman" w:hAnsi="Times New Roman"/>
          <w:sz w:val="19"/>
          <w:szCs w:val="19"/>
          <w:color w:val="auto"/>
        </w:rPr>
      </w:pPr>
    </w:p>
    <w:p>
      <w:pPr>
        <w:ind w:left="1080" w:hanging="424"/>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008" w:right="339" w:bottom="1440" w:gutter="0" w:footer="0" w:header="0"/>
        </w:sectPr>
      </w:pPr>
    </w:p>
    <w:bookmarkStart w:id="51" w:name="page52"/>
    <w:bookmarkEnd w:id="51"/>
    <w:p>
      <w:pPr>
        <w:jc w:val="both"/>
        <w:ind w:left="660" w:firstLine="644"/>
        <w:spacing w:after="0" w:line="250" w:lineRule="auto"/>
        <w:tabs>
          <w:tab w:leader="none" w:pos="195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shall occur and be continuing, on the Business Day that the Borrower receives notice from the Administrative Agent or the Required Lenders (or, if the maturity of the Loans has been accelerated, Lenders with L/C Obligations representing at least 66-2/3% of the total L/C Obligations) demanding the deposit of Cash Collateral pursuant to this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 the Borrower shall immediately deposit into an account established and maintained on the books and records of the Administrative Agent (the “</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xml:space="preserve">”) an amount in cash equal to one-hundred and three percent (103.0%) of the L/C Obligations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above, if any L/C Obligations remain outstanding after the expiration date specified in said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the Borrower shall immediately deposit into the Collateral Account an amount in cash equal to one-hundred and three percent (103.0%) of such L/C Obligations as of such date, plus any accrued and unpaid interest thereon.</w:t>
      </w:r>
    </w:p>
    <w:p>
      <w:pPr>
        <w:spacing w:after="0" w:line="193"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5"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reasonable and documented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66-2/3%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201" w:lineRule="exact"/>
        <w:rPr>
          <w:rFonts w:ascii="Times New Roman" w:cs="Times New Roman" w:eastAsia="Times New Roman" w:hAnsi="Times New Roman"/>
          <w:sz w:val="20"/>
          <w:szCs w:val="20"/>
          <w:color w:val="auto"/>
        </w:rPr>
      </w:pPr>
    </w:p>
    <w:p>
      <w:pPr>
        <w:jc w:val="both"/>
        <w:ind w:firstLine="656"/>
        <w:spacing w:after="0" w:line="251" w:lineRule="auto"/>
        <w:tabs>
          <w:tab w:leader="none" w:pos="10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Holdings or a Subsidiary, the Borrower shall be obligated to reimburse, indemnify and compensate the L/C Issuer hereunder for any and all drawings under such Letter of Credit as if such Letter of Credit had been issued solely for the account of the Borrower. The Borrower irrevocably waives any and all defenses that might otherwise be available to it as a guarantor or surety of any or all of the obligations of Holdings or such Subsidiary in respect of such Letter of Credit. The Borrower hereby acknowledges that the issuance of Letters of Credit for the account of Holdings or a Subsidiary inures to the benefit of the Borrower, and that the Borrower’s business derives substantial benefits from the businesses of Holdings or such Subsidiary.</w:t>
      </w:r>
    </w:p>
    <w:p>
      <w:pPr>
        <w:spacing w:after="0" w:line="192" w:lineRule="exact"/>
        <w:rPr>
          <w:rFonts w:ascii="Times New Roman" w:cs="Times New Roman" w:eastAsia="Times New Roman" w:hAnsi="Times New Roman"/>
          <w:sz w:val="20"/>
          <w:szCs w:val="20"/>
          <w:color w:val="auto"/>
        </w:rPr>
      </w:pPr>
    </w:p>
    <w:p>
      <w:pPr>
        <w:ind w:firstLine="656"/>
        <w:spacing w:after="0" w:line="283" w:lineRule="auto"/>
        <w:tabs>
          <w:tab w:leader="none" w:pos="109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2.04</w:t>
      </w:r>
      <w:r>
        <w:rPr>
          <w:sz w:val="20"/>
          <w:szCs w:val="20"/>
          <w:color w:val="auto"/>
        </w:rPr>
        <w:tab/>
      </w:r>
      <w:r>
        <w:rPr>
          <w:rFonts w:ascii="Times New Roman" w:cs="Times New Roman" w:eastAsia="Times New Roman" w:hAnsi="Times New Roman"/>
          <w:sz w:val="19"/>
          <w:szCs w:val="19"/>
          <w:b w:val="1"/>
          <w:bCs w:val="1"/>
          <w:u w:val="single" w:color="auto"/>
          <w:color w:val="auto"/>
        </w:rPr>
        <w:t>Swingline Loans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660" w:firstLine="644"/>
        <w:spacing w:after="0" w:line="276" w:lineRule="auto"/>
        <w:tabs>
          <w:tab w:leader="none" w:pos="194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Swingline</w:t>
      </w:r>
      <w:r>
        <w:rPr>
          <w:rFonts w:ascii="Times New Roman" w:cs="Times New Roman" w:eastAsia="Times New Roman" w:hAnsi="Times New Roman"/>
          <w:sz w:val="19"/>
          <w:szCs w:val="19"/>
          <w:color w:val="auto"/>
        </w:rPr>
        <w:t xml:space="preserve">. Subject to the terms and conditions set forth herein, the Swingline Lender, in reliance upon the agreements of the other Lenders set forth in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may in its sole discretion make loans to the Borrower (each such loan, a “</w:t>
      </w:r>
      <w:r>
        <w:rPr>
          <w:rFonts w:ascii="Times New Roman" w:cs="Times New Roman" w:eastAsia="Times New Roman" w:hAnsi="Times New Roman"/>
          <w:sz w:val="19"/>
          <w:szCs w:val="19"/>
          <w:u w:val="single" w:color="auto"/>
          <w:color w:val="auto"/>
        </w:rPr>
        <w:t>Swingline Loan</w:t>
      </w:r>
      <w:r>
        <w:rPr>
          <w:rFonts w:ascii="Times New Roman" w:cs="Times New Roman" w:eastAsia="Times New Roman" w:hAnsi="Times New Roman"/>
          <w:sz w:val="19"/>
          <w:szCs w:val="19"/>
          <w:color w:val="auto"/>
        </w:rPr>
        <w:t>”). Each such Swingline Loan may be made, subject to the terms and conditions set forth herein, to the Borrower, in Dollars, from time to time on any Business Day during the Availability Period in an aggregate amount not to exceed at any time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008" w:right="339" w:bottom="1440" w:gutter="0" w:footer="0" w:header="0"/>
        </w:sectPr>
      </w:pPr>
    </w:p>
    <w:bookmarkStart w:id="52" w:name="page53"/>
    <w:bookmarkEnd w:id="52"/>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outstanding the amount of the Swingline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after giving effect to any Swingline Loan, (A) the Total Revolving Outstandings shall not exceed the Aggregate Revolving Commitments at such time, (B) the Revolving Exposure of any Lender at such time shall not exceed such Lender’s Commitment and (C) the aggregate amount of all Swingline Loans outstanding shall not exceed the Swingline Commitment of the Swingline Lender,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Each Swingline Loan shall bear interest only at a rate based on the Base Rate plus the Applicable Rate for Base Rate Loans. Immediately upon the making of a Swingline Loan, each Lender shall be deemed to, and hereby irrevocably and unconditionally agrees to, purchase from the Swingline Lender a risk participation in such Swingline Loan in an amount equal to the product of such Lender’s Applicable Percentage times the amount of such Swingline Loan.</w:t>
      </w:r>
    </w:p>
    <w:p>
      <w:pPr>
        <w:spacing w:after="0" w:line="205" w:lineRule="exact"/>
        <w:rPr>
          <w:sz w:val="20"/>
          <w:szCs w:val="20"/>
          <w:color w:val="auto"/>
        </w:rPr>
      </w:pPr>
    </w:p>
    <w:p>
      <w:pPr>
        <w:ind w:left="1280" w:hanging="636"/>
        <w:spacing w:after="0"/>
        <w:tabs>
          <w:tab w:leader="none" w:pos="1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640" w:firstLine="648"/>
        <w:spacing w:after="0" w:line="249" w:lineRule="auto"/>
        <w:rPr>
          <w:sz w:val="20"/>
          <w:szCs w:val="20"/>
          <w:color w:val="auto"/>
        </w:rPr>
      </w:pPr>
      <w:r>
        <w:rPr>
          <w:rFonts w:ascii="Times New Roman" w:cs="Times New Roman" w:eastAsia="Times New Roman" w:hAnsi="Times New Roman"/>
          <w:sz w:val="20"/>
          <w:szCs w:val="20"/>
          <w:color w:val="auto"/>
        </w:rPr>
        <w:t xml:space="preserve">Each Borrowing of Swingline Loans shall be made upon the Borrower’s irrevocable notice to the Swingline Lender and the Administrative Agent, which may be given by: (i) telephone or (ii) a Swingline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date, and shall specify (A) the amount to be borrowed, which shall be a minimum of $100,000,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Borrowing (1) directing the Swingline Lender not to make such Swingline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(2)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Swingline Lender will, not later than 3:00 p.m. on the borrowing date specified in such Swingline Loan Notice make the amount of its Swingline Loan available to the Borrower at its office by crediting the account of the Borrower on the books of the Swingline Lender in immediately available funds.</w:t>
      </w:r>
    </w:p>
    <w:p>
      <w:pPr>
        <w:spacing w:after="0" w:line="192" w:lineRule="exact"/>
        <w:rPr>
          <w:sz w:val="20"/>
          <w:szCs w:val="20"/>
          <w:color w:val="auto"/>
        </w:rPr>
      </w:pPr>
    </w:p>
    <w:p>
      <w:pPr>
        <w:ind w:left="1060" w:hanging="416"/>
        <w:spacing w:after="0"/>
        <w:tabs>
          <w:tab w:leader="none" w:pos="10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Swingline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40" w:firstLine="652"/>
        <w:spacing w:after="0" w:line="252" w:lineRule="auto"/>
        <w:tabs>
          <w:tab w:leader="none" w:pos="170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at any time in its sole discretion may request, on behalf of the Borrower (which hereby irrevocably authorizes the Swingline Lender to so request on its behalf), that each Lender make a Base Rate Loan in an amount equal to such Lender’s Applicable Percentage of the amount of Swingline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The Swingline Lender shall furnish the Borrower with a copy of the applicable Loan Notice promptly after delivering such notice to the Administrative Agent. Each Lender shall make an amount equal to its Applicable Percentage of the amount specified in such Loan Notice available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0580"/>
          </w:cols>
          <w:pgMar w:left="980" w:top="1008" w:right="339" w:bottom="1440" w:gutter="0" w:footer="0" w:header="0"/>
        </w:sectPr>
      </w:pPr>
    </w:p>
    <w:bookmarkStart w:id="53" w:name="page54"/>
    <w:bookmarkEnd w:id="53"/>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 xml:space="preserve">Administrative Agent in immediately available funds (and the Administrative Agent may apply Cash Collateral available with respect to the applicable Swingline Loan) for the account of the Swingline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Lender that so makes funds available shall be deemed to have made a Base Rate Loan to the Borrower in such amount. The Administrative Agent shall remit the funds so received to the Swingline Lender.</w:t>
      </w:r>
    </w:p>
    <w:p>
      <w:pPr>
        <w:spacing w:after="0" w:line="192" w:lineRule="exact"/>
        <w:rPr>
          <w:sz w:val="20"/>
          <w:szCs w:val="20"/>
          <w:color w:val="auto"/>
        </w:rPr>
      </w:pPr>
    </w:p>
    <w:p>
      <w:pPr>
        <w:jc w:val="both"/>
        <w:ind w:left="180" w:firstLine="652"/>
        <w:spacing w:after="0" w:line="253" w:lineRule="auto"/>
        <w:tabs>
          <w:tab w:leader="none" w:pos="134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the foregoing, if for any reason any Swingline Loan cannot be refinanced by such a Borrowing of Revolving Loans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(including, without limitation, the failure to satisfy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request for Base Rate Loans submitted by the Swingline Lender as set forth herein shall be deemed to be a request by the Swingline Lender that each of the Lenders fund its risk participation in the relevant Swingline Loan and each Lender’s payment to the Administrative Agent for the account of the Swingline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shall be deemed payment in respect of such participation.</w:t>
      </w:r>
    </w:p>
    <w:p>
      <w:pPr>
        <w:spacing w:after="0" w:line="192" w:lineRule="exact"/>
        <w:rPr>
          <w:rFonts w:ascii="Times New Roman" w:cs="Times New Roman" w:eastAsia="Times New Roman" w:hAnsi="Times New Roman"/>
          <w:sz w:val="20"/>
          <w:szCs w:val="20"/>
          <w:color w:val="auto"/>
        </w:rPr>
      </w:pPr>
    </w:p>
    <w:p>
      <w:pPr>
        <w:jc w:val="both"/>
        <w:ind w:left="180" w:firstLine="652"/>
        <w:spacing w:after="0" w:line="263" w:lineRule="auto"/>
        <w:tabs>
          <w:tab w:leader="none" w:pos="1335"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xml:space="preserve">) by the time specified in </w:t>
      </w:r>
      <w:r>
        <w:rPr>
          <w:rFonts w:ascii="Times New Roman" w:cs="Times New Roman" w:eastAsia="Times New Roman" w:hAnsi="Times New Roman"/>
          <w:sz w:val="19"/>
          <w:szCs w:val="19"/>
          <w:u w:val="single" w:color="auto"/>
          <w:color w:val="auto"/>
        </w:rPr>
        <w:t>Section 2.04(c)(i</w:t>
      </w:r>
      <w:r>
        <w:rPr>
          <w:rFonts w:ascii="Times New Roman" w:cs="Times New Roman" w:eastAsia="Times New Roman" w:hAnsi="Times New Roman"/>
          <w:sz w:val="19"/>
          <w:szCs w:val="19"/>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Borrowing or funded participation in the relevant Swingline Loan, as the case may be. A certificate of the Swingline Lender submitted to any Lender (through the Administrative Agent) with respect to any amounts owing under this </w:t>
      </w:r>
      <w:r>
        <w:rPr>
          <w:rFonts w:ascii="Times New Roman" w:cs="Times New Roman" w:eastAsia="Times New Roman" w:hAnsi="Times New Roman"/>
          <w:sz w:val="19"/>
          <w:szCs w:val="19"/>
          <w:u w:val="single" w:color="auto"/>
          <w:color w:val="auto"/>
        </w:rPr>
        <w:t>clause (c)(iii</w:t>
      </w:r>
      <w:r>
        <w:rPr>
          <w:rFonts w:ascii="Times New Roman" w:cs="Times New Roman" w:eastAsia="Times New Roman" w:hAnsi="Times New Roman"/>
          <w:sz w:val="19"/>
          <w:szCs w:val="19"/>
          <w:color w:val="auto"/>
        </w:rPr>
        <w:t>) shall be conclusive absent manifest error.</w:t>
      </w:r>
    </w:p>
    <w:p>
      <w:pPr>
        <w:spacing w:after="0" w:line="187" w:lineRule="exact"/>
        <w:rPr>
          <w:rFonts w:ascii="Times New Roman" w:cs="Times New Roman" w:eastAsia="Times New Roman" w:hAnsi="Times New Roman"/>
          <w:sz w:val="19"/>
          <w:szCs w:val="19"/>
          <w:color w:val="auto"/>
        </w:rPr>
      </w:pPr>
    </w:p>
    <w:p>
      <w:pPr>
        <w:jc w:val="both"/>
        <w:ind w:left="180" w:firstLine="652"/>
        <w:spacing w:after="0" w:line="251" w:lineRule="auto"/>
        <w:tabs>
          <w:tab w:leader="none" w:pos="136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to purchase and fund risk participations in Swingline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95"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80" w:firstLine="652"/>
        <w:spacing w:after="0" w:line="283" w:lineRule="auto"/>
        <w:tabs>
          <w:tab w:leader="none" w:pos="135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Lender has purchased and funded a risk participation in a Swingline Loan, if the Swingline Lender receives any payment on account of such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0120"/>
          </w:cols>
          <w:pgMar w:left="1440" w:top="1089" w:right="339" w:bottom="1440" w:gutter="0" w:footer="0" w:header="0"/>
        </w:sectPr>
      </w:pPr>
    </w:p>
    <w:bookmarkStart w:id="54" w:name="page55"/>
    <w:bookmarkEnd w:id="54"/>
    <w:p>
      <w:pPr>
        <w:ind w:left="644"/>
        <w:spacing w:after="0" w:line="283" w:lineRule="auto"/>
        <w:rPr>
          <w:sz w:val="20"/>
          <w:szCs w:val="20"/>
          <w:color w:val="auto"/>
        </w:rPr>
      </w:pPr>
      <w:r>
        <w:rPr>
          <w:rFonts w:ascii="Times New Roman" w:cs="Times New Roman" w:eastAsia="Times New Roman" w:hAnsi="Times New Roman"/>
          <w:sz w:val="20"/>
          <w:szCs w:val="20"/>
          <w:color w:val="auto"/>
        </w:rPr>
        <w:t>Loan, the Swingline Lender will distribute to such Lender its Applicable Percentage thereof in the same funds as those received by the Swingline Lender.</w:t>
      </w:r>
    </w:p>
    <w:p>
      <w:pPr>
        <w:spacing w:after="0" w:line="146" w:lineRule="exact"/>
        <w:rPr>
          <w:sz w:val="20"/>
          <w:szCs w:val="20"/>
          <w:color w:val="auto"/>
        </w:rPr>
      </w:pPr>
    </w:p>
    <w:p>
      <w:pPr>
        <w:jc w:val="both"/>
        <w:ind w:left="644" w:firstLine="652"/>
        <w:spacing w:after="0" w:line="253" w:lineRule="auto"/>
        <w:tabs>
          <w:tab w:leader="none" w:pos="177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Swingline Lender in its discretion), each Lender shall pay to the Swingline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spacing w:after="0" w:line="179"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12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Swingline Lender</w:t>
      </w:r>
      <w:r>
        <w:rPr>
          <w:rFonts w:ascii="Times New Roman" w:cs="Times New Roman" w:eastAsia="Times New Roman" w:hAnsi="Times New Roman"/>
          <w:sz w:val="20"/>
          <w:szCs w:val="20"/>
          <w:color w:val="auto"/>
        </w:rPr>
        <w:t xml:space="preserve">. The Swingline Lender shall be responsible for invoicing the Borrower for interest on the Swingline Loans. Until each Lender funds its Base Rate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Lender’s Applicable Percentage of any Swingline Loan, interest in respect of such Applicable Percentage shall be solely for the account of the Swingline Lender.</w:t>
      </w:r>
    </w:p>
    <w:p>
      <w:pPr>
        <w:spacing w:after="0" w:line="185" w:lineRule="exact"/>
        <w:rPr>
          <w:rFonts w:ascii="Times New Roman" w:cs="Times New Roman" w:eastAsia="Times New Roman" w:hAnsi="Times New Roman"/>
          <w:sz w:val="20"/>
          <w:szCs w:val="20"/>
          <w:color w:val="auto"/>
        </w:rPr>
      </w:pPr>
    </w:p>
    <w:p>
      <w:pPr>
        <w:ind w:left="4" w:firstLine="644"/>
        <w:spacing w:after="0" w:line="269" w:lineRule="auto"/>
        <w:tabs>
          <w:tab w:leader="none" w:pos="108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Swingline Lender</w:t>
      </w:r>
      <w:r>
        <w:rPr>
          <w:rFonts w:ascii="Times New Roman" w:cs="Times New Roman" w:eastAsia="Times New Roman" w:hAnsi="Times New Roman"/>
          <w:sz w:val="20"/>
          <w:szCs w:val="20"/>
          <w:color w:val="auto"/>
        </w:rPr>
        <w:t>. The Borrower shall make all payments of principal and interest in respect of the Swingline Loans directly to the Swingline Lender.</w:t>
      </w:r>
    </w:p>
    <w:p>
      <w:pPr>
        <w:spacing w:after="0" w:line="16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20"/>
          <w:szCs w:val="20"/>
          <w:b w:val="1"/>
          <w:bCs w:val="1"/>
          <w:color w:val="auto"/>
        </w:rPr>
        <w:t>2.05</w:t>
      </w:r>
      <w:r>
        <w:rPr>
          <w:sz w:val="20"/>
          <w:szCs w:val="20"/>
          <w:color w:val="auto"/>
        </w:rPr>
        <w:tab/>
      </w:r>
      <w:r>
        <w:rPr>
          <w:rFonts w:ascii="Times New Roman" w:cs="Times New Roman" w:eastAsia="Times New Roman" w:hAnsi="Times New Roman"/>
          <w:sz w:val="19"/>
          <w:szCs w:val="19"/>
          <w:b w:val="1"/>
          <w:bCs w:val="1"/>
          <w:u w:val="single" w:color="auto"/>
          <w:color w:val="auto"/>
        </w:rPr>
        <w:t>Prepayments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 w:firstLine="644"/>
        <w:spacing w:after="0" w:line="250" w:lineRule="auto"/>
        <w:tabs>
          <w:tab w:leader="none" w:pos="12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xml:space="preserve">. The Borrower may, upon notice to the Administrative Agent pursuant to delivery to the Administrative Agent of a Notice of Loan Prepayment, at any time or from time to time voluntarily prepay Loans in whole or in part without premium or penalty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unless otherwise agreed by the Administrative Agent, (i) such notice must be received by the Administrative Agent not later than 11:00 a.m. (A) two Business Days prior to any date of prepayment of Term SOFR Loans and (B) on the date of prepayment of Base Rate Loans; (ii) any prepayment of Term SOFR Loans shall be in a principal amount of $1,000,000 or a whole multiple of $500,000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the Borrower, the Borrower shall make such prepayment and the payment amount specified in such notice shall be due and payable on the date specified therein. Any prepayment of any Term SOFR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21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xml:space="preserve">. 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thereof (or, if less, the entire principal thereof then outstanding). Each such notice shall specify the date and amount of such prepayment. If such notice is given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0584"/>
          </w:cols>
          <w:pgMar w:left="976" w:top="1008" w:right="339" w:bottom="1440" w:gutter="0" w:footer="0" w:header="0"/>
        </w:sectPr>
      </w:pPr>
    </w:p>
    <w:bookmarkStart w:id="55" w:name="page56"/>
    <w:bookmarkEnd w:id="55"/>
    <w:p>
      <w:pPr>
        <w:ind w:left="660"/>
        <w:spacing w:after="0" w:line="283" w:lineRule="auto"/>
        <w:rPr>
          <w:sz w:val="20"/>
          <w:szCs w:val="20"/>
          <w:color w:val="auto"/>
        </w:rPr>
      </w:pPr>
      <w:r>
        <w:rPr>
          <w:rFonts w:ascii="Times New Roman" w:cs="Times New Roman" w:eastAsia="Times New Roman" w:hAnsi="Times New Roman"/>
          <w:sz w:val="20"/>
          <w:szCs w:val="20"/>
          <w:color w:val="auto"/>
        </w:rPr>
        <w:t>Borrower, the Borrower shall make such prepayment and the payment amount specified in such notice shall be due and payable on the date specified therein.</w:t>
      </w:r>
    </w:p>
    <w:p>
      <w:pPr>
        <w:spacing w:after="0" w:line="146"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55"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Outstandings</w:t>
      </w:r>
      <w:r>
        <w:rPr>
          <w:rFonts w:ascii="Times New Roman" w:cs="Times New Roman" w:eastAsia="Times New Roman" w:hAnsi="Times New Roman"/>
          <w:sz w:val="20"/>
          <w:szCs w:val="20"/>
          <w:color w:val="auto"/>
        </w:rPr>
        <w:t xml:space="preserve">. If for any reason the Total Revolving Outstandings at any time exceed the Aggregate Revolving Commitments at such time, the Borrower shall within one (1) Business Day after receipt of notice from the Administrative Agent prepay Revolving Loans, Swingline Loans and L/C Borrowings and/or Cash Collateralize the L/C Obligations in an aggregate amount equal to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the Borrower shall not be required to Cash Collateralize the L/C Obligations pursuant to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unless, after the prepayment of the Revolving Loans and Swingline Loans, the Total Revolving Outstandings exceed the Aggregate Revolving Commitments at such time.</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88"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Other Payments</w:t>
      </w:r>
      <w:r>
        <w:rPr>
          <w:rFonts w:ascii="Times New Roman" w:cs="Times New Roman" w:eastAsia="Times New Roman" w:hAnsi="Times New Roman"/>
          <w:sz w:val="20"/>
          <w:szCs w:val="20"/>
          <w:color w:val="auto"/>
        </w:rPr>
        <w:t xml:space="preserve">. Except as otherwise provided in Section 2.15, prepayments of the Revolving Facility made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ratably to the L/C Borrowings and the Swingline Loans,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shall be applied to the outstanding Revolving Loans, and,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that has provided Cash Collateral) to reimburse the L/C Issuer.</w:t>
      </w:r>
    </w:p>
    <w:p>
      <w:pPr>
        <w:spacing w:after="0" w:line="19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pursuant to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shall be applied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to Base Rate Loans and then to Term SOFR Loans in direct order of Interest Period maturities. All prepayments under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shall be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but otherwise without premium or penalty, and shall be accompanied by interest on the principal amount prepaid through the date of prepayment.</w:t>
      </w:r>
    </w:p>
    <w:p>
      <w:pPr>
        <w:spacing w:after="0" w:line="188" w:lineRule="exact"/>
        <w:rPr>
          <w:sz w:val="20"/>
          <w:szCs w:val="20"/>
          <w:color w:val="auto"/>
        </w:rPr>
      </w:pPr>
    </w:p>
    <w:p>
      <w:pPr>
        <w:jc w:val="both"/>
        <w:ind w:firstLine="656"/>
        <w:spacing w:after="0" w:line="258" w:lineRule="auto"/>
        <w:tabs>
          <w:tab w:leader="none" w:pos="110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Notwithstanding anything to the contrary contained in this Agreement, the Borrower may rescind any Notice of Loan Prepayment under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(by notice to the Administrative Agent on or prior to the specified prepayment date) if such prepayment would have resulted from a refinancing or other contingent transaction, which refinancing or transaction shall not be consummated or shall otherwise be delayed.</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2.06</w:t>
      </w:r>
      <w:r>
        <w:rPr>
          <w:sz w:val="20"/>
          <w:szCs w:val="20"/>
          <w:color w:val="auto"/>
        </w:rPr>
        <w:tab/>
      </w:r>
      <w:r>
        <w:rPr>
          <w:rFonts w:ascii="Times New Roman" w:cs="Times New Roman" w:eastAsia="Times New Roman" w:hAnsi="Times New Roman"/>
          <w:sz w:val="19"/>
          <w:szCs w:val="19"/>
          <w:b w:val="1"/>
          <w:bCs w:val="1"/>
          <w:u w:val="single" w:color="auto"/>
          <w:color w:val="auto"/>
        </w:rPr>
        <w:t>Termination or Reduction of Commitments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The Borrower may, upon notice to the Administrative Agent, terminate the Aggregate Revolving Commitments, the Letter of Credit Sublimit or the Swingline Sublimit, or from time to time permanently reduce the Aggregate Revolving Commitments, the Letter of Credit Sublimit or the Swingline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 (iii) the Borrower shall not terminate or reduce (A) the Aggregate Revolving Commitments if, after giving effect thereto and to any concurrent prepayments hereunder, the Total Revolving Outstandings would exceed the Aggregate Revolving Commitments,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Letter of Credit Sublimit.</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The Administrative Agent will promptly notify the Lenders of any termination or reduction of the Letter of Credit Sublimit, Swingline Sublimit or the Aggregate Revolving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Upon any reduction of the Aggregate Revolving Commitments, the Commitment of each Lender shall be reduced by such Lender’s Applicable Percentage of such reduction. All fees in respect of the Revolving Facility accrued until the effective date of any termination of the Aggregate Revolving Commitments shall be paid on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008" w:right="339" w:bottom="1440" w:gutter="0" w:footer="0" w:header="0"/>
        </w:sectPr>
      </w:pPr>
    </w:p>
    <w:bookmarkStart w:id="56" w:name="page57"/>
    <w:bookmarkEnd w:id="56"/>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2.07</w:t>
      </w:r>
      <w:r>
        <w:rPr>
          <w:sz w:val="20"/>
          <w:szCs w:val="20"/>
          <w:color w:val="auto"/>
        </w:rPr>
        <w:tab/>
      </w:r>
      <w:r>
        <w:rPr>
          <w:rFonts w:ascii="Times New Roman" w:cs="Times New Roman" w:eastAsia="Times New Roman" w:hAnsi="Times New Roman"/>
          <w:sz w:val="19"/>
          <w:szCs w:val="19"/>
          <w:b w:val="1"/>
          <w:bCs w:val="1"/>
          <w:u w:val="single" w:color="auto"/>
          <w:color w:val="auto"/>
        </w:rPr>
        <w:t>Repayment of Loans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Borrower shall repay to the Lenders on the Maturity Date for the Revolving Facility the aggregate principal amount of all Revolving Loans outstanding on such date. The Borrower shall repay each Swingline Loan on the Maturity Date.</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2.08</w:t>
      </w:r>
      <w:r>
        <w:rPr>
          <w:sz w:val="20"/>
          <w:szCs w:val="20"/>
          <w:color w:val="auto"/>
        </w:rPr>
        <w:tab/>
      </w:r>
      <w:r>
        <w:rPr>
          <w:rFonts w:ascii="Times New Roman" w:cs="Times New Roman" w:eastAsia="Times New Roman" w:hAnsi="Times New Roman"/>
          <w:sz w:val="19"/>
          <w:szCs w:val="19"/>
          <w:b w:val="1"/>
          <w:bCs w:val="1"/>
          <w:u w:val="single" w:color="auto"/>
          <w:color w:val="auto"/>
        </w:rPr>
        <w:t>Interest and Default Rate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3" w:lineRule="auto"/>
        <w:tabs>
          <w:tab w:leader="none" w:pos="109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(i) each Term SOFR Loan shall bear interest on the outstanding principal amount thereof for each Interest Period from the applicable Borrowing date at a rate per annum equal to the Term SOFR for such Interest Period plus the Applicable Rate; (ii) each Base Rate Loan (other than a Swingline Loan) shall bear interest on the outstanding principal amount thereof from the applicable Borrowing date at a rate per annum equal to the Base Rate plus the Applicable Rate; and (iii) each Swingline Loan shall bear interest on the outstanding principal amount thereof from the applicable borrowing date at a rate per annum equal to the Base Rate plus the Applicable Rate. To the extent that any calculation of interest or any fee required to be paid under this Agreement shall be based on (or result in) a calculation that is less than zero, such calculation shall be deemed zero for purposes of this Agreement.</w:t>
      </w:r>
    </w:p>
    <w:p>
      <w:pPr>
        <w:spacing w:after="0" w:line="19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693"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23"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(including a payment Default), all outstanding Obligations (including Letter of Credit Fees) may accrue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ind w:left="1860" w:hanging="556"/>
        <w:spacing w:after="0"/>
        <w:tabs>
          <w:tab w:leader="none" w:pos="186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demand.</w:t>
      </w:r>
    </w:p>
    <w:p>
      <w:pPr>
        <w:spacing w:after="0" w:line="200"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Payments</w:t>
      </w:r>
      <w:r>
        <w:rPr>
          <w:rFonts w:ascii="Times New Roman" w:cs="Times New Roman" w:eastAsia="Times New Roman" w:hAnsi="Times New Roman"/>
          <w:sz w:val="20"/>
          <w:szCs w:val="20"/>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2.09</w:t>
      </w:r>
      <w:r>
        <w:rPr>
          <w:sz w:val="20"/>
          <w:szCs w:val="20"/>
          <w:color w:val="auto"/>
        </w:rPr>
        <w:tab/>
      </w:r>
      <w:r>
        <w:rPr>
          <w:rFonts w:ascii="Times New Roman" w:cs="Times New Roman" w:eastAsia="Times New Roman" w:hAnsi="Times New Roman"/>
          <w:sz w:val="19"/>
          <w:szCs w:val="19"/>
          <w:b w:val="1"/>
          <w:bCs w:val="1"/>
          <w:u w:val="single" w:color="auto"/>
          <w:color w:val="auto"/>
        </w:rPr>
        <w:t>Fees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w:t>
      </w:r>
      <w:r>
        <w:rPr>
          <w:rFonts w:ascii="Times New Roman" w:cs="Times New Roman" w:eastAsia="Times New Roman" w:hAnsi="Times New Roman"/>
          <w:sz w:val="20"/>
          <w:szCs w:val="20"/>
          <w:u w:val="single" w:color="auto"/>
          <w:color w:val="auto"/>
        </w:rPr>
        <w:t>clauses (l</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56"/>
        <w:spacing w:after="0" w:line="257" w:lineRule="auto"/>
        <w:tabs>
          <w:tab w:leader="none" w:pos="110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The Borrower shall pay to the Administrative Agent for the account of each Lender in accordance with its Applicable Percentage, a commitment fee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actual daily amount by which the Aggregate Revolving Commitments exceeds the sum of (i) the Outstanding Amount of Revolving Loans and (ii) the Outstanding Amount of L/C Obligations,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For the avoidance of doubt, the Outstanding Amount of Swingline Loans shall not be counted towards or considered usage of the Aggregate Revolving Commitments for purposes of determining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923"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commitment fee. The commitment fee shall accrue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April, July, October and January,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the Applicable Rate separately for each period during such quarter that such Applicable Rate was in effect.</w:t>
      </w:r>
    </w:p>
    <w:p>
      <w:pPr>
        <w:spacing w:after="0" w:line="192"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2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Administrative Agent and BofA Securities, Inc. for its own account fees in the amounts and at the times specified in the Fee Letter. Such fees shall be fully earned when paid and shall not be refundable for any reason whatsoever.</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78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2.10</w:t>
      </w:r>
      <w:r>
        <w:rPr>
          <w:sz w:val="20"/>
          <w:szCs w:val="20"/>
          <w:color w:val="auto"/>
        </w:rPr>
        <w:tab/>
      </w:r>
      <w:r>
        <w:rPr>
          <w:rFonts w:ascii="Times New Roman" w:cs="Times New Roman" w:eastAsia="Times New Roman" w:hAnsi="Times New Roman"/>
          <w:sz w:val="19"/>
          <w:szCs w:val="19"/>
          <w:b w:val="1"/>
          <w:bCs w:val="1"/>
          <w:u w:val="single" w:color="auto"/>
          <w:color w:val="auto"/>
        </w:rPr>
        <w:t>Computation of Interest and Fees; Retroactive Adjustments of Applicable Rate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660" w:firstLine="644"/>
        <w:spacing w:after="0" w:line="251" w:lineRule="auto"/>
        <w:tabs>
          <w:tab w:leader="none" w:pos="194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bear interest for one (1) day. Each determination by the Administrative Agent of an interest rate or fee hereunder shall be conclusive and binding for all purposes, absent manifest error.</w:t>
      </w:r>
    </w:p>
    <w:p>
      <w:pPr>
        <w:spacing w:after="0" w:line="208" w:lineRule="exact"/>
        <w:rPr>
          <w:rFonts w:ascii="Times New Roman" w:cs="Times New Roman" w:eastAsia="Times New Roman" w:hAnsi="Times New Roman"/>
          <w:sz w:val="20"/>
          <w:szCs w:val="20"/>
          <w:color w:val="auto"/>
        </w:rPr>
      </w:pPr>
    </w:p>
    <w:p>
      <w:pPr>
        <w:jc w:val="both"/>
        <w:ind w:left="660" w:firstLine="644"/>
        <w:spacing w:after="0" w:line="265" w:lineRule="auto"/>
        <w:tabs>
          <w:tab w:leader="none" w:pos="1944"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 Adjustments or Restatements</w:t>
      </w:r>
      <w:r>
        <w:rPr>
          <w:rFonts w:ascii="Times New Roman" w:cs="Times New Roman" w:eastAsia="Times New Roman" w:hAnsi="Times New Roman"/>
          <w:sz w:val="19"/>
          <w:szCs w:val="19"/>
          <w:color w:val="auto"/>
        </w:rPr>
        <w:t>. If, as a result of any restatement of or other adjustment to the financial statements of Holdings and its Subsidiaries or for any other reason, Holdings or the Lenders determine that (i) the Consolidated Total Leverage Ratio as calculated by Holdings as of any applicable date was inaccurate and (ii) a proper calculation of the Consolidated Total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clause (b) shall not limit the</w:t>
      </w:r>
    </w:p>
    <w:p>
      <w:pPr>
        <w:spacing w:after="0" w:line="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 xml:space="preserve">rights of the Administrative Agent, any Lender or the L/C Issuer, as the case may be, under any provision of this Agreement to payment of any Obligations hereunder at the Default Rate or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The Borrower’s obligations under this clause (b) shall survive the termination of the Commitments and the repayment of all other Obligations hereunder.</w:t>
      </w:r>
    </w:p>
    <w:p>
      <w:pPr>
        <w:spacing w:after="0" w:line="20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19"/>
          <w:szCs w:val="19"/>
          <w:b w:val="1"/>
          <w:bCs w:val="1"/>
          <w:u w:val="single" w:color="auto"/>
          <w:color w:val="auto"/>
        </w:rPr>
        <w:t>Evidence of Debt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660" w:firstLine="644"/>
        <w:spacing w:after="0" w:line="258" w:lineRule="auto"/>
        <w:tabs>
          <w:tab w:leader="none" w:pos="194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Accounts</w:t>
      </w:r>
      <w:r>
        <w:rPr>
          <w:rFonts w:ascii="Times New Roman" w:cs="Times New Roman" w:eastAsia="Times New Roman" w:hAnsi="Times New Roman"/>
          <w:sz w:val="20"/>
          <w:szCs w:val="20"/>
          <w:color w:val="auto"/>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 The accounts or records maintained by each Lender shall be conclusive absent manifest error of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008" w:right="339" w:bottom="1440" w:gutter="0" w:footer="0" w:header="0"/>
        </w:sectPr>
      </w:pPr>
    </w:p>
    <w:bookmarkStart w:id="58" w:name="page59"/>
    <w:bookmarkEnd w:id="58"/>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 xml:space="preserve">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promissory note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2.11(a)</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95" w:lineRule="exact"/>
        <w:rPr>
          <w:sz w:val="20"/>
          <w:szCs w:val="20"/>
          <w:color w:val="auto"/>
        </w:rPr>
      </w:pPr>
    </w:p>
    <w:p>
      <w:pPr>
        <w:jc w:val="both"/>
        <w:ind w:left="660" w:firstLine="644"/>
        <w:spacing w:after="0" w:line="253" w:lineRule="auto"/>
        <w:tabs>
          <w:tab w:leader="none" w:pos="194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Records</w:t>
      </w:r>
      <w:r>
        <w:rPr>
          <w:rFonts w:ascii="Times New Roman" w:cs="Times New Roman" w:eastAsia="Times New Roman" w:hAnsi="Times New Roman"/>
          <w:sz w:val="20"/>
          <w:szCs w:val="20"/>
          <w:color w:val="auto"/>
        </w:rPr>
        <w:t xml:space="preserve">. In addition to the accounts and records referred to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19"/>
          <w:szCs w:val="19"/>
          <w:b w:val="1"/>
          <w:bCs w:val="1"/>
          <w:u w:val="single" w:color="auto"/>
          <w:color w:val="auto"/>
        </w:rPr>
        <w:t>Payments Generally; Administrative Agent’s Clawback</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2" w:lineRule="auto"/>
        <w:tabs>
          <w:tab w:leader="none" w:pos="116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Payment Terms</w:t>
      </w:r>
      <w:r>
        <w:rPr>
          <w:rFonts w:ascii="Times New Roman" w:cs="Times New Roman" w:eastAsia="Times New Roman" w:hAnsi="Times New Roman"/>
          <w:sz w:val="20"/>
          <w:szCs w:val="20"/>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shall be deemed received on the next succeeding Business Day and any applicable interest or fee shall continue to accrue. Subject to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7" w:lineRule="exact"/>
        <w:rPr>
          <w:rFonts w:ascii="Times New Roman" w:cs="Times New Roman" w:eastAsia="Times New Roman" w:hAnsi="Times New Roman"/>
          <w:sz w:val="20"/>
          <w:szCs w:val="20"/>
          <w:color w:val="auto"/>
        </w:rPr>
      </w:pPr>
    </w:p>
    <w:p>
      <w:pPr>
        <w:jc w:val="both"/>
        <w:ind w:firstLine="656"/>
        <w:spacing w:after="0" w:line="263" w:lineRule="auto"/>
        <w:tabs>
          <w:tab w:leader="none" w:pos="1117"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w:t>
      </w:r>
      <w:r>
        <w:rPr>
          <w:rFonts w:ascii="Times New Roman" w:cs="Times New Roman" w:eastAsia="Times New Roman" w:hAnsi="Times New Roman"/>
          <w:sz w:val="19"/>
          <w:szCs w:val="19"/>
          <w:u w:val="single" w:color="auto"/>
          <w:color w:val="auto"/>
        </w:rPr>
        <w:t>Funding by Lenders; Presumption by Administrative Agent</w:t>
      </w:r>
      <w:r>
        <w:rPr>
          <w:rFonts w:ascii="Times New Roman" w:cs="Times New Roman" w:eastAsia="Times New Roman" w:hAnsi="Times New Roman"/>
          <w:sz w:val="19"/>
          <w:szCs w:val="19"/>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plus any administrative, processing or similar fees customarily charged by the Administrative Agent in connection with the foregoing, and</w:t>
      </w:r>
    </w:p>
    <w:p>
      <w:pPr>
        <w:spacing w:after="0" w:line="6" w:lineRule="exact"/>
        <w:rPr>
          <w:sz w:val="20"/>
          <w:szCs w:val="20"/>
          <w:color w:val="auto"/>
        </w:rPr>
      </w:pPr>
    </w:p>
    <w:p>
      <w:pPr>
        <w:jc w:val="both"/>
        <w:ind w:firstLine="8"/>
        <w:spacing w:after="0" w:line="251" w:lineRule="auto"/>
        <w:tabs>
          <w:tab w:leader="none" w:pos="32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089" w:right="339" w:bottom="1440" w:gutter="0" w:footer="0" w:header="0"/>
        </w:sectPr>
      </w:pPr>
    </w:p>
    <w:bookmarkStart w:id="59" w:name="page60"/>
    <w:bookmarkEnd w:id="59"/>
    <w:p>
      <w:pPr>
        <w:spacing w:after="0" w:line="283" w:lineRule="auto"/>
        <w:rPr>
          <w:sz w:val="20"/>
          <w:szCs w:val="20"/>
          <w:color w:val="auto"/>
        </w:rPr>
      </w:pPr>
      <w:r>
        <w:rPr>
          <w:rFonts w:ascii="Times New Roman" w:cs="Times New Roman" w:eastAsia="Times New Roman" w:hAnsi="Times New Roman"/>
          <w:sz w:val="20"/>
          <w:szCs w:val="20"/>
          <w:color w:val="auto"/>
        </w:rPr>
        <w:t>Any payment by the Borrower shall be without prejudice to any claim the Borrower may have against a Lender that shall have failed to make such payment to the Administrative Agent.</w:t>
      </w:r>
    </w:p>
    <w:p>
      <w:pPr>
        <w:spacing w:after="0" w:line="146" w:lineRule="exact"/>
        <w:rPr>
          <w:sz w:val="20"/>
          <w:szCs w:val="20"/>
          <w:color w:val="auto"/>
        </w:rPr>
      </w:pPr>
    </w:p>
    <w:p>
      <w:pPr>
        <w:jc w:val="both"/>
        <w:ind w:firstLine="656"/>
        <w:spacing w:after="0" w:line="250" w:lineRule="auto"/>
        <w:tabs>
          <w:tab w:leader="none" w:pos="115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 Presumptions by Administrative Agent</w:t>
      </w:r>
      <w:r>
        <w:rPr>
          <w:rFonts w:ascii="Times New Roman" w:cs="Times New Roman" w:eastAsia="Times New Roman" w:hAnsi="Times New Roman"/>
          <w:sz w:val="20"/>
          <w:szCs w:val="20"/>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applicable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the Borrower with respect to any amount owing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conclusive, absent manifest error.</w:t>
      </w:r>
    </w:p>
    <w:p>
      <w:pPr>
        <w:spacing w:after="0" w:line="146" w:lineRule="exact"/>
        <w:rPr>
          <w:sz w:val="20"/>
          <w:szCs w:val="20"/>
          <w:color w:val="auto"/>
        </w:rPr>
      </w:pPr>
    </w:p>
    <w:p>
      <w:pPr>
        <w:jc w:val="both"/>
        <w:ind w:firstLine="656"/>
        <w:spacing w:after="0" w:line="253" w:lineRule="auto"/>
        <w:tabs>
          <w:tab w:leader="none" w:pos="110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If any Lender makes available to the Administrative Agent funds for any Loan to be made by such Lender as provided in the foregoing provisions of this Article II, and such funds are not made available to the Borrower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without interest.</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3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Loans, to fund participations in Letters of Credit and Swingline Loans and to make payments pursuant to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6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19"/>
          <w:szCs w:val="19"/>
          <w:b w:val="1"/>
          <w:bCs w:val="1"/>
          <w:u w:val="single" w:color="auto"/>
          <w:color w:val="auto"/>
        </w:rPr>
        <w:t>Sharing of Payments by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w:t>
      </w:r>
    </w:p>
    <w:p>
      <w:pPr>
        <w:spacing w:after="0" w:line="3" w:lineRule="exact"/>
        <w:rPr>
          <w:sz w:val="20"/>
          <w:szCs w:val="20"/>
          <w:color w:val="auto"/>
        </w:rPr>
      </w:pPr>
    </w:p>
    <w:p>
      <w:pPr>
        <w:jc w:val="both"/>
        <w:ind w:firstLine="8"/>
        <w:spacing w:after="0" w:line="251" w:lineRule="auto"/>
        <w:tabs>
          <w:tab w:leader="none" w:pos="28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008"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such time) of payments on account of the Obligations owing (but not due and payable) to all Lenders hereunder and under the other Loan Documents at such time obtained by all of the Lenders at such time, then, in each case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92" w:lineRule="exact"/>
        <w:rPr>
          <w:sz w:val="20"/>
          <w:szCs w:val="20"/>
          <w:color w:val="auto"/>
        </w:rPr>
      </w:pPr>
    </w:p>
    <w:p>
      <w:pPr>
        <w:jc w:val="both"/>
        <w:ind w:left="1300" w:firstLine="652"/>
        <w:spacing w:after="0" w:line="251" w:lineRule="auto"/>
        <w:tabs>
          <w:tab w:leader="none" w:pos="259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2" w:lineRule="exact"/>
        <w:rPr>
          <w:rFonts w:ascii="Times New Roman" w:cs="Times New Roman" w:eastAsia="Times New Roman" w:hAnsi="Times New Roman"/>
          <w:sz w:val="20"/>
          <w:szCs w:val="20"/>
          <w:color w:val="auto"/>
        </w:rPr>
      </w:pPr>
    </w:p>
    <w:p>
      <w:pPr>
        <w:jc w:val="both"/>
        <w:ind w:left="1300" w:firstLine="652"/>
        <w:spacing w:after="0" w:line="264" w:lineRule="auto"/>
        <w:tabs>
          <w:tab w:leader="none" w:pos="2595"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or Disqualified Institution), (B) the application of Cash Collateral provided for in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shall apply).</w:t>
      </w:r>
    </w:p>
    <w:p>
      <w:pPr>
        <w:spacing w:after="0" w:line="21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20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2.14</w:t>
      </w:r>
      <w:r>
        <w:rPr>
          <w:sz w:val="20"/>
          <w:szCs w:val="20"/>
          <w:color w:val="auto"/>
        </w:rPr>
        <w:tab/>
      </w:r>
      <w:r>
        <w:rPr>
          <w:rFonts w:ascii="Times New Roman" w:cs="Times New Roman" w:eastAsia="Times New Roman" w:hAnsi="Times New Roman"/>
          <w:sz w:val="19"/>
          <w:szCs w:val="19"/>
          <w:b w:val="1"/>
          <w:bCs w:val="1"/>
          <w:u w:val="single" w:color="auto"/>
          <w:color w:val="auto"/>
        </w:rPr>
        <w:t>Cash Collateral</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656"/>
        <w:spacing w:after="0" w:line="258" w:lineRule="auto"/>
        <w:tabs>
          <w:tab w:leader="none" w:pos="114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 to Cash Collateralize</w:t>
      </w:r>
      <w:r>
        <w:rPr>
          <w:rFonts w:ascii="Times New Roman" w:cs="Times New Roman" w:eastAsia="Times New Roman" w:hAnsi="Times New Roman"/>
          <w:sz w:val="20"/>
          <w:szCs w:val="20"/>
          <w:color w:val="auto"/>
        </w:rPr>
        <w:t xml:space="preserve">. At any time there shall exist a Defaulting Lender,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and any Cash Collateral provided by such Defaulting Lender) in an amount not less than the Minimum Collateral Amount.</w:t>
      </w:r>
    </w:p>
    <w:p>
      <w:pPr>
        <w:spacing w:after="0" w:line="185" w:lineRule="exact"/>
        <w:rPr>
          <w:rFonts w:ascii="Times New Roman" w:cs="Times New Roman" w:eastAsia="Times New Roman" w:hAnsi="Times New Roman"/>
          <w:sz w:val="20"/>
          <w:szCs w:val="20"/>
          <w:color w:val="auto"/>
        </w:rPr>
      </w:pPr>
    </w:p>
    <w:p>
      <w:pPr>
        <w:jc w:val="both"/>
        <w:ind w:firstLine="656"/>
        <w:spacing w:after="0" w:line="264" w:lineRule="auto"/>
        <w:tabs>
          <w:tab w:leader="none" w:pos="109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Security Interest</w:t>
      </w:r>
      <w:r>
        <w:rPr>
          <w:rFonts w:ascii="Times New Roman" w:cs="Times New Roman" w:eastAsia="Times New Roman" w:hAnsi="Times New Roman"/>
          <w:sz w:val="19"/>
          <w:szCs w:val="19"/>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(subject to Liens permitted under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9"/>
          <w:szCs w:val="19"/>
          <w:u w:val="single" w:color="auto"/>
          <w:color w:val="auto"/>
        </w:rPr>
        <w:t>Section 2.14(c</w:t>
      </w:r>
      <w:r>
        <w:rPr>
          <w:rFonts w:ascii="Times New Roman" w:cs="Times New Roman" w:eastAsia="Times New Roman" w:hAnsi="Times New Roman"/>
          <w:sz w:val="19"/>
          <w:szCs w:val="19"/>
          <w:color w:val="auto"/>
        </w:rPr>
        <w:t xml:space="preserve">). If at any time the Administrative Agent determines that Cash Collateral is subject to any right or claim of any Person other than the Administrative Agent or the L/C Issuer as herein provided, other than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19"/>
          <w:szCs w:val="19"/>
          <w:u w:val="single" w:color="auto"/>
          <w:color w:val="auto"/>
        </w:rPr>
        <w:t>Section 2.15(a)(v</w:t>
      </w:r>
      <w:r>
        <w:rPr>
          <w:rFonts w:ascii="Times New Roman" w:cs="Times New Roman" w:eastAsia="Times New Roman" w:hAnsi="Times New Roman"/>
          <w:sz w:val="19"/>
          <w:szCs w:val="19"/>
          <w:color w:val="auto"/>
        </w:rPr>
        <w:t xml:space="preserve">), after giving effect to </w:t>
      </w:r>
      <w:r>
        <w:rPr>
          <w:rFonts w:ascii="Times New Roman" w:cs="Times New Roman" w:eastAsia="Times New Roman" w:hAnsi="Times New Roman"/>
          <w:sz w:val="19"/>
          <w:szCs w:val="19"/>
          <w:u w:val="single" w:color="auto"/>
          <w:color w:val="auto"/>
        </w:rPr>
        <w:t>Section 2.15(a)(v</w:t>
      </w:r>
      <w:r>
        <w:rPr>
          <w:rFonts w:ascii="Times New Roman" w:cs="Times New Roman" w:eastAsia="Times New Roman" w:hAnsi="Times New Roman"/>
          <w:sz w:val="19"/>
          <w:szCs w:val="19"/>
          <w:color w:val="auto"/>
        </w:rPr>
        <w:t>) and any Cash Collateral provided by the Defaulting Lender). All Cash Collateral (other than credit support not constituting funds subject to deposit) shall be maintained in blocked, non-interest bearing deposit accounts at Bank of America. The Borrower shall pay on demand therefore from time to time all reasonable, documented and customary account opening, activity and other administrative fees and charges in connection with the maintenance and disbursement of Cash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089" w:right="339" w:bottom="1440" w:gutter="0" w:footer="0" w:header="0"/>
        </w:sectPr>
      </w:pPr>
    </w:p>
    <w:bookmarkStart w:id="61" w:name="page62"/>
    <w:bookmarkEnd w:id="61"/>
    <w:p>
      <w:pPr>
        <w:jc w:val="both"/>
        <w:ind w:firstLine="656"/>
        <w:spacing w:after="0" w:line="253" w:lineRule="auto"/>
        <w:tabs>
          <w:tab w:leader="none" w:pos="107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such property as may be provided for herein.</w:t>
      </w:r>
    </w:p>
    <w:p>
      <w:pPr>
        <w:spacing w:after="0" w:line="191" w:lineRule="exact"/>
        <w:rPr>
          <w:rFonts w:ascii="Times New Roman" w:cs="Times New Roman" w:eastAsia="Times New Roman" w:hAnsi="Times New Roman"/>
          <w:sz w:val="20"/>
          <w:szCs w:val="20"/>
          <w:color w:val="auto"/>
        </w:rPr>
      </w:pPr>
    </w:p>
    <w:p>
      <w:pPr>
        <w:jc w:val="both"/>
        <w:ind w:firstLine="656"/>
        <w:spacing w:after="0" w:line="251" w:lineRule="auto"/>
        <w:tabs>
          <w:tab w:leader="none" w:pos="125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11.06(b)(vi</w:t>
      </w:r>
      <w:r>
        <w:rPr>
          <w:rFonts w:ascii="Times New Roman" w:cs="Times New Roman" w:eastAsia="Times New Roman" w:hAnsi="Times New Roman"/>
          <w:sz w:val="20"/>
          <w:szCs w:val="20"/>
          <w:color w:val="auto"/>
        </w:rPr>
        <w:t xml:space="preserve">))) or (ii) the determination by the Administrative Agent and the L/C Issuer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19"/>
          <w:szCs w:val="19"/>
          <w:b w:val="1"/>
          <w:bCs w:val="1"/>
          <w:u w:val="single" w:color="auto"/>
          <w:color w:val="auto"/>
        </w:rPr>
        <w:t>Defaulting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360" w:firstLine="656"/>
        <w:spacing w:after="0" w:line="283" w:lineRule="auto"/>
        <w:tabs>
          <w:tab w:leader="none" w:pos="12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9"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9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11.01</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1300" w:firstLine="652"/>
        <w:spacing w:after="0" w:line="249" w:lineRule="auto"/>
        <w:tabs>
          <w:tab w:leader="none" w:pos="2595"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L/C Issuer or the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to such Defaulting Lender or as otherwise as may be required under the Loan Documents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008" w:right="339" w:bottom="1440" w:gutter="0" w:footer="0" w:header="0"/>
        </w:sectPr>
      </w:pPr>
    </w:p>
    <w:bookmarkStart w:id="62" w:name="page63"/>
    <w:bookmarkEnd w:id="62"/>
    <w:p>
      <w:pPr>
        <w:jc w:val="both"/>
        <w:ind w:left="180"/>
        <w:spacing w:after="0" w:line="250" w:lineRule="auto"/>
        <w:rPr>
          <w:sz w:val="20"/>
          <w:szCs w:val="20"/>
          <w:color w:val="auto"/>
        </w:rPr>
      </w:pPr>
      <w:r>
        <w:rPr>
          <w:rFonts w:ascii="Times New Roman" w:cs="Times New Roman" w:eastAsia="Times New Roman" w:hAnsi="Times New Roman"/>
          <w:sz w:val="20"/>
          <w:szCs w:val="20"/>
          <w:color w:val="auto"/>
        </w:rPr>
        <w:t xml:space="preserve">with any Lien conferred thereunder or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2.15(a)(ii</w:t>
      </w:r>
      <w:r>
        <w:rPr>
          <w:rFonts w:ascii="Times New Roman" w:cs="Times New Roman" w:eastAsia="Times New Roman" w:hAnsi="Times New Roman"/>
          <w:sz w:val="20"/>
          <w:szCs w:val="20"/>
          <w:color w:val="auto"/>
        </w:rPr>
        <w:t>) shall be deemed paid to and redirected by such Defaulting Lender, and each Lender irrevocably consents hereto.</w:t>
      </w:r>
    </w:p>
    <w:p>
      <w:pPr>
        <w:spacing w:after="0" w:line="200" w:lineRule="exact"/>
        <w:rPr>
          <w:sz w:val="20"/>
          <w:szCs w:val="20"/>
          <w:color w:val="auto"/>
        </w:rPr>
      </w:pPr>
    </w:p>
    <w:p>
      <w:pPr>
        <w:ind w:left="1480" w:hanging="648"/>
        <w:spacing w:after="0"/>
        <w:tabs>
          <w:tab w:leader="none" w:pos="14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640"/>
        <w:spacing w:after="0" w:line="261" w:lineRule="auto"/>
        <w:tabs>
          <w:tab w:leader="none" w:pos="198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for any period during which that Lender is a Defaulting Lender (and the Borrower shall not be required to pay any such fee that otherwise would have been required to have been paid to that Defaulting Lender).</w:t>
      </w:r>
    </w:p>
    <w:p>
      <w:pPr>
        <w:spacing w:after="0" w:line="181" w:lineRule="exact"/>
        <w:rPr>
          <w:rFonts w:ascii="Times New Roman" w:cs="Times New Roman" w:eastAsia="Times New Roman" w:hAnsi="Times New Roman"/>
          <w:sz w:val="20"/>
          <w:szCs w:val="20"/>
          <w:color w:val="auto"/>
        </w:rPr>
      </w:pPr>
    </w:p>
    <w:p>
      <w:pPr>
        <w:jc w:val="both"/>
        <w:ind w:left="840" w:firstLine="640"/>
        <w:spacing w:after="0" w:line="281" w:lineRule="auto"/>
        <w:tabs>
          <w:tab w:leader="none" w:pos="1963"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Fees</w:t>
      </w:r>
      <w:r>
        <w:rPr>
          <w:rFonts w:ascii="Times New Roman" w:cs="Times New Roman" w:eastAsia="Times New Roman" w:hAnsi="Times New Roman"/>
          <w:sz w:val="19"/>
          <w:szCs w:val="19"/>
          <w:color w:val="auto"/>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w:t>
      </w:r>
    </w:p>
    <w:p>
      <w:pPr>
        <w:spacing w:after="0" w:line="164" w:lineRule="exact"/>
        <w:rPr>
          <w:rFonts w:ascii="Times New Roman" w:cs="Times New Roman" w:eastAsia="Times New Roman" w:hAnsi="Times New Roman"/>
          <w:sz w:val="19"/>
          <w:szCs w:val="19"/>
          <w:color w:val="auto"/>
        </w:rPr>
      </w:pPr>
    </w:p>
    <w:p>
      <w:pPr>
        <w:jc w:val="both"/>
        <w:ind w:left="840" w:firstLine="640"/>
        <w:spacing w:after="0" w:line="251" w:lineRule="auto"/>
        <w:tabs>
          <w:tab w:leader="none" w:pos="2071"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Fees</w:t>
      </w:r>
      <w:r>
        <w:rPr>
          <w:rFonts w:ascii="Times New Roman" w:cs="Times New Roman" w:eastAsia="Times New Roman" w:hAnsi="Times New Roman"/>
          <w:sz w:val="20"/>
          <w:szCs w:val="20"/>
          <w:color w:val="auto"/>
        </w:rPr>
        <w:t xml:space="preserve">. With respect to any Letter of Credit Fee not required to be paid to any Defaulting Lender pursuant to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Borrower shall (1)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below, (2) pay to the L/C Issuer the amount of any such fee otherwise payable to such Defaulting Lender to the extent allocable to such L/C Issuer’s Fronting Exposure to such Defaulting Lender, and (3) not be required to pay the remaining amount of any such fee.</w:t>
      </w:r>
    </w:p>
    <w:p>
      <w:pPr>
        <w:spacing w:after="0" w:line="192" w:lineRule="exact"/>
        <w:rPr>
          <w:rFonts w:ascii="Times New Roman" w:cs="Times New Roman" w:eastAsia="Times New Roman" w:hAnsi="Times New Roman"/>
          <w:sz w:val="20"/>
          <w:szCs w:val="20"/>
          <w:color w:val="auto"/>
        </w:rPr>
      </w:pPr>
    </w:p>
    <w:p>
      <w:pPr>
        <w:jc w:val="both"/>
        <w:ind w:left="180" w:firstLine="652"/>
        <w:spacing w:after="0" w:line="251" w:lineRule="auto"/>
        <w:tabs>
          <w:tab w:leader="none" w:pos="141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Exposure of any Non-Defaulting Lender to exceed such Non-Defaulting Lender’s Commitments. Subject to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5" w:lineRule="exact"/>
        <w:rPr>
          <w:rFonts w:ascii="Times New Roman" w:cs="Times New Roman" w:eastAsia="Times New Roman" w:hAnsi="Times New Roman"/>
          <w:sz w:val="20"/>
          <w:szCs w:val="20"/>
          <w:color w:val="auto"/>
        </w:rPr>
      </w:pPr>
    </w:p>
    <w:p>
      <w:pPr>
        <w:jc w:val="both"/>
        <w:ind w:left="180" w:firstLine="652"/>
        <w:spacing w:after="0" w:line="281" w:lineRule="auto"/>
        <w:tabs>
          <w:tab w:leader="none" w:pos="125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 Repayment of Swingline Loans</w:t>
      </w:r>
      <w:r>
        <w:rPr>
          <w:rFonts w:ascii="Times New Roman" w:cs="Times New Roman" w:eastAsia="Times New Roman" w:hAnsi="Times New Roman"/>
          <w:sz w:val="19"/>
          <w:szCs w:val="19"/>
          <w:color w:val="auto"/>
        </w:rPr>
        <w:t xml:space="preserve">. If the reallocation described in </w:t>
      </w:r>
      <w:r>
        <w:rPr>
          <w:rFonts w:ascii="Times New Roman" w:cs="Times New Roman" w:eastAsia="Times New Roman" w:hAnsi="Times New Roman"/>
          <w:sz w:val="19"/>
          <w:szCs w:val="19"/>
          <w:u w:val="single" w:color="auto"/>
          <w:color w:val="auto"/>
        </w:rPr>
        <w:t>clause (a)(iv</w:t>
      </w:r>
      <w:r>
        <w:rPr>
          <w:rFonts w:ascii="Times New Roman" w:cs="Times New Roman" w:eastAsia="Times New Roman" w:hAnsi="Times New Roman"/>
          <w:sz w:val="19"/>
          <w:szCs w:val="19"/>
          <w:color w:val="auto"/>
        </w:rPr>
        <w:t xml:space="preserve">) above cannot, or can only partially, be effected, the Borrower shall, without prejudice to any right or remedy available to it hereunder or under Applicable Law, (A)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prepay Swingline Loans in an amount equal to the Swingline Lender’s Fronting Exposure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0120"/>
          </w:cols>
          <w:pgMar w:left="1440" w:top="1089" w:right="339" w:bottom="1440" w:gutter="0" w:footer="0" w:header="0"/>
        </w:sectPr>
      </w:pPr>
    </w:p>
    <w:bookmarkStart w:id="63" w:name="page64"/>
    <w:bookmarkEnd w:id="63"/>
    <w:p>
      <w:pPr>
        <w:ind w:left="1300" w:firstLine="652"/>
        <w:spacing w:after="0" w:line="283" w:lineRule="auto"/>
        <w:tabs>
          <w:tab w:leader="none" w:pos="227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Commitments (without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19"/>
          <w:szCs w:val="19"/>
          <w:b w:val="1"/>
          <w:bCs w:val="1"/>
          <w:u w:val="single" w:color="auto"/>
          <w:color w:val="auto"/>
        </w:rPr>
        <w:t>Incremental Facility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Subject to the terms and conditions set forth herein, the Borrower shall have the right, from time to time and upon at least ten Business Days’ prior written notice to the Administrative Agent (an “</w:t>
      </w:r>
      <w:r>
        <w:rPr>
          <w:rFonts w:ascii="Times New Roman" w:cs="Times New Roman" w:eastAsia="Times New Roman" w:hAnsi="Times New Roman"/>
          <w:sz w:val="20"/>
          <w:szCs w:val="20"/>
          <w:u w:val="single" w:color="auto"/>
          <w:color w:val="auto"/>
        </w:rPr>
        <w:t>Incremental Request</w:t>
      </w:r>
      <w:r>
        <w:rPr>
          <w:rFonts w:ascii="Times New Roman" w:cs="Times New Roman" w:eastAsia="Times New Roman" w:hAnsi="Times New Roman"/>
          <w:sz w:val="20"/>
          <w:szCs w:val="20"/>
          <w:color w:val="auto"/>
        </w:rPr>
        <w:t>”), to request to add one or more tranches of term loans (the “</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and any credit facility for providing for any Incremental Term Loans being referred to as an “</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and/or increase the Aggregate Revolving Commitments (the “</w:t>
      </w:r>
      <w:r>
        <w:rPr>
          <w:rFonts w:ascii="Times New Roman" w:cs="Times New Roman" w:eastAsia="Times New Roman" w:hAnsi="Times New Roman"/>
          <w:sz w:val="20"/>
          <w:szCs w:val="20"/>
          <w:u w:val="single" w:color="auto"/>
          <w:color w:val="auto"/>
        </w:rPr>
        <w:t>Incremental Revolving Commitments</w:t>
      </w:r>
      <w:r>
        <w:rPr>
          <w:rFonts w:ascii="Times New Roman" w:cs="Times New Roman" w:eastAsia="Times New Roman" w:hAnsi="Times New Roman"/>
          <w:sz w:val="20"/>
          <w:szCs w:val="20"/>
          <w:color w:val="auto"/>
        </w:rPr>
        <w:t>”; and revolving loans made thereunder the “</w:t>
      </w:r>
      <w:r>
        <w:rPr>
          <w:rFonts w:ascii="Times New Roman" w:cs="Times New Roman" w:eastAsia="Times New Roman" w:hAnsi="Times New Roman"/>
          <w:sz w:val="20"/>
          <w:szCs w:val="20"/>
          <w:u w:val="single" w:color="auto"/>
          <w:color w:val="auto"/>
        </w:rPr>
        <w:t>Incremental Revolving Loans</w:t>
      </w:r>
      <w:r>
        <w:rPr>
          <w:rFonts w:ascii="Times New Roman" w:cs="Times New Roman" w:eastAsia="Times New Roman" w:hAnsi="Times New Roman"/>
          <w:sz w:val="20"/>
          <w:szCs w:val="20"/>
          <w:color w:val="auto"/>
        </w:rPr>
        <w:t>”; the Incremental Revolving Loans, together with the Incremental Term Loans are referred to herein as the “</w:t>
      </w:r>
      <w:r>
        <w:rPr>
          <w:rFonts w:ascii="Times New Roman" w:cs="Times New Roman" w:eastAsia="Times New Roman" w:hAnsi="Times New Roman"/>
          <w:sz w:val="20"/>
          <w:szCs w:val="20"/>
          <w:u w:val="single" w:color="auto"/>
          <w:color w:val="auto"/>
        </w:rPr>
        <w:t>Incremental Facility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in any such case, to satisfaction of the following conditions precedent:</w:t>
      </w:r>
    </w:p>
    <w:p>
      <w:pPr>
        <w:spacing w:after="0" w:line="179" w:lineRule="exact"/>
        <w:rPr>
          <w:sz w:val="20"/>
          <w:szCs w:val="20"/>
          <w:color w:val="auto"/>
        </w:rPr>
      </w:pPr>
    </w:p>
    <w:p>
      <w:pPr>
        <w:jc w:val="both"/>
        <w:ind w:firstLine="656"/>
        <w:spacing w:after="0" w:line="261" w:lineRule="auto"/>
        <w:tabs>
          <w:tab w:leader="none" w:pos="128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all Incremental Revolving Commitments and Incremental Term Loans effected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not exceed $50,000,000 plus an unlimited amount so long as the Consolidated Total Leverage Ratio on a Pro Forma Basis for the fiscal quarter recently ended is not greater than 3.50:1.00;</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on which any Incremental Facility Amendment is to become effective, both immediately prior to and immediately after giving effect to the incurrence of such Incremental Facility Loans (assuming that the full amount of the Incremental Facility Loans shall have been funded on such date) and any related transactions, no Default shall have occurred and be continuing;</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the incurrence of such Incremental Facility Loans (assuming the full amount of the Incremental Facility Loans have been funded) and any related transactions, on a Pro Forma Basis, (A) the Loan Parties shall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shall be true and correct in all material respects (or if such representation and warranty is qualified by materiality or Material Adverse Effect, it shall be true and correct) on and as of the date on which such Incremental Facility Amendment is to become effective, except to the extent that such representations and warranties specifically refer to an earlier date, in which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089" w:right="339" w:bottom="1440" w:gutter="0" w:footer="0" w:header="0"/>
        </w:sectPr>
      </w:pPr>
    </w:p>
    <w:bookmarkStart w:id="64" w:name="page65"/>
    <w:bookmarkEnd w:id="64"/>
    <w:p>
      <w:pPr>
        <w:ind w:right="20"/>
        <w:spacing w:after="0" w:line="283" w:lineRule="auto"/>
        <w:rPr>
          <w:sz w:val="20"/>
          <w:szCs w:val="20"/>
          <w:color w:val="auto"/>
        </w:rPr>
      </w:pPr>
      <w:r>
        <w:rPr>
          <w:rFonts w:ascii="Times New Roman" w:cs="Times New Roman" w:eastAsia="Times New Roman" w:hAnsi="Times New Roman"/>
          <w:sz w:val="20"/>
          <w:szCs w:val="20"/>
          <w:color w:val="auto"/>
        </w:rPr>
        <w:t>they shall be true and correct in all material respects (or if such representation and warranty is qualified by materiality or Material Adverse Effect, it shall be true and correct) as of such earlier date;</w:t>
      </w:r>
    </w:p>
    <w:p>
      <w:pPr>
        <w:spacing w:after="0" w:line="146" w:lineRule="exact"/>
        <w:rPr>
          <w:sz w:val="20"/>
          <w:szCs w:val="20"/>
          <w:color w:val="auto"/>
        </w:rPr>
      </w:pPr>
    </w:p>
    <w:p>
      <w:pPr>
        <w:ind w:firstLine="656"/>
        <w:spacing w:after="0" w:line="283" w:lineRule="auto"/>
        <w:tabs>
          <w:tab w:leader="none" w:pos="128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Incremental Facility Loans shall be in a minimum amount of $10,000,000 and in integral multiples of $5,000,000 in excess thereof (or such lesser amounts as agreed by the Administrative Agent);</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Incremental Revolving Commitments shall be made on the same terms and provisions (other than upfront fees) as apply to the existing Commitments, including with respect to maturity date, interest rate and prepayment provisions, and shall not constitute a credit facility separate and apart from the existing Revolving Facility;</w:t>
      </w:r>
    </w:p>
    <w:p>
      <w:pPr>
        <w:spacing w:after="0" w:line="161"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Incremental Term Loans shall be made on terms satisfactory to the Borrower and the Lenders providing the Incremental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Incremental Term Loans (A) have a maturity date that is not earlier than the later of (1) the Maturity Date with respect to Revolving Loans and (2) the final maturity of any other Incremental Term Loan, (B) have a Weighted Average Life to Maturity that is not shorter than the then remaining Weighted Average Life to Maturity of any other Incremental Term Loan (it being understood that, subject to the foregoing, the amortization schedule applicable to such Incremental Term Loan shall be determined by the Borrower and the Lenders of such Incremental Term Loan) and (C) share ratably in any mandatory prepayments of any then existing Incremental Term Facilities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(or otherwise provide for more favorable (from the perspective of the Borrower) prepayment treatment than the then outstanding Incremental Term Facilities;</w:t>
      </w:r>
    </w:p>
    <w:p>
      <w:pPr>
        <w:spacing w:after="0" w:line="19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additional commitments in a corresponding amount of such requested Incremental Facility Loans from either existing Lenders and/or one or more other institutions that qualify as Eligible Assignees (it being understood and agreed that no existing Lender shall be required to provide an additional commitment);</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customary closing certificates and legal opinions and all other documents (including resolutions of the board of directors of the Loan Parties) it may reasonably request relating to the corporate or other necessary authority for such Incremental Facility Loans and the validity of such Incremental Facility Loans, and any other matters relevant thereto, all in form and substance reasonably satisfactory to the Administrative Agent; and</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such amendments to the Collateral Documents as the Administrative Agent reasonably requests to cause the Collateral Documents to secure the Obligations (in a manner consistent with the terms of the Loan Documents) after giving effect to such Incremental Facility.</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Incremental Term Facility and any Incremental Revolving Commitments shall be evidenced by an amendment (an “</w:t>
      </w:r>
      <w:r>
        <w:rPr>
          <w:rFonts w:ascii="Times New Roman" w:cs="Times New Roman" w:eastAsia="Times New Roman" w:hAnsi="Times New Roman"/>
          <w:sz w:val="20"/>
          <w:szCs w:val="20"/>
          <w:u w:val="single" w:color="auto"/>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 Amendment</w:t>
      </w:r>
      <w:r>
        <w:rPr>
          <w:rFonts w:ascii="Times New Roman" w:cs="Times New Roman" w:eastAsia="Times New Roman" w:hAnsi="Times New Roman"/>
          <w:sz w:val="20"/>
          <w:szCs w:val="20"/>
          <w:color w:val="auto"/>
        </w:rPr>
        <w:t xml:space="preserve">”) to this Agreement, giving effect to the modifications permitted by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subject to the limitations set forth in the immediately preceding paragraph), executed by the Loan Parties, the Administrative Agent and each Lender providing a portion of the Incremental Term Facility and/or Incremental Revolving Commitments, as applicable; which such amendment, when so executed, shall amend this Agreement as provided therein. Each Incremental Facility Amendment shall also require such amendments to the Loan Documents, and such other new Loan Documents, as the Administrative Agent reasonably deems necessary or appropriate to effect the modifications and credit extensions permitted by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Neither any Incremental Facility Amendment, nor any such amendments to the other Loan Documents or such other new Loan Documents, shall be required to be executed or approved by any Lender, other than the Lenders providing such Incremental Term Loans and/or Incremental Revolving Commitments, as applicable, and the Administrative Agent, in order to be effective. The effectiveness of any Incremental Facility Amendment shall be subject to the satisfaction on the date thereof of each of the conditions set forth above and as such other conditions as requested by the Lenders under the Incremental Facility established in connection therewith.</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089" w:right="339" w:bottom="1440" w:gutter="0" w:footer="0" w:header="0"/>
        </w:sectPr>
      </w:pPr>
    </w:p>
    <w:bookmarkStart w:id="65" w:name="page66"/>
    <w:bookmarkEnd w:id="65"/>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spacing w:after="0" w:line="24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3.01</w:t>
      </w:r>
      <w:r>
        <w:rPr>
          <w:sz w:val="20"/>
          <w:szCs w:val="20"/>
          <w:color w:val="auto"/>
        </w:rPr>
        <w:tab/>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ind w:firstLine="656"/>
        <w:spacing w:after="0" w:line="269" w:lineRule="auto"/>
        <w:tabs>
          <w:tab w:leader="none" w:pos="107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3.01, the term “Applicable Law” includes FATCA and the term “Lender” includes the L/C Issuer.</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07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withholding or the making of all such deductions (including such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75"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06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xml:space="preserve">. Without duplication of any obligation under </w:t>
      </w:r>
      <w:r>
        <w:rPr>
          <w:rFonts w:ascii="Times New Roman" w:cs="Times New Roman" w:eastAsia="Times New Roman" w:hAnsi="Times New Roman"/>
          <w:sz w:val="20"/>
          <w:szCs w:val="20"/>
          <w:u w:val="single" w:color="auto"/>
          <w:color w:val="auto"/>
        </w:rPr>
        <w:t>Section 3.01(b)</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6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7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any obligation under </w:t>
      </w:r>
      <w:r>
        <w:rPr>
          <w:rFonts w:ascii="Times New Roman" w:cs="Times New Roman" w:eastAsia="Times New Roman" w:hAnsi="Times New Roman"/>
          <w:sz w:val="20"/>
          <w:szCs w:val="20"/>
          <w:u w:val="single" w:color="auto"/>
          <w:color w:val="auto"/>
        </w:rPr>
        <w:t>Section 3.01(b)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825"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and does hereby, severally indemnify and shall make payment in respect thereof within ten (10) days after demand therefor, the Administrative Agent against (A) any Indemnified Taxes attributable to such Lender, (B) any Taxes attributable to such Lender’s failure to comply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relating to the maintenance of a Participant Register and (C)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(d)(ii).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085" w:right="339" w:bottom="1440" w:gutter="0" w:footer="0" w:header="0"/>
        </w:sectPr>
      </w:pPr>
    </w:p>
    <w:bookmarkStart w:id="66" w:name="page67"/>
    <w:bookmarkEnd w:id="66"/>
    <w:p>
      <w:pPr>
        <w:jc w:val="both"/>
        <w:ind w:firstLine="656"/>
        <w:spacing w:after="0" w:line="258" w:lineRule="auto"/>
        <w:tabs>
          <w:tab w:leader="none" w:pos="109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Borrower will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7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any Lender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3.01(f)(ii)(A)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445"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72"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5" w:lineRule="exact"/>
        <w:rPr>
          <w:rFonts w:ascii="Times New Roman" w:cs="Times New Roman" w:eastAsia="Times New Roman" w:hAnsi="Times New Roman"/>
          <w:sz w:val="20"/>
          <w:szCs w:val="20"/>
          <w:color w:val="auto"/>
        </w:rPr>
      </w:pPr>
    </w:p>
    <w:p>
      <w:pPr>
        <w:jc w:val="both"/>
        <w:ind w:left="1960" w:firstLine="640"/>
        <w:spacing w:after="0" w:line="269" w:lineRule="auto"/>
        <w:tabs>
          <w:tab w:leader="none" w:pos="3041" w:val="left"/>
        </w:tabs>
        <w:numPr>
          <w:ilvl w:val="3"/>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Document, executed copies of IRS Form W– 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64" w:lineRule="exact"/>
        <w:rPr>
          <w:rFonts w:ascii="Times New Roman" w:cs="Times New Roman" w:eastAsia="Times New Roman" w:hAnsi="Times New Roman"/>
          <w:sz w:val="19"/>
          <w:szCs w:val="19"/>
          <w:color w:val="auto"/>
        </w:rPr>
      </w:pPr>
    </w:p>
    <w:p>
      <w:pPr>
        <w:ind w:left="3020" w:hanging="420"/>
        <w:spacing w:after="0"/>
        <w:tabs>
          <w:tab w:leader="none" w:pos="3020" w:val="left"/>
        </w:tabs>
        <w:numPr>
          <w:ilvl w:val="3"/>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29" w:lineRule="exact"/>
        <w:rPr>
          <w:rFonts w:ascii="Times New Roman" w:cs="Times New Roman" w:eastAsia="Times New Roman" w:hAnsi="Times New Roman"/>
          <w:sz w:val="20"/>
          <w:szCs w:val="20"/>
          <w:color w:val="auto"/>
        </w:rPr>
      </w:pPr>
    </w:p>
    <w:p>
      <w:pPr>
        <w:jc w:val="both"/>
        <w:ind w:left="1960" w:firstLine="640"/>
        <w:spacing w:after="0" w:line="281" w:lineRule="auto"/>
        <w:tabs>
          <w:tab w:leader="none" w:pos="3134" w:val="left"/>
        </w:tabs>
        <w:numPr>
          <w:ilvl w:val="3"/>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3.01–1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008" w:right="339" w:bottom="1440" w:gutter="0" w:footer="0" w:header="0"/>
        </w:sectPr>
      </w:pPr>
    </w:p>
    <w:bookmarkStart w:id="67" w:name="page68"/>
    <w:bookmarkEnd w:id="67"/>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 8BEN–E (or W–8BEN, as applicable); or</w:t>
      </w:r>
    </w:p>
    <w:p>
      <w:pPr>
        <w:spacing w:after="0" w:line="181" w:lineRule="exact"/>
        <w:rPr>
          <w:sz w:val="20"/>
          <w:szCs w:val="20"/>
          <w:color w:val="auto"/>
        </w:rPr>
      </w:pPr>
    </w:p>
    <w:p>
      <w:pPr>
        <w:jc w:val="both"/>
        <w:ind w:left="1960" w:firstLine="640"/>
        <w:spacing w:after="0" w:line="251" w:lineRule="auto"/>
        <w:tabs>
          <w:tab w:leader="none" w:pos="3120" w:val="left"/>
        </w:tabs>
        <w:numPr>
          <w:ilvl w:val="3"/>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20"/>
          <w:szCs w:val="20"/>
          <w:u w:val="single" w:color="auto"/>
          <w:color w:val="auto"/>
        </w:rPr>
        <w:t>Exhibit 3.01–2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3.01–3</w:t>
      </w:r>
      <w:r>
        <w:rPr>
          <w:rFonts w:ascii="Times New Roman" w:cs="Times New Roman" w:eastAsia="Times New Roman" w:hAnsi="Times New Roman"/>
          <w:sz w:val="20"/>
          <w:szCs w:val="20"/>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3.01–4</w:t>
      </w:r>
      <w:r>
        <w:rPr>
          <w:rFonts w:ascii="Times New Roman" w:cs="Times New Roman" w:eastAsia="Times New Roman" w:hAnsi="Times New Roman"/>
          <w:sz w:val="20"/>
          <w:szCs w:val="20"/>
          <w:color w:val="auto"/>
        </w:rPr>
        <w:t xml:space="preserve"> on behalf of each such direct and indirect partner;</w:t>
      </w:r>
    </w:p>
    <w:p>
      <w:pPr>
        <w:spacing w:after="0" w:line="192"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72"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9" w:lineRule="exact"/>
        <w:rPr>
          <w:rFonts w:ascii="Times New Roman" w:cs="Times New Roman" w:eastAsia="Times New Roman" w:hAnsi="Times New Roman"/>
          <w:sz w:val="20"/>
          <w:szCs w:val="20"/>
          <w:color w:val="auto"/>
        </w:rPr>
      </w:pPr>
    </w:p>
    <w:p>
      <w:pPr>
        <w:jc w:val="both"/>
        <w:ind w:left="1300" w:firstLine="652"/>
        <w:spacing w:after="0" w:line="264" w:lineRule="auto"/>
        <w:tabs>
          <w:tab w:leader="none" w:pos="2472"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w:t>
      </w:r>
    </w:p>
    <w:p>
      <w:pPr>
        <w:spacing w:after="0" w:line="1" w:lineRule="exact"/>
        <w:rPr>
          <w:rFonts w:ascii="Times New Roman" w:cs="Times New Roman" w:eastAsia="Times New Roman" w:hAnsi="Times New Roman"/>
          <w:sz w:val="19"/>
          <w:szCs w:val="19"/>
          <w:color w:val="auto"/>
        </w:rPr>
      </w:pPr>
    </w:p>
    <w:p>
      <w:pPr>
        <w:jc w:val="both"/>
        <w:ind w:left="130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clause (f)(ii)(D), “FATCA” shall include any amendments made to FATCA after the date of this Agreement.</w:t>
      </w:r>
    </w:p>
    <w:p>
      <w:pPr>
        <w:spacing w:after="0" w:line="195"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87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19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such Loan Party an amount equal to such refund (but only to the extent of indemnity payments made, or additional amounts paid, by such Loan Party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(including Taxes) incurred by such Recipient, as the case may be, and without interest (other than any interest paid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008" w:right="339" w:bottom="144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20"/>
          <w:szCs w:val="20"/>
          <w:color w:val="auto"/>
        </w:rPr>
        <w:t>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clause (g), in no event will the applicable Recipient be required to pay any amount to such Loan Party pursuant to this clause (g)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clause (g) shall not be construed to require any Recipient to make available its tax returns (or any other information relating to its Taxes that it deems confidential) to any Loan Party or any other Person.</w:t>
      </w:r>
    </w:p>
    <w:p>
      <w:pPr>
        <w:spacing w:after="0" w:line="176" w:lineRule="exact"/>
        <w:rPr>
          <w:sz w:val="20"/>
          <w:szCs w:val="20"/>
          <w:color w:val="auto"/>
        </w:rPr>
      </w:pPr>
    </w:p>
    <w:p>
      <w:pPr>
        <w:jc w:val="both"/>
        <w:ind w:firstLine="656"/>
        <w:spacing w:after="0" w:line="268" w:lineRule="auto"/>
        <w:tabs>
          <w:tab w:leader="none" w:pos="1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5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Times New Roman" w:cs="Times New Roman" w:eastAsia="Times New Roman" w:hAnsi="Times New Roman"/>
          <w:sz w:val="19"/>
          <w:szCs w:val="19"/>
          <w:b w:val="1"/>
          <w:bCs w:val="1"/>
          <w:u w:val="single" w:color="auto"/>
          <w:color w:val="auto"/>
        </w:rPr>
        <w:t>Illegality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If any Lender determines that any Law has made it unlawful, or that any Governmental Authority has asserted that it is unlawful, for any Lender or its Lending Office to make, maintain or fund or charge interest with respect to any Credit Extension,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3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3.03</w:t>
      </w:r>
      <w:r>
        <w:rPr>
          <w:sz w:val="20"/>
          <w:szCs w:val="20"/>
          <w:color w:val="auto"/>
        </w:rPr>
        <w:tab/>
      </w:r>
      <w:r>
        <w:rPr>
          <w:rFonts w:ascii="Times New Roman" w:cs="Times New Roman" w:eastAsia="Times New Roman" w:hAnsi="Times New Roman"/>
          <w:sz w:val="19"/>
          <w:szCs w:val="19"/>
          <w:b w:val="1"/>
          <w:bCs w:val="1"/>
          <w:u w:val="single" w:color="auto"/>
          <w:color w:val="auto"/>
        </w:rPr>
        <w:t>Inability to Determine Rates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3" w:lineRule="auto"/>
        <w:tabs>
          <w:tab w:leader="none" w:pos="128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or a conversion to or a continuation thereof,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Term SOFR Loan does not adequately and fairly reflect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08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cost to such Lenders of funding such Loan, the Administrative Agent will promptly so notify the Borrower and each Lender.</w:t>
      </w:r>
    </w:p>
    <w:p>
      <w:pPr>
        <w:spacing w:after="0" w:line="256" w:lineRule="exact"/>
        <w:rPr>
          <w:sz w:val="20"/>
          <w:szCs w:val="20"/>
          <w:color w:val="auto"/>
        </w:rPr>
      </w:pPr>
    </w:p>
    <w:p>
      <w:pPr>
        <w:jc w:val="both"/>
        <w:ind w:firstLine="208"/>
        <w:spacing w:after="0" w:line="253" w:lineRule="auto"/>
        <w:rPr>
          <w:sz w:val="20"/>
          <w:szCs w:val="20"/>
          <w:color w:val="auto"/>
        </w:rPr>
      </w:pPr>
      <w:r>
        <w:rPr>
          <w:rFonts w:ascii="Times New Roman" w:cs="Times New Roman" w:eastAsia="Times New Roman" w:hAnsi="Times New Roman"/>
          <w:sz w:val="20"/>
          <w:szCs w:val="20"/>
          <w:color w:val="auto"/>
        </w:rPr>
        <w:t>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Section 3.03(a), until the Administrative Agent upon instruction of the Required Lenders) revokes such notice.</w:t>
      </w:r>
    </w:p>
    <w:p>
      <w:pPr>
        <w:spacing w:after="0" w:line="179" w:lineRule="exact"/>
        <w:rPr>
          <w:sz w:val="20"/>
          <w:szCs w:val="20"/>
          <w:color w:val="auto"/>
        </w:rPr>
      </w:pPr>
    </w:p>
    <w:p>
      <w:pPr>
        <w:jc w:val="both"/>
        <w:ind w:firstLine="221"/>
        <w:spacing w:after="0" w:line="258" w:lineRule="auto"/>
        <w:rPr>
          <w:sz w:val="20"/>
          <w:szCs w:val="20"/>
          <w:color w:val="auto"/>
        </w:rPr>
      </w:pPr>
      <w:r>
        <w:rPr>
          <w:rFonts w:ascii="Times New Roman" w:cs="Times New Roman" w:eastAsia="Times New Roman" w:hAnsi="Times New Roman"/>
          <w:sz w:val="20"/>
          <w:szCs w:val="20"/>
          <w:color w:val="auto"/>
        </w:rPr>
        <w:t>Upon receipt of such notice, (i) the Borrower may revoke any pending request for a Borrowing of,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186" w:lineRule="exact"/>
        <w:rPr>
          <w:sz w:val="20"/>
          <w:szCs w:val="20"/>
          <w:color w:val="auto"/>
        </w:rPr>
      </w:pPr>
    </w:p>
    <w:p>
      <w:pPr>
        <w:jc w:val="both"/>
        <w:ind w:firstLine="656"/>
        <w:spacing w:after="0" w:line="254" w:lineRule="auto"/>
        <w:tabs>
          <w:tab w:leader="none" w:pos="11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SOFR or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214"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208"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20"/>
          <w:szCs w:val="20"/>
          <w:u w:val="single" w:color="auto"/>
          <w:color w:val="auto"/>
        </w:rPr>
        <w:t>Scheduled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Unavailability Date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then, on a date and time determined by the Administrative Agent (any such date, the “</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20"/>
          <w:szCs w:val="20"/>
          <w:u w:val="single" w:color="auto"/>
          <w:color w:val="auto"/>
        </w:rPr>
        <w:t>Successor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the Successor Rate is Daily Simple SOFR, all interest payments will be payable on a monthly basis.</w:t>
      </w:r>
    </w:p>
    <w:p>
      <w:pPr>
        <w:spacing w:after="0" w:line="216" w:lineRule="exact"/>
        <w:rPr>
          <w:sz w:val="20"/>
          <w:szCs w:val="20"/>
          <w:color w:val="auto"/>
        </w:rPr>
      </w:pPr>
    </w:p>
    <w:p>
      <w:pPr>
        <w:jc w:val="both"/>
        <w:ind w:right="20" w:firstLine="211"/>
        <w:spacing w:after="0" w:line="26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Successor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008" w:right="339" w:bottom="1440" w:gutter="0" w:footer="0" w:header="0"/>
        </w:sectPr>
      </w:pPr>
    </w:p>
    <w:bookmarkStart w:id="70" w:name="page71"/>
    <w:bookmarkEnd w:id="70"/>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For the avoidance of doubt, any such proposed rate and adjustments, shall constitute a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Borrower and each Lender of the implementation of any Successor Rate.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0%, the Successor Rate will be deemed to be 0% for the purposes of this Agreement and the other Loan Documents.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21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3.04</w:t>
      </w:r>
      <w:r>
        <w:rPr>
          <w:sz w:val="20"/>
          <w:szCs w:val="20"/>
          <w:color w:val="auto"/>
        </w:rPr>
        <w:tab/>
      </w:r>
      <w:r>
        <w:rPr>
          <w:rFonts w:ascii="Times New Roman" w:cs="Times New Roman" w:eastAsia="Times New Roman" w:hAnsi="Times New Roman"/>
          <w:sz w:val="19"/>
          <w:szCs w:val="19"/>
          <w:b w:val="1"/>
          <w:bCs w:val="1"/>
          <w:u w:val="single" w:color="auto"/>
          <w:color w:val="auto"/>
        </w:rPr>
        <w:t>Increased Costs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82"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55"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5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any other condition, cost or expense (other than Taxes) affecting this Agreement or Term SOFR Loans made by such Lender or any Letter of Credit or participation therein;</w:t>
      </w:r>
    </w:p>
    <w:p>
      <w:pPr>
        <w:spacing w:after="0" w:line="173" w:lineRule="exact"/>
        <w:rPr>
          <w:sz w:val="20"/>
          <w:szCs w:val="20"/>
          <w:color w:val="auto"/>
        </w:rPr>
      </w:pPr>
    </w:p>
    <w:p>
      <w:pPr>
        <w:jc w:val="both"/>
        <w:ind w:left="660"/>
        <w:spacing w:after="0" w:line="276"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008" w:right="339" w:bottom="1440" w:gutter="0" w:footer="0" w:header="0"/>
        </w:sectPr>
      </w:pPr>
    </w:p>
    <w:bookmarkStart w:id="71" w:name="page72"/>
    <w:bookmarkEnd w:id="71"/>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81" w:lineRule="exact"/>
        <w:rPr>
          <w:sz w:val="20"/>
          <w:szCs w:val="20"/>
          <w:color w:val="auto"/>
        </w:rPr>
      </w:pPr>
    </w:p>
    <w:p>
      <w:pPr>
        <w:jc w:val="both"/>
        <w:ind w:firstLine="656"/>
        <w:spacing w:after="0" w:line="250" w:lineRule="auto"/>
        <w:tabs>
          <w:tab w:leader="none" w:pos="113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9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1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delivered to the Borrower shall be conclusive absent manifest error. The Borrower shall pay such Lender or the L/C Issuer, as the case may be, the amount shown as due on any such certificate within ten (10) days after receipt thereof.</w:t>
      </w:r>
    </w:p>
    <w:p>
      <w:pPr>
        <w:spacing w:after="0" w:line="17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7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the L/C Issuer’s right to demand such compensation, provided that the Borrower shall not be required to compensate a Lender or the L/C Issuer pursuant to the foregoing provisions of this Section for any increased costs incurred or reductions suffered more than nine (9)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3.05</w:t>
      </w:r>
      <w:r>
        <w:rPr>
          <w:sz w:val="20"/>
          <w:szCs w:val="20"/>
          <w:color w:val="auto"/>
        </w:rPr>
        <w:tab/>
      </w:r>
      <w:r>
        <w:rPr>
          <w:rFonts w:ascii="Times New Roman" w:cs="Times New Roman" w:eastAsia="Times New Roman" w:hAnsi="Times New Roman"/>
          <w:sz w:val="19"/>
          <w:szCs w:val="19"/>
          <w:b w:val="1"/>
          <w:bCs w:val="1"/>
          <w:u w:val="single" w:color="auto"/>
          <w:color w:val="auto"/>
        </w:rPr>
        <w:t>Compensation for Losses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Upon written demand of any Lender (with a copy to the Administrative Agent) from time to time, the Borrower shall promptly compensate such Lender for and hold such Lender harmless from any loss, cost or expense incurred by it as a result of:</w:t>
      </w:r>
    </w:p>
    <w:p>
      <w:pPr>
        <w:spacing w:after="0" w:line="160" w:lineRule="exact"/>
        <w:rPr>
          <w:sz w:val="20"/>
          <w:szCs w:val="20"/>
          <w:color w:val="auto"/>
        </w:rPr>
      </w:pPr>
    </w:p>
    <w:p>
      <w:pPr>
        <w:ind w:firstLine="656"/>
        <w:spacing w:after="0" w:line="269" w:lineRule="auto"/>
        <w:tabs>
          <w:tab w:leader="none" w:pos="107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 or</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10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8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on a day other than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including any loss of anticipated profits and any loss or expense arising from the liquidation or reemployment of funds obtained by it to maintain such Loan or from fees payable to terminate the deposits from which such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008" w:right="339" w:bottom="1440" w:gutter="0" w:footer="0" w:header="0"/>
        </w:sectPr>
      </w:pPr>
    </w:p>
    <w:bookmarkStart w:id="72" w:name="page73"/>
    <w:bookmarkEnd w:id="72"/>
    <w:p>
      <w:pPr>
        <w:ind w:right="20"/>
        <w:spacing w:after="0" w:line="283" w:lineRule="auto"/>
        <w:rPr>
          <w:sz w:val="20"/>
          <w:szCs w:val="20"/>
          <w:color w:val="auto"/>
        </w:rPr>
      </w:pPr>
      <w:r>
        <w:rPr>
          <w:rFonts w:ascii="Times New Roman" w:cs="Times New Roman" w:eastAsia="Times New Roman" w:hAnsi="Times New Roman"/>
          <w:sz w:val="20"/>
          <w:szCs w:val="20"/>
          <w:color w:val="auto"/>
        </w:rPr>
        <w:t>were obtained. The Borrower shall also pay any reasonable, documented and customary administrative fees charged by such Lender in connection with the foregoing.</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3.06</w:t>
      </w:r>
      <w:r>
        <w:rPr>
          <w:sz w:val="20"/>
          <w:szCs w:val="20"/>
          <w:color w:val="auto"/>
        </w:rPr>
        <w:tab/>
      </w:r>
      <w:r>
        <w:rPr>
          <w:rFonts w:ascii="Times New Roman" w:cs="Times New Roman" w:eastAsia="Times New Roman" w:hAnsi="Times New Roman"/>
          <w:sz w:val="19"/>
          <w:szCs w:val="19"/>
          <w:b w:val="1"/>
          <w:bCs w:val="1"/>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0" w:lineRule="auto"/>
        <w:tabs>
          <w:tab w:leader="none" w:pos="128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9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xml:space="preserve">), the Borrower may replace such Lender in accordance with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3.07</w:t>
      </w:r>
      <w:r>
        <w:rPr>
          <w:sz w:val="20"/>
          <w:szCs w:val="20"/>
          <w:color w:val="auto"/>
        </w:rPr>
        <w:tab/>
      </w: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Commitments, repayment of all other Obligations hereunder, resignation of the Administrative Agent and the Facility Termination Date.</w:t>
      </w:r>
    </w:p>
    <w:p>
      <w:pPr>
        <w:spacing w:after="0" w:line="3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 TO CREDIT EXTENSIONS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4.01</w:t>
      </w:r>
      <w:r>
        <w:rPr>
          <w:sz w:val="20"/>
          <w:szCs w:val="20"/>
          <w:color w:val="auto"/>
        </w:rPr>
        <w:tab/>
      </w:r>
      <w:r>
        <w:rPr>
          <w:rFonts w:ascii="Times New Roman" w:cs="Times New Roman" w:eastAsia="Times New Roman" w:hAnsi="Times New Roman"/>
          <w:sz w:val="19"/>
          <w:szCs w:val="19"/>
          <w:b w:val="1"/>
          <w:bCs w:val="1"/>
          <w:u w:val="single" w:color="auto"/>
          <w:color w:val="auto"/>
        </w:rPr>
        <w:t>Conditions of Initial Credit Extension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obligation of the L/C Issuer and each Lender to make its initial Credit Extension hereunder is subject to satisfaction of the following conditions precedent:</w:t>
      </w:r>
    </w:p>
    <w:p>
      <w:pPr>
        <w:spacing w:after="0" w:line="173" w:lineRule="exact"/>
        <w:rPr>
          <w:sz w:val="20"/>
          <w:szCs w:val="20"/>
          <w:color w:val="auto"/>
        </w:rPr>
      </w:pPr>
    </w:p>
    <w:p>
      <w:pPr>
        <w:jc w:val="both"/>
        <w:ind w:firstLine="656"/>
        <w:spacing w:after="0" w:line="258" w:lineRule="auto"/>
        <w:tabs>
          <w:tab w:leader="none" w:pos="128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of Credit Agreement; Loan Documents</w:t>
      </w:r>
      <w:r>
        <w:rPr>
          <w:rFonts w:ascii="Times New Roman" w:cs="Times New Roman" w:eastAsia="Times New Roman" w:hAnsi="Times New Roman"/>
          <w:sz w:val="20"/>
          <w:szCs w:val="20"/>
          <w:color w:val="auto"/>
        </w:rPr>
        <w:t>. The Administrative Agent shall have received (i) counterparts of this Agreement, executed by a Responsible Officer of each Loan Party, (ii) counterparts of the Security Agreement and each other Collateral Document, executed by a Responsible Officer of the applicable Loan Parties and (iii) counterparts of any other Loan Document, executed by a Responsible Officer of the applicable Loan Party.</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The Administrative Agent shall have received an Officer’s Certificate dated the Closing Date, (A) certifying as to (i) the Organization Documents of each Loan Party (which, to the extent filed with a Governmental Authority, shall be certified as of a recent date acceptable to the Administrative Agent by such Governmental Authority), (ii) the resolutions of the governing body of each Loan Party and (iii) the incumbency (including specimen signatures) of the Responsible Officers of each Loan Party and (B) attaching certificates of the good standing, existence or its equivalent of each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089" w:right="339" w:bottom="1440" w:gutter="0" w:footer="0" w:header="0"/>
        </w:sectPr>
      </w:pPr>
    </w:p>
    <w:bookmarkStart w:id="73" w:name="page74"/>
    <w:bookmarkEnd w:id="73"/>
    <w:p>
      <w:pPr>
        <w:jc w:val="both"/>
        <w:ind w:firstLine="656"/>
        <w:spacing w:after="0" w:line="261"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 of Counsel</w:t>
      </w:r>
      <w:r>
        <w:rPr>
          <w:rFonts w:ascii="Times New Roman" w:cs="Times New Roman" w:eastAsia="Times New Roman" w:hAnsi="Times New Roman"/>
          <w:sz w:val="20"/>
          <w:szCs w:val="20"/>
          <w:color w:val="auto"/>
        </w:rPr>
        <w:t>. The Administrative Agent shall have received an opinion of Sidley Austin LLP, as New York counsel to the Loan Parties, dated the Closing Date and addressed to the Administrative Agent and the Lenders, in form and substance reasonably acceptable to the Administrative Agent.</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 The Administrative Agent shall have received, in form and substance satisfactory to the Administrative Agent: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searches of UCC filings in the jurisdiction of incorporation or formation, as applicable, of each Loan Party, copies of the financing statements on file in such jurisdictions and evidence that no Liens exist other than Permitted Liens and (B) tax lien and judgment searches;</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55"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searches of ownership of Intellectual Property owned by each of the Loan Parties in the appropriate U.S. governmental offices; and</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5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UCC financing statements for each appropriate jurisdiction as is necessary, in the Administrative Agent’s sole discretion, to perfect the Administrative Agent’s security interest in the Collateral.</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Administrative Agent shall have received copies of certificates, and, subject to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endorsements of insurance evidencing liability and property insurance meeting the requirements set forth herein or in the Collateral Documents or as required by the Administrative Agent, including naming the Administrative Agent and its successors and assigns as additional insured (in the case of liability insurance) or loss payee (in the case of property insurance) on behalf of the Lenders.</w:t>
      </w:r>
    </w:p>
    <w:p>
      <w:pPr>
        <w:spacing w:after="0" w:line="18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Solvency Certificate signed by a Responsible Officer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Holdings.</w:t>
      </w:r>
    </w:p>
    <w:p>
      <w:pPr>
        <w:spacing w:after="0" w:line="20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Indebtedness of the Loan Parties</w:t>
      </w:r>
      <w:r>
        <w:rPr>
          <w:rFonts w:ascii="Times New Roman" w:cs="Times New Roman" w:eastAsia="Times New Roman" w:hAnsi="Times New Roman"/>
          <w:sz w:val="20"/>
          <w:szCs w:val="20"/>
          <w:color w:val="auto"/>
        </w:rPr>
        <w:t xml:space="preserve">. All of the existing Indebtedness for borrowed money of Holdings and its Subsidiaries (other than Indebtedness permitted to exist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shall be repaid in full and all security interests related thereto shall be terminated on or prior to the Closing Date.</w:t>
      </w:r>
    </w:p>
    <w:p>
      <w:pPr>
        <w:spacing w:after="0" w:line="167"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Anti-Money-Laundering</w:t>
      </w:r>
      <w:r>
        <w:rPr>
          <w:rFonts w:ascii="Times New Roman" w:cs="Times New Roman" w:eastAsia="Times New Roman" w:hAnsi="Times New Roman"/>
          <w:sz w:val="20"/>
          <w:szCs w:val="20"/>
          <w:color w:val="auto"/>
        </w:rPr>
        <w:t>. 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9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Receipt by the Administrative Agent and the Lenders of any fees required hereunder or in the Fee Letter to be paid on or before the Closing Date.</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9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The Borrower shall have paid all fees, charges and disbursements of counsel to the Administrative Agent to the extent due under the Loan Documents and invoiced at least one (1) Business Day prior to the Closing Date.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4.02</w:t>
      </w:r>
      <w:r>
        <w:rPr>
          <w:sz w:val="20"/>
          <w:szCs w:val="20"/>
          <w:color w:val="auto"/>
        </w:rPr>
        <w:tab/>
      </w:r>
      <w:r>
        <w:rPr>
          <w:rFonts w:ascii="Times New Roman" w:cs="Times New Roman" w:eastAsia="Times New Roman" w:hAnsi="Times New Roman"/>
          <w:sz w:val="19"/>
          <w:szCs w:val="19"/>
          <w:b w:val="1"/>
          <w:bCs w:val="1"/>
          <w:u w:val="single" w:color="auto"/>
          <w:color w:val="auto"/>
        </w:rPr>
        <w:t>Conditions to all Credit Extensions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089" w:right="339" w:bottom="1440" w:gutter="0" w:footer="0" w:header="0"/>
        </w:sectPr>
      </w:pPr>
    </w:p>
    <w:bookmarkStart w:id="74" w:name="page75"/>
    <w:bookmarkEnd w:id="74"/>
    <w:p>
      <w:pPr>
        <w:ind w:firstLine="648"/>
        <w:spacing w:after="0" w:line="283" w:lineRule="auto"/>
        <w:rPr>
          <w:sz w:val="20"/>
          <w:szCs w:val="20"/>
          <w:color w:val="auto"/>
        </w:rPr>
      </w:pPr>
      <w:r>
        <w:rPr>
          <w:rFonts w:ascii="Times New Roman" w:cs="Times New Roman" w:eastAsia="Times New Roman" w:hAnsi="Times New Roman"/>
          <w:sz w:val="20"/>
          <w:szCs w:val="20"/>
          <w:color w:val="auto"/>
        </w:rPr>
        <w:t>The obligation of each Lender and the L/C Issuer to honor any Request for Credit Extension (other than a Loan Notice requesting only a conversion of Loans to the other Type, or a continuation of Term SOFR Loans) is subject to the following conditions precedent:</w:t>
      </w:r>
    </w:p>
    <w:p>
      <w:pPr>
        <w:spacing w:after="0" w:line="146" w:lineRule="exact"/>
        <w:rPr>
          <w:sz w:val="20"/>
          <w:szCs w:val="20"/>
          <w:color w:val="auto"/>
        </w:rPr>
      </w:pPr>
    </w:p>
    <w:p>
      <w:pPr>
        <w:jc w:val="both"/>
        <w:ind w:firstLine="656"/>
        <w:spacing w:after="0" w:line="251" w:lineRule="auto"/>
        <w:tabs>
          <w:tab w:leader="none" w:pos="128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Borrower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Credit Extension except to the extent that such representation and warranties specifically refer to an earlier date, in which case shall be true and correct in all respects of such earlier date and (ii) with respect to representations and warranties that do not contain a materiality qualification, be true and correct in all material respects on and as of the date of such Credit Extension except to the extent that such representation and warranties specifically refer to an earlier date, in which case shall be true and correct in all respects of such earlier date.</w:t>
      </w:r>
    </w:p>
    <w:p>
      <w:pPr>
        <w:spacing w:after="0" w:line="195"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No Default shall have occurred and be continuing, or would result from such proposed Credit Extension or from the application of the proceeds thereof.</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The Administrative Agent and, if applicable, the L/C Issuer or the Swingline Lender shall have received a Request for Credit Extension in accordance with the requirements hereof.</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have been satisfied on and as of the date of the applicable Credit Extension (other than any such condition that has been waived in accordance with this Agreement).</w:t>
      </w: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Loan Party represents and warrants to the Administrative Agent and the Lenders, as of the date made or deemed made, that:</w:t>
      </w:r>
    </w:p>
    <w:p>
      <w:pPr>
        <w:spacing w:after="0" w:line="21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5.01</w:t>
      </w:r>
      <w:r>
        <w:rPr>
          <w:sz w:val="20"/>
          <w:szCs w:val="20"/>
          <w:color w:val="auto"/>
        </w:rPr>
        <w:tab/>
      </w:r>
      <w:r>
        <w:rPr>
          <w:rFonts w:ascii="Times New Roman" w:cs="Times New Roman" w:eastAsia="Times New Roman" w:hAnsi="Times New Roman"/>
          <w:sz w:val="19"/>
          <w:szCs w:val="19"/>
          <w:b w:val="1"/>
          <w:bCs w:val="1"/>
          <w:u w:val="single" w:color="auto"/>
          <w:color w:val="auto"/>
        </w:rPr>
        <w:t>Existence</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Qualification and Power</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(other than with respect to Loan Parties), </w:t>
      </w:r>
      <w:r>
        <w:rPr>
          <w:rFonts w:ascii="Times New Roman" w:cs="Times New Roman" w:eastAsia="Times New Roman" w:hAnsi="Times New Roman"/>
          <w:sz w:val="20"/>
          <w:szCs w:val="20"/>
          <w:u w:val="single" w:color="auto"/>
          <w:color w:val="auto"/>
        </w:rPr>
        <w:t>(b)(i</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5.02</w:t>
      </w:r>
      <w:r>
        <w:rPr>
          <w:sz w:val="20"/>
          <w:szCs w:val="20"/>
          <w:color w:val="auto"/>
        </w:rPr>
        <w:tab/>
      </w:r>
      <w:r>
        <w:rPr>
          <w:rFonts w:ascii="Times New Roman" w:cs="Times New Roman" w:eastAsia="Times New Roman" w:hAnsi="Times New Roman"/>
          <w:sz w:val="19"/>
          <w:szCs w:val="19"/>
          <w:b w:val="1"/>
          <w:bCs w:val="1"/>
          <w:u w:val="single" w:color="auto"/>
          <w:color w:val="auto"/>
        </w:rPr>
        <w:t>Authorization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No Contravention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such Person is a party have been duly authorized by all necessary corporate or other organizational action, and do not and will not (a) contravene the terms of any of such Person’s Organization Documents; (b) conflict with or result in any breach or contravention of, or the creation of (or the requirement to create) any Lien (other than Permitted Liens) under, or require any payment to be made under (i) any Contractual Obligation to which such Person is a party or affecting such Person or the properties of such Person or any of its Subsidiaries or (ii) any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927"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injunction, writ or decree of any Governmental Authority or any arbitral award to which such Person or its property is subject; or (c) violate any Applicable Law; except with respect to any breach or contravention referred to in </w:t>
      </w:r>
      <w:r>
        <w:rPr>
          <w:rFonts w:ascii="Times New Roman" w:cs="Times New Roman" w:eastAsia="Times New Roman" w:hAnsi="Times New Roman"/>
          <w:sz w:val="20"/>
          <w:szCs w:val="20"/>
          <w:u w:val="single" w:color="auto"/>
          <w:color w:val="auto"/>
        </w:rPr>
        <w:t>clauses (b)(ii)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to the extent that such conflict, breach, contravention or payment would not reasonably be expected to have a Material Adverse Effect.</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5.03</w:t>
      </w:r>
      <w:r>
        <w:rPr>
          <w:sz w:val="20"/>
          <w:szCs w:val="20"/>
          <w:color w:val="auto"/>
        </w:rPr>
        <w:tab/>
      </w:r>
      <w:r>
        <w:rPr>
          <w:rFonts w:ascii="Times New Roman" w:cs="Times New Roman" w:eastAsia="Times New Roman" w:hAnsi="Times New Roman"/>
          <w:sz w:val="19"/>
          <w:szCs w:val="19"/>
          <w:b w:val="1"/>
          <w:bCs w:val="1"/>
          <w:u w:val="single" w:color="auto"/>
          <w:color w:val="auto"/>
        </w:rPr>
        <w:t>Governmental Authorization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Other Consents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or (c) the perfection or maintenance of the Liens created under the Collateral Documents (including the first priority (subject to Permitted Liens) nature thereof), other than (i) authorizations, approvals, actions, notices and filings which have been duly obtained,</w:t>
      </w:r>
    </w:p>
    <w:p>
      <w:pPr>
        <w:spacing w:after="0" w:line="3" w:lineRule="exact"/>
        <w:rPr>
          <w:sz w:val="20"/>
          <w:szCs w:val="20"/>
          <w:color w:val="auto"/>
        </w:rPr>
      </w:pPr>
    </w:p>
    <w:p>
      <w:pPr>
        <w:ind w:right="20" w:firstLine="8"/>
        <w:spacing w:after="0" w:line="260" w:lineRule="auto"/>
        <w:tabs>
          <w:tab w:leader="none" w:pos="30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filings to perfect the Liens created by the Collateral Documents and (iii) those approvals, consents, exemptions, authorizations, actions, notices or filings, the failure of which to obtain or make would not reasonably be expected to have a Material Adverse Effect.</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5.04</w:t>
      </w:r>
      <w:r>
        <w:rPr>
          <w:sz w:val="20"/>
          <w:szCs w:val="20"/>
          <w:color w:val="auto"/>
        </w:rPr>
        <w:tab/>
      </w:r>
      <w:r>
        <w:rPr>
          <w:rFonts w:ascii="Times New Roman" w:cs="Times New Roman" w:eastAsia="Times New Roman" w:hAnsi="Times New Roman"/>
          <w:sz w:val="19"/>
          <w:szCs w:val="19"/>
          <w:b w:val="1"/>
          <w:bCs w:val="1"/>
          <w:u w:val="single" w:color="auto"/>
          <w:color w:val="auto"/>
        </w:rPr>
        <w:t>Binding Effect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principals of equity.</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5.04</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No Material Adverse Effect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3" w:lineRule="auto"/>
        <w:tabs>
          <w:tab w:leader="none" w:pos="128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The Audited Financial Statements (i) were prepared in accordance with GAAP consistently applied throughout the period covered thereby, except as otherwise expressly noted therein and (ii) fairly present in all material respects the financial condition of Holdings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xml:space="preserve">. The unaudited Consolidated balance sheet of Holdings and its Subsidiaries for the fiscal quarter ended on July 31, 2024,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Holdings and its Subsidiaries as of the date thereof and their results of operations, cash flows and changes in Shareholder’s Equity for the period covered thereby, subject,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to the absence of footnotes and to normal year-end audit adjustments.</w:t>
      </w:r>
    </w:p>
    <w:p>
      <w:pPr>
        <w:spacing w:after="0" w:line="178"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Since January 31, 2024, there has been no event or circumstance, either individually or in the aggregate, that has had or could reasonably be expected to have a Material Adverse Effect.</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5.06</w:t>
      </w:r>
      <w:r>
        <w:rPr>
          <w:sz w:val="20"/>
          <w:szCs w:val="20"/>
          <w:color w:val="auto"/>
        </w:rPr>
        <w:tab/>
      </w:r>
      <w:r>
        <w:rPr>
          <w:rFonts w:ascii="Times New Roman" w:cs="Times New Roman" w:eastAsia="Times New Roman" w:hAnsi="Times New Roman"/>
          <w:sz w:val="19"/>
          <w:szCs w:val="19"/>
          <w:b w:val="1"/>
          <w:bCs w:val="1"/>
          <w:u w:val="single" w:color="auto"/>
          <w:color w:val="auto"/>
        </w:rPr>
        <w:t>Litigation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There are no actions, suits, proceedings, claims or disputes pending or, to the knowledge of the Loan Parties, threatened in writing, at law, in equity, in arbitration or before any Governmental Authority, by or against any Loan Party or any Subsidiary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927" w:right="339" w:bottom="1440" w:gutter="0" w:footer="0" w:header="0"/>
        </w:sectPr>
      </w:pPr>
    </w:p>
    <w:bookmarkStart w:id="76" w:name="page77"/>
    <w:bookmarkEnd w:id="76"/>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5.07</w:t>
      </w:r>
      <w:r>
        <w:rPr>
          <w:sz w:val="20"/>
          <w:szCs w:val="20"/>
          <w:color w:val="auto"/>
        </w:rPr>
        <w:tab/>
      </w:r>
      <w:r>
        <w:rPr>
          <w:rFonts w:ascii="Times New Roman" w:cs="Times New Roman" w:eastAsia="Times New Roman" w:hAnsi="Times New Roman"/>
          <w:sz w:val="19"/>
          <w:szCs w:val="19"/>
          <w:b w:val="1"/>
          <w:bCs w:val="1"/>
          <w:u w:val="single" w:color="auto"/>
          <w:color w:val="auto"/>
        </w:rPr>
        <w:t>No Default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 Default has occurred and is continuing or would result from the consummation of the transactions contemplated by this Agreement or any other Loan Document.</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5.08</w:t>
      </w:r>
      <w:r>
        <w:rPr>
          <w:sz w:val="20"/>
          <w:szCs w:val="20"/>
          <w:color w:val="auto"/>
        </w:rPr>
        <w:tab/>
      </w:r>
      <w:r>
        <w:rPr>
          <w:rFonts w:ascii="Times New Roman" w:cs="Times New Roman" w:eastAsia="Times New Roman" w:hAnsi="Times New Roman"/>
          <w:sz w:val="19"/>
          <w:szCs w:val="19"/>
          <w:b w:val="1"/>
          <w:bCs w:val="1"/>
          <w:u w:val="single" w:color="auto"/>
          <w:color w:val="auto"/>
        </w:rPr>
        <w:t>Ownership of Property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Each Loan Party and each of its Subsidiaries has good record and marketable title in fee simple to, or valid leasehold interests in, all real property necessary or used in the ordinary conduct of its business, except with respect to Permitted Liens and for such defects in title as could not, individually or in the aggregate, reasonably be expected to have a Material Adverse Effect.</w:t>
      </w:r>
    </w:p>
    <w:p>
      <w:pPr>
        <w:spacing w:after="0" w:line="15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5.09</w:t>
      </w:r>
      <w:r>
        <w:rPr>
          <w:sz w:val="20"/>
          <w:szCs w:val="20"/>
          <w:color w:val="auto"/>
        </w:rPr>
        <w:tab/>
      </w:r>
      <w:r>
        <w:rPr>
          <w:rFonts w:ascii="Times New Roman" w:cs="Times New Roman" w:eastAsia="Times New Roman" w:hAnsi="Times New Roman"/>
          <w:sz w:val="19"/>
          <w:szCs w:val="19"/>
          <w:b w:val="1"/>
          <w:bCs w:val="1"/>
          <w:u w:val="single" w:color="auto"/>
          <w:color w:val="auto"/>
        </w:rPr>
        <w:t>Environmental Compliance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8" w:lineRule="auto"/>
        <w:tabs>
          <w:tab w:leader="none" w:pos="128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Subsidiary thereof is in compliance with the requirements of all Environmental Laws, except in such instances in which (a) such requirement of Environmental Law is being contested in good faith by appropriate proceedings diligently conducted or (b) the failure to comply therewith, either individually or in the aggregate, could not reasonably be expected to have a Material Adverse Effect.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Loan Party nor any of its Subsidiaries is undertaking, and has not completed, any remedial or response action relating to any actual or threatened release, discharge or disposal of Hazardous Materials at any site, location or operation, either voluntarily or pursuant to the order of any Governmental Authority or the requirements of any Environmental Law, in any case, that could reasonably be expected to have a Material Adverse Effect; and neither any Loan Party nor any of its Subsidiaries has generated, used, treated, handled or stored Hazardous Materials at, or disposed of or transported Hazardous Materials to or from, any property currently or formerly owned or operated by any Loan Party or any of its Subsidiaries in a manner that could reasonably be expected to have a Material Adverse Effect.</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5.10</w:t>
      </w:r>
      <w:r>
        <w:rPr>
          <w:sz w:val="20"/>
          <w:szCs w:val="20"/>
          <w:color w:val="auto"/>
        </w:rPr>
        <w:tab/>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properties of Holdings and its Subsidiaries are insured with financially sound and reputable insurance companies not Affiliates of Holdings,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20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5.11</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Loan Party and each of its Subsidiaries have filed all federal and state income and other material tax returns and reports required to be filed, and have paid all federal and state income and other material Taxes (whether or not shown on a tax return) levied or imposed upon it or its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nor is there any tax sharing agreement applicable to the Borrower or any Subsidiary (other than any agreement entered into (i) among members of a consolidated, combined or unitary group the parent of which is a Loan Party or (ii) in the ordinary course of business the primary subject matter of which is not Taxes).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5.12</w:t>
      </w:r>
      <w:r>
        <w:rPr>
          <w:sz w:val="20"/>
          <w:szCs w:val="20"/>
          <w:color w:val="auto"/>
        </w:rPr>
        <w:tab/>
      </w:r>
      <w:r>
        <w:rPr>
          <w:rFonts w:ascii="Times New Roman" w:cs="Times New Roman" w:eastAsia="Times New Roman" w:hAnsi="Times New Roman"/>
          <w:sz w:val="19"/>
          <w:szCs w:val="19"/>
          <w:b w:val="1"/>
          <w:bCs w:val="1"/>
          <w:u w:val="single" w:color="auto"/>
          <w:color w:val="auto"/>
        </w:rPr>
        <w:t>ERISA Compliance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right="20" w:firstLine="656"/>
        <w:spacing w:after="0" w:line="283" w:lineRule="auto"/>
        <w:tabs>
          <w:tab w:leader="none" w:pos="128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have a Material Adverse Effect, each Plan is in compliance in all material respects with the applicable provisions of ERISA, the Code and other federal or state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085" w:right="339" w:bottom="1440" w:gutter="0" w:footer="0" w:header="0"/>
        </w:sectPr>
      </w:pPr>
    </w:p>
    <w:bookmarkStart w:id="77" w:name="page78"/>
    <w:bookmarkEnd w:id="77"/>
    <w:p>
      <w:pPr>
        <w:jc w:val="both"/>
        <w:ind w:firstLine="656"/>
        <w:spacing w:after="0" w:line="253" w:lineRule="auto"/>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Loan Parties, threatened claims, actions or lawsuits, or action by any Governmental Authority, with respect to any Plan that could reasonably be expected to result in liability to the Loan Parties which could reasonably be expected to have a Material Adverse Effect. To the knowledge of the Loan Parties, there has been no prohibited transaction or violation of the fiduciary responsibility rules with respect to any Plan that has resulted or could reasonably be expected to result in a Material Adverse Effect.</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each case, as would not reasonably be expected to result in liability to the Loan Parties which could reasonably be expected to have a Material Adverse Effect: (i) No Loan Party is aware of any fact, event or circumstance that could reasonably be expected to constitute an ERISA Event with respect to any Pension Plan or Multiemployer Plan; (ii) the Borrower has not engaged in a transaction that could be subject to Section 4069 or Section 4212(c) of ERISA; and (iii) no Pension Plan has been terminated by the plan administrator thereof nor by the PBGC.</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does not maintain or contribute to, or have any unsatisfied obligation to contribute to, or liability (including any liability in respect of an ERISA Affiliate) under, any active or terminated Pension Plan other than Pension Plans not otherwise prohibited by this Agreement.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represents and warrants as of the Closing Date that the Borrower is not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5.13</w:t>
      </w:r>
      <w:r>
        <w:rPr>
          <w:sz w:val="20"/>
          <w:szCs w:val="20"/>
          <w:color w:val="auto"/>
        </w:rPr>
        <w:tab/>
      </w:r>
      <w:r>
        <w:rPr>
          <w:rFonts w:ascii="Times New Roman" w:cs="Times New Roman" w:eastAsia="Times New Roman" w:hAnsi="Times New Roman"/>
          <w:sz w:val="19"/>
          <w:szCs w:val="19"/>
          <w:b w:val="1"/>
          <w:bCs w:val="1"/>
          <w:u w:val="single" w:color="auto"/>
          <w:color w:val="auto"/>
        </w:rPr>
        <w:t>Margin Regulations; Investment Company Act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3" w:lineRule="auto"/>
        <w:tabs>
          <w:tab w:leader="none" w:pos="128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xml:space="preserve">. Neither the Borrower not any of its Subsidiaries is engaged and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twenty-five percent (25.0%) of the value of the assets (either of the Borrower only or of Holdings and its Subsidiaries on a Consolidated basis) subject to the provisions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or subject to any restriction contained in any agreement or instrument between Holdings or any of its Subsidiaries and any Lender or any Affiliate of any Lender relating to Indebtedness and within the scope of </w:t>
      </w:r>
      <w:r>
        <w:rPr>
          <w:rFonts w:ascii="Times New Roman" w:cs="Times New Roman" w:eastAsia="Times New Roman" w:hAnsi="Times New Roman"/>
          <w:sz w:val="20"/>
          <w:szCs w:val="20"/>
          <w:u w:val="single" w:color="auto"/>
          <w:color w:val="auto"/>
        </w:rPr>
        <w:t>Section 8.01(e</w:t>
      </w:r>
      <w:r>
        <w:rPr>
          <w:rFonts w:ascii="Times New Roman" w:cs="Times New Roman" w:eastAsia="Times New Roman" w:hAnsi="Times New Roman"/>
          <w:sz w:val="20"/>
          <w:szCs w:val="20"/>
          <w:color w:val="auto"/>
        </w:rPr>
        <w:t>) will be margin stock.</w:t>
      </w:r>
    </w:p>
    <w:p>
      <w:pPr>
        <w:spacing w:after="0" w:line="179"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None of the Loan Parties is required to be registered as an “investment company” under the Investment Company Act of 1940.</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5.14</w:t>
      </w:r>
      <w:r>
        <w:rPr>
          <w:sz w:val="20"/>
          <w:szCs w:val="20"/>
          <w:color w:val="auto"/>
        </w:rPr>
        <w:tab/>
      </w:r>
      <w:r>
        <w:rPr>
          <w:rFonts w:ascii="Times New Roman" w:cs="Times New Roman" w:eastAsia="Times New Roman" w:hAnsi="Times New Roman"/>
          <w:sz w:val="19"/>
          <w:szCs w:val="19"/>
          <w:b w:val="1"/>
          <w:bCs w:val="1"/>
          <w:u w:val="single" w:color="auto"/>
          <w:color w:val="auto"/>
        </w:rPr>
        <w:t>Disclosure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materially misleading; provided, that, with respect to projected financial information concerning Holdings and its Subsidiaries that have been, or are hereafter, made available to the Administrative Agent (i) when taken as a whole, have been prepared in good faith based upon assumptions believed by Holdings to be reasonable at the time so furnished, (ii) are not to be viewed as facts, (iii) are subject to significant uncertainties and contingencies, many of which are beyond the control of Holdings and</w:t>
      </w:r>
    </w:p>
    <w:p>
      <w:pPr>
        <w:spacing w:after="0" w:line="2" w:lineRule="exact"/>
        <w:rPr>
          <w:sz w:val="20"/>
          <w:szCs w:val="20"/>
          <w:color w:val="auto"/>
        </w:rPr>
      </w:pPr>
    </w:p>
    <w:p>
      <w:pPr>
        <w:jc w:val="both"/>
        <w:ind w:firstLine="8"/>
        <w:spacing w:after="0" w:line="253" w:lineRule="auto"/>
        <w:tabs>
          <w:tab w:leader="none" w:pos="35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qualified by the fact that no assurance can be given that any such forecasts or projections will be realized and that actual results during the period or periods covered by any such forecasts or projections may differ significantly from the forecasted or projected results and such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089" w:right="339" w:bottom="1440" w:gutter="0" w:footer="0" w:header="0"/>
        </w:sectPr>
      </w:pPr>
    </w:p>
    <w:bookmarkStart w:id="78" w:name="page79"/>
    <w:bookmarkEnd w:id="78"/>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5.15</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Loan Party and each Subsidiary thereof is in compliance with the requirements of all Applicable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5.16</w:t>
      </w:r>
      <w:r>
        <w:rPr>
          <w:sz w:val="20"/>
          <w:szCs w:val="20"/>
          <w:color w:val="auto"/>
        </w:rPr>
        <w:tab/>
      </w:r>
      <w:r>
        <w:rPr>
          <w:rFonts w:ascii="Times New Roman" w:cs="Times New Roman" w:eastAsia="Times New Roman" w:hAnsi="Times New Roman"/>
          <w:sz w:val="19"/>
          <w:szCs w:val="19"/>
          <w:b w:val="1"/>
          <w:bCs w:val="1"/>
          <w:u w:val="single" w:color="auto"/>
          <w:color w:val="auto"/>
        </w:rPr>
        <w:t>Solvency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Loan Parties, together with their Subsidiaries, taken as a whole, on a Consolidated basis are, Solvent.</w:t>
      </w:r>
    </w:p>
    <w:p>
      <w:pPr>
        <w:spacing w:after="0" w:line="21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5.16</w:t>
      </w:r>
      <w:r>
        <w:rPr>
          <w:sz w:val="20"/>
          <w:szCs w:val="20"/>
          <w:color w:val="auto"/>
        </w:rPr>
        <w:tab/>
      </w:r>
      <w:r>
        <w:rPr>
          <w:rFonts w:ascii="Times New Roman" w:cs="Times New Roman" w:eastAsia="Times New Roman" w:hAnsi="Times New Roman"/>
          <w:sz w:val="19"/>
          <w:szCs w:val="19"/>
          <w:b w:val="1"/>
          <w:bCs w:val="1"/>
          <w:u w:val="single" w:color="auto"/>
          <w:color w:val="auto"/>
        </w:rPr>
        <w:t>Sanctions Concerns and Anti</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Corruption Laws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firstLine="656"/>
        <w:spacing w:after="0" w:line="265" w:lineRule="auto"/>
        <w:tabs>
          <w:tab w:leader="none" w:pos="1286"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Sanctions Concerns</w:t>
      </w:r>
      <w:r>
        <w:rPr>
          <w:rFonts w:ascii="Times New Roman" w:cs="Times New Roman" w:eastAsia="Times New Roman" w:hAnsi="Times New Roman"/>
          <w:sz w:val="19"/>
          <w:szCs w:val="19"/>
          <w:color w:val="auto"/>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w:t>
      </w:r>
    </w:p>
    <w:p>
      <w:pPr>
        <w:spacing w:after="0" w:line="2"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located, organized or resident in a Designated Jurisdiction. The Loan Parties and their Subsidiaries have conducted their businesses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compliance with all applicable Sanctions.</w:t>
      </w:r>
    </w:p>
    <w:p>
      <w:pPr>
        <w:spacing w:after="0" w:line="200" w:lineRule="exact"/>
        <w:rPr>
          <w:sz w:val="20"/>
          <w:szCs w:val="20"/>
          <w:color w:val="auto"/>
        </w:rPr>
      </w:pPr>
    </w:p>
    <w:p>
      <w:pPr>
        <w:jc w:val="both"/>
        <w:ind w:firstLine="656"/>
        <w:spacing w:after="0" w:line="258" w:lineRule="auto"/>
        <w:tabs>
          <w:tab w:leader="none" w:pos="12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maintained systems of internal controls reasonably designed to promote and achieve compliance with such laws.</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5.18</w:t>
      </w:r>
      <w:r>
        <w:rPr>
          <w:sz w:val="20"/>
          <w:szCs w:val="20"/>
          <w:color w:val="auto"/>
        </w:rPr>
        <w:tab/>
      </w:r>
      <w:r>
        <w:rPr>
          <w:rFonts w:ascii="Times New Roman" w:cs="Times New Roman" w:eastAsia="Times New Roman" w:hAnsi="Times New Roman"/>
          <w:sz w:val="19"/>
          <w:szCs w:val="19"/>
          <w:b w:val="1"/>
          <w:bCs w:val="1"/>
          <w:u w:val="single" w:color="auto"/>
          <w:color w:val="auto"/>
        </w:rPr>
        <w:t>Subsidiaries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Loan Parties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656"/>
        <w:spacing w:after="0" w:line="261" w:lineRule="auto"/>
        <w:tabs>
          <w:tab w:leader="none" w:pos="128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is the following information as of the Closing Date: (i) a complete and accurate list of all Subsidiaries, as of the Closing Date, (ii) the owner(s) of Equity Interests in each Subsidiary, (iii) the jurisdiction of its incorporation or organization, as applicable and (iv) the type of organization.</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5.18</w:t>
      </w:r>
      <w:r>
        <w:rPr>
          <w:rFonts w:ascii="Times New Roman" w:cs="Times New Roman" w:eastAsia="Times New Roman" w:hAnsi="Times New Roman"/>
          <w:sz w:val="20"/>
          <w:szCs w:val="20"/>
          <w:color w:val="auto"/>
        </w:rPr>
        <w:t xml:space="preserve"> is a complete and accurate list of all Loan Parties as of the Closing Date, showing as of the Closing Date (as to each Loan Party) (i) the exact legal name, (ii) any former legal names of such Loan Party in the five (5) years prior to the Closing Date, (iii) the jurisdiction of its incorporation or organization, as applicable, (iv) the type of organization, (v) the address of its chief executive office, (vi) its U.S. federal taxpayer identification number, and (vii) the organization identification number.</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5.19</w:t>
      </w:r>
      <w:r>
        <w:rPr>
          <w:sz w:val="20"/>
          <w:szCs w:val="20"/>
          <w:color w:val="auto"/>
        </w:rPr>
        <w:tab/>
      </w:r>
      <w:r>
        <w:rPr>
          <w:rFonts w:ascii="Times New Roman" w:cs="Times New Roman" w:eastAsia="Times New Roman" w:hAnsi="Times New Roman"/>
          <w:sz w:val="19"/>
          <w:szCs w:val="19"/>
          <w:b w:val="1"/>
          <w:bCs w:val="1"/>
          <w:u w:val="single" w:color="auto"/>
          <w:color w:val="auto"/>
        </w:rPr>
        <w:t>Collateral Representations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3" w:lineRule="auto"/>
        <w:tabs>
          <w:tab w:leader="none" w:pos="128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such Liens to the extent such Liens are perfectible by such filings.</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5.19</w:t>
      </w:r>
      <w:r>
        <w:rPr>
          <w:rFonts w:ascii="Times New Roman" w:cs="Times New Roman" w:eastAsia="Times New Roman" w:hAnsi="Times New Roman"/>
          <w:sz w:val="20"/>
          <w:szCs w:val="20"/>
          <w:color w:val="auto"/>
        </w:rPr>
        <w:t xml:space="preserve">, as of the Closing Date and as of the last date such </w:t>
      </w:r>
      <w:r>
        <w:rPr>
          <w:rFonts w:ascii="Times New Roman" w:cs="Times New Roman" w:eastAsia="Times New Roman" w:hAnsi="Times New Roman"/>
          <w:sz w:val="20"/>
          <w:szCs w:val="20"/>
          <w:u w:val="single" w:color="auto"/>
          <w:color w:val="auto"/>
        </w:rPr>
        <w:t>Schedule 5.19</w:t>
      </w:r>
      <w:r>
        <w:rPr>
          <w:rFonts w:ascii="Times New Roman" w:cs="Times New Roman" w:eastAsia="Times New Roman" w:hAnsi="Times New Roman"/>
          <w:sz w:val="20"/>
          <w:szCs w:val="20"/>
          <w:color w:val="auto"/>
        </w:rPr>
        <w:t xml:space="preserve"> was required to be updated in accordance with </w:t>
      </w:r>
      <w:r>
        <w:rPr>
          <w:rFonts w:ascii="Times New Roman" w:cs="Times New Roman" w:eastAsia="Times New Roman" w:hAnsi="Times New Roman"/>
          <w:sz w:val="20"/>
          <w:szCs w:val="20"/>
          <w:u w:val="single" w:color="auto"/>
          <w:color w:val="auto"/>
        </w:rPr>
        <w:t>Sections 6.02</w:t>
      </w:r>
      <w:r>
        <w:rPr>
          <w:rFonts w:ascii="Times New Roman" w:cs="Times New Roman" w:eastAsia="Times New Roman" w:hAnsi="Times New Roman"/>
          <w:sz w:val="20"/>
          <w:szCs w:val="20"/>
          <w:color w:val="auto"/>
        </w:rPr>
        <w:t>, is a list of all registered or issued Intellectual Property filed in the United States (including all applications for registration and issuance) owned by each of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085" w:right="339" w:bottom="1440" w:gutter="0" w:footer="0" w:header="0"/>
        </w:sectPr>
      </w:pPr>
    </w:p>
    <w:bookmarkStart w:id="79" w:name="page80"/>
    <w:bookmarkEnd w:id="79"/>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5.20</w:t>
      </w:r>
      <w:r>
        <w:rPr>
          <w:sz w:val="20"/>
          <w:szCs w:val="20"/>
          <w:color w:val="auto"/>
        </w:rPr>
        <w:tab/>
      </w:r>
      <w:r>
        <w:rPr>
          <w:rFonts w:ascii="Times New Roman" w:cs="Times New Roman" w:eastAsia="Times New Roman" w:hAnsi="Times New Roman"/>
          <w:sz w:val="19"/>
          <w:szCs w:val="19"/>
          <w:b w:val="1"/>
          <w:bCs w:val="1"/>
          <w:u w:val="single" w:color="auto"/>
          <w:color w:val="auto"/>
        </w:rPr>
        <w:t>Intellectual Property</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Licenses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Etc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Loan Party and each of its Subsidiaries own, or possess the right to use, all Intellectual Property that is necessary for the operation of their respective businesses as currently conducted, free and clear of all Liens (other than Permitted Liens), except as could not,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individually or in the aggregate, reasonably be expected to have a Material </w:t>
      </w:r>
      <w:r>
        <w:rPr>
          <w:rFonts w:ascii="Times New Roman" w:cs="Times New Roman" w:eastAsia="Times New Roman" w:hAnsi="Times New Roman"/>
          <w:sz w:val="21"/>
          <w:szCs w:val="21"/>
          <w:color w:val="auto"/>
        </w:rPr>
        <w:t>Adverse</w:t>
      </w:r>
      <w:r>
        <w:rPr>
          <w:rFonts w:ascii="Times New Roman" w:cs="Times New Roman" w:eastAsia="Times New Roman" w:hAnsi="Times New Roman"/>
          <w:sz w:val="20"/>
          <w:szCs w:val="20"/>
          <w:color w:val="auto"/>
        </w:rPr>
        <w:t xml:space="preserve"> Effect. To the knowledge of the Loan Parties, neither the operation of the business, nor any product, service, process, method, substance, part or other material now used, or now contemplated to be used, by any Loan Party or any of its Subsidiaries infringes, misappropriates or otherwise violates upon any rights held by any other Person except in each case for such infringements, misappropriations or other violations of rights, individually or in the aggregate, which would not reasonably be expected to have a Material Adverse Effect. No claim or litigation regarding any of the foregoing is pending or, to the knowledge of the Loan Parties, threatened, which, either individually or in the aggregate, could reasonably be expected to have a Material Adverse Effect. To the knowledge of the Loan Parties, there has been no unauthorized use, access, interruption, modification, corruption or malfunction of any information technology assets or systems (or any information or transactions stored or contained therein or transmitted thereby) owned or used by any Loan Party or any of its Subsidiaries, which, either individually or in the aggregate, would reasonably be expected to have a Material Adverse Effect.</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5.21</w:t>
      </w:r>
      <w:r>
        <w:rPr>
          <w:sz w:val="20"/>
          <w:szCs w:val="20"/>
          <w:color w:val="auto"/>
        </w:rPr>
        <w:tab/>
      </w:r>
      <w:r>
        <w:rPr>
          <w:rFonts w:ascii="Times New Roman" w:cs="Times New Roman" w:eastAsia="Times New Roman" w:hAnsi="Times New Roman"/>
          <w:sz w:val="19"/>
          <w:szCs w:val="19"/>
          <w:b w:val="1"/>
          <w:bCs w:val="1"/>
          <w:u w:val="single" w:color="auto"/>
          <w:color w:val="auto"/>
        </w:rPr>
        <w:t>Affected Financial Institutions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Loan Party is an Affected Financial Institution.</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AFFIRMATIVE COVENANTS</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of the Loan Parties hereby covenants and agrees that, on the Closing Date and thereafter until the Facility Termination Date, such Loan Party shall, and shall cause each of its Subsidiaries, to:</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6.01</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Deliver to the Administrative Agent (for distribution to each Lender):</w:t>
      </w:r>
    </w:p>
    <w:p>
      <w:pPr>
        <w:spacing w:after="0" w:line="216" w:lineRule="exact"/>
        <w:rPr>
          <w:sz w:val="20"/>
          <w:szCs w:val="20"/>
          <w:color w:val="auto"/>
        </w:rPr>
      </w:pPr>
    </w:p>
    <w:p>
      <w:pPr>
        <w:jc w:val="both"/>
        <w:ind w:firstLine="656"/>
        <w:spacing w:after="0" w:line="252" w:lineRule="auto"/>
        <w:tabs>
          <w:tab w:leader="none" w:pos="128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xml:space="preserve">. Within ninety (90) days after the end of each fiscal year of Holdings (or, if earlier, fifteen (15) days after the date required to be filed with the SEC) (commencing with the fiscal year ended January 31, 2025), a Consolidated balance sheet of Holdings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other than a going concern exception or explanatory note resulting solely from (x) the Maturity Date occurring within one year of such audit report or (y) any prospective or actual breach of any financial maintenance covenant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Within forty-five (45) days after the end of each of the first three (3) fiscal quarters of each fiscal year of Holdings (or, if earlier, five (5) days after the date required to be filed with the SEC) (commencing with the fiscal quarter ended October 31, 2024, a Consolidated balance sheet of Holdings and its Subsidiaries as at the end of such fiscal quarter, and the related Consolidated statements of income or operations, changes in Shareholders’ Equity and cash flows for such fiscal quarter and for the portion of Holdings’ fiscal year then ended, setting forth in each case in comparative form the figures for the corresponding fiscal quarter of the previous fiscal year and the corresponding portion of the previous fiscal year, all in reasonable detail and prepared in accordance with GAAP, certified by the chief executive officer,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004" w:right="3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20"/>
          <w:szCs w:val="20"/>
          <w:color w:val="auto"/>
        </w:rPr>
        <w:t>treasurer or controller who is a Responsible Officer of Holdings as fairly presenting the financial condition, results of operations, Shareholders’ Equity and cash flows of Holdings and its Subsidiaries in all material respects, subject only to normal year-end audit adjustments and the absence of footnotes.</w:t>
      </w:r>
    </w:p>
    <w:p>
      <w:pPr>
        <w:spacing w:after="0" w:line="181" w:lineRule="exact"/>
        <w:rPr>
          <w:sz w:val="20"/>
          <w:szCs w:val="20"/>
          <w:color w:val="auto"/>
        </w:rPr>
      </w:pPr>
    </w:p>
    <w:p>
      <w:pPr>
        <w:jc w:val="both"/>
        <w:ind w:firstLine="656"/>
        <w:spacing w:after="0" w:line="253" w:lineRule="auto"/>
        <w:tabs>
          <w:tab w:leader="none" w:pos="128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Plan and Budget</w:t>
      </w:r>
      <w:r>
        <w:rPr>
          <w:rFonts w:ascii="Times New Roman" w:cs="Times New Roman" w:eastAsia="Times New Roman" w:hAnsi="Times New Roman"/>
          <w:sz w:val="20"/>
          <w:szCs w:val="20"/>
          <w:color w:val="auto"/>
        </w:rPr>
        <w:t>. In form and detail reasonably satisfactory to the Administrative Agent, within forty-five (45) days after the end of each fiscal year of Holdings (commencing with the fiscal year ended January 31, 2025), an annual business plan and budget of Holdings and its Subsidiaries on a Consolidated basis, including forecasts prepared by management of Holdings, in form reasonably satisfactory to the Administrative Agent, of Consolidated balance sheets and statements of income or operations and cash flows of Holdings and its Subsidiaries on a quarterly basis for the immediately following fiscal year.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6.02(d</w:t>
      </w:r>
      <w:r>
        <w:rPr>
          <w:rFonts w:ascii="Times New Roman" w:cs="Times New Roman" w:eastAsia="Times New Roman" w:hAnsi="Times New Roman"/>
          <w:sz w:val="20"/>
          <w:szCs w:val="20"/>
          <w:color w:val="auto"/>
        </w:rPr>
        <w:t xml:space="preserve">), Holdings shall not be separately required to furnish such information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Holdings to furnish the information and materials described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above at the times specified therein.</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6.02</w:t>
      </w:r>
      <w:r>
        <w:rPr>
          <w:sz w:val="20"/>
          <w:szCs w:val="20"/>
          <w:color w:val="auto"/>
        </w:rPr>
        <w:tab/>
      </w:r>
      <w:r>
        <w:rPr>
          <w:rFonts w:ascii="Times New Roman" w:cs="Times New Roman" w:eastAsia="Times New Roman" w:hAnsi="Times New Roman"/>
          <w:sz w:val="19"/>
          <w:szCs w:val="19"/>
          <w:b w:val="1"/>
          <w:bCs w:val="1"/>
          <w:u w:val="single" w:color="auto"/>
          <w:color w:val="auto"/>
        </w:rPr>
        <w:t>Certificates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Other Information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Deliver to the Administrative Agent (for distribution to each Lender), in form and detail satisfactory to the Administrative Agent (other than clauses (d) and (e)):</w:t>
      </w:r>
    </w:p>
    <w:p>
      <w:pPr>
        <w:spacing w:after="0" w:line="146" w:lineRule="exact"/>
        <w:rPr>
          <w:sz w:val="20"/>
          <w:szCs w:val="20"/>
          <w:color w:val="auto"/>
        </w:rPr>
      </w:pPr>
    </w:p>
    <w:p>
      <w:pPr>
        <w:jc w:val="both"/>
        <w:ind w:firstLine="656"/>
        <w:spacing w:after="0" w:line="253" w:lineRule="auto"/>
        <w:tabs>
          <w:tab w:leader="none" w:pos="12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Concurrently with the delivery of the financial statements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(commencing with the delivery of the financial statements for the fiscal quarter ended January 31, 2025), a duly completed Compliance Certificate signed by the chief executive officer, chief financial officer, treasurer or vice president of accounting which is a Responsible Officer of Holdings. Unless the Administrative Agent or a Lender requests executed originals, delivery of the Compliance Certificate may be by electronic communication including fax or email and shall be deemed to be an original and authentic counterpart thereof for all purposes.</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Updated Schedules</w:t>
      </w:r>
      <w:r>
        <w:rPr>
          <w:rFonts w:ascii="Times New Roman" w:cs="Times New Roman" w:eastAsia="Times New Roman" w:hAnsi="Times New Roman"/>
          <w:sz w:val="20"/>
          <w:szCs w:val="20"/>
          <w:color w:val="auto"/>
        </w:rPr>
        <w:t xml:space="preserve">. Concurrently with the delivery of the Compliance Certificate referred to in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an updated Schedule 5.19 to this Agreement in form and detail reasonably satisfactory to the Administrative Agent (which may be attached to the Compliance Certificate) to the extent required to make the representation related to such Schedule true and correct as of the date of such Compliance Certificate.</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Reports; Etc</w:t>
      </w:r>
      <w:r>
        <w:rPr>
          <w:rFonts w:ascii="Times New Roman" w:cs="Times New Roman" w:eastAsia="Times New Roman" w:hAnsi="Times New Roman"/>
          <w:sz w:val="20"/>
          <w:szCs w:val="20"/>
          <w:color w:val="auto"/>
        </w:rPr>
        <w:t>. 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9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Notices</w:t>
      </w:r>
      <w:r>
        <w:rPr>
          <w:rFonts w:ascii="Times New Roman" w:cs="Times New Roman" w:eastAsia="Times New Roman" w:hAnsi="Times New Roman"/>
          <w:sz w:val="20"/>
          <w:szCs w:val="20"/>
          <w:color w:val="auto"/>
        </w:rPr>
        <w:t>. Promptly, and in any event within ten (10) Business Days after receipt thereof by any Loan Party or any Subsidiary thereof, copies of each material notice or other material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Anti-Money-Laundering</w:t>
      </w:r>
      <w:r>
        <w:rPr>
          <w:rFonts w:ascii="Times New Roman" w:cs="Times New Roman" w:eastAsia="Times New Roman" w:hAnsi="Times New Roman"/>
          <w:sz w:val="20"/>
          <w:szCs w:val="20"/>
          <w:color w:val="auto"/>
        </w:rPr>
        <w:t>.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089" w:right="339" w:bottom="1440" w:gutter="0" w:footer="0" w:header="0"/>
        </w:sectPr>
      </w:pPr>
    </w:p>
    <w:bookmarkStart w:id="81" w:name="page82"/>
    <w:bookmarkEnd w:id="81"/>
    <w:p>
      <w:pPr>
        <w:jc w:val="both"/>
        <w:ind w:firstLine="656"/>
        <w:spacing w:after="0" w:line="261" w:lineRule="auto"/>
        <w:tabs>
          <w:tab w:leader="none" w:pos="12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w:t>
      </w:r>
      <w:r>
        <w:rPr>
          <w:rFonts w:ascii="Times New Roman" w:cs="Times New Roman" w:eastAsia="Times New Roman" w:hAnsi="Times New Roman"/>
          <w:sz w:val="20"/>
          <w:szCs w:val="20"/>
          <w:color w:val="auto"/>
        </w:rPr>
        <w:t>. To the extent any Loan Party qualifies as a “legal entity customer” under the Beneficial Ownership Regulation, a Beneficial Ownership Certification substantially in the form provided by the Loan Syndications &amp; Trading Association promptly upon the request of the Administrative Agent or any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Information</w:t>
      </w:r>
      <w:r>
        <w:rPr>
          <w:rFonts w:ascii="Times New Roman" w:cs="Times New Roman" w:eastAsia="Times New Roman" w:hAnsi="Times New Roman"/>
          <w:sz w:val="20"/>
          <w:szCs w:val="20"/>
          <w:color w:val="auto"/>
        </w:rPr>
        <w:t>. Promptly, such additional information regarding the business, financial, legal or corporate affairs of any Loan Party or any Subsidiary thereof, or compliance with the terms of the Loan Documents, as the Administrative Agent or any Lender may from time to time reasonably request; provided, that such additional information (i) does not constitute non-financial trade secrets or non-financial proprietary information, (ii) in respect of which disclosure to the Administrative Agent or any Lender (or its representatives or contractors) is not prohibited by Law or any binding agreement with any third party and (iii) is not subject to attorney-client or similar</w:t>
      </w:r>
    </w:p>
    <w:p>
      <w:pPr>
        <w:spacing w:after="0" w:line="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privilege and does not constitute attorney work product, provided, that the Borrower shall notify the Administrative Agent if information is not disclosed or provided pursuant to the foregoing exceptions.</w:t>
      </w:r>
    </w:p>
    <w:p>
      <w:pPr>
        <w:spacing w:after="0" w:line="173"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pursuant to S</w:t>
      </w:r>
      <w:r>
        <w:rPr>
          <w:rFonts w:ascii="Times New Roman" w:cs="Times New Roman" w:eastAsia="Times New Roman" w:hAnsi="Times New Roman"/>
          <w:sz w:val="20"/>
          <w:szCs w:val="20"/>
          <w:u w:val="single" w:color="auto"/>
          <w:color w:val="auto"/>
        </w:rPr>
        <w:t>ection 6.02(d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notify the Administrative Agent (for distribution to each Lender) (by fax transmission or e-mail transmission) of the posting of any such documents and provide to the Administrative Agent by e-mail electronic versions (</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9"/>
          <w:szCs w:val="19"/>
          <w:color w:val="auto"/>
        </w:rPr>
        <w:t>The Borrower hereby acknowledges that (i) the Administrative Agent and/or an Affiliate thereof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19"/>
          <w:szCs w:val="19"/>
          <w:u w:val="single" w:color="auto"/>
          <w:color w:val="auto"/>
        </w:rPr>
        <w:t>Borrower Materials</w:t>
      </w:r>
      <w:r>
        <w:rPr>
          <w:rFonts w:ascii="Times New Roman" w:cs="Times New Roman" w:eastAsia="Times New Roman" w:hAnsi="Times New Roman"/>
          <w:sz w:val="19"/>
          <w:szCs w:val="19"/>
          <w:color w:val="auto"/>
        </w:rPr>
        <w:t>”) by posting the Borrower Materials on IntraLinks, Syndtrak, ClearPar or a substantially similar electronic transmission system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and (ii) certain of the Lenders (each, a “</w:t>
      </w:r>
      <w:r>
        <w:rPr>
          <w:rFonts w:ascii="Times New Roman" w:cs="Times New Roman" w:eastAsia="Times New Roman" w:hAnsi="Times New Roman"/>
          <w:sz w:val="19"/>
          <w:szCs w:val="19"/>
          <w:u w:val="single" w:color="auto"/>
          <w:color w:val="auto"/>
        </w:rPr>
        <w:t>Public Lender</w:t>
      </w:r>
      <w:r>
        <w:rPr>
          <w:rFonts w:ascii="Times New Roman" w:cs="Times New Roman" w:eastAsia="Times New Roman" w:hAnsi="Times New Roman"/>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Interests that are registered or issued pursuant to a private offering or is actively contemplating issuing any such securities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any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to the extent such Borrower Materials constitute Information, they shall be treated as set forth in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w:t>
      </w:r>
    </w:p>
    <w:p>
      <w:pPr>
        <w:spacing w:after="0" w:line="11" w:lineRule="exact"/>
        <w:rPr>
          <w:sz w:val="20"/>
          <w:szCs w:val="20"/>
          <w:color w:val="auto"/>
        </w:rPr>
      </w:pPr>
    </w:p>
    <w:p>
      <w:pPr>
        <w:jc w:val="both"/>
        <w:ind w:firstLine="8"/>
        <w:spacing w:after="0" w:line="253" w:lineRule="auto"/>
        <w:tabs>
          <w:tab w:leader="none" w:pos="32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Borrower Materials marked “PUBLIC” are permitted to be made available through a portion of the Platform designated “Public Side Information;” and (D) the Administrative Agent and any Affiliate thereof and any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089" w:right="339" w:bottom="1440" w:gutter="0" w:footer="0" w:header="0"/>
        </w:sectPr>
      </w:pPr>
    </w:p>
    <w:bookmarkStart w:id="82" w:name="page83"/>
    <w:bookmarkEnd w:id="82"/>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6.03</w:t>
      </w:r>
      <w:r>
        <w:rPr>
          <w:sz w:val="20"/>
          <w:szCs w:val="20"/>
          <w:color w:val="auto"/>
        </w:rPr>
        <w:tab/>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Promptly, but in any event within five (5) Business Days of any Responsible Officer of any Loan Party obtaining knowledge thereof, notify the Administrative Agent (for distribution to each Lender):</w:t>
      </w:r>
    </w:p>
    <w:p>
      <w:pPr>
        <w:spacing w:after="0" w:line="173"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 and</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ERISA Event that would reasonably be expected to result in liability to the Loan Parties that would reasonably be expected to have a Material Adverse Effect.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shall describe with particularity any and all provisions of this Agreement and any other Loan Document that have been breached.</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6.04</w:t>
      </w:r>
      <w:r>
        <w:rPr>
          <w:sz w:val="20"/>
          <w:szCs w:val="20"/>
          <w:color w:val="auto"/>
        </w:rPr>
        <w:tab/>
      </w:r>
      <w:r>
        <w:rPr>
          <w:rFonts w:ascii="Times New Roman" w:cs="Times New Roman" w:eastAsia="Times New Roman" w:hAnsi="Times New Roman"/>
          <w:sz w:val="19"/>
          <w:szCs w:val="19"/>
          <w:b w:val="1"/>
          <w:bCs w:val="1"/>
          <w:u w:val="single" w:color="auto"/>
          <w:color w:val="auto"/>
        </w:rPr>
        <w:t>Payment of 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Except, in each case, to the extent the failure to pay or discharge the same would not reasonably be expected to have, individually or in the aggregate, a Material Adverse Effect, pay and discharge as the same shall become due and payable, all its federal and material state and other tax liabilities, assessments and governmental charges or levies upon it or its properties or assets, unless the same are being contested in good faith by appropriate proceedings diligently conducted and adequate reserves in accordance with GAAP are being maintained by Holdings or such Subsidiary.</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6.05</w:t>
      </w:r>
      <w:r>
        <w:rPr>
          <w:sz w:val="20"/>
          <w:szCs w:val="20"/>
          <w:color w:val="auto"/>
        </w:rPr>
        <w:tab/>
      </w:r>
      <w:r>
        <w:rPr>
          <w:rFonts w:ascii="Times New Roman" w:cs="Times New Roman" w:eastAsia="Times New Roman" w:hAnsi="Times New Roman"/>
          <w:sz w:val="19"/>
          <w:szCs w:val="19"/>
          <w:b w:val="1"/>
          <w:bCs w:val="1"/>
          <w:u w:val="single" w:color="auto"/>
          <w:color w:val="auto"/>
        </w:rPr>
        <w:t>Preservation of Existence</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Etc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61" w:lineRule="auto"/>
        <w:tabs>
          <w:tab w:leader="none" w:pos="128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renew and maintain in full force and effect its legal existence and good standing under the Laws of the jurisdiction of its organization except (i)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or (ii) other than with respect to any Loan Party, to the extent that the failure to remain in good standing would not reasonably be expected to have a Material Adverse Effect; and</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6.06</w:t>
      </w:r>
      <w:r>
        <w:rPr>
          <w:sz w:val="20"/>
          <w:szCs w:val="20"/>
          <w:color w:val="auto"/>
        </w:rPr>
        <w:tab/>
      </w:r>
      <w:r>
        <w:rPr>
          <w:rFonts w:ascii="Times New Roman" w:cs="Times New Roman" w:eastAsia="Times New Roman" w:hAnsi="Times New Roman"/>
          <w:sz w:val="19"/>
          <w:szCs w:val="19"/>
          <w:b w:val="1"/>
          <w:bCs w:val="1"/>
          <w:u w:val="single" w:color="auto"/>
          <w:color w:val="auto"/>
        </w:rPr>
        <w:t>Maintenance of Properties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656"/>
        <w:spacing w:after="0" w:line="283" w:lineRule="auto"/>
        <w:tabs>
          <w:tab w:leader="none" w:pos="128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 good working order and condition, ordinary wear and tear, casualty events and condemnation events excepted; and</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necessary repairs thereto and renewals and replacements thereof except where the failure to do so could not reasonably be expected to have a Material Adverse Effect.</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6.07</w:t>
      </w:r>
      <w:r>
        <w:rPr>
          <w:sz w:val="20"/>
          <w:szCs w:val="20"/>
          <w:color w:val="auto"/>
        </w:rPr>
        <w:tab/>
      </w:r>
      <w:r>
        <w:rPr>
          <w:rFonts w:ascii="Times New Roman" w:cs="Times New Roman" w:eastAsia="Times New Roman" w:hAnsi="Times New Roman"/>
          <w:sz w:val="19"/>
          <w:szCs w:val="19"/>
          <w:b w:val="1"/>
          <w:bCs w:val="1"/>
          <w:u w:val="single" w:color="auto"/>
          <w:color w:val="auto"/>
        </w:rPr>
        <w:t>Maintenance of Insurance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81" w:lineRule="auto"/>
        <w:tabs>
          <w:tab w:leader="none" w:pos="1286"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 Maintain with financially sound and reputable insurance companies not Affiliates of Holdings,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923" w:right="339" w:bottom="1440" w:gutter="0" w:footer="0" w:header="0"/>
        </w:sectPr>
      </w:pPr>
    </w:p>
    <w:bookmarkStart w:id="83" w:name="page84"/>
    <w:bookmarkEnd w:id="83"/>
    <w:p>
      <w:pPr>
        <w:jc w:val="both"/>
        <w:ind w:firstLine="656"/>
        <w:spacing w:after="0" w:line="263" w:lineRule="auto"/>
        <w:tabs>
          <w:tab w:leader="none" w:pos="1284"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Evidence of Insurance</w:t>
      </w:r>
      <w:r>
        <w:rPr>
          <w:rFonts w:ascii="Times New Roman" w:cs="Times New Roman" w:eastAsia="Times New Roman" w:hAnsi="Times New Roman"/>
          <w:sz w:val="19"/>
          <w:szCs w:val="19"/>
          <w:color w:val="auto"/>
        </w:rPr>
        <w:t xml:space="preserve">. Subject to the post-closing time period set forth in </w:t>
      </w:r>
      <w:r>
        <w:rPr>
          <w:rFonts w:ascii="Times New Roman" w:cs="Times New Roman" w:eastAsia="Times New Roman" w:hAnsi="Times New Roman"/>
          <w:sz w:val="19"/>
          <w:szCs w:val="19"/>
          <w:u w:val="single" w:color="auto"/>
          <w:color w:val="auto"/>
        </w:rPr>
        <w:t>Section 6.17</w:t>
      </w:r>
      <w:r>
        <w:rPr>
          <w:rFonts w:ascii="Times New Roman" w:cs="Times New Roman" w:eastAsia="Times New Roman" w:hAnsi="Times New Roman"/>
          <w:sz w:val="19"/>
          <w:szCs w:val="19"/>
          <w:color w:val="auto"/>
        </w:rPr>
        <w:t>, cause the Administrative Agent to be named as lenders’ loss payable, loss payee or mortgagee, as its interest may appear, and/or additional insured with respect of any such insurance providing liability coverage or coverage in respect of any Collateral, and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 Annually, upon expiration of current insurance coverage, the Loan Parties shall provide, or cause to be provided, to the Administrative Agent, such evidence of insurance as required by the Administrative Agent, including, but not limited to: (i) copies of such insurance policies;</w:t>
      </w:r>
    </w:p>
    <w:p>
      <w:pPr>
        <w:spacing w:after="0" w:line="3" w:lineRule="exact"/>
        <w:rPr>
          <w:rFonts w:ascii="Times New Roman" w:cs="Times New Roman" w:eastAsia="Times New Roman" w:hAnsi="Times New Roman"/>
          <w:sz w:val="19"/>
          <w:szCs w:val="19"/>
          <w:color w:val="auto"/>
        </w:rPr>
      </w:pPr>
    </w:p>
    <w:p>
      <w:pPr>
        <w:jc w:val="both"/>
        <w:ind w:firstLine="8"/>
        <w:spacing w:after="0" w:line="253" w:lineRule="auto"/>
        <w:tabs>
          <w:tab w:leader="none" w:pos="31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of such insurance policies (including, without limitation and as applicable, ACORD Form 28 certificates (or similar form of insurance certificate), and ACORD Form 25 certificates (or similar form of insurance certificate)); (iii) declaration pages for each insurance policy; and (iv) lender’s loss payable endorsement if the Administrative Agent for the benefit of the Secured Parties is not on the declarations page for such policy.</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6.08</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Comply with the requirements of all Applicable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6.09</w:t>
      </w:r>
      <w:r>
        <w:rPr>
          <w:sz w:val="20"/>
          <w:szCs w:val="20"/>
          <w:color w:val="auto"/>
        </w:rPr>
        <w:tab/>
      </w:r>
      <w:r>
        <w:rPr>
          <w:rFonts w:ascii="Times New Roman" w:cs="Times New Roman" w:eastAsia="Times New Roman" w:hAnsi="Times New Roman"/>
          <w:sz w:val="19"/>
          <w:szCs w:val="19"/>
          <w:b w:val="1"/>
          <w:bCs w:val="1"/>
          <w:u w:val="single" w:color="auto"/>
          <w:color w:val="auto"/>
        </w:rPr>
        <w:t>Books and Records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Maintain proper books of record and account, in which full, true and correct entries in all material respects in conformity with GAAP consistently applied shall be made of all financial transactions and matters involving the assets and business of such Loan Party or such Subsidiary, as the case may be (it being understood and agreed that certain Foreign Subsidiaries maintain individual books and records in conformity with the relevant accounting principles in their respective countries of organization and that such maintenance shall not constitute a breach of the representations, warranties or covenants hereunder).</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6.10</w:t>
      </w:r>
      <w:r>
        <w:rPr>
          <w:sz w:val="20"/>
          <w:szCs w:val="20"/>
          <w:color w:val="auto"/>
        </w:rPr>
        <w:tab/>
      </w:r>
      <w:r>
        <w:rPr>
          <w:rFonts w:ascii="Times New Roman" w:cs="Times New Roman" w:eastAsia="Times New Roman" w:hAnsi="Times New Roman"/>
          <w:sz w:val="19"/>
          <w:szCs w:val="19"/>
          <w:b w:val="1"/>
          <w:bCs w:val="1"/>
          <w:u w:val="single" w:color="auto"/>
          <w:color w:val="auto"/>
        </w:rPr>
        <w:t>Inspection Rights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provided, that, unless an Event of Default is continuing, the Administrative Agent may not exercise such rights more than one (1) time during any calendar year; provided further, that, when an Event of Default exists the Administrative Agent (or any of its respective representatives or independent contractors) may do any of the foregoing at the expense of the Borrower at any time during normal business hours and without advance notice. Such inspection rights shall not extend to any information covered by attorney-client or other legal privilege or to the extent the exercise of such inspection rights would result in violation or other breach of any third-party confidentiality agreements or be prohibited by Law; provided, that the Borrower shall notify the Administrative Agent if information is not disclosed or provided pursuant to the foregoing exceptions. The Administrative Agent shall give the Borrower the opportunity to participate in any discussions with the Borrower’s accountants.</w:t>
      </w:r>
    </w:p>
    <w:p>
      <w:pPr>
        <w:spacing w:after="0" w:line="177"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6.11</w:t>
      </w:r>
      <w:r>
        <w:rPr>
          <w:sz w:val="20"/>
          <w:szCs w:val="20"/>
          <w:color w:val="auto"/>
        </w:rPr>
        <w:tab/>
      </w:r>
      <w:r>
        <w:rPr>
          <w:rFonts w:ascii="Times New Roman" w:cs="Times New Roman" w:eastAsia="Times New Roman" w:hAnsi="Times New Roman"/>
          <w:sz w:val="19"/>
          <w:szCs w:val="19"/>
          <w:b w:val="1"/>
          <w:bCs w:val="1"/>
          <w:u w:val="single" w:color="auto"/>
          <w:color w:val="auto"/>
        </w:rPr>
        <w:t>Use of Proceeds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Use the proceeds of the Credit Extensions for general corporate purposes, including to refinance existing indebtedness, not in contravention of any Law or of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089" w:right="339" w:bottom="1440" w:gutter="0" w:footer="0" w:header="0"/>
        </w:sectPr>
      </w:pPr>
    </w:p>
    <w:bookmarkStart w:id="84" w:name="page85"/>
    <w:bookmarkEnd w:id="84"/>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6.12</w:t>
      </w:r>
      <w:r>
        <w:rPr>
          <w:sz w:val="20"/>
          <w:szCs w:val="20"/>
          <w:color w:val="auto"/>
        </w:rPr>
        <w:tab/>
      </w:r>
      <w:r>
        <w:rPr>
          <w:rFonts w:ascii="Times New Roman" w:cs="Times New Roman" w:eastAsia="Times New Roman" w:hAnsi="Times New Roman"/>
          <w:sz w:val="19"/>
          <w:szCs w:val="19"/>
          <w:b w:val="1"/>
          <w:bCs w:val="1"/>
          <w:u w:val="single" w:color="auto"/>
          <w:color w:val="auto"/>
        </w:rPr>
        <w:t>Covenant to Guarantee Obligations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Loan Parties will cause each of their Subsidiaries (other than any Excluded Subsidiary) whether newly formed, after acquired or otherwise existing to promptly (and in any event within forty-five (45) days after such Subsidiary is formed or acquired or is no longer an Excluded Subsidiary (or such longer period of time as agreed to by the Administrative Agent in its reasonable discretion)) become a Guarantor hereunder by way of execution of a Joinder Agreement (and any other joinders or supplements to the Loan Documents as required pursuant to the terms thereof). In connection with the foregoing, the Loan Parties shall deliver to the Administrative Agent, with respect to each new Guarantor to the extent applicable, and unless otherwise agreed by the Administrative Agent, such Organization Documents, resolutions and favorable opinions of counsel, all in form, content and scope reasonably satisfactory to the Administrative Agent and such other documents or agreements as the Administrative Agent may reasonably request.</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6.13</w:t>
      </w:r>
      <w:r>
        <w:rPr>
          <w:sz w:val="20"/>
          <w:szCs w:val="20"/>
          <w:color w:val="auto"/>
        </w:rPr>
        <w:tab/>
      </w:r>
      <w:r>
        <w:rPr>
          <w:rFonts w:ascii="Times New Roman" w:cs="Times New Roman" w:eastAsia="Times New Roman" w:hAnsi="Times New Roman"/>
          <w:sz w:val="19"/>
          <w:szCs w:val="19"/>
          <w:b w:val="1"/>
          <w:bCs w:val="1"/>
          <w:u w:val="single" w:color="auto"/>
          <w:color w:val="auto"/>
        </w:rPr>
        <w:t>Covenant to Give Security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with respect to Excluded Property:</w:t>
      </w:r>
    </w:p>
    <w:p>
      <w:pPr>
        <w:spacing w:after="0" w:line="256" w:lineRule="exact"/>
        <w:rPr>
          <w:sz w:val="20"/>
          <w:szCs w:val="20"/>
          <w:color w:val="auto"/>
        </w:rPr>
      </w:pPr>
    </w:p>
    <w:p>
      <w:pPr>
        <w:jc w:val="both"/>
        <w:ind w:firstLine="656"/>
        <w:spacing w:after="0" w:line="251"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Cause (i) 100% of the issued and outstanding Equity Interests of each Domestic Subsidiary and (ii) 65% of the issued and outstanding Equity Interests entitled to vote (within the meaning of Treas. Reg. Section 1.956-2(c)(2)) and 100% of the issued and outstanding Equity Interests not entitled to vote (within the meaning of Treas. Reg. Section 1.956-2(c)(2)) of each Foreign Subsidiary directly owned by any Loan Party to be subject at all times to a first priority, perfected Lien (subject to Permitted Liens) in favor of the Administrative Agent to secure the Secured Obligations pursuant to the terms and conditions of the Collateral Documents, and, in connection with the foregoing, deliver to the Administrative Agent such other documentation as the Administrative Agent may reasonably request including, any filings and deliveries to perfect such Liens and favorable opinions of counsel all in form and substance reasonably satisfactory to the Administrative Agent.</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Property</w:t>
      </w:r>
      <w:r>
        <w:rPr>
          <w:rFonts w:ascii="Times New Roman" w:cs="Times New Roman" w:eastAsia="Times New Roman" w:hAnsi="Times New Roman"/>
          <w:sz w:val="20"/>
          <w:szCs w:val="20"/>
          <w:color w:val="auto"/>
        </w:rPr>
        <w:t>. Cause all personal property (other than Excluded Property) of each Loan Party to be subject at all times to first priority, perfected Liens in favor of the Administrative Agent to secure the Obligations pursuant to the Collateral Documents (subject to Permitted Liens) and, in connection with the foregoing, deliver to the Administrative Agent such other documentation as the Administrative Agent may reasonably request including filings and deliveries.</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6.14</w:t>
      </w:r>
      <w:r>
        <w:rPr>
          <w:sz w:val="20"/>
          <w:szCs w:val="20"/>
          <w:color w:val="auto"/>
        </w:rPr>
        <w:tab/>
      </w:r>
      <w:r>
        <w:rPr>
          <w:rFonts w:ascii="Times New Roman" w:cs="Times New Roman" w:eastAsia="Times New Roman" w:hAnsi="Times New Roman"/>
          <w:sz w:val="19"/>
          <w:szCs w:val="19"/>
          <w:b w:val="1"/>
          <w:bCs w:val="1"/>
          <w:u w:val="single" w:color="auto"/>
          <w:color w:val="auto"/>
        </w:rPr>
        <w:t>Anti</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Corruption Laws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Sanctions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226"/>
        <w:spacing w:after="0" w:line="261" w:lineRule="auto"/>
        <w:rPr>
          <w:sz w:val="20"/>
          <w:szCs w:val="20"/>
          <w:color w:val="auto"/>
        </w:rPr>
      </w:pPr>
      <w:r>
        <w:rPr>
          <w:rFonts w:ascii="Times New Roman" w:cs="Times New Roman" w:eastAsia="Times New Roman" w:hAnsi="Times New Roman"/>
          <w:sz w:val="20"/>
          <w:szCs w:val="20"/>
          <w:color w:val="auto"/>
        </w:rPr>
        <w:t>Conduct its business in compliance in all material respects with the United States Foreign Corrupt Practices Act of 1977, the UK Bribery Act 2010 and applicable anti-corruption legislation in other jurisdictions, and all applicable Sanctions, and maintain systems of internal controls reasonably designed to promote and achieve compliance with such laws.</w:t>
      </w:r>
    </w:p>
    <w:p>
      <w:pPr>
        <w:spacing w:after="0" w:line="20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6.15</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6.16</w:t>
      </w:r>
      <w:r>
        <w:rPr>
          <w:sz w:val="20"/>
          <w:szCs w:val="20"/>
          <w:color w:val="auto"/>
        </w:rPr>
        <w:tab/>
      </w:r>
      <w:r>
        <w:rPr>
          <w:rFonts w:ascii="Times New Roman" w:cs="Times New Roman" w:eastAsia="Times New Roman" w:hAnsi="Times New Roman"/>
          <w:sz w:val="19"/>
          <w:szCs w:val="19"/>
          <w:b w:val="1"/>
          <w:bCs w:val="1"/>
          <w:u w:val="single" w:color="auto"/>
          <w:color w:val="auto"/>
        </w:rPr>
        <w:t>Further Assurances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Promptly upon the reasonable request by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923" w:right="339" w:bottom="1440" w:gutter="0" w:footer="0" w:header="0"/>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20"/>
          <w:szCs w:val="20"/>
          <w:color w:val="auto"/>
        </w:rPr>
        <w:t>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6.17</w:t>
      </w:r>
      <w:r>
        <w:rPr>
          <w:sz w:val="20"/>
          <w:szCs w:val="20"/>
          <w:color w:val="auto"/>
        </w:rPr>
        <w:tab/>
      </w:r>
      <w:r>
        <w:rPr>
          <w:rFonts w:ascii="Times New Roman" w:cs="Times New Roman" w:eastAsia="Times New Roman" w:hAnsi="Times New Roman"/>
          <w:sz w:val="19"/>
          <w:szCs w:val="19"/>
          <w:b w:val="1"/>
          <w:bCs w:val="1"/>
          <w:u w:val="single" w:color="auto"/>
          <w:color w:val="auto"/>
        </w:rPr>
        <w:t>Post-Closing Obligations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Within the time periods specified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xml:space="preserve"> hereto (as each may be extended by the Administrative Agent in its reasonable discretion), complete such undertakings as are set forth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xml:space="preserve"> hereto.</w:t>
      </w:r>
    </w:p>
    <w:p>
      <w:pPr>
        <w:spacing w:after="0" w:line="1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Each of the Loan Parties hereby covenants and agrees that on the Closing Date and thereafter until the Facility Termination Date, no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Party shall, nor shall it permit any Subsidiary to, directly or indirectly:</w:t>
      </w:r>
    </w:p>
    <w:p>
      <w:pPr>
        <w:spacing w:after="0" w:line="20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7.01</w:t>
      </w:r>
      <w:r>
        <w:rPr>
          <w:sz w:val="20"/>
          <w:szCs w:val="20"/>
          <w:color w:val="auto"/>
        </w:rPr>
        <w:tab/>
      </w:r>
      <w:r>
        <w:rPr>
          <w:rFonts w:ascii="Times New Roman" w:cs="Times New Roman" w:eastAsia="Times New Roman" w:hAnsi="Times New Roman"/>
          <w:sz w:val="20"/>
          <w:szCs w:val="20"/>
          <w:b w:val="1"/>
          <w:bCs w:val="1"/>
          <w:u w:val="single" w:color="auto"/>
          <w:color w:val="auto"/>
        </w:rPr>
        <w:t>Liens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Create, incur, assume or suffer to exist any Lien upon any of its property, assets or revenues, whether now owned or hereafter acquired, except for the following (the “</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and listed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and any renewals or extensions thereof, provided that (i) the property covered thereby is not changed (other than through the addition of after-acquired property that is affixed or incorporated into the property covered by such Lien and proceeds and products thereof), (ii) the amount secured or benefited thereby is not increased except as contemplated by </w:t>
      </w:r>
      <w:r>
        <w:rPr>
          <w:rFonts w:ascii="Times New Roman" w:cs="Times New Roman" w:eastAsia="Times New Roman" w:hAnsi="Times New Roman"/>
          <w:sz w:val="20"/>
          <w:szCs w:val="20"/>
          <w:u w:val="single" w:color="auto"/>
          <w:color w:val="auto"/>
        </w:rPr>
        <w:t>Section 7.02(b</w:t>
      </w:r>
      <w:r>
        <w:rPr>
          <w:rFonts w:ascii="Times New Roman" w:cs="Times New Roman" w:eastAsia="Times New Roman" w:hAnsi="Times New Roman"/>
          <w:sz w:val="20"/>
          <w:szCs w:val="20"/>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0"/>
          <w:szCs w:val="20"/>
          <w:u w:val="single" w:color="auto"/>
          <w:color w:val="auto"/>
        </w:rPr>
        <w:t>Section 7.02(b</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(i) not yet due and payable or (ii) which are being contested in good faith and by appropriate proceedings diligently conducted, if adequate reserves with respect thereto are maintained on the books of the applicable Person in accordance with GAAP;</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statutory Liens such as carriers’, warehousemen’s, mechanics’, materialmen’s, repairmen’s or other like Liens arising in the ordinary course of business which are not overdue for a period of more than thirty (30) days or which are being contested in good faith and by appropriate proceedings diligently conducted;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adequate reserves with respect thereto are maintained on the books of the applicable Person in accordance with GAAP;</w:t>
      </w:r>
    </w:p>
    <w:p>
      <w:pPr>
        <w:spacing w:after="0" w:line="172"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the ordinary course of business (i) in connection with workers’ compensation, unemployment insurance and other social security legislation, other than any Lien imposed by ERISA and (ii) securing liability for reimbursement or indemnification obligations of insurance carriers providing property, casualty or liability insurance to Holdings or any of its Subsidiaries;</w:t>
      </w:r>
    </w:p>
    <w:p>
      <w:pPr>
        <w:spacing w:after="0" w:line="16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and leases (other than Indebtedness for borrowed money), statutory obligations, surety and appeal bonds, performance bonds, letters of credit, bank guarantees, bankers’ acceptances and other obligations of a like nature incurred in the ordinary course of business;</w:t>
      </w:r>
    </w:p>
    <w:p>
      <w:pPr>
        <w:spacing w:after="0" w:line="181" w:lineRule="exact"/>
        <w:rPr>
          <w:rFonts w:ascii="Times New Roman" w:cs="Times New Roman" w:eastAsia="Times New Roman" w:hAnsi="Times New Roman"/>
          <w:sz w:val="20"/>
          <w:szCs w:val="20"/>
          <w:color w:val="auto"/>
        </w:rPr>
      </w:pPr>
    </w:p>
    <w:p>
      <w:pPr>
        <w:jc w:val="both"/>
        <w:ind w:firstLine="656"/>
        <w:spacing w:after="0" w:line="310" w:lineRule="auto"/>
        <w:tabs>
          <w:tab w:leader="none" w:pos="1284"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rights-of-way, restrictions and other similar encumbrances affecting real property which do not materially detract from the value of the property subject thereto or materially interfere with the ordinary conduct of the business of Holdings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089" w:right="339" w:bottom="1440" w:gutter="0" w:footer="0" w:header="0"/>
        </w:sectPr>
      </w:pPr>
    </w:p>
    <w:bookmarkStart w:id="86" w:name="page87"/>
    <w:bookmarkEnd w:id="86"/>
    <w:p>
      <w:pPr>
        <w:ind w:right="20" w:firstLine="656"/>
        <w:spacing w:after="0" w:line="283" w:lineRule="auto"/>
        <w:tabs>
          <w:tab w:leader="none" w:pos="12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(or appeal or other surety bonds relating to such judgments) not constituting an Event of Default under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9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provided, that, such Liens do not at any time encumber any property other than the property financed by such Indebtedness;</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9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and other similar Liens existing solely with respect to cash and Cash Equivalents on deposit in one or more accounts maintained by the Borrower or any of its Subsidiaries with any Lender, in each case in the ordinary course of business in favor of the bank or banks with which such accounts are maintained, securing solely the customary amounts owing to such bank with respect to cash management and operating account arrangements; provided, that, in no case shall any such Liens secure (either directly or indirectly) the repayment of any Indebtedness;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licensor, sublessor or sublicensor under any lease, license, sublease or sublicense entered into by any Loan Party or any Subsidiary thereof in the ordinary course of business and covering only the assets so leased, licensed, subleased or sublicensed;</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collection bank arising under Section 4–210 of the UCC on items in the course of collection;</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of a Person existing at the time such Person is merged into or consolidated with the Borrower or any Subsidiary of Holdings or becomes a Subsidiary of Holdings; provided, that, such Liens were not created in contemplation of such merger, consolidation or Investment and do not extend to any assets other than those of the Person merged into or consolidated with the Borrower or such Subsidiary or acquired by the Borrower or such Subsidiary, and the applicable Indebtedness secured by such Lien is permitted under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zoning, building or similar laws or rights reserved to or vested in any Governmental Authority;</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precautionary Uniform Commercial Code financing statement filings regarding leases entered into by Holdings or any of its Subsidiaries in the ordinary course of business;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or other similar escrow arrangements made by Holdings or any of its Subsidiaries in connection with any letter of intent or purchase agreement permitted hereunder;</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securing the financing of premiums with respect thereto;</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landlords arising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encumbrances or restrictions (including, without limitation, put and call agreements, options, rights of first refusal and similar rights) with respect to the Equity Interests of any partnership permitted by the terms of this Agreement arising pursuant to the agreements evidencing or governing such partnership;</w:t>
      </w:r>
    </w:p>
    <w:p>
      <w:pPr>
        <w:spacing w:after="0" w:line="16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Equity Interests or assets to be sold pursuant to an agreement entered into for the Disposition of all or substantially all the Equity Interests or assets of a Subsidiary to the extent permitted by the terms hereof, pending the closing of such Disposition; provided, that, in no case shall any such Liens secure (either directly or indirectly) any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089" w:right="339" w:bottom="1440" w:gutter="0" w:footer="0" w:header="0"/>
        </w:sectPr>
      </w:pPr>
    </w:p>
    <w:bookmarkStart w:id="87" w:name="page88"/>
    <w:bookmarkEnd w:id="87"/>
    <w:p>
      <w:pPr>
        <w:jc w:val="both"/>
        <w:ind w:firstLine="656"/>
        <w:spacing w:after="0" w:line="261"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on Equity Interests of joint ventures securing capital contributions to, or obligations of, such Persons and (ii) customary rights of first refusal and tag, drag and similar rights in joint venture agreements with respect to non-wholly owned Subsidiaries of Holdings;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on cash advances in favor of the seller of any property to be acquired in an Investment permitted pursuant to Section 7.03 to be applied against the purchase price for such Investment, and (ii) consisting of an agreement to Dispose of any property in a Disposition permitted under Section 7.05, in each case, solely to the extent such Investment or Disposition, as the case may be, would have been permitted on the date of the creation of such Lien;</w:t>
      </w:r>
    </w:p>
    <w:p>
      <w:pPr>
        <w:spacing w:after="0" w:line="172"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 out of conditional sale, title retention, consignment or similar arrangements for sale of goods entered into by the Borrower or any Subsidiary in the ordinary course of business or (ii) by operation of Law under Article 2 of the UCC (and/or any similar Law under any foreign jurisdiction);</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46" w:lineRule="exact"/>
        <w:rPr>
          <w:sz w:val="20"/>
          <w:szCs w:val="20"/>
          <w:color w:val="auto"/>
        </w:rPr>
      </w:pPr>
    </w:p>
    <w:p>
      <w:pPr>
        <w:ind w:firstLine="656"/>
        <w:spacing w:after="0" w:line="283" w:lineRule="auto"/>
        <w:tabs>
          <w:tab w:leader="none" w:pos="1183"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progress payments and advances from customers in the ordinary course of business to the extent the same creates a Lien on the related inventory and proceeds thereof;</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36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Indebtedness and other obligations outstanding in an aggregate principal amount not to exceed $15,000,000; and</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15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and sublicenses of Intellectual Property granted to third parties in the ordinary course of business, to the extent they do not materially interfere with the business of any Loan Party taken as a whole.</w:t>
      </w:r>
    </w:p>
    <w:p>
      <w:pPr>
        <w:spacing w:after="0" w:line="17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Notwithstanding anything to the foregoing, the Loan Parties shall not grant a Lien securing any Indebtedness for borrowed money on any Intellectual Property, other than in favor of the Administrative Agent securing the Obligations.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7.02</w:t>
      </w:r>
      <w:r>
        <w:rPr>
          <w:sz w:val="20"/>
          <w:szCs w:val="20"/>
          <w:color w:val="auto"/>
        </w:rPr>
        <w:tab/>
      </w:r>
      <w:r>
        <w:rPr>
          <w:rFonts w:ascii="Times New Roman" w:cs="Times New Roman" w:eastAsia="Times New Roman" w:hAnsi="Times New Roman"/>
          <w:sz w:val="19"/>
          <w:szCs w:val="19"/>
          <w:b w:val="1"/>
          <w:bCs w:val="1"/>
          <w:u w:val="single" w:color="auto"/>
          <w:color w:val="auto"/>
        </w:rPr>
        <w:t>Indebtedness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Create, incur, assume or suffer to exist any Indebtedness, except:</w:t>
      </w:r>
    </w:p>
    <w:p>
      <w:pPr>
        <w:spacing w:after="0" w:line="216"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229" w:lineRule="exact"/>
        <w:rPr>
          <w:rFonts w:ascii="Times New Roman" w:cs="Times New Roman" w:eastAsia="Times New Roman" w:hAnsi="Times New Roman"/>
          <w:sz w:val="20"/>
          <w:szCs w:val="20"/>
          <w:color w:val="auto"/>
        </w:rPr>
      </w:pPr>
    </w:p>
    <w:p>
      <w:pPr>
        <w:jc w:val="both"/>
        <w:ind w:firstLine="656"/>
        <w:spacing w:after="0" w:line="270" w:lineRule="auto"/>
        <w:tabs>
          <w:tab w:leader="none" w:pos="1284"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outstanding on the date hereof and listed on </w:t>
      </w:r>
      <w:r>
        <w:rPr>
          <w:rFonts w:ascii="Times New Roman" w:cs="Times New Roman" w:eastAsia="Times New Roman" w:hAnsi="Times New Roman"/>
          <w:sz w:val="19"/>
          <w:szCs w:val="19"/>
          <w:u w:val="single" w:color="auto"/>
          <w:color w:val="auto"/>
        </w:rPr>
        <w:t>Schedule 7.02</w:t>
      </w:r>
      <w:r>
        <w:rPr>
          <w:rFonts w:ascii="Times New Roman" w:cs="Times New Roman" w:eastAsia="Times New Roman" w:hAnsi="Times New Roman"/>
          <w:sz w:val="19"/>
          <w:szCs w:val="19"/>
          <w:color w:val="auto"/>
        </w:rPr>
        <w:t xml:space="preserve">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w:t>
      </w:r>
    </w:p>
    <w:p>
      <w:pPr>
        <w:spacing w:after="0" w:line="175" w:lineRule="exact"/>
        <w:rPr>
          <w:rFonts w:ascii="Times New Roman" w:cs="Times New Roman" w:eastAsia="Times New Roman" w:hAnsi="Times New Roman"/>
          <w:sz w:val="19"/>
          <w:szCs w:val="19"/>
          <w:color w:val="auto"/>
        </w:rPr>
      </w:pPr>
    </w:p>
    <w:p>
      <w:pPr>
        <w:jc w:val="both"/>
        <w:ind w:firstLine="656"/>
        <w:spacing w:after="0" w:line="258" w:lineRule="auto"/>
        <w:tabs>
          <w:tab w:leader="none" w:pos="128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 in respect of Attributable Indebtedness and purchase money obligations for fixed or capital assets within the limitations set forth in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provided, however, that, the aggregate amount of all such Indebtedness at any one time outstanding shall not exceed $10,000,000, (ii) in respect of Attributable Indebtedness related to the Borrower’s Headquarters as in effect as of the Closing Date and (iii) in respect of any refinancing of Indebtedness incurred pursuant to this clause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008" w:right="339" w:bottom="1440" w:gutter="0" w:footer="0" w:header="0"/>
        </w:sectPr>
      </w:pPr>
    </w:p>
    <w:bookmarkStart w:id="88" w:name="page89"/>
    <w:bookmarkEnd w:id="88"/>
    <w:p>
      <w:pPr>
        <w:ind w:right="20" w:firstLine="656"/>
        <w:spacing w:after="0" w:line="283" w:lineRule="auto"/>
        <w:tabs>
          <w:tab w:leader="none" w:pos="12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of Holdings or a Subsidiary owing to Holdings or a Subsidiary to the extent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Intercompany Debt</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Holdings or any Subsidiary in respect of Indebtedness otherwise permitted hereunder of Holdings or any</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200"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1"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Person that becomes a Subsidiary of Holdings after the date hereof in a transaction permitted hereunder in an aggregate principal amount not to exceed $7,500,000; provided, that, such Indebtedness is existing at the time such Person becomes a Subsidiary of Holdings and was not incurred solely in contemplation of such Person’s becoming a Subsidiary of Holdings;</w:t>
      </w:r>
    </w:p>
    <w:p>
      <w:pPr>
        <w:spacing w:after="0" w:line="16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(contingent or otherwise) existing or arising under any Swap Contract, provided, that, (i) such obligations are (or were) entered into by such Person in the ordinary course of business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in the ordinary course of business in respect of obligations of Holdings or any of its Subsidiaries (not for borrowed money) to a supplier, customer, franchisee, lessor or licensee;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current or former directors, officers, employees, members of management, managers and consultants of Holdings or any of its Subsidiaries (and their respective estates, spouses and former spouses) in the ordinary course of business;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9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(i) netting services, overdraft protections and similar arrangements in each case in connection with deposit accounts and (ii) credit card and purchase card services;</w:t>
      </w:r>
    </w:p>
    <w:p>
      <w:pPr>
        <w:spacing w:after="0" w:line="172" w:lineRule="exact"/>
        <w:rPr>
          <w:rFonts w:ascii="Times New Roman" w:cs="Times New Roman" w:eastAsia="Times New Roman" w:hAnsi="Times New Roman"/>
          <w:sz w:val="20"/>
          <w:szCs w:val="20"/>
          <w:color w:val="auto"/>
        </w:rPr>
      </w:pPr>
    </w:p>
    <w:p>
      <w:pPr>
        <w:jc w:val="both"/>
        <w:ind w:firstLine="656"/>
        <w:spacing w:after="0" w:line="295" w:lineRule="auto"/>
        <w:tabs>
          <w:tab w:leader="none" w:pos="1284"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 respect of workers’ compensation claims, self-insurance obligations, bankers’ acceptances, customs, Taxes and other similar tax guarantees, in each case incurred in the ordinary course of business and not in connection with the borrowing of money;</w:t>
      </w:r>
    </w:p>
    <w:p>
      <w:pPr>
        <w:spacing w:after="0" w:line="151" w:lineRule="exact"/>
        <w:rPr>
          <w:rFonts w:ascii="Times New Roman" w:cs="Times New Roman" w:eastAsia="Times New Roman" w:hAnsi="Times New Roman"/>
          <w:sz w:val="19"/>
          <w:szCs w:val="19"/>
          <w:color w:val="auto"/>
        </w:rPr>
      </w:pPr>
    </w:p>
    <w:p>
      <w:pPr>
        <w:jc w:val="both"/>
        <w:ind w:firstLine="656"/>
        <w:spacing w:after="0" w:line="270" w:lineRule="auto"/>
        <w:tabs>
          <w:tab w:leader="none" w:pos="1294"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Indebtedness consisting of (a) the financing of insurance premiums or (b) take-or-pay obligations contained in supply arrangements, in the case of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in the ordinary course of business and (ii) Indebtedness incurred by Holdings or any of its Subsidiaries in respect of bank guarantees,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 type obligations regarding workers’ compensation claims;</w:t>
      </w:r>
    </w:p>
    <w:p>
      <w:pPr>
        <w:spacing w:after="0" w:line="175" w:lineRule="exact"/>
        <w:rPr>
          <w:rFonts w:ascii="Times New Roman" w:cs="Times New Roman" w:eastAsia="Times New Roman" w:hAnsi="Times New Roman"/>
          <w:sz w:val="19"/>
          <w:szCs w:val="19"/>
          <w:color w:val="auto"/>
        </w:rPr>
      </w:pPr>
    </w:p>
    <w:p>
      <w:pPr>
        <w:jc w:val="both"/>
        <w:ind w:right="20" w:firstLine="656"/>
        <w:spacing w:after="0" w:line="261" w:lineRule="auto"/>
        <w:tabs>
          <w:tab w:leader="none" w:pos="128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unfunded pension fund and other employee benefit plan obligations and liabilities incurred in the ordinary course of business to the extent that the unfunded amounts are permitted to remain unfunded under Applicable Law and would not otherwise cause an Event of Default under </w:t>
      </w:r>
      <w:r>
        <w:rPr>
          <w:rFonts w:ascii="Times New Roman" w:cs="Times New Roman" w:eastAsia="Times New Roman" w:hAnsi="Times New Roman"/>
          <w:sz w:val="20"/>
          <w:szCs w:val="20"/>
          <w:u w:val="single" w:color="auto"/>
          <w:color w:val="auto"/>
        </w:rPr>
        <w:t>Section 8.01(i)</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deposits and advance payments received in the ordinary course of business from customers for goods and services purchased in the ordinary course of business;</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arising from the honoring by a bank or other financial institution of a check, draft or similar instrument inadvertently (except in the case of daylight overdrafts) drawn against insufficient funds in the ordinary course of business; provided, that, such Indebtedness is extinguished within five (5) Business Days of incurrence and (ii) Indebtedness in respect of any Cash Management Agreements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089" w:right="339" w:bottom="1440" w:gutter="0" w:footer="0" w:header="0"/>
        </w:sectPr>
      </w:pPr>
    </w:p>
    <w:bookmarkStart w:id="89" w:name="page90"/>
    <w:bookmarkEnd w:id="89"/>
    <w:p>
      <w:pPr>
        <w:jc w:val="both"/>
        <w:ind w:firstLine="656"/>
        <w:spacing w:after="0" w:line="261" w:lineRule="auto"/>
        <w:tabs>
          <w:tab w:leader="none" w:pos="12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Borrower or any Subsidiary in a Permitted Acquisition, any other Investment permitted hereunder or any Disposition, in each case constituting indemnification obligations or obligations in respect of earnouts, purchase price adjustments, or other similar adjustments;</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reasonably acceptable to the Administrative Agent; provided that, such Indebtedness (i) shall be unsecured, (ii) shall have a final maturity no earlier than the date that is six months after the Maturity Date, (iii) shall not be Guaranteed by any Subsidiary of Holdings that is not a Loan Party and (iv) after giving effect to the incurrence of such Indebtedness, Pro Forma Basis the Loan Parties are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 an aggregate principal amount not to exceed $15,000,000 at any time outstanding; and</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premiums (if any), interest (including any post-petition interest), fees, expenses, charges and additional or contingent interest on obligations described in clauses (a) through (q) above.</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7.03</w:t>
      </w:r>
      <w:r>
        <w:rPr>
          <w:sz w:val="20"/>
          <w:szCs w:val="20"/>
          <w:color w:val="auto"/>
        </w:rPr>
        <w:tab/>
      </w:r>
      <w:r>
        <w:rPr>
          <w:rFonts w:ascii="Times New Roman" w:cs="Times New Roman" w:eastAsia="Times New Roman" w:hAnsi="Times New Roman"/>
          <w:sz w:val="19"/>
          <w:szCs w:val="19"/>
          <w:b w:val="1"/>
          <w:bCs w:val="1"/>
          <w:u w:val="single" w:color="auto"/>
          <w:color w:val="auto"/>
        </w:rPr>
        <w:t>Investments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Make or hold any Investments, except:</w:t>
      </w:r>
    </w:p>
    <w:p>
      <w:pPr>
        <w:spacing w:after="0" w:line="216"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cash or Cash Equivalents;</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and employees of Holdings and its Subsidiaries in an aggregate amount not to exceed $4,000,000 at any time outstanding, for travel, entertainment, relocation and analogous ordinary business purposes;</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by Holdings and its Subsidiaries in their respective Subsidiaries outstanding on the date hereof, (ii) additional Investments by Holdings and its Subsidiaries in Loan Parties, (iii) additional Investments by Subsidiaries that are not Loan Parties in other Subsidiaries that are not Loan Parties and (iv) additional Investments by the Loan Parties in Subsidiaries that are not Loan Parties in an aggregate amount invested from the date hereof not to exceed $10,000,000;</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date hereof (other than those referred to in </w:t>
      </w:r>
      <w:r>
        <w:rPr>
          <w:rFonts w:ascii="Times New Roman" w:cs="Times New Roman" w:eastAsia="Times New Roman" w:hAnsi="Times New Roman"/>
          <w:sz w:val="20"/>
          <w:szCs w:val="20"/>
          <w:u w:val="single" w:color="auto"/>
          <w:color w:val="auto"/>
        </w:rPr>
        <w:t>Section 7.03(c)(i</w:t>
      </w:r>
      <w:r>
        <w:rPr>
          <w:rFonts w:ascii="Times New Roman" w:cs="Times New Roman" w:eastAsia="Times New Roman" w:hAnsi="Times New Roman"/>
          <w:sz w:val="20"/>
          <w:szCs w:val="20"/>
          <w:color w:val="auto"/>
        </w:rPr>
        <w:t xml:space="preserve">)) and set forth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and, in each case, any modification, replacement, renewal, reinvestment or extension thereof that does not require an increase from the amount of such Investment on the Closing Date except pursuant to the terms of such Investment as of the Closing Date or as otherwise permitted by another clause of this Section 7.03 in such Investment;</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exercise the option to purchase its headquarters located at 6770 Parker Farm Drive, Wilmington, NC 28405 (the “</w:t>
      </w:r>
      <w:r>
        <w:rPr>
          <w:rFonts w:ascii="Times New Roman" w:cs="Times New Roman" w:eastAsia="Times New Roman" w:hAnsi="Times New Roman"/>
          <w:sz w:val="20"/>
          <w:szCs w:val="20"/>
          <w:u w:val="single" w:color="auto"/>
          <w:color w:val="auto"/>
        </w:rPr>
        <w:t>Borrower’s Headquarters</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to customers, suppliers, lessors or utilities or for workers’ compensation in the ordinary course of business that are recorded as accounts receivable, prepaid expenses or deposits on the balance sheet of Holdings and its Subsidiaries prepared in accordance with GAAP or other applicable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089" w:right="339" w:bottom="1440" w:gutter="0" w:footer="0" w:header="0"/>
        </w:sectPr>
      </w:pPr>
    </w:p>
    <w:bookmarkStart w:id="90" w:name="page91"/>
    <w:bookmarkEnd w:id="90"/>
    <w:p>
      <w:pPr>
        <w:jc w:val="both"/>
        <w:ind w:firstLine="656"/>
        <w:spacing w:after="0" w:line="258" w:lineRule="auto"/>
        <w:tabs>
          <w:tab w:leader="none" w:pos="129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Liens, Indebtedness, fundamental changes, Dispositions, Restricted Payments and prepayments of Indebtedness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respectively, and sales, transfers, leases, licenses or other dispositions not constituting a “Disposition” (in each case, permitted other than by reference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joint ventures in an aggregate amount not to exceed $10,000,000 in the aggregate outstanding at any time;</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promissory notes and other non-cash consideration received in connection with Dispositions permitted by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28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(i) endorsements for collection or deposit, (ii) customary trade arrangements with customers, and (iii) loans or advances made to contractors, vendors and landlords;</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pledges or deposits (x) with respect to leases or utilities provided to third parties in the ordinary course of business or (y) otherwise made in connection with Liens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of a Subsidiary that is acquired after the Closing Date or of a company merged or amalgamated or consolidated into Holdings or any of its Subsidiaries, in each case in accordance with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after the Closing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Guarantees of leases or of other obligations not constituting Indebtedness and (ii) Guarantees of the lease obligations of suppliers, customers, franchisees and licensees of Holdings and its Subsidiaries, in each case in the ordinary course of business;</w:t>
      </w:r>
    </w:p>
    <w:p>
      <w:pPr>
        <w:spacing w:after="0" w:line="172" w:lineRule="exact"/>
        <w:rPr>
          <w:rFonts w:ascii="Times New Roman" w:cs="Times New Roman" w:eastAsia="Times New Roman" w:hAnsi="Times New Roman"/>
          <w:sz w:val="20"/>
          <w:szCs w:val="20"/>
          <w:color w:val="auto"/>
        </w:rPr>
      </w:pPr>
    </w:p>
    <w:p>
      <w:pPr>
        <w:ind w:right="20" w:firstLine="656"/>
        <w:spacing w:after="0" w:line="269" w:lineRule="auto"/>
        <w:tabs>
          <w:tab w:leader="none" w:pos="1291"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unfunded pension fund and other employee benefit plan obligations and liabilities to the extent that they are permitted to remain unfunded under Applicable Law and would not cause an Event of Default under </w:t>
      </w:r>
      <w:r>
        <w:rPr>
          <w:rFonts w:ascii="Times New Roman" w:cs="Times New Roman" w:eastAsia="Times New Roman" w:hAnsi="Times New Roman"/>
          <w:sz w:val="20"/>
          <w:szCs w:val="20"/>
          <w:u w:val="single" w:color="auto"/>
          <w:color w:val="auto"/>
        </w:rPr>
        <w:t>Section 8.01(i)</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they constitute Investments, purchases and acquisitions of inventory, supplies, materials and equipment or purchases of contract rights or licenses or leases of Intellectual Property from third parties and non-exclusive licenses or leases to third parties, in each case in the ordinary course of business;</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earnest money deposits made in connection with a letter of intent, purchase agreement or other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w:t>
      </w:r>
    </w:p>
    <w:p>
      <w:pPr>
        <w:spacing w:after="0" w:line="207"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so long as (i) no Event of Default shall have occurred and be continuing and (ii) after giving effect to such Investment on a Pro Forma Basis the Loan Parties are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and</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not exceeding $30,000,000 in the aggregate in any fiscal year of the Borrower.</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7.04</w:t>
      </w:r>
      <w:r>
        <w:rPr>
          <w:sz w:val="20"/>
          <w:szCs w:val="20"/>
          <w:color w:val="auto"/>
        </w:rPr>
        <w:tab/>
      </w:r>
      <w:r>
        <w:rPr>
          <w:rFonts w:ascii="Times New Roman" w:cs="Times New Roman" w:eastAsia="Times New Roman" w:hAnsi="Times New Roman"/>
          <w:sz w:val="19"/>
          <w:szCs w:val="19"/>
          <w:b w:val="1"/>
          <w:bCs w:val="1"/>
          <w:u w:val="single" w:color="auto"/>
          <w:color w:val="auto"/>
        </w:rPr>
        <w:t>Fundamental Changes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Merge, dissolve, liquidate, consolidate with or into another Person,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008" w:right="339" w:bottom="1440" w:gutter="0" w:footer="0" w:header="0"/>
        </w:sectPr>
      </w:pPr>
    </w:p>
    <w:bookmarkStart w:id="91" w:name="page92"/>
    <w:bookmarkEnd w:id="91"/>
    <w:p>
      <w:pPr>
        <w:jc w:val="both"/>
        <w:ind w:right="20" w:firstLine="656"/>
        <w:spacing w:after="0" w:line="261" w:lineRule="auto"/>
        <w:tabs>
          <w:tab w:leader="none" w:pos="128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of Holdings may merge with (i)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the continuing or surviving Person, or (ii) any one or more other Subsidiaries of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any Guarantor is merging with another Subsidiary of Holdings, such Guarantor shall be the continuing or surviving Person;</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Acquisition, the Borrower or any Subsidiary of Holdings may merge into or consolidate with any other Person or permit any other Person to merge into or consolidate with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the Borrower is a party to such transaction, the Borrower is the continuing or surviving Person and (ii) if the Borrower is not a party to such transaction and a Guarantor is a party to such transaction, a Guarantor is the surviving Person;</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liquidate or dissolve, or Holdings or any of its Subsidiaries may (if the perfection and priority of the Liens securing the Obligations is not adversely affected thereby) change its legal form if the Borrower determines in good faith that such action is in the best interest of the Borrower and its Subsidiaries and Holdings’ Subsidiaries and is not disadvantageous to the Lenders; and</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Dispose of all or substantially all of its assets (upon voluntary liquidation or otherwise) to the Borrower or to another Subsidiary; provided that if the transferor in such a transaction is a Guarantor, then (i) the transferee must either be the Borrower or a Guarantor or (ii) such Disposition shall be treated as if it is an Investment, and such Investment must be a permitted Investment in a Subsidiary which is not a Loan Party in accordance with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7.05</w:t>
      </w:r>
      <w:r>
        <w:rPr>
          <w:sz w:val="20"/>
          <w:szCs w:val="20"/>
          <w:color w:val="auto"/>
        </w:rPr>
        <w:tab/>
      </w:r>
      <w:r>
        <w:rPr>
          <w:rFonts w:ascii="Times New Roman" w:cs="Times New Roman" w:eastAsia="Times New Roman" w:hAnsi="Times New Roman"/>
          <w:sz w:val="19"/>
          <w:szCs w:val="19"/>
          <w:b w:val="1"/>
          <w:bCs w:val="1"/>
          <w:u w:val="single" w:color="auto"/>
          <w:color w:val="auto"/>
        </w:rPr>
        <w:t>Dispositions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Make any Disposition or enter into any agreement to make any Disposition, except:</w:t>
      </w:r>
    </w:p>
    <w:p>
      <w:pPr>
        <w:spacing w:after="0" w:line="229"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Transfers;</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 Disposition, (i) the granting of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(ii) the making of Investments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(iii) the consummation of fundamental changes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(iv) the making of Restricted Payments permitted by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(v) the consummation of Sale and Leaseback Transactions permitted by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(in each case, permitted other than by reference to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property, whether now owned or hereafter acquired, in the ordinary course of business;</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and sublicenses of Intellectual Property granted to third party in the ordinary course of business, to the extent they do not materially interfere with the business of Holdings or any Subsidiary;</w:t>
      </w:r>
    </w:p>
    <w:p>
      <w:pPr>
        <w:spacing w:after="0" w:line="172"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Dispositions so long as (i) at least seventy five percent (75.0%) of the consideration paid in connection therewith shall be cash or Cash Equivalents paid contemporaneously with consummation of the transaction and shall be in an amount not less than the fair market value of the property disposed of (as reasonably determined in good faith by the Borrower), (ii) if such transaction is a Sale and Leaseback Transaction, such transaction is not prohibited by the terms of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(iii) such transaction does not involve the sale or other disposition of a minority Equity Interests in any Subsidiary, (iv) such transaction does not involve a sale or other disposition of receivables other than receivables owned by or attributable to other property concurrently being disposed of in a transaction otherwise permitted under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(v) no Event of Default has occurred and is continuing, and (vi) the aggregate net book value of all of the assets sold or otherwise disposed of by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008" w:right="339" w:bottom="1440" w:gutter="0" w:footer="0" w:header="0"/>
        </w:sectPr>
      </w:pPr>
    </w:p>
    <w:bookmarkStart w:id="92" w:name="page93"/>
    <w:bookmarkEnd w:id="92"/>
    <w:p>
      <w:pPr>
        <w:spacing w:after="0" w:line="283" w:lineRule="auto"/>
        <w:rPr>
          <w:sz w:val="20"/>
          <w:szCs w:val="20"/>
          <w:color w:val="auto"/>
        </w:rPr>
      </w:pPr>
      <w:r>
        <w:rPr>
          <w:rFonts w:ascii="Times New Roman" w:cs="Times New Roman" w:eastAsia="Times New Roman" w:hAnsi="Times New Roman"/>
          <w:sz w:val="20"/>
          <w:szCs w:val="20"/>
          <w:color w:val="auto"/>
        </w:rPr>
        <w:t>Parties and their Subsidiaries in all such transactions in any fiscal year of the Borrower shall not exceed 5% of the Consolidated Total Assets of Holdings and its Subsidiaries as of the end of the prior fiscal year end;</w:t>
      </w:r>
    </w:p>
    <w:p>
      <w:pPr>
        <w:spacing w:after="0" w:line="146"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leases of immaterial assets with a fair market value of less than $2,000,000, in each case;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cancellation of intercompany Indebtedness owing between Loan Parties or by Loan Parties to Subsidiaries that are not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Parties.</w:t>
      </w:r>
    </w:p>
    <w:p>
      <w:pPr>
        <w:spacing w:after="0" w:line="20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7.06</w:t>
      </w:r>
      <w:r>
        <w:rPr>
          <w:sz w:val="20"/>
          <w:szCs w:val="20"/>
          <w:color w:val="auto"/>
        </w:rPr>
        <w:tab/>
      </w:r>
      <w:r>
        <w:rPr>
          <w:rFonts w:ascii="Times New Roman" w:cs="Times New Roman" w:eastAsia="Times New Roman" w:hAnsi="Times New Roman"/>
          <w:sz w:val="19"/>
          <w:szCs w:val="19"/>
          <w:b w:val="1"/>
          <w:bCs w:val="1"/>
          <w:u w:val="single" w:color="auto"/>
          <w:color w:val="auto"/>
        </w:rPr>
        <w:t>Restricted Payments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Declare or make, directly or indirectly, any Restricted Payment, or incur any obligation (contingent or otherwise) to do so, except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207" w:lineRule="exact"/>
        <w:rPr>
          <w:sz w:val="20"/>
          <w:szCs w:val="20"/>
          <w:color w:val="auto"/>
        </w:rPr>
      </w:pPr>
    </w:p>
    <w:p>
      <w:pPr>
        <w:ind w:firstLine="656"/>
        <w:spacing w:after="0" w:line="269" w:lineRule="auto"/>
        <w:tabs>
          <w:tab w:leader="none" w:pos="1286"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may make Restricted Payments to any Person that owns Equity Interests in such Subsidiary, ratably according to their respective holdings of the type of Equity Interest in respect of which such Restricted Payment is being made;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each Subsidiary may declare and make dividend payments or other distributions payable solely in common Equity Interests (other than Disqualified Equity Interests) of such Person;</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each Subsidiary may pay withholding or similar taxes payable by any future, present or former employee, director or officer (or any spouses, former spouses, successors, executors, administrators, heirs, legatees or distributes of any of the foregoing) in connection with any repurchase of Equity Interests or the exercise of stock options;</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may make other Restricted Payments so long as (i) no Event of Default shall have occurred and be continuing and</w:t>
      </w:r>
    </w:p>
    <w:p>
      <w:pPr>
        <w:spacing w:after="0" w:line="28" w:lineRule="exact"/>
        <w:rPr>
          <w:rFonts w:ascii="Times New Roman" w:cs="Times New Roman" w:eastAsia="Times New Roman" w:hAnsi="Times New Roman"/>
          <w:sz w:val="20"/>
          <w:szCs w:val="20"/>
          <w:color w:val="auto"/>
        </w:rPr>
      </w:pPr>
    </w:p>
    <w:p>
      <w:pPr>
        <w:ind w:firstLine="8"/>
        <w:spacing w:after="0" w:line="253" w:lineRule="auto"/>
        <w:tabs>
          <w:tab w:leader="none" w:pos="30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such Restricted Payment on a Pro Forma Basis the Loan Parties are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Restricted Payments, Holdings and its Subsidiaries may enter into transactions expressly permitted by </w:t>
      </w:r>
      <w:r>
        <w:rPr>
          <w:rFonts w:ascii="Times New Roman" w:cs="Times New Roman" w:eastAsia="Times New Roman" w:hAnsi="Times New Roman"/>
          <w:sz w:val="20"/>
          <w:szCs w:val="20"/>
          <w:u w:val="single" w:color="auto"/>
          <w:color w:val="auto"/>
        </w:rPr>
        <w:t>Sections 7.03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7.08</w:t>
      </w:r>
      <w:r>
        <w:rPr>
          <w:rFonts w:ascii="Times New Roman" w:cs="Times New Roman" w:eastAsia="Times New Roman" w:hAnsi="Times New Roman"/>
          <w:sz w:val="20"/>
          <w:szCs w:val="20"/>
          <w:color w:val="auto"/>
        </w:rPr>
        <w:t xml:space="preserve"> (in each case, other than by reference to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and</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91"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redemptions, repurchases, retirements or other acquisitions of Equity Interest deemed to occur on the exercise price of such options on a cashless basis.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7.07</w:t>
      </w:r>
      <w:r>
        <w:rPr>
          <w:sz w:val="20"/>
          <w:szCs w:val="20"/>
          <w:color w:val="auto"/>
        </w:rPr>
        <w:tab/>
      </w:r>
      <w:r>
        <w:rPr>
          <w:rFonts w:ascii="Times New Roman" w:cs="Times New Roman" w:eastAsia="Times New Roman" w:hAnsi="Times New Roman"/>
          <w:sz w:val="19"/>
          <w:szCs w:val="19"/>
          <w:b w:val="1"/>
          <w:bCs w:val="1"/>
          <w:u w:val="single" w:color="auto"/>
          <w:color w:val="auto"/>
        </w:rPr>
        <w:t>Change in Nature of Business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Engage in any material line of business substantially different from those lines of business conducted by Holdings and its Subsidiaries on the date hereof or any business substantially related or incidental thereto.</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7.08</w:t>
      </w:r>
      <w:r>
        <w:rPr>
          <w:sz w:val="20"/>
          <w:szCs w:val="20"/>
          <w:color w:val="auto"/>
        </w:rPr>
        <w:tab/>
      </w:r>
      <w:r>
        <w:rPr>
          <w:rFonts w:ascii="Times New Roman" w:cs="Times New Roman" w:eastAsia="Times New Roman" w:hAnsi="Times New Roman"/>
          <w:sz w:val="19"/>
          <w:szCs w:val="19"/>
          <w:b w:val="1"/>
          <w:bCs w:val="1"/>
          <w:u w:val="single" w:color="auto"/>
          <w:color w:val="auto"/>
        </w:rPr>
        <w:t>Transactions with Affiliates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Enter into or permit to exist any transaction or series of transactions with any Affiliate of such Person, other than (a) advances of working capital to any Loan Party, (b) transfers of cash and assets to any Loan Party, (c) intercompany transactions expressly permitted by this Agreement, (d) normal and reasonable compensation and reimbursement of expenses of officers and directors, (e) transactions between and among (i) Loan Parties and (ii) Subsidiaries that are not Loan Parties, (f) employment, compensation and benefits arrangements in the ordinary course of business with current or former officers, employees, directors, managers and consultants and transactions pursuant to stock option, stock appreciation rights, stock incentive or other equity compensation plans and employee benefit plans and arrangements in the ordinary course of business, (g) any agreement between any Person and an Affiliate of such Person existing at the time such Person is acquired by or merged into Holdings or any Subsidiary pursuant to the terms of this Agreement; provided that such agreement was not entered into in</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008" w:right="339" w:bottom="1440" w:gutter="0" w:footer="0" w:header="0"/>
          <w:type w:val="continuous"/>
        </w:sectPr>
      </w:pPr>
    </w:p>
    <w:bookmarkStart w:id="93" w:name="page94"/>
    <w:bookmarkEnd w:id="93"/>
    <w:p>
      <w:pPr>
        <w:jc w:val="both"/>
        <w:spacing w:after="0" w:line="253" w:lineRule="auto"/>
        <w:rPr>
          <w:sz w:val="20"/>
          <w:szCs w:val="20"/>
          <w:color w:val="auto"/>
        </w:rPr>
      </w:pPr>
      <w:r>
        <w:rPr>
          <w:rFonts w:ascii="Times New Roman" w:cs="Times New Roman" w:eastAsia="Times New Roman" w:hAnsi="Times New Roman"/>
          <w:sz w:val="20"/>
          <w:szCs w:val="20"/>
          <w:color w:val="auto"/>
        </w:rPr>
        <w:t>contemplation of such acquisition or merger; (h) transactions approved by a majority of the disinterested members of the board of directors of Holdings; (i) transactions approved by the audit committee of the board of directors of Holdings and (j) except as otherwise specifically limited in this Agreement, other transactions which are entered into in the ordinary course of such Person’s business on fair and reasonable terms and conditions substantially as favorable to such Person as would be obtainable by it in a comparable arms’ length transaction with a Person other than an Affiliate.</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7.09</w:t>
      </w:r>
      <w:r>
        <w:rPr>
          <w:sz w:val="20"/>
          <w:szCs w:val="20"/>
          <w:color w:val="auto"/>
        </w:rPr>
        <w:tab/>
      </w:r>
      <w:r>
        <w:rPr>
          <w:rFonts w:ascii="Times New Roman" w:cs="Times New Roman" w:eastAsia="Times New Roman" w:hAnsi="Times New Roman"/>
          <w:sz w:val="19"/>
          <w:szCs w:val="19"/>
          <w:b w:val="1"/>
          <w:bCs w:val="1"/>
          <w:u w:val="single" w:color="auto"/>
          <w:color w:val="auto"/>
        </w:rPr>
        <w:t>Burdensome Agreements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Enter into, or permit to exist, any Contractual Obligation (except for this Agreement and the other Loan Documents) that (a) encumbers or restricts the ability of Holdings or any of its Subsidiaries to (i) act as a Loan Party; (ii) make Restricted Payments to any Loan Party, (iii) pay any Indebtedness or other obligation owed to any Loan Party, (iv) make loans or advances to any Loan Party, or (v) create any Lien upon any of their properties or assets, whether now owned or hereafter acquired, except (A) in the case of </w:t>
      </w:r>
      <w:r>
        <w:rPr>
          <w:rFonts w:ascii="Times New Roman" w:cs="Times New Roman" w:eastAsia="Times New Roman" w:hAnsi="Times New Roman"/>
          <w:sz w:val="20"/>
          <w:szCs w:val="20"/>
          <w:u w:val="single" w:color="auto"/>
          <w:color w:val="auto"/>
        </w:rPr>
        <w:t>clause (a)(v</w:t>
      </w:r>
      <w:r>
        <w:rPr>
          <w:rFonts w:ascii="Times New Roman" w:cs="Times New Roman" w:eastAsia="Times New Roman" w:hAnsi="Times New Roman"/>
          <w:sz w:val="20"/>
          <w:szCs w:val="20"/>
          <w:color w:val="auto"/>
        </w:rPr>
        <w:t xml:space="preserve">) only, for any document or instrument governing (1) Indebtedness incurred pursuant to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xml:space="preserve">), provided, that, any such restriction contained therein relates only to the asset or assets constructed or acquired in connection therewith or (2) Liens permitted by </w:t>
      </w:r>
      <w:r>
        <w:rPr>
          <w:rFonts w:ascii="Times New Roman" w:cs="Times New Roman" w:eastAsia="Times New Roman" w:hAnsi="Times New Roman"/>
          <w:sz w:val="20"/>
          <w:szCs w:val="20"/>
          <w:u w:val="single" w:color="auto"/>
          <w:color w:val="auto"/>
        </w:rPr>
        <w:t>Section 7.01(e)</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to the extent such restrictions apply only to the property or assets encumbered by such Liens, (B) any agreement in connection with a Disposition permitted by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 xml:space="preserve"> and customary provisions limiting the Disposition or distribution of assets or property in asset sale agreements, sale-leaseback agreements, stock sale agreements and other similar agreements in the ordinary course of business (including agreements entered into in connection with any Investment permitted under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which limitation is applicable only to the assets that are the subject of such agreements, (C) customary provisions restricting assignment of any agreement entered into in the ordinary course of business, (D) any restrictions or conditions set forth in any agreement in effect at any time any Person becomes a Subsidiary (but not any modification or amendment expanding the scope of any such restriction or condition), provided that such agreement was not entered into in contemplation of such Person becoming a Subsidiary and such restriction or condition does not apply to Holdings or any other Subsidiary;</w:t>
      </w:r>
    </w:p>
    <w:p>
      <w:pPr>
        <w:spacing w:after="0" w:line="3" w:lineRule="exact"/>
        <w:rPr>
          <w:sz w:val="20"/>
          <w:szCs w:val="20"/>
          <w:color w:val="auto"/>
        </w:rPr>
      </w:pPr>
    </w:p>
    <w:p>
      <w:pPr>
        <w:jc w:val="both"/>
        <w:ind w:firstLine="8"/>
        <w:spacing w:after="0" w:line="249" w:lineRule="auto"/>
        <w:tabs>
          <w:tab w:leader="none" w:pos="31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restrictions or conditions set forth in any agreement governing Indebtedness incurred or permitted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that are not materially more restrictive, taken as a whole, than the terms of the Loan Documents; (F) restrictions on cash or other deposits imposed under contracts entered into in the ordinary course of business; (G) customary provisions in joint venture organizational governance documents, depositary agreements, agreements relating to bank products and hedge agreements, in each case in the ordinary course of business; (H) Contractual Obligations existing on the date hereof with respect to Intellectual Property; (I) any restrictions or conditions imposed by agreements governing or evidencing Indebtedness of a non-Loan Party that is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and (J) any restrictions imposed pursuant to Applicable Law or (b) requires the grant of any Lien on property for any obligation if a Lien on such property is given as security for the Secured Obligations.</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7.10</w:t>
      </w:r>
      <w:r>
        <w:rPr>
          <w:sz w:val="20"/>
          <w:szCs w:val="20"/>
          <w:color w:val="auto"/>
        </w:rPr>
        <w:tab/>
      </w:r>
      <w:r>
        <w:rPr>
          <w:rFonts w:ascii="Times New Roman" w:cs="Times New Roman" w:eastAsia="Times New Roman" w:hAnsi="Times New Roman"/>
          <w:sz w:val="19"/>
          <w:szCs w:val="19"/>
          <w:b w:val="1"/>
          <w:bCs w:val="1"/>
          <w:u w:val="single" w:color="auto"/>
          <w:color w:val="auto"/>
        </w:rPr>
        <w:t>Use of Proceeds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77"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7.11</w:t>
      </w:r>
      <w:r>
        <w:rPr>
          <w:sz w:val="20"/>
          <w:szCs w:val="20"/>
          <w:color w:val="auto"/>
        </w:rPr>
        <w:tab/>
      </w:r>
      <w:r>
        <w:rPr>
          <w:rFonts w:ascii="Times New Roman" w:cs="Times New Roman" w:eastAsia="Times New Roman" w:hAnsi="Times New Roman"/>
          <w:sz w:val="19"/>
          <w:szCs w:val="19"/>
          <w:b w:val="1"/>
          <w:bCs w:val="1"/>
          <w:u w:val="single" w:color="auto"/>
          <w:color w:val="auto"/>
        </w:rPr>
        <w:t>Financial Covenants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right="20" w:firstLine="656"/>
        <w:spacing w:after="0" w:line="269" w:lineRule="auto"/>
        <w:tabs>
          <w:tab w:leader="none" w:pos="128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Leverage Ratio</w:t>
      </w:r>
      <w:r>
        <w:rPr>
          <w:rFonts w:ascii="Times New Roman" w:cs="Times New Roman" w:eastAsia="Times New Roman" w:hAnsi="Times New Roman"/>
          <w:sz w:val="20"/>
          <w:szCs w:val="20"/>
          <w:color w:val="auto"/>
        </w:rPr>
        <w:t>. Permit the Consolidated Total Leverage Ratio as of the end of any fiscal quarter of Holdings (commencing with the fiscal quarter ending January 31, 2025) to be greater than 4.00:1.00.</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089" w:right="339" w:bottom="1440" w:gutter="0" w:footer="0" w:header="0"/>
        </w:sectPr>
      </w:pPr>
    </w:p>
    <w:bookmarkStart w:id="94" w:name="page95"/>
    <w:bookmarkEnd w:id="94"/>
    <w:p>
      <w:pPr>
        <w:ind w:firstLine="656"/>
        <w:spacing w:after="0" w:line="283" w:lineRule="auto"/>
        <w:tabs>
          <w:tab w:leader="none" w:pos="128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Permit the Consolidated Interest Coverage Ratio as of the end of any four fiscal quarter period of Holdings (commencing with the fiscal quarter ending January 31, 2025) to be less than 3.00:1.00.</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7.12</w:t>
      </w:r>
      <w:r>
        <w:rPr>
          <w:sz w:val="20"/>
          <w:szCs w:val="20"/>
          <w:color w:val="auto"/>
        </w:rPr>
        <w:tab/>
      </w:r>
      <w:r>
        <w:rPr>
          <w:rFonts w:ascii="Times New Roman" w:cs="Times New Roman" w:eastAsia="Times New Roman" w:hAnsi="Times New Roman"/>
          <w:sz w:val="19"/>
          <w:szCs w:val="19"/>
          <w:b w:val="1"/>
          <w:bCs w:val="1"/>
          <w:u w:val="single" w:color="auto"/>
          <w:color w:val="auto"/>
        </w:rPr>
        <w:t>Amendments of Organization Documents; Fiscal Year; Legal Name, State of Formation; Form of Entity.</w:t>
      </w:r>
    </w:p>
    <w:p>
      <w:pPr>
        <w:spacing w:after="0" w:line="233"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of its Organization Documents in a manner materially adverse to the interests of the Lenders;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fiscal year; or</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providing ten (10) days prior written notice to the Administrative Agent (or such shorter period of time as agreed to by the Administrative Agent), change its name, state of formation, form of organization or principal place of business.</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7.13</w:t>
      </w:r>
      <w:r>
        <w:rPr>
          <w:sz w:val="20"/>
          <w:szCs w:val="20"/>
          <w:color w:val="auto"/>
        </w:rPr>
        <w:tab/>
      </w:r>
      <w:r>
        <w:rPr>
          <w:rFonts w:ascii="Times New Roman" w:cs="Times New Roman" w:eastAsia="Times New Roman" w:hAnsi="Times New Roman"/>
          <w:sz w:val="19"/>
          <w:szCs w:val="19"/>
          <w:b w:val="1"/>
          <w:bCs w:val="1"/>
          <w:u w:val="single" w:color="auto"/>
          <w:color w:val="auto"/>
        </w:rPr>
        <w:t>Sale and Leaseback Transactions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Enter into any Sale and Leaseback Transaction.</w:t>
      </w:r>
    </w:p>
    <w:p>
      <w:pPr>
        <w:spacing w:after="0" w:line="21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7.14</w:t>
      </w:r>
      <w:r>
        <w:rPr>
          <w:sz w:val="20"/>
          <w:szCs w:val="20"/>
          <w:color w:val="auto"/>
        </w:rPr>
        <w:tab/>
      </w:r>
      <w:r>
        <w:rPr>
          <w:rFonts w:ascii="Times New Roman" w:cs="Times New Roman" w:eastAsia="Times New Roman" w:hAnsi="Times New Roman"/>
          <w:sz w:val="19"/>
          <w:szCs w:val="19"/>
          <w:b w:val="1"/>
          <w:bCs w:val="1"/>
          <w:u w:val="single" w:color="auto"/>
          <w:color w:val="auto"/>
        </w:rPr>
        <w:t>Sanctions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in violation of Sanctions, or in any other manner that will result in a violation by any Person (including any Person participating in the transaction, whether as Lender, Arranger, Administrative Agent, L/C Issuer, Swingline Lender, or otherwise) of Sanctions.</w:t>
      </w:r>
    </w:p>
    <w:p>
      <w:pPr>
        <w:spacing w:after="0" w:line="21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7.15</w:t>
      </w:r>
      <w:r>
        <w:rPr>
          <w:sz w:val="20"/>
          <w:szCs w:val="20"/>
          <w:color w:val="auto"/>
        </w:rPr>
        <w:tab/>
      </w:r>
      <w:r>
        <w:rPr>
          <w:rFonts w:ascii="Times New Roman" w:cs="Times New Roman" w:eastAsia="Times New Roman" w:hAnsi="Times New Roman"/>
          <w:sz w:val="19"/>
          <w:szCs w:val="19"/>
          <w:b w:val="1"/>
          <w:bCs w:val="1"/>
          <w:u w:val="single" w:color="auto"/>
          <w:color w:val="auto"/>
        </w:rPr>
        <w:t>Anti</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Corruption Laws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Directly or to the knowledge of Holdings or any Subsidiary, indirectly, use any Credit Extension or the proceeds of any Credit Extension for any purpose which would violate the United States Foreign Corrupt Practices Act of 1977, the UK Bribery Act 2010 or applicable anti-corruption legislation in other jurisdictions, in each case in any material respect.</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7.16</w:t>
      </w:r>
      <w:r>
        <w:rPr>
          <w:sz w:val="20"/>
          <w:szCs w:val="20"/>
          <w:color w:val="auto"/>
        </w:rPr>
        <w:tab/>
      </w:r>
      <w:r>
        <w:rPr>
          <w:rFonts w:ascii="Times New Roman" w:cs="Times New Roman" w:eastAsia="Times New Roman" w:hAnsi="Times New Roman"/>
          <w:sz w:val="19"/>
          <w:szCs w:val="19"/>
          <w:b w:val="1"/>
          <w:bCs w:val="1"/>
          <w:u w:val="single" w:color="auto"/>
          <w:color w:val="auto"/>
        </w:rPr>
        <w:t>Restrictions on Holdings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in this Agreement, Holdings shall not (a) own any property other than cash and Cash Equivalents and the Equity Interests of the Borrower or one or more other Subsidiaries, (b) have any liabilities other than (i) obligations under the Loan Documents, its Organization Documents and contracts and agreements (including with respect to indemnities) with officers, directors, consultants and employees of Holdings relating to their employment, services or directorships, (ii) obligations under certain customer contracts entered into as part of the transition of the operational activities of the Consolidated group from Holdings to the Borrower, so long as either (1) such contracts are assigned to the Borrower within 180 days after the Closing Date or (2) such obligations are immaterial, (iii) tax liabilities in the ordinary course of business or incurred as a member of the Consolidated group of Holdings and its Subsidiaries, and (iv) corporate, administrative and operating expenses incurred in the ordinary course of business, or (c) engage in any business other than (i) maintaining its existence and activities related thereto, (ii) owning the Equity Interests of the Borrower or one or more other Subsidiaries and activities incidental or related thereto, (iii) performing its obligations under the Loan Documents and contracts and agreements (including with respect to indemnities) with officers, directors, consultants and employees of Holdings relating to their employment, services or directorships and (iv) activities in the ordinary course reasonably related to the foregoing.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170" w:right="339" w:bottom="1440" w:gutter="0" w:footer="0" w:header="0"/>
        </w:sectPr>
      </w:pPr>
    </w:p>
    <w:bookmarkStart w:id="95" w:name="page96"/>
    <w:bookmarkEnd w:id="95"/>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 AND REMEDIES</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8.01</w:t>
      </w:r>
      <w:r>
        <w:rPr>
          <w:sz w:val="20"/>
          <w:szCs w:val="20"/>
          <w:color w:val="auto"/>
        </w:rPr>
        <w:tab/>
      </w:r>
      <w:r>
        <w:rPr>
          <w:rFonts w:ascii="Times New Roman" w:cs="Times New Roman" w:eastAsia="Times New Roman" w:hAnsi="Times New Roman"/>
          <w:sz w:val="19"/>
          <w:szCs w:val="19"/>
          <w:b w:val="1"/>
          <w:bCs w:val="1"/>
          <w:u w:val="single" w:color="auto"/>
          <w:color w:val="auto"/>
        </w:rPr>
        <w:t>Events of Default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of the following shall constitute an event of default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56"/>
        <w:spacing w:after="0" w:line="258"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Borrower or any other Loan Party fails to pay (i) when and as required to be paid herein, any amount of principal of any Loan or any L/C Obligation or deposit any funds as Cash Collateral in respect of L/C Obligations, or (ii) within three (3) days after the same becomes due, any interest on any Loan or on any L/C Obligation, or any fee due hereunder, or (iii) within five (5) days after the same becomes due, any other amount payable hereunder or under any other Loan Document; or</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Any Loan Party fails to perform or observe any term, covenant or agreement contained in (i) any of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6.05(a)</w:t>
      </w:r>
      <w:r>
        <w:rPr>
          <w:rFonts w:ascii="Times New Roman" w:cs="Times New Roman" w:eastAsia="Times New Roman" w:hAnsi="Times New Roman"/>
          <w:sz w:val="20"/>
          <w:szCs w:val="20"/>
          <w:color w:val="auto"/>
        </w:rPr>
        <w:t xml:space="preserve"> as to legal existence of Holdings and the Borrower, </w:t>
      </w:r>
      <w:r>
        <w:rPr>
          <w:rFonts w:ascii="Times New Roman" w:cs="Times New Roman" w:eastAsia="Times New Roman" w:hAnsi="Times New Roman"/>
          <w:sz w:val="20"/>
          <w:szCs w:val="20"/>
          <w:u w:val="single" w:color="auto"/>
          <w:color w:val="auto"/>
        </w:rPr>
        <w:t>6.08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(ii)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xml:space="preserve"> and such failure continues to be unremedied for three (3) Business Days; or</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xml:space="preserve">. Any Loan Party fails to perform or observe any other covenant or agreement (not specified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above) contained in any Loan Document on its part to be performed or observed and such failure continues unremedied for thirty (30) days after the earlier of (i) any Responsible Officer obtaining actual knowledge thereof and (ii) the date written notice thereof is provided from the Administrative Agent to the Borrower; or</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written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181"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6"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Cross-Default</w:t>
      </w:r>
      <w:r>
        <w:rPr>
          <w:rFonts w:ascii="Times New Roman" w:cs="Times New Roman" w:eastAsia="Times New Roman" w:hAnsi="Times New Roman"/>
          <w:sz w:val="19"/>
          <w:szCs w:val="19"/>
          <w:color w:val="auto"/>
        </w:rPr>
        <w:t xml:space="preserve">. (i) Any Loan Party or any Subsidiary thereof (A) fails to make any payment when due (whether by scheduled maturity, required prepayment, acceleration, demand, or otherwise but after giving effect to any applicable grace periods)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clause (e)(i)(B) shall not apply to secured Indebtedness that becomes due or is mandatorily redeemable as a result of the voluntary sale or transfer of the property or assets securing such Indebtedness if such sale or transfer is permitted hereunder;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085" w:right="339" w:bottom="1440" w:gutter="0" w:footer="0" w:header="0"/>
        </w:sectPr>
      </w:pPr>
    </w:p>
    <w:bookmarkStart w:id="96" w:name="page97"/>
    <w:bookmarkEnd w:id="96"/>
    <w:p>
      <w:pPr>
        <w:jc w:val="both"/>
        <w:ind w:firstLine="656"/>
        <w:spacing w:after="0" w:line="253" w:lineRule="auto"/>
        <w:tabs>
          <w:tab w:leader="none" w:pos="1291"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Any Loan Party or any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7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Any Loan Party or any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w:t>
      </w:r>
    </w:p>
    <w:p>
      <w:pPr>
        <w:ind w:left="380" w:hanging="372"/>
        <w:spacing w:after="0"/>
        <w:tabs>
          <w:tab w:leader="none" w:pos="3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its issue or levy; or</w:t>
      </w:r>
    </w:p>
    <w:p>
      <w:pPr>
        <w:spacing w:after="0" w:line="213"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any Loan Party or any Subsidiary thereof (i) one or more final judgments or orders for the payment of money in an aggregate amount (as to all such judgments and orders) exceeding the Threshold Amount (to the extent not</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covered by independent third-party insurance as to which the insurer has been notified of the potential claim and does not dispute coverage), which judgment remains unpaid for a period of thirty (30) days after entry thereof, or (ii) any one or more non-monetary final judgments that have, or could reasonably be expected to have, individually or in the aggregate, a Material Adverse Effect and, in either case,</w:t>
      </w:r>
    </w:p>
    <w:p>
      <w:pPr>
        <w:spacing w:after="0" w:line="3" w:lineRule="exact"/>
        <w:rPr>
          <w:sz w:val="20"/>
          <w:szCs w:val="20"/>
          <w:color w:val="auto"/>
        </w:rPr>
      </w:pPr>
    </w:p>
    <w:p>
      <w:pPr>
        <w:ind w:right="20" w:firstLine="8"/>
        <w:spacing w:after="0" w:line="253" w:lineRule="auto"/>
        <w:tabs>
          <w:tab w:leader="none" w:pos="32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enforcement proceedings are commenced by any creditor upon such judgment or order, or (B) there is a period of thirty (30) consecutive days during which a stay of enforcement of such judgment, by reason of a pending appeal or otherwise, is not in effect; or</w:t>
      </w:r>
    </w:p>
    <w:p>
      <w:pPr>
        <w:spacing w:after="0" w:line="18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Except as would not reasonably be expected to have a Material Adverse Effect, (i) an ERISA Event occurs with respect to a Pension Plan or Multiemployer Plan which has resulted or could reasonably be expected to result in liability of any Loan Party to the Pension Plan, Multiemployer Plan or the PBGC, or (ii) the Borrower or any ERISA Affiliate fails to pay when due, after the expiration of any applicable grace period, any installment payment with respect to its withdrawal liability under Section 4201 of ERISA under a Multiemployer Plan; or</w:t>
      </w:r>
    </w:p>
    <w:p>
      <w:pPr>
        <w:spacing w:after="0" w:line="191" w:lineRule="exact"/>
        <w:rPr>
          <w:rFonts w:ascii="Times New Roman" w:cs="Times New Roman" w:eastAsia="Times New Roman" w:hAnsi="Times New Roman"/>
          <w:sz w:val="20"/>
          <w:szCs w:val="20"/>
          <w:color w:val="auto"/>
        </w:rPr>
      </w:pPr>
    </w:p>
    <w:p>
      <w:pPr>
        <w:jc w:val="both"/>
        <w:ind w:firstLine="656"/>
        <w:spacing w:after="0" w:line="249" w:lineRule="auto"/>
        <w:tabs>
          <w:tab w:leader="none" w:pos="129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material provision of any Loan Document, at any time after its execution and delivery and for any reason (other than as expressly permitted hereunder or thereunder or as a result of satisfaction in full of all Obligations (other than contingent obligations for which no claim has been made) arising under the Loan Documents), ceases to be in full force and effect; or any Loan Party contests in any manner the validity or enforceability of any provision of any Loan Document; or any Loan Party denies that it has any or further liability or obligation under any provision of any Loan Document (other than as a result of repayment in full of the Obligations and termination of the Commitments), or purports to revoke, terminate or rescind any provision of any Loan Document or it is or becomes unlawful for a Loan Party to perform any of its material obligations under the Loan Documents; or any Collateral Document shall for any reason cease to create a valid and perfected first priority Lien (subject to Permitted Liens) on any material portion of the Collateral purported to be covered thereby (other than (i) pursuant to the terms thereof, including as a result of a transaction not prohibited under this Agreement and (ii) to the extent that any such loss of perfection or priority results from the failure of the Administrative Agent to maintain possession of certificates actually delivered to it representing securities pledged under the Collateral Documents or to file Uniform Commercial Code continuation statements), or any Loan Party shall assert the invalidity of such Liens; or</w:t>
      </w:r>
    </w:p>
    <w:p>
      <w:pPr>
        <w:spacing w:after="0" w:line="20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21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If a Default shall have occurred under the Loan Documents, then such Default will continue to exist until it either is cured (to the extent specifically permitted) in accordance with the Loan Documents or is otherwise expressly waived by Administrative Agent as determined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and once an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008" w:right="339" w:bottom="1440" w:gutter="0" w:footer="0" w:header="0"/>
        </w:sectPr>
      </w:pPr>
    </w:p>
    <w:bookmarkStart w:id="97" w:name="page98"/>
    <w:bookmarkEnd w:id="97"/>
    <w:p>
      <w:pPr>
        <w:spacing w:after="0" w:line="283" w:lineRule="auto"/>
        <w:rPr>
          <w:sz w:val="20"/>
          <w:szCs w:val="20"/>
          <w:color w:val="auto"/>
        </w:rPr>
      </w:pPr>
      <w:r>
        <w:rPr>
          <w:rFonts w:ascii="Times New Roman" w:cs="Times New Roman" w:eastAsia="Times New Roman" w:hAnsi="Times New Roman"/>
          <w:sz w:val="20"/>
          <w:szCs w:val="20"/>
          <w:color w:val="auto"/>
        </w:rPr>
        <w:t xml:space="preserve">Default occurs under the Loan Documents, then such Event of Default will continue to exist until it is expressly waived by the Administrative Agent, as required hereunder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8.02</w:t>
      </w:r>
      <w:r>
        <w:rPr>
          <w:sz w:val="20"/>
          <w:szCs w:val="20"/>
          <w:color w:val="auto"/>
        </w:rPr>
        <w:tab/>
      </w:r>
      <w:r>
        <w:rPr>
          <w:rFonts w:ascii="Times New Roman" w:cs="Times New Roman" w:eastAsia="Times New Roman" w:hAnsi="Times New Roman"/>
          <w:sz w:val="19"/>
          <w:szCs w:val="19"/>
          <w:b w:val="1"/>
          <w:bCs w:val="1"/>
          <w:u w:val="single" w:color="auto"/>
          <w:color w:val="auto"/>
        </w:rPr>
        <w:t>Remedies upon Event of Default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Event of Default occurs and is continuing, the Administrative Agent shall, at the request of, or may, with the consent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Lenders, take any or all of the following actions:</w:t>
      </w:r>
    </w:p>
    <w:p>
      <w:pPr>
        <w:spacing w:after="0" w:line="207" w:lineRule="exact"/>
        <w:rPr>
          <w:sz w:val="20"/>
          <w:szCs w:val="20"/>
          <w:color w:val="auto"/>
        </w:rPr>
      </w:pPr>
    </w:p>
    <w:p>
      <w:pPr>
        <w:ind w:right="20" w:firstLine="656"/>
        <w:spacing w:after="0" w:line="283" w:lineRule="auto"/>
        <w:tabs>
          <w:tab w:leader="none" w:pos="128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the L/C Obligations (in an amount equal to the Minimum Collateral Amount with respect thereto); and</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provided, however, that, upon the occurrence of an actual or deemed entry of an order for relief with respect to the Borrower under the Bankruptcy Code of the United States, the obligation of the Lenders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8.03</w:t>
      </w:r>
      <w:r>
        <w:rPr>
          <w:sz w:val="20"/>
          <w:szCs w:val="20"/>
          <w:color w:val="auto"/>
        </w:rPr>
        <w:tab/>
      </w:r>
      <w:r>
        <w:rPr>
          <w:rFonts w:ascii="Times New Roman" w:cs="Times New Roman" w:eastAsia="Times New Roman" w:hAnsi="Times New Roman"/>
          <w:sz w:val="19"/>
          <w:szCs w:val="19"/>
          <w:b w:val="1"/>
          <w:bCs w:val="1"/>
          <w:u w:val="single" w:color="auto"/>
          <w:color w:val="auto"/>
        </w:rPr>
        <w:t>Application of Funds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any amounts received on account of the Secured Obligations shall, subject to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2.15, be applied by the Administrative Agent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-193040</wp:posOffset>
            </wp:positionV>
            <wp:extent cx="276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860" cy="8255"/>
                    </a:xfrm>
                    <a:prstGeom prst="rect">
                      <a:avLst/>
                    </a:prstGeom>
                    <a:noFill/>
                  </pic:spPr>
                </pic:pic>
              </a:graphicData>
            </a:graphic>
          </wp:anchor>
        </w:drawing>
      </w:r>
    </w:p>
    <w:p>
      <w:pPr>
        <w:spacing w:after="0" w:line="1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Secured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Secured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Secured Obligations constituting accrued and unpaid Letter of Credit Fees and interest on the Loans, L/C Borrowings and other Secured Obligations arising under the Loan Documents, ratably among the Lenders and the L/C Issuer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payment of that portion of the Secured Obligations constituting unpaid principal of the Loans, L/C Borrowings and Secured Obligations then owing under Secured Hedge Agreements and Secured Cash Management Agreements and to the Administrative Agent for the account of the L/C Issuer, to Cash Collateralize</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927" w:right="339" w:bottom="1440" w:gutter="0" w:footer="0" w:header="0"/>
          <w:type w:val="continuous"/>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20"/>
          <w:szCs w:val="20"/>
          <w:color w:val="auto"/>
        </w:rPr>
        <w:t>that portion of L/C Obligations comprised of the aggregate undrawn amount of Letters of Credit, to the extent not otherwise Cash Collateralized by the Borrower pursuant to Sections 2.03 and 2.14, in each case ratably among the Administrative Agent, the Lenders, the L/C Issuer, the Hedge Banks and the Cash Management Banks in proportion to the respective amounts described in this clause Fourth payable to them; and</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Secured Obligations have been indefeasibly paid in full, to the Borrower or as otherwise required by Law.</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such Guarantor’s assets, but appropriate adjustments shall be made with respect to payments from other Loan Parties to preserve the allocation to Secured Obligations otherwise set forth above in this Section.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for itself and its Affiliates as if a “Lender” party hereto.</w:t>
      </w:r>
    </w:p>
    <w:p>
      <w:pPr>
        <w:spacing w:after="0" w:line="1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21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9.01</w:t>
      </w:r>
      <w:r>
        <w:rPr>
          <w:sz w:val="20"/>
          <w:szCs w:val="20"/>
          <w:color w:val="auto"/>
        </w:rPr>
        <w:tab/>
      </w:r>
      <w:r>
        <w:rPr>
          <w:rFonts w:ascii="Times New Roman" w:cs="Times New Roman" w:eastAsia="Times New Roman" w:hAnsi="Times New Roman"/>
          <w:sz w:val="19"/>
          <w:szCs w:val="19"/>
          <w:b w:val="1"/>
          <w:bCs w:val="1"/>
          <w:u w:val="single" w:color="auto"/>
          <w:color w:val="auto"/>
        </w:rPr>
        <w:t>Appointment and Authority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2" w:lineRule="auto"/>
        <w:tabs>
          <w:tab w:leader="none" w:pos="128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Appointment. 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IX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The Administrative Agent shall also act as the “collateral agent”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008"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Administrative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20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9.02</w:t>
      </w:r>
      <w:r>
        <w:rPr>
          <w:sz w:val="20"/>
          <w:szCs w:val="20"/>
          <w:color w:val="auto"/>
        </w:rPr>
        <w:tab/>
      </w:r>
      <w:r>
        <w:rPr>
          <w:rFonts w:ascii="Times New Roman" w:cs="Times New Roman" w:eastAsia="Times New Roman" w:hAnsi="Times New Roman"/>
          <w:sz w:val="19"/>
          <w:szCs w:val="19"/>
          <w:b w:val="1"/>
          <w:bCs w:val="1"/>
          <w:u w:val="single" w:color="auto"/>
          <w:color w:val="auto"/>
        </w:rPr>
        <w:t>Rights as a Lender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9.03</w:t>
      </w:r>
      <w:r>
        <w:rPr>
          <w:sz w:val="20"/>
          <w:szCs w:val="20"/>
          <w:color w:val="auto"/>
        </w:rPr>
        <w:tab/>
      </w:r>
      <w:r>
        <w:rPr>
          <w:rFonts w:ascii="Times New Roman" w:cs="Times New Roman" w:eastAsia="Times New Roman" w:hAnsi="Times New Roman"/>
          <w:sz w:val="19"/>
          <w:szCs w:val="19"/>
          <w:b w:val="1"/>
          <w:bCs w:val="1"/>
          <w:u w:val="single" w:color="auto"/>
          <w:color w:val="auto"/>
        </w:rPr>
        <w:t>Exculpatory Provisions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61" w:lineRule="auto"/>
        <w:tabs>
          <w:tab w:leader="none" w:pos="128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Related Parties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200"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6"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BofA Securities, Inc. or any of their Related Parties in any capacity, except for notices, reports and other documents expressly required to be furnished to the Lenders by the Administrative Agent herein.</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089" w:right="339" w:bottom="1440" w:gutter="0" w:footer="0" w:header="0"/>
        </w:sectPr>
      </w:pPr>
    </w:p>
    <w:bookmarkStart w:id="100" w:name="page101"/>
    <w:bookmarkEnd w:id="100"/>
    <w:p>
      <w:pPr>
        <w:spacing w:after="0" w:line="283" w:lineRule="auto"/>
        <w:rPr>
          <w:sz w:val="20"/>
          <w:szCs w:val="20"/>
          <w:color w:val="auto"/>
        </w:rPr>
      </w:pPr>
      <w:r>
        <w:rPr>
          <w:rFonts w:ascii="Times New Roman" w:cs="Times New Roman" w:eastAsia="Times New Roman" w:hAnsi="Times New Roman"/>
          <w:sz w:val="20"/>
          <w:szCs w:val="20"/>
          <w:color w:val="auto"/>
        </w:rPr>
        <w:t>Default unless and until notice describing such Default is given in writing to the Administrative Agent by the Borrower, a Lender or the L/C Issuer.</w:t>
      </w:r>
    </w:p>
    <w:p>
      <w:pPr>
        <w:spacing w:after="0" w:line="146" w:lineRule="exact"/>
        <w:rPr>
          <w:sz w:val="20"/>
          <w:szCs w:val="20"/>
          <w:color w:val="auto"/>
        </w:rPr>
      </w:pPr>
    </w:p>
    <w:p>
      <w:pPr>
        <w:jc w:val="both"/>
        <w:ind w:firstLine="656"/>
        <w:spacing w:after="0" w:line="251" w:lineRule="auto"/>
        <w:tabs>
          <w:tab w:leader="none" w:pos="128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spacing w:after="0" w:line="21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9.04</w:t>
      </w:r>
      <w:r>
        <w:rPr>
          <w:sz w:val="20"/>
          <w:szCs w:val="20"/>
          <w:color w:val="auto"/>
        </w:rPr>
        <w:tab/>
      </w:r>
      <w:r>
        <w:rPr>
          <w:rFonts w:ascii="Times New Roman" w:cs="Times New Roman" w:eastAsia="Times New Roman" w:hAnsi="Times New Roman"/>
          <w:sz w:val="19"/>
          <w:szCs w:val="19"/>
          <w:b w:val="1"/>
          <w:bCs w:val="1"/>
          <w:u w:val="single" w:color="auto"/>
          <w:color w:val="auto"/>
        </w:rPr>
        <w:t>Reliance by Administrative Agent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9.05</w:t>
      </w:r>
      <w:r>
        <w:rPr>
          <w:sz w:val="20"/>
          <w:szCs w:val="20"/>
          <w:color w:val="auto"/>
        </w:rPr>
        <w:tab/>
      </w:r>
      <w:r>
        <w:rPr>
          <w:rFonts w:ascii="Times New Roman" w:cs="Times New Roman" w:eastAsia="Times New Roman" w:hAnsi="Times New Roman"/>
          <w:sz w:val="19"/>
          <w:szCs w:val="19"/>
          <w:b w:val="1"/>
          <w:bCs w:val="1"/>
          <w:u w:val="single" w:color="auto"/>
          <w:color w:val="auto"/>
        </w:rPr>
        <w:t>Delegation of Duties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927" w:right="339" w:bottom="1440" w:gutter="0" w:footer="0" w:header="0"/>
        </w:sectPr>
      </w:pPr>
    </w:p>
    <w:bookmarkStart w:id="101" w:name="page102"/>
    <w:bookmarkEnd w:id="101"/>
    <w:p>
      <w:pPr>
        <w:ind w:right="20"/>
        <w:spacing w:after="0" w:line="283" w:lineRule="auto"/>
        <w:rPr>
          <w:sz w:val="20"/>
          <w:szCs w:val="20"/>
          <w:color w:val="auto"/>
        </w:rPr>
      </w:pPr>
      <w:r>
        <w:rPr>
          <w:rFonts w:ascii="Times New Roman" w:cs="Times New Roman" w:eastAsia="Times New Roman" w:hAnsi="Times New Roman"/>
          <w:sz w:val="20"/>
          <w:szCs w:val="20"/>
          <w:color w:val="auto"/>
        </w:rPr>
        <w:t>and non-appealable judgment that the Administrative Agent acted with gross negligence or willful misconduct in the selection of such sub-agents.</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9.06</w:t>
      </w:r>
      <w:r>
        <w:rPr>
          <w:sz w:val="20"/>
          <w:szCs w:val="20"/>
          <w:color w:val="auto"/>
        </w:rPr>
        <w:tab/>
      </w:r>
      <w:r>
        <w:rPr>
          <w:rFonts w:ascii="Times New Roman" w:cs="Times New Roman" w:eastAsia="Times New Roman" w:hAnsi="Times New Roman"/>
          <w:sz w:val="19"/>
          <w:szCs w:val="19"/>
          <w:b w:val="1"/>
          <w:bCs w:val="1"/>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49" w:lineRule="auto"/>
        <w:tabs>
          <w:tab w:leader="none" w:pos="128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Any successor Administrative Agent shall provide, on or before the date on which it becomes the Administrative Agent hereunder, the Borrower with two properly completed and duly executed copies of, if it is a United States person (as defined in Section 7701(a)(30) of the Code), IRS Form W-9 certifying that it is exempt from U.S. federal backup withholding tax, and, if it is not a United States person (as defined in Section 7701(a)(30) of the Code), (1) IRS Form W-8ECI or any other documentation prescribed by Applicable Laws that would allow the Borrower to make payments to such successor Administrative Agent without U.S. federal withholding tax, in each case with respect to payments to be received by it as a beneficial owner and (2) IRS Form W-8IMY (together with required accompanying documentation) with respect to payments to be received by it on behalf of the Lenders certifying that it is entitled to receive such payments without U.S. federal withholding tax, and, in each case, shall update such forms whenever a lapse in time or change in circumstances renders any such form or documentation expired, obsolete or inaccurate in any material respect, or promptly notify the Borrower in writing of its legal ineligibility to do so.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no event shall any successor Administrative Agent be a Defaulting Lender or a Disqualified Institution. Whether or not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successor has been appointed, such resignation shall become effective in accordance with such notice on the Resignation Effective Date.</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If the Person serving as Administrative Agent is a Defaulting Lender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9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Resignation or Removal</w:t>
      </w:r>
      <w:r>
        <w:rPr>
          <w:rFonts w:ascii="Times New Roman" w:cs="Times New Roman" w:eastAsia="Times New Roman" w:hAnsi="Times New Roman"/>
          <w:sz w:val="20"/>
          <w:szCs w:val="20"/>
          <w:color w:val="auto"/>
        </w:rPr>
        <w:t xml:space="preserve">.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The fees payable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008" w:right="339" w:bottom="1440" w:gutter="0" w:footer="0" w:header="0"/>
        </w:sectPr>
      </w:pPr>
    </w:p>
    <w:bookmarkStart w:id="102" w:name="page103"/>
    <w:bookmarkEnd w:id="102"/>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9"/>
          <w:szCs w:val="19"/>
          <w:u w:val="single" w:color="auto"/>
          <w:color w:val="auto"/>
        </w:rPr>
        <w:t>Article XI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11.04</w:t>
      </w:r>
      <w:r>
        <w:rPr>
          <w:rFonts w:ascii="Times New Roman" w:cs="Times New Roman" w:eastAsia="Times New Roman" w:hAnsi="Times New Roman"/>
          <w:sz w:val="19"/>
          <w:szCs w:val="19"/>
          <w:color w:val="auto"/>
        </w:rPr>
        <w:t xml:space="preserve"> shall continue in effect for the benefit of such retiring or removed Administrative Agent, its sub-agents and their respective Related Parties in respect of any actions taken or omitted to be taken by any of them</w:t>
      </w:r>
    </w:p>
    <w:p>
      <w:pPr>
        <w:spacing w:after="0" w:line="2" w:lineRule="exact"/>
        <w:rPr>
          <w:sz w:val="20"/>
          <w:szCs w:val="20"/>
          <w:color w:val="auto"/>
        </w:rPr>
      </w:pPr>
    </w:p>
    <w:p>
      <w:pPr>
        <w:jc w:val="both"/>
        <w:ind w:firstLine="8"/>
        <w:spacing w:after="0" w:line="251" w:lineRule="auto"/>
        <w:tabs>
          <w:tab w:leader="none" w:pos="33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190"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L/C Issuer and Swingline Lender</w:t>
      </w:r>
      <w:r>
        <w:rPr>
          <w:rFonts w:ascii="Times New Roman" w:cs="Times New Roman" w:eastAsia="Times New Roman" w:hAnsi="Times New Roman"/>
          <w:sz w:val="20"/>
          <w:szCs w:val="20"/>
          <w:color w:val="auto"/>
        </w:rPr>
        <w:t xml:space="preserve">. Any resignation or removal by Bank of America as Administrative Agent pursuant to this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xml:space="preserve"> 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u w:val="single" w:color="auto"/>
          <w:color w:val="auto"/>
        </w:rPr>
        <w:t>9.07</w:t>
      </w:r>
      <w:r>
        <w:rPr>
          <w:sz w:val="20"/>
          <w:szCs w:val="20"/>
          <w:color w:val="auto"/>
        </w:rPr>
        <w:tab/>
      </w:r>
      <w:r>
        <w:rPr>
          <w:rFonts w:ascii="Times New Roman" w:cs="Times New Roman" w:eastAsia="Times New Roman" w:hAnsi="Times New Roman"/>
          <w:sz w:val="19"/>
          <w:szCs w:val="19"/>
          <w:b w:val="1"/>
          <w:bCs w:val="1"/>
          <w:u w:val="single" w:color="auto"/>
          <w:color w:val="auto"/>
        </w:rPr>
        <w:t>Non-Reliance on Administrative Agent and Other Lenders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Lender and the L/C 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the L/C Issuer as to any matter, including whether the Administrative Agent or such Arranger has disclosed material information in their (or their Related Parties’) possession. Each Lender and the L/C Issuer represents to the Administrative Agent and each Arranger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927" w:right="339" w:bottom="1440" w:gutter="0" w:footer="0" w:header="0"/>
        </w:sectPr>
      </w:pPr>
    </w:p>
    <w:bookmarkStart w:id="103" w:name="page104"/>
    <w:bookmarkEnd w:id="103"/>
    <w:p>
      <w:pPr>
        <w:jc w:val="both"/>
        <w:spacing w:after="0" w:line="253" w:lineRule="auto"/>
        <w:rPr>
          <w:sz w:val="20"/>
          <w:szCs w:val="20"/>
          <w:color w:val="auto"/>
        </w:rPr>
      </w:pPr>
      <w:r>
        <w:rPr>
          <w:rFonts w:ascii="Times New Roman" w:cs="Times New Roman" w:eastAsia="Times New Roman" w:hAnsi="Times New Roman"/>
          <w:sz w:val="20"/>
          <w:szCs w:val="20"/>
          <w:color w:val="auto"/>
        </w:rPr>
        <w:t>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9.08</w:t>
      </w:r>
      <w:r>
        <w:rPr>
          <w:sz w:val="20"/>
          <w:szCs w:val="20"/>
          <w:color w:val="auto"/>
        </w:rPr>
        <w:tab/>
      </w:r>
      <w:r>
        <w:rPr>
          <w:rFonts w:ascii="Times New Roman" w:cs="Times New Roman" w:eastAsia="Times New Roman" w:hAnsi="Times New Roman"/>
          <w:sz w:val="19"/>
          <w:szCs w:val="19"/>
          <w:b w:val="1"/>
          <w:bCs w:val="1"/>
          <w:u w:val="single" w:color="auto"/>
          <w:color w:val="auto"/>
        </w:rPr>
        <w:t>No Other Duties,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an Arranger, a Lender or the L/C Issuer hereunder.</w:t>
      </w:r>
    </w:p>
    <w:p>
      <w:pPr>
        <w:spacing w:after="0" w:line="20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9.09</w:t>
      </w:r>
      <w:r>
        <w:rPr>
          <w:sz w:val="20"/>
          <w:szCs w:val="20"/>
          <w:color w:val="auto"/>
        </w:rPr>
        <w:tab/>
      </w:r>
      <w:r>
        <w:rPr>
          <w:rFonts w:ascii="Times New Roman" w:cs="Times New Roman" w:eastAsia="Times New Roman" w:hAnsi="Times New Roman"/>
          <w:sz w:val="19"/>
          <w:szCs w:val="19"/>
          <w:b w:val="1"/>
          <w:bCs w:val="1"/>
          <w:u w:val="single" w:color="auto"/>
          <w:color w:val="auto"/>
        </w:rPr>
        <w:t>Administrative Agent May File Proofs of Claim; Credit Bidding</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4" w:lineRule="auto"/>
        <w:tabs>
          <w:tab w:leader="none" w:pos="128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69" w:lineRule="auto"/>
        <w:tabs>
          <w:tab w:leader="none" w:pos="1955"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9"/>
          <w:szCs w:val="19"/>
          <w:u w:val="single" w:color="auto"/>
          <w:color w:val="auto"/>
        </w:rPr>
        <w:t>Sections 2.09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2.10(b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11.04</w:t>
      </w:r>
      <w:r>
        <w:rPr>
          <w:rFonts w:ascii="Times New Roman" w:cs="Times New Roman" w:eastAsia="Times New Roman" w:hAnsi="Times New Roman"/>
          <w:sz w:val="19"/>
          <w:szCs w:val="19"/>
          <w:color w:val="auto"/>
        </w:rPr>
        <w:t>.</w:t>
      </w:r>
    </w:p>
    <w:p>
      <w:pPr>
        <w:spacing w:after="0" w:line="177" w:lineRule="exact"/>
        <w:rPr>
          <w:rFonts w:ascii="Times New Roman" w:cs="Times New Roman" w:eastAsia="Times New Roman" w:hAnsi="Times New Roman"/>
          <w:sz w:val="19"/>
          <w:szCs w:val="19"/>
          <w:color w:val="auto"/>
        </w:rPr>
      </w:pPr>
    </w:p>
    <w:p>
      <w:pPr>
        <w:jc w:val="both"/>
        <w:ind w:firstLine="656"/>
        <w:spacing w:after="0" w:line="258" w:lineRule="auto"/>
        <w:tabs>
          <w:tab w:leader="none" w:pos="128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p>
      <w:pPr>
        <w:spacing w:after="0" w:line="172"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008" w:right="339" w:bottom="1440" w:gutter="0" w:footer="0" w:header="0"/>
        </w:sectPr>
      </w:pPr>
    </w:p>
    <w:bookmarkStart w:id="104" w:name="page105"/>
    <w:bookmarkEnd w:id="104"/>
    <w:p>
      <w:pPr>
        <w:jc w:val="both"/>
        <w:ind w:firstLine="656"/>
        <w:spacing w:after="0" w:line="264" w:lineRule="auto"/>
        <w:tabs>
          <w:tab w:leader="none" w:pos="1284"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 11.01(a)</w:t>
      </w:r>
      <w:r>
        <w:rPr>
          <w:rFonts w:ascii="Times New Roman" w:cs="Times New Roman" w:eastAsia="Times New Roman" w:hAnsi="Times New Roman"/>
          <w:sz w:val="19"/>
          <w:szCs w:val="19"/>
          <w:color w:val="auto"/>
        </w:rPr>
        <w:t xml:space="preserve">), and (C)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Times New Roman" w:cs="Times New Roman" w:eastAsia="Times New Roman" w:hAnsi="Times New Roman"/>
          <w:sz w:val="19"/>
          <w:szCs w:val="19"/>
          <w:b w:val="1"/>
          <w:bCs w:val="1"/>
          <w:u w:val="single" w:color="auto"/>
          <w:color w:val="auto"/>
        </w:rPr>
        <w:t>Collateral and Guaranty Matters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56"/>
        <w:spacing w:after="0" w:line="269" w:lineRule="auto"/>
        <w:tabs>
          <w:tab w:leader="none" w:pos="128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capacities as a potential Cash Management Bank and a potential Hedge Bank) and the L/C Issuer irrevocably authorize the Administrative Agent, at its option and in its discretion,</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Lien on any property granted to or held by the Administrative Agent under any Loan Document</w:t>
      </w:r>
    </w:p>
    <w:p>
      <w:pPr>
        <w:spacing w:after="0" w:line="21" w:lineRule="exact"/>
        <w:rPr>
          <w:rFonts w:ascii="Times New Roman" w:cs="Times New Roman" w:eastAsia="Times New Roman" w:hAnsi="Times New Roman"/>
          <w:sz w:val="20"/>
          <w:szCs w:val="20"/>
          <w:color w:val="auto"/>
        </w:rPr>
      </w:pPr>
    </w:p>
    <w:p>
      <w:pPr>
        <w:jc w:val="both"/>
        <w:ind w:left="660" w:hanging="4"/>
        <w:spacing w:after="0" w:line="256" w:lineRule="auto"/>
        <w:tabs>
          <w:tab w:leader="none" w:pos="9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Facility Termination Date, (ii) that is sold or otherwise disposed of or to be sold or otherwise disposed of as part of or in connection with any sale or other disposition permitted hereunder or under any other Loan Document, or (iii) if approved, authorized or ratified in writing by the Required Lenders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left="660" w:firstLine="644"/>
        <w:spacing w:after="0" w:line="283" w:lineRule="auto"/>
        <w:tabs>
          <w:tab w:leader="none" w:pos="1955"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and</w:t>
      </w:r>
    </w:p>
    <w:p>
      <w:pPr>
        <w:spacing w:after="0" w:line="146"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956"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Guaranty if such Person ceases to be a Subsidiary as a result of a transaction permitted under the Loan Documents.</w:t>
      </w:r>
    </w:p>
    <w:p>
      <w:pPr>
        <w:spacing w:after="0" w:line="159"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the Administrative Agent will, at the Borrower’s expense, execute and deliver to the applicable Loan Party such documents and take such other action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008" w:right="339" w:bottom="1440" w:gutter="0" w:footer="0" w:header="0"/>
        </w:sectPr>
      </w:pPr>
    </w:p>
    <w:bookmarkStart w:id="105" w:name="page106"/>
    <w:bookmarkEnd w:id="105"/>
    <w:p>
      <w:pPr>
        <w:jc w:val="both"/>
        <w:ind w:firstLine="656"/>
        <w:spacing w:after="0" w:line="261" w:lineRule="auto"/>
        <w:tabs>
          <w:tab w:leader="none" w:pos="128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7"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9.11</w:t>
      </w:r>
      <w:r>
        <w:rPr>
          <w:sz w:val="20"/>
          <w:szCs w:val="20"/>
          <w:color w:val="auto"/>
        </w:rPr>
        <w:tab/>
      </w:r>
      <w:r>
        <w:rPr>
          <w:rFonts w:ascii="Times New Roman" w:cs="Times New Roman" w:eastAsia="Times New Roman" w:hAnsi="Times New Roman"/>
          <w:sz w:val="19"/>
          <w:szCs w:val="19"/>
          <w:b w:val="1"/>
          <w:bCs w:val="1"/>
          <w:u w:val="single" w:color="auto"/>
          <w:color w:val="auto"/>
        </w:rPr>
        <w:t>Secured Cash Management Agreements and Secured Hedge Agreements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Except as otherwise expressly set forth herein or in any Collateral Document, no Cash Management Bank or Hedge Bank that obtains the benefit of the provisions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9.12</w:t>
      </w:r>
      <w:r>
        <w:rPr>
          <w:sz w:val="20"/>
          <w:szCs w:val="20"/>
          <w:color w:val="auto"/>
        </w:rPr>
        <w:tab/>
      </w:r>
      <w:r>
        <w:rPr>
          <w:rFonts w:ascii="Times New Roman" w:cs="Times New Roman" w:eastAsia="Times New Roman" w:hAnsi="Times New Roman"/>
          <w:sz w:val="19"/>
          <w:szCs w:val="19"/>
          <w:b w:val="1"/>
          <w:bCs w:val="1"/>
          <w:u w:val="single" w:color="auto"/>
          <w:color w:val="auto"/>
        </w:rPr>
        <w:t>Certain ERISA Matters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4" w:lineRule="auto"/>
        <w:tabs>
          <w:tab w:leader="none" w:pos="128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5"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6"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089" w:right="339" w:bottom="1440" w:gutter="0" w:footer="0" w:header="0"/>
        </w:sectPr>
      </w:pPr>
    </w:p>
    <w:bookmarkStart w:id="106" w:name="page107"/>
    <w:bookmarkEnd w:id="106"/>
    <w:p>
      <w:pPr>
        <w:ind w:left="660"/>
        <w:spacing w:after="0" w:line="283" w:lineRule="auto"/>
        <w:rPr>
          <w:sz w:val="20"/>
          <w:szCs w:val="20"/>
          <w:color w:val="auto"/>
        </w:rPr>
      </w:pPr>
      <w:r>
        <w:rPr>
          <w:rFonts w:ascii="Times New Roman" w:cs="Times New Roman" w:eastAsia="Times New Roman" w:hAnsi="Times New Roman"/>
          <w:sz w:val="20"/>
          <w:szCs w:val="20"/>
          <w:color w:val="auto"/>
        </w:rPr>
        <w:t>with respect to such Lender’s entrance into, participation in, administration of and performance of the Loans, the Letters of Credit, the Commitments and this Agreement, or</w:t>
      </w:r>
    </w:p>
    <w:p>
      <w:pPr>
        <w:spacing w:after="0" w:line="146" w:lineRule="exact"/>
        <w:rPr>
          <w:sz w:val="20"/>
          <w:szCs w:val="20"/>
          <w:color w:val="auto"/>
        </w:rPr>
      </w:pPr>
    </w:p>
    <w:p>
      <w:pPr>
        <w:ind w:left="660" w:right="20" w:firstLine="644"/>
        <w:spacing w:after="0" w:line="283" w:lineRule="auto"/>
        <w:tabs>
          <w:tab w:leader="none" w:pos="1945"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unless either (1)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6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9.13</w:t>
      </w:r>
      <w:r>
        <w:rPr>
          <w:sz w:val="20"/>
          <w:szCs w:val="20"/>
          <w:color w:val="auto"/>
        </w:rPr>
        <w:tab/>
      </w:r>
      <w:r>
        <w:rPr>
          <w:rFonts w:ascii="Times New Roman" w:cs="Times New Roman" w:eastAsia="Times New Roman" w:hAnsi="Times New Roman"/>
          <w:sz w:val="19"/>
          <w:szCs w:val="19"/>
          <w:b w:val="1"/>
          <w:bCs w:val="1"/>
          <w:u w:val="single" w:color="auto"/>
          <w:color w:val="auto"/>
        </w:rPr>
        <w:t>Recovery of Erroneous Payments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CONTINUING GUARANTY</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10.01</w:t>
      </w:r>
      <w:r>
        <w:rPr>
          <w:sz w:val="20"/>
          <w:szCs w:val="20"/>
          <w:color w:val="auto"/>
        </w:rPr>
        <w:tab/>
      </w:r>
      <w:r>
        <w:rPr>
          <w:rFonts w:ascii="Times New Roman" w:cs="Times New Roman" w:eastAsia="Times New Roman" w:hAnsi="Times New Roman"/>
          <w:sz w:val="19"/>
          <w:szCs w:val="19"/>
          <w:b w:val="1"/>
          <w:bCs w:val="1"/>
          <w:u w:val="single" w:color="auto"/>
          <w:color w:val="auto"/>
        </w:rPr>
        <w:t>Guaranty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of the Secured Obligations (for each Guarantor, subject to the proviso in this sentence, its “</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provided,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or other Applicable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008" w:right="339" w:bottom="1440" w:gutter="0" w:footer="0" w:header="0"/>
        </w:sectPr>
      </w:pPr>
    </w:p>
    <w:bookmarkStart w:id="107" w:name="page108"/>
    <w:bookmarkEnd w:id="107"/>
    <w:p>
      <w:pPr>
        <w:jc w:val="both"/>
        <w:spacing w:after="0" w:line="253" w:lineRule="auto"/>
        <w:rPr>
          <w:sz w:val="20"/>
          <w:szCs w:val="20"/>
          <w:color w:val="auto"/>
        </w:rPr>
      </w:pPr>
      <w:r>
        <w:rPr>
          <w:rFonts w:ascii="Times New Roman" w:cs="Times New Roman" w:eastAsia="Times New Roman" w:hAnsi="Times New Roman"/>
          <w:sz w:val="20"/>
          <w:szCs w:val="20"/>
          <w:color w:val="auto"/>
        </w:rPr>
        <w:t>the purpose of establishing the amount of the Secured Obligations absent manifest error.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 (other than any defense related to the payment or satisfaction in full of the Secured Obligations).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19"/>
          <w:szCs w:val="19"/>
          <w:b w:val="1"/>
          <w:bCs w:val="1"/>
          <w:u w:val="single" w:color="auto"/>
          <w:color w:val="auto"/>
        </w:rPr>
        <w:t>Rights of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10.03</w:t>
      </w:r>
      <w:r>
        <w:rPr>
          <w:sz w:val="20"/>
          <w:szCs w:val="20"/>
          <w:color w:val="auto"/>
        </w:rPr>
        <w:tab/>
      </w:r>
      <w:r>
        <w:rPr>
          <w:rFonts w:ascii="Times New Roman" w:cs="Times New Roman" w:eastAsia="Times New Roman" w:hAnsi="Times New Roman"/>
          <w:sz w:val="19"/>
          <w:szCs w:val="19"/>
          <w:b w:val="1"/>
          <w:bCs w:val="1"/>
          <w:u w:val="single" w:color="auto"/>
          <w:color w:val="auto"/>
        </w:rPr>
        <w:t>Certain Waivers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u w:val="single" w:color="auto"/>
          <w:color w:val="auto"/>
        </w:rPr>
        <w:t>Obligations Independent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10.05</w:t>
      </w:r>
      <w:r>
        <w:rPr>
          <w:sz w:val="20"/>
          <w:szCs w:val="20"/>
          <w:color w:val="auto"/>
        </w:rPr>
        <w:tab/>
      </w:r>
      <w:r>
        <w:rPr>
          <w:rFonts w:ascii="Times New Roman" w:cs="Times New Roman" w:eastAsia="Times New Roman" w:hAnsi="Times New Roman"/>
          <w:sz w:val="19"/>
          <w:szCs w:val="19"/>
          <w:b w:val="1"/>
          <w:bCs w:val="1"/>
          <w:u w:val="single" w:color="auto"/>
          <w:color w:val="auto"/>
        </w:rPr>
        <w:t>Subrogation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paid and performed in full and the Commitments are terminated. If any amounts are paid to a Guarantor in violation of the foregoing limitation, then such amounts shall be held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008" w:right="339" w:bottom="1440" w:gutter="0" w:footer="0" w:header="0"/>
        </w:sectPr>
      </w:pPr>
    </w:p>
    <w:bookmarkStart w:id="108" w:name="page109"/>
    <w:bookmarkEnd w:id="108"/>
    <w:p>
      <w:pPr>
        <w:jc w:val="both"/>
        <w:spacing w:after="0" w:line="283" w:lineRule="auto"/>
        <w:rPr>
          <w:sz w:val="20"/>
          <w:szCs w:val="20"/>
          <w:color w:val="auto"/>
        </w:rPr>
      </w:pPr>
      <w:r>
        <w:rPr>
          <w:rFonts w:ascii="Times New Roman" w:cs="Times New Roman" w:eastAsia="Times New Roman" w:hAnsi="Times New Roman"/>
          <w:sz w:val="20"/>
          <w:szCs w:val="20"/>
          <w:color w:val="auto"/>
        </w:rPr>
        <w:t>trust for the benefit of the Secured Parties and shall forthwith be paid to the Secured Parties to reduce the amount of the Secured Obligations, whether matured or unmatured.</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Times New Roman" w:cs="Times New Roman" w:eastAsia="Times New Roman" w:hAnsi="Times New Roman"/>
          <w:sz w:val="19"/>
          <w:szCs w:val="19"/>
          <w:b w:val="1"/>
          <w:bCs w:val="1"/>
          <w:u w:val="single" w:color="auto"/>
          <w:color w:val="auto"/>
        </w:rPr>
        <w:t>Termination; Reinstatement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shall survive termination of this Guaranty.</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10.07</w:t>
      </w:r>
      <w:r>
        <w:rPr>
          <w:sz w:val="20"/>
          <w:szCs w:val="20"/>
          <w:color w:val="auto"/>
        </w:rPr>
        <w:tab/>
      </w:r>
      <w:r>
        <w:rPr>
          <w:rFonts w:ascii="Times New Roman" w:cs="Times New Roman" w:eastAsia="Times New Roman" w:hAnsi="Times New Roman"/>
          <w:sz w:val="19"/>
          <w:szCs w:val="19"/>
          <w:b w:val="1"/>
          <w:bCs w:val="1"/>
          <w:u w:val="single" w:color="auto"/>
          <w:color w:val="auto"/>
        </w:rPr>
        <w:t>Stay of Acceleration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10.08</w:t>
      </w:r>
      <w:r>
        <w:rPr>
          <w:sz w:val="20"/>
          <w:szCs w:val="20"/>
          <w:color w:val="auto"/>
        </w:rPr>
        <w:tab/>
      </w:r>
      <w:r>
        <w:rPr>
          <w:rFonts w:ascii="Times New Roman" w:cs="Times New Roman" w:eastAsia="Times New Roman" w:hAnsi="Times New Roman"/>
          <w:sz w:val="19"/>
          <w:szCs w:val="19"/>
          <w:b w:val="1"/>
          <w:bCs w:val="1"/>
          <w:u w:val="single" w:color="auto"/>
          <w:color w:val="auto"/>
        </w:rPr>
        <w:t>Condition of Borrower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10.09</w:t>
      </w:r>
      <w:r>
        <w:rPr>
          <w:sz w:val="20"/>
          <w:szCs w:val="20"/>
          <w:color w:val="auto"/>
        </w:rPr>
        <w:tab/>
      </w:r>
      <w:r>
        <w:rPr>
          <w:rFonts w:ascii="Times New Roman" w:cs="Times New Roman" w:eastAsia="Times New Roman" w:hAnsi="Times New Roman"/>
          <w:sz w:val="19"/>
          <w:szCs w:val="19"/>
          <w:b w:val="1"/>
          <w:bCs w:val="1"/>
          <w:u w:val="single" w:color="auto"/>
          <w:color w:val="auto"/>
        </w:rPr>
        <w:t>Appointment of Borrower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w:t>
      </w:r>
    </w:p>
    <w:p>
      <w:pPr>
        <w:jc w:val="both"/>
        <w:ind w:right="20" w:firstLine="8"/>
        <w:spacing w:after="0" w:line="253" w:lineRule="auto"/>
        <w:tabs>
          <w:tab w:leader="none" w:pos="289"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u w:val="single" w:color="auto"/>
          <w:color w:val="auto"/>
        </w:rPr>
        <w:t>Right of Contribution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14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20"/>
          <w:szCs w:val="20"/>
          <w:b w:val="1"/>
          <w:bCs w:val="1"/>
          <w:u w:val="single" w:color="auto"/>
          <w:color w:val="auto"/>
        </w:rPr>
        <w:t>Keepwell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089" w:right="339" w:bottom="1440" w:gutter="0" w:footer="0" w:header="0"/>
        </w:sectPr>
      </w:pPr>
    </w:p>
    <w:bookmarkStart w:id="109" w:name="page110"/>
    <w:bookmarkEnd w:id="109"/>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remain in full force and effect until the Secured Obligations have been paid and performed in full. Each Loan Party intends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Specified Loan Party for all purposes of the Commodity Exchange Act.</w:t>
      </w:r>
    </w:p>
    <w:p>
      <w:pPr>
        <w:spacing w:after="0" w:line="1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0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11.01</w:t>
      </w:r>
      <w:r>
        <w:rPr>
          <w:sz w:val="20"/>
          <w:szCs w:val="20"/>
          <w:color w:val="auto"/>
        </w:rPr>
        <w:tab/>
      </w:r>
      <w:r>
        <w:rPr>
          <w:rFonts w:ascii="Times New Roman" w:cs="Times New Roman" w:eastAsia="Times New Roman" w:hAnsi="Times New Roman"/>
          <w:sz w:val="19"/>
          <w:szCs w:val="19"/>
          <w:b w:val="1"/>
          <w:bCs w:val="1"/>
          <w:u w:val="single" w:color="auto"/>
          <w:color w:val="auto"/>
        </w:rPr>
        <w:t>Amendments,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7" w:lineRule="auto"/>
        <w:tabs>
          <w:tab w:leader="none" w:pos="128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11.01(b)</w:t>
      </w:r>
      <w:r>
        <w:rPr>
          <w:rFonts w:ascii="Times New Roman" w:cs="Times New Roman" w:eastAsia="Times New Roman" w:hAnsi="Times New Roman"/>
          <w:sz w:val="20"/>
          <w:szCs w:val="20"/>
          <w:color w:val="auto"/>
        </w:rPr>
        <w:t xml:space="preserve">, no amendment or waiver of any provision of this Agreement or any other Loan Document, and no consent to any departure by any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amendment, waiver or consent shall:</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9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without the written consent of such Lender (it being understood and agreed that a waiver of any condition precedent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85"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95"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postpone any date fixed by this Agreement or any other Loan Document for any payment (excluding mandatory prepayments or default interest in accordance with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of principal, interest, fees or other amounts due to the Lenders (or any of them) or any scheduled reduction of the Commitments hereunder or under any other Loan Document without the written consent of each Lender entitled to receive such payment or whose Commitments are to be reduced;</w:t>
      </w:r>
    </w:p>
    <w:p>
      <w:pPr>
        <w:spacing w:after="0" w:line="191" w:lineRule="exact"/>
        <w:rPr>
          <w:rFonts w:ascii="Times New Roman" w:cs="Times New Roman" w:eastAsia="Times New Roman" w:hAnsi="Times New Roman"/>
          <w:sz w:val="20"/>
          <w:szCs w:val="20"/>
          <w:color w:val="auto"/>
        </w:rPr>
      </w:pPr>
    </w:p>
    <w:p>
      <w:pPr>
        <w:jc w:val="both"/>
        <w:ind w:left="1300" w:firstLine="652"/>
        <w:spacing w:after="0" w:line="263" w:lineRule="auto"/>
        <w:tabs>
          <w:tab w:leader="none" w:pos="2596" w:val="left"/>
        </w:tabs>
        <w:numPr>
          <w:ilvl w:val="2"/>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reduce the principal of, or the rate of interest specified herein on, any Loan or L/C Borrowing, or any fees or other amounts payable hereunder or under any other Loan Document without the written consent of each Lender entitled to such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only the consent of the Required Lenders shall be necessary (i) to amend the definition of “Default Rate” or to waive any obligation of the Borrower to pay interest or Letter of Credit Fees at the Default Rate or</w:t>
      </w:r>
    </w:p>
    <w:p>
      <w:pPr>
        <w:spacing w:after="0" w:line="2" w:lineRule="exact"/>
        <w:rPr>
          <w:rFonts w:ascii="Times New Roman" w:cs="Times New Roman" w:eastAsia="Times New Roman" w:hAnsi="Times New Roman"/>
          <w:sz w:val="19"/>
          <w:szCs w:val="19"/>
          <w:color w:val="auto"/>
        </w:rPr>
      </w:pPr>
    </w:p>
    <w:p>
      <w:pPr>
        <w:ind w:left="1300" w:firstLine="4"/>
        <w:spacing w:after="0" w:line="267" w:lineRule="auto"/>
        <w:tabs>
          <w:tab w:leader="none" w:pos="1617"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any financial covenant hereunder (or any defined term used therein) even if the effect of such amendment would be to reduce the rate of interest on any Loan or L/C Borrowing or to reduce any fee payable hereunder;</w:t>
      </w:r>
    </w:p>
    <w:p>
      <w:pPr>
        <w:spacing w:after="0" w:line="161"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5" w:val="left"/>
        </w:tabs>
        <w:numPr>
          <w:ilvl w:val="2"/>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change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directly and adversely affected thereby or (B) except to the extent permitted under Section 9.10(a)(ii), subordinate (x) the Liens securing any of the Obligations to the Liens securing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ind w:left="1300"/>
        <w:spacing w:after="0" w:line="283" w:lineRule="auto"/>
        <w:rPr>
          <w:sz w:val="20"/>
          <w:szCs w:val="20"/>
          <w:color w:val="auto"/>
        </w:rPr>
      </w:pPr>
      <w:r>
        <w:rPr>
          <w:rFonts w:ascii="Times New Roman" w:cs="Times New Roman" w:eastAsia="Times New Roman" w:hAnsi="Times New Roman"/>
          <w:sz w:val="20"/>
          <w:szCs w:val="20"/>
          <w:color w:val="auto"/>
        </w:rPr>
        <w:t>Indebtedness or (y) any Loans in contractual right of payment to any other Indebtedness without the written consent of each Lender directly affected thereby;</w:t>
      </w:r>
    </w:p>
    <w:p>
      <w:pPr>
        <w:spacing w:after="0" w:line="146" w:lineRule="exact"/>
        <w:rPr>
          <w:sz w:val="20"/>
          <w:szCs w:val="20"/>
          <w:color w:val="auto"/>
        </w:rPr>
      </w:pPr>
    </w:p>
    <w:p>
      <w:pPr>
        <w:ind w:left="1300" w:firstLine="652"/>
        <w:spacing w:after="0" w:line="283" w:lineRule="auto"/>
        <w:tabs>
          <w:tab w:leader="none" w:pos="25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or the definition of “Required Lenders”, without the written consent of each Lender directly and adversely affected thereby;</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Collateral in any transaction or series of related transactions, without the written consent of each Lender whose Obligations are secured by such Collateral, except to the extent the release of any Subsidiary from the Guaranty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w:t>
      </w:r>
    </w:p>
    <w:p>
      <w:pPr>
        <w:spacing w:after="0" w:line="185"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w:t>
      </w:r>
    </w:p>
    <w:p>
      <w:pPr>
        <w:spacing w:after="0" w:line="181" w:lineRule="exact"/>
        <w:rPr>
          <w:rFonts w:ascii="Times New Roman" w:cs="Times New Roman" w:eastAsia="Times New Roman" w:hAnsi="Times New Roman"/>
          <w:sz w:val="20"/>
          <w:szCs w:val="20"/>
          <w:color w:val="auto"/>
        </w:rPr>
      </w:pPr>
    </w:p>
    <w:p>
      <w:pPr>
        <w:ind w:left="1300" w:right="20" w:firstLine="652"/>
        <w:spacing w:after="0" w:line="269" w:lineRule="auto"/>
        <w:tabs>
          <w:tab w:leader="none" w:pos="2587"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the Borrower or permit the Borrower to assign or transfer any of its rights or obligations under this Agreement or the other Loan Documents without the consent of each Lender;</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termination of the Commitments, unless also signed by Lenders (other than Defaulting Lenders) holding at least a majority of the Revolving Exposure, (i) waive any Default for purposes of </w:t>
      </w:r>
      <w:r>
        <w:rPr>
          <w:rFonts w:ascii="Times New Roman" w:cs="Times New Roman" w:eastAsia="Times New Roman" w:hAnsi="Times New Roman"/>
          <w:sz w:val="20"/>
          <w:szCs w:val="20"/>
          <w:u w:val="single" w:color="auto"/>
          <w:color w:val="auto"/>
        </w:rPr>
        <w:t>Section 4.02(b)</w:t>
      </w:r>
      <w:r>
        <w:rPr>
          <w:rFonts w:ascii="Times New Roman" w:cs="Times New Roman" w:eastAsia="Times New Roman" w:hAnsi="Times New Roman"/>
          <w:sz w:val="20"/>
          <w:szCs w:val="20"/>
          <w:color w:val="auto"/>
        </w:rPr>
        <w:t xml:space="preserve">, (ii) amend, change, waive, discharge or terminate </w:t>
      </w:r>
      <w:r>
        <w:rPr>
          <w:rFonts w:ascii="Times New Roman" w:cs="Times New Roman" w:eastAsia="Times New Roman" w:hAnsi="Times New Roman"/>
          <w:sz w:val="20"/>
          <w:szCs w:val="20"/>
          <w:u w:val="single" w:color="auto"/>
          <w:color w:val="auto"/>
        </w:rPr>
        <w:t>Sections 4.02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w:t>
      </w:r>
      <w:r>
        <w:rPr>
          <w:rFonts w:ascii="Times New Roman" w:cs="Times New Roman" w:eastAsia="Times New Roman" w:hAnsi="Times New Roman"/>
          <w:sz w:val="20"/>
          <w:szCs w:val="20"/>
          <w:color w:val="auto"/>
        </w:rPr>
        <w:t xml:space="preserve"> in a manner adverse to the Lenders or (iii) amend, change, waive, discharge or terminate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(or any defined term used therein) or this </w:t>
      </w:r>
      <w:r>
        <w:rPr>
          <w:rFonts w:ascii="Times New Roman" w:cs="Times New Roman" w:eastAsia="Times New Roman" w:hAnsi="Times New Roman"/>
          <w:sz w:val="20"/>
          <w:szCs w:val="20"/>
          <w:u w:val="single" w:color="auto"/>
          <w:color w:val="auto"/>
        </w:rPr>
        <w:t>clause (ix)</w:t>
      </w:r>
      <w:r>
        <w:rPr>
          <w:rFonts w:ascii="Times New Roman" w:cs="Times New Roman" w:eastAsia="Times New Roman" w:hAnsi="Times New Roman"/>
          <w:sz w:val="20"/>
          <w:szCs w:val="20"/>
          <w:color w:val="auto"/>
        </w:rPr>
        <w:t>); or</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and (C) no amendment, waiver or consent shall, unless in writing and signed by the Administrative Agent in addition to the Lenders required above, affect the rights or duties of the Administrative Agent under this Agreement or any other Loan Document.</w:t>
      </w:r>
    </w:p>
    <w:p>
      <w:pPr>
        <w:spacing w:after="0" w:line="192" w:lineRule="exact"/>
        <w:rPr>
          <w:sz w:val="20"/>
          <w:szCs w:val="20"/>
          <w:color w:val="auto"/>
        </w:rPr>
      </w:pPr>
    </w:p>
    <w:p>
      <w:pPr>
        <w:ind w:left="1940" w:hanging="636"/>
        <w:spacing w:after="0"/>
        <w:tabs>
          <w:tab w:leader="none" w:pos="194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52" w:lineRule="auto"/>
        <w:tabs>
          <w:tab w:leader="none" w:pos="2671"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Defaulting Lender shall have any right to approve or disapprove any amendment, waiver or consent hereunder (and any amendment, waiver or consent which by its terms requires the consent of all Lenders or each affected Lender, or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or all Lenders or each affected Lender,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224" w:right="339" w:bottom="1440" w:gutter="0" w:footer="0" w:header="0"/>
        </w:sectPr>
      </w:pPr>
    </w:p>
    <w:bookmarkStart w:id="111" w:name="page112"/>
    <w:bookmarkEnd w:id="111"/>
    <w:p>
      <w:pPr>
        <w:ind w:left="1300"/>
        <w:spacing w:after="0" w:line="283" w:lineRule="auto"/>
        <w:rPr>
          <w:sz w:val="20"/>
          <w:szCs w:val="20"/>
          <w:color w:val="auto"/>
        </w:rPr>
      </w:pPr>
      <w:r>
        <w:rPr>
          <w:rFonts w:ascii="Times New Roman" w:cs="Times New Roman" w:eastAsia="Times New Roman" w:hAnsi="Times New Roman"/>
          <w:sz w:val="20"/>
          <w:szCs w:val="20"/>
          <w:color w:val="auto"/>
        </w:rPr>
        <w:t>determine whether or not to allow a Loan Party to use cash collateral in the context of a bankruptcy or insolvency proceeding and such determination shall be binding on all of the Lenders.</w:t>
      </w:r>
    </w:p>
    <w:p>
      <w:pPr>
        <w:spacing w:after="0" w:line="146" w:lineRule="exact"/>
        <w:rPr>
          <w:sz w:val="20"/>
          <w:szCs w:val="20"/>
          <w:color w:val="auto"/>
        </w:rPr>
      </w:pPr>
    </w:p>
    <w:p>
      <w:pPr>
        <w:jc w:val="both"/>
        <w:ind w:left="1300" w:firstLine="652"/>
        <w:spacing w:after="0" w:line="257" w:lineRule="auto"/>
        <w:tabs>
          <w:tab w:leader="none" w:pos="259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7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Borrower may make amendments contemplated by </w:t>
      </w:r>
      <w:r>
        <w:rPr>
          <w:rFonts w:ascii="Times New Roman" w:cs="Times New Roman" w:eastAsia="Times New Roman" w:hAnsi="Times New Roman"/>
          <w:sz w:val="20"/>
          <w:szCs w:val="20"/>
          <w:u w:val="single" w:color="auto"/>
          <w:color w:val="auto"/>
        </w:rPr>
        <w:t>Section 3.03(b).</w:t>
      </w:r>
    </w:p>
    <w:p>
      <w:pPr>
        <w:spacing w:after="0" w:line="22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Fee Letter may be amended, or rights or privileges thereunder waived, in a writing executed only by the</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parties thereto.</w:t>
      </w:r>
    </w:p>
    <w:p>
      <w:pPr>
        <w:spacing w:after="0" w:line="207"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Incremental Facility Amendments may be effected in accordance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right="80" w:firstLine="652"/>
        <w:spacing w:after="0" w:line="253" w:lineRule="auto"/>
        <w:tabs>
          <w:tab w:leader="none" w:pos="258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11.02</w:t>
      </w:r>
      <w:r>
        <w:rPr>
          <w:sz w:val="20"/>
          <w:szCs w:val="20"/>
          <w:color w:val="auto"/>
        </w:rPr>
        <w:tab/>
      </w:r>
      <w:r>
        <w:rPr>
          <w:rFonts w:ascii="Times New Roman" w:cs="Times New Roman" w:eastAsia="Times New Roman" w:hAnsi="Times New Roman"/>
          <w:sz w:val="19"/>
          <w:szCs w:val="19"/>
          <w:b w:val="1"/>
          <w:bCs w:val="1"/>
          <w:u w:val="single" w:color="auto"/>
          <w:color w:val="auto"/>
        </w:rPr>
        <w:t>Notices; Effectiveness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Electronic Communications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3" w:lineRule="auto"/>
        <w:tabs>
          <w:tab w:leader="none" w:pos="128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91" w:lineRule="exact"/>
        <w:rPr>
          <w:rFonts w:ascii="Times New Roman" w:cs="Times New Roman" w:eastAsia="Times New Roman" w:hAnsi="Times New Roman"/>
          <w:sz w:val="20"/>
          <w:szCs w:val="20"/>
          <w:color w:val="auto"/>
        </w:rPr>
      </w:pPr>
    </w:p>
    <w:p>
      <w:pPr>
        <w:ind w:left="1300" w:firstLine="652"/>
        <w:spacing w:after="0" w:line="283" w:lineRule="auto"/>
        <w:tabs>
          <w:tab w:leader="none" w:pos="2423"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any Loan Party, the Administrative Agent, the L/C Issuer or the Swingline Lender, to the address, fax number, e-mail address or telephone number specified for such Person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and</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39"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1300" w:hanging="644"/>
        <w:spacing w:after="0"/>
        <w:tabs>
          <w:tab w:leader="none" w:pos="130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224" w:right="339" w:bottom="1440" w:gutter="0" w:footer="0" w:header="0"/>
        </w:sectPr>
      </w:pPr>
    </w:p>
    <w:bookmarkStart w:id="112" w:name="page113"/>
    <w:bookmarkEnd w:id="112"/>
    <w:p>
      <w:pPr>
        <w:jc w:val="both"/>
        <w:ind w:left="660" w:firstLine="644"/>
        <w:spacing w:after="0" w:line="252" w:lineRule="auto"/>
        <w:tabs>
          <w:tab w:leader="none" w:pos="1954"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provided that the foregoing shall not apply to notices to any Lender, the Swingline Lender or the L/C Issuer pursuant to Article II if such Lender, the Swingline Lender or the L/C Issuer, as applicable, has notified the Administrative Agent that it is incapable of receiving notices under such Article II by electronic communication. The Administrative Agent, the Swingline Lender, the L/C Issuer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756"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acknowledgment from the intended recipient (such as by the “return receipt requested” function, as available, return e-mail address or other written acknowledgement) indicating that such notice or communication is available and identifying the website address therefor; provided, that, for both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jc w:val="both"/>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183"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Loan Party, the Administrative Agent, the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008" w:right="339" w:bottom="1440" w:gutter="0" w:footer="0" w:header="0"/>
        </w:sectPr>
      </w:pPr>
    </w:p>
    <w:bookmarkStart w:id="113" w:name="page114"/>
    <w:bookmarkEnd w:id="113"/>
    <w:p>
      <w:pPr>
        <w:jc w:val="both"/>
        <w:ind w:firstLine="656"/>
        <w:spacing w:after="0" w:line="250" w:lineRule="auto"/>
        <w:tabs>
          <w:tab w:leader="none" w:pos="128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xml:space="preserve"> The Administrative Agent, the L/C Issuer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provided that such reliance was in good faith and was not the result of bad faith, gross negligence or willful misconduct on the part of such Person or its Related Parties. All telephonic notices to and other telephonic communications with the Administrative Agent may be recorded by the Administrative Agent, and each of the parties hereto hereby consents to such recording.</w:t>
      </w:r>
    </w:p>
    <w:p>
      <w:pPr>
        <w:spacing w:after="0" w:line="19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11.03</w:t>
      </w:r>
      <w:r>
        <w:rPr>
          <w:sz w:val="20"/>
          <w:szCs w:val="20"/>
          <w:color w:val="auto"/>
        </w:rPr>
        <w:tab/>
      </w:r>
      <w:r>
        <w:rPr>
          <w:rFonts w:ascii="Times New Roman" w:cs="Times New Roman" w:eastAsia="Times New Roman" w:hAnsi="Times New Roman"/>
          <w:sz w:val="19"/>
          <w:szCs w:val="19"/>
          <w:b w:val="1"/>
          <w:bCs w:val="1"/>
          <w:u w:val="single" w:color="auto"/>
          <w:color w:val="auto"/>
        </w:rPr>
        <w:t>No Waiver; Cumulative Remedies; Enforcement</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jc w:val="both"/>
        <w:ind w:firstLine="656"/>
        <w:spacing w:after="0" w:line="253" w:lineRule="auto"/>
        <w:tabs>
          <w:tab w:leader="none" w:pos="120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8" w:lineRule="exact"/>
        <w:rPr>
          <w:rFonts w:ascii="Times New Roman" w:cs="Times New Roman" w:eastAsia="Times New Roman" w:hAnsi="Times New Roman"/>
          <w:sz w:val="20"/>
          <w:szCs w:val="20"/>
          <w:color w:val="auto"/>
        </w:rPr>
      </w:pPr>
    </w:p>
    <w:p>
      <w:pPr>
        <w:jc w:val="both"/>
        <w:ind w:firstLine="656"/>
        <w:spacing w:after="0" w:line="250" w:lineRule="auto"/>
        <w:tabs>
          <w:tab w:leader="none" w:pos="1113"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11.04</w:t>
      </w:r>
      <w:r>
        <w:rPr>
          <w:sz w:val="20"/>
          <w:szCs w:val="20"/>
          <w:color w:val="auto"/>
        </w:rPr>
        <w:tab/>
      </w:r>
      <w:r>
        <w:rPr>
          <w:rFonts w:ascii="Times New Roman" w:cs="Times New Roman" w:eastAsia="Times New Roman" w:hAnsi="Times New Roman"/>
          <w:sz w:val="19"/>
          <w:szCs w:val="19"/>
          <w:b w:val="1"/>
          <w:bCs w:val="1"/>
          <w:u w:val="single" w:color="auto"/>
          <w:color w:val="auto"/>
        </w:rPr>
        <w:t>Expenses; Indemnity; Damage Waiver</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56"/>
        <w:spacing w:after="0" w:line="252" w:lineRule="auto"/>
        <w:tabs>
          <w:tab w:leader="none" w:pos="128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Loan Parties shall pay (i) all reasonable and documented out-of-pocket expenses incurred by the Administrative Agent and its Affiliates (including but not limited to the reasonable fees, charges and disbursements of one outside counsel for the Administrative Agent and its Affiliates, due diligence expenses and searches of ownership of Intellectual Property, on a periodic basis at the Administrative Agent’s discretion, not to exceed more than once per year (absent an Event of Default)),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extension, reinstatement or renewal of any Letter of Credit or any demand for payment thereunder and (iii) all reasonable and documented out-of-pocket expenses incurred by the Administrative Agent,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927" w:right="339" w:bottom="1440" w:gutter="0" w:footer="0" w:header="0"/>
        </w:sectPr>
      </w:pPr>
    </w:p>
    <w:bookmarkStart w:id="114" w:name="page115"/>
    <w:bookmarkEnd w:id="11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or the L/C Issuer (including the reasonable and documented fees, charges and disbursements of one outside counsel for the Administrative Agent, any Lender or the L/C Issuer),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192" w:lineRule="exact"/>
        <w:rPr>
          <w:sz w:val="20"/>
          <w:szCs w:val="20"/>
          <w:color w:val="auto"/>
        </w:rPr>
      </w:pPr>
    </w:p>
    <w:p>
      <w:pPr>
        <w:jc w:val="both"/>
        <w:ind w:firstLine="656"/>
        <w:spacing w:after="0" w:line="263" w:lineRule="auto"/>
        <w:tabs>
          <w:tab w:leader="none" w:pos="1286"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Loan Parties</w:t>
      </w:r>
      <w:r>
        <w:rPr>
          <w:rFonts w:ascii="Times New Roman" w:cs="Times New Roman" w:eastAsia="Times New Roman" w:hAnsi="Times New Roman"/>
          <w:sz w:val="19"/>
          <w:szCs w:val="19"/>
          <w:color w:val="auto"/>
        </w:rPr>
        <w:t>. The Loan Parties shall indemnify the Administrative Agent, each Lender and the L/C Issuer, and each Related Party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any and all losses, claims, damages, liabilities and related reasonable and documented out-of-pocket expenses (including the reasonable and documented fees, charges and disbursements of one outside counsel for all Indemnitees (taken as a whole) and solely in the case of an actual or reasonably perceived conflict of interest, one additional counsel to all affected Indemnitees, taken as a whole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willful misconduct or bad faith of such Indemnitee or, (y) result from a claim brought by the Borrower or any other Loan Party against an Indemnitee for a material breach of such Indemnitee’s obligations hereunder or under any other Loan Document, if the Borrower or such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11.04(b</w:t>
      </w:r>
      <w:r>
        <w:rPr>
          <w:rFonts w:ascii="Times New Roman" w:cs="Times New Roman" w:eastAsia="Times New Roman" w:hAnsi="Times New Roman"/>
          <w:sz w:val="19"/>
          <w:szCs w:val="19"/>
          <w:color w:val="auto"/>
        </w:rPr>
        <w:t>) shall not apply with respect to Taxes other than any Taxes that represent losses, claims, damages, etc. arising from any non-Tax claim.</w:t>
      </w:r>
    </w:p>
    <w:p>
      <w:pPr>
        <w:spacing w:after="0" w:line="194" w:lineRule="exact"/>
        <w:rPr>
          <w:rFonts w:ascii="Times New Roman" w:cs="Times New Roman" w:eastAsia="Times New Roman" w:hAnsi="Times New Roman"/>
          <w:sz w:val="19"/>
          <w:szCs w:val="19"/>
          <w:color w:val="auto"/>
        </w:rPr>
      </w:pPr>
    </w:p>
    <w:p>
      <w:pPr>
        <w:jc w:val="both"/>
        <w:ind w:firstLine="656"/>
        <w:spacing w:after="0" w:line="250"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Reimbursement by Lenders. To the extent that the Loan Parties for any reason fail to indefeasibly pay any amount required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00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color w:val="auto"/>
        </w:rPr>
        <w:t xml:space="preserve">with such capacity. The obligations of the Lenders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49" w:lineRule="auto"/>
        <w:tabs>
          <w:tab w:leader="none" w:pos="128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Loan Party or the Administrative Agent shall assert, and each Loan Party and the Administrative Agent hereby waives, and acknowledges that no other Person shall have, any claim against any Loan Party or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contained in this sentence shall limit any Loan Parties’ indemnification obligations to the extent set forth in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to the extent such special, indirect, consequential or punitive damages are included in any third party claim in connection with which such Indemnitee is entitled to indemnification hereunder No Indemnitee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provided that the protections afforded to any Indemnitee pursuant to this sentence shall not be available to the extent such damages are determined by a court of competent jurisdiction by final and non-appealable judgment to have resulted from the bad faith, gross negligence or willful misconduct of such Indemnitee or its Related Parties.</w:t>
      </w:r>
    </w:p>
    <w:p>
      <w:pPr>
        <w:spacing w:after="0" w:line="19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amounts due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be payable not later than ten (10) Business Days after demand therefor (together with customary backup documentation in reasonable detail supporting such reimbursement request).</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and the indemnity provisions of Section 11.02(e) shall survive the resignation of the Administrative Agent, the L/C Issuer and the Swingline Lender, the replacement of any Lender, the termination of the Commitments and the repayment, satisfaction or discharge of all the other Obligations.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11.05</w:t>
      </w:r>
      <w:r>
        <w:rPr>
          <w:sz w:val="20"/>
          <w:szCs w:val="20"/>
          <w:color w:val="auto"/>
        </w:rPr>
        <w:tab/>
      </w:r>
      <w:r>
        <w:rPr>
          <w:rFonts w:ascii="Times New Roman" w:cs="Times New Roman" w:eastAsia="Times New Roman" w:hAnsi="Times New Roman"/>
          <w:sz w:val="19"/>
          <w:szCs w:val="19"/>
          <w:b w:val="1"/>
          <w:bCs w:val="1"/>
          <w:u w:val="single" w:color="auto"/>
          <w:color w:val="auto"/>
        </w:rPr>
        <w:t>Payments Set Aside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of the preceding sentence shall survive the payment in full of the Obligations and the termination of this Agreement.</w:t>
      </w:r>
    </w:p>
    <w:p>
      <w:pPr>
        <w:spacing w:after="0" w:line="19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11.06</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660" w:firstLine="644"/>
        <w:spacing w:after="0" w:line="254" w:lineRule="auto"/>
        <w:tabs>
          <w:tab w:leader="none" w:pos="194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The provisions of this Agreement and the other Loan Documents shall be binding upon and inure to the benefit of the parties hereto and thereto and their respective successors and assigns permitted hereby, except the Borrower may not assign or otherwise transfer any of its rights or obligations hereunder without the prior written consent of the Administrative Agent and each Lender and no Lender may assign or otherwise transfer any of its rights or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008" w:right="339" w:bottom="1440" w:gutter="0" w:footer="0" w:header="0"/>
        </w:sectPr>
      </w:pPr>
    </w:p>
    <w:bookmarkStart w:id="116" w:name="page117"/>
    <w:bookmarkEnd w:id="11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hereunder except (i) to an assignee in accordance with the provisions of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(ii) by way of participation in accordance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and, to the extent expressly contemplated hereby, the Related Parties of each of the Administrative Agent, the L/C Issuer and the Lenders) any legal or equitable right, remedy or claim under or by reason of this Agreement.</w:t>
      </w:r>
    </w:p>
    <w:p>
      <w:pPr>
        <w:spacing w:after="0" w:line="179" w:lineRule="exact"/>
        <w:rPr>
          <w:sz w:val="20"/>
          <w:szCs w:val="20"/>
          <w:color w:val="auto"/>
        </w:rPr>
      </w:pPr>
    </w:p>
    <w:p>
      <w:pPr>
        <w:jc w:val="both"/>
        <w:ind w:firstLine="644"/>
        <w:spacing w:after="0" w:line="258" w:lineRule="auto"/>
        <w:tabs>
          <w:tab w:leader="none" w:pos="128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participations in L/C Obligations and in Swingline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85" w:lineRule="exact"/>
        <w:rPr>
          <w:rFonts w:ascii="Times New Roman" w:cs="Times New Roman" w:eastAsia="Times New Roman" w:hAnsi="Times New Roman"/>
          <w:sz w:val="20"/>
          <w:szCs w:val="20"/>
          <w:color w:val="auto"/>
        </w:rPr>
      </w:pPr>
    </w:p>
    <w:p>
      <w:pPr>
        <w:ind w:left="1940" w:hanging="648"/>
        <w:spacing w:after="0"/>
        <w:tabs>
          <w:tab w:leader="none" w:pos="194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300" w:firstLine="640"/>
        <w:spacing w:after="0" w:line="257" w:lineRule="auto"/>
        <w:tabs>
          <w:tab w:leader="none" w:pos="2483"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11.06</w:t>
      </w:r>
      <w:r>
        <w:rPr>
          <w:rFonts w:ascii="Times New Roman" w:cs="Times New Roman" w:eastAsia="Times New Roman" w:hAnsi="Times New Roman"/>
          <w:sz w:val="20"/>
          <w:szCs w:val="20"/>
          <w:color w:val="auto"/>
        </w:rPr>
        <w:t xml:space="preserve"> in the aggregate or in the case of an assignment to a Lender, an Affiliate of a Lender or an Approved Fund, no minimum amount need be assigned; and</w:t>
      </w:r>
    </w:p>
    <w:p>
      <w:pPr>
        <w:spacing w:after="0" w:line="172" w:lineRule="exact"/>
        <w:rPr>
          <w:rFonts w:ascii="Times New Roman" w:cs="Times New Roman" w:eastAsia="Times New Roman" w:hAnsi="Times New Roman"/>
          <w:sz w:val="20"/>
          <w:szCs w:val="20"/>
          <w:color w:val="auto"/>
        </w:rPr>
      </w:pPr>
    </w:p>
    <w:p>
      <w:pPr>
        <w:jc w:val="both"/>
        <w:ind w:left="1300" w:firstLine="640"/>
        <w:spacing w:after="0" w:line="251" w:lineRule="auto"/>
        <w:tabs>
          <w:tab w:leader="none" w:pos="2550"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clause (b)(i)(A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unless each of the Administrative Agent and, so long as no Event of Default has occurred and is continuing, the Borrower otherwise consents (each such consent not to be unreasonably withheld or delayed).</w:t>
      </w:r>
    </w:p>
    <w:p>
      <w:pPr>
        <w:spacing w:after="0" w:line="195" w:lineRule="exact"/>
        <w:rPr>
          <w:rFonts w:ascii="Times New Roman" w:cs="Times New Roman" w:eastAsia="Times New Roman" w:hAnsi="Times New Roman"/>
          <w:sz w:val="20"/>
          <w:szCs w:val="20"/>
          <w:color w:val="auto"/>
        </w:rPr>
      </w:pPr>
    </w:p>
    <w:p>
      <w:pPr>
        <w:jc w:val="both"/>
        <w:ind w:left="640" w:firstLine="652"/>
        <w:spacing w:after="0" w:line="253" w:lineRule="auto"/>
        <w:tabs>
          <w:tab w:leader="none" w:pos="1935"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shall not (A) apply to the Swingline Lender’s rights and obligations in respect of Swingline Loans or (B) prohibit any Lender from assigning all or a portion of its rights and obligations among separate facilities on a non-</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w:t>
      </w:r>
    </w:p>
    <w:p>
      <w:pPr>
        <w:spacing w:after="0" w:line="191" w:lineRule="exact"/>
        <w:rPr>
          <w:rFonts w:ascii="Times New Roman" w:cs="Times New Roman" w:eastAsia="Times New Roman" w:hAnsi="Times New Roman"/>
          <w:sz w:val="20"/>
          <w:szCs w:val="20"/>
          <w:color w:val="auto"/>
        </w:rPr>
      </w:pPr>
    </w:p>
    <w:p>
      <w:pPr>
        <w:ind w:left="640" w:firstLine="652"/>
        <w:spacing w:after="0" w:line="269" w:lineRule="auto"/>
        <w:tabs>
          <w:tab w:leader="none" w:pos="193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and, in addition:</w:t>
      </w:r>
    </w:p>
    <w:p>
      <w:pPr>
        <w:spacing w:after="0" w:line="172" w:lineRule="exact"/>
        <w:rPr>
          <w:rFonts w:ascii="Times New Roman" w:cs="Times New Roman" w:eastAsia="Times New Roman" w:hAnsi="Times New Roman"/>
          <w:sz w:val="20"/>
          <w:szCs w:val="20"/>
          <w:color w:val="auto"/>
        </w:rPr>
      </w:pPr>
    </w:p>
    <w:p>
      <w:pPr>
        <w:jc w:val="both"/>
        <w:ind w:left="1300" w:firstLine="640"/>
        <w:spacing w:after="0" w:line="253" w:lineRule="auto"/>
        <w:tabs>
          <w:tab w:leader="none" w:pos="2554"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(1) an Event of Default with respect to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8.01(b)</w:t>
      </w:r>
      <w:r>
        <w:rPr>
          <w:rFonts w:ascii="Times New Roman" w:cs="Times New Roman" w:eastAsia="Times New Roman" w:hAnsi="Times New Roman"/>
          <w:sz w:val="20"/>
          <w:szCs w:val="20"/>
          <w:color w:val="auto"/>
        </w:rPr>
        <w:t xml:space="preserve"> (for failure to comply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8.01(g)</w:t>
      </w:r>
      <w:r>
        <w:rPr>
          <w:rFonts w:ascii="Times New Roman" w:cs="Times New Roman" w:eastAsia="Times New Roman" w:hAnsi="Times New Roman"/>
          <w:sz w:val="20"/>
          <w:szCs w:val="20"/>
          <w:color w:val="auto"/>
        </w:rPr>
        <w:t xml:space="preserve">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0580"/>
          </w:cols>
          <w:pgMar w:left="980" w:top="1008" w:right="339" w:bottom="1440" w:gutter="0" w:footer="0" w:header="0"/>
        </w:sectPr>
      </w:pPr>
    </w:p>
    <w:bookmarkStart w:id="117" w:name="page118"/>
    <w:bookmarkEnd w:id="117"/>
    <w:p>
      <w:pPr>
        <w:jc w:val="both"/>
        <w:ind w:left="840" w:firstLine="640"/>
        <w:spacing w:after="0" w:line="261" w:lineRule="auto"/>
        <w:tabs>
          <w:tab w:leader="none" w:pos="2025"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Commitment if such assignment is to a Person that is not a Lender, an Affiliate of such Lender or an Approved Fund with respect to such Lender; and</w:t>
      </w:r>
    </w:p>
    <w:p>
      <w:pPr>
        <w:spacing w:after="0" w:line="181" w:lineRule="exact"/>
        <w:rPr>
          <w:rFonts w:ascii="Times New Roman" w:cs="Times New Roman" w:eastAsia="Times New Roman" w:hAnsi="Times New Roman"/>
          <w:sz w:val="20"/>
          <w:szCs w:val="20"/>
          <w:color w:val="auto"/>
        </w:rPr>
      </w:pPr>
    </w:p>
    <w:p>
      <w:pPr>
        <w:ind w:left="840" w:firstLine="640"/>
        <w:spacing w:after="0" w:line="269" w:lineRule="auto"/>
        <w:tabs>
          <w:tab w:leader="none" w:pos="1962"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and the Swingline Lender shall be required for any assignment in respect of the Commitments.</w:t>
      </w:r>
    </w:p>
    <w:p>
      <w:pPr>
        <w:spacing w:after="0" w:line="172"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46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1"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46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 (or a holding company, investment vehicle or trust for, or owned and operated by or for the primary benefit of one or more natural Persons).</w:t>
      </w:r>
    </w:p>
    <w:p>
      <w:pPr>
        <w:spacing w:after="0" w:line="191" w:lineRule="exact"/>
        <w:rPr>
          <w:rFonts w:ascii="Times New Roman" w:cs="Times New Roman" w:eastAsia="Times New Roman" w:hAnsi="Times New Roman"/>
          <w:sz w:val="20"/>
          <w:szCs w:val="20"/>
          <w:color w:val="auto"/>
        </w:rPr>
      </w:pPr>
    </w:p>
    <w:p>
      <w:pPr>
        <w:jc w:val="both"/>
        <w:ind w:left="180" w:firstLine="652"/>
        <w:spacing w:after="0" w:line="264" w:lineRule="auto"/>
        <w:tabs>
          <w:tab w:leader="none" w:pos="1465"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Additional Payments</w:t>
      </w:r>
      <w:r>
        <w:rPr>
          <w:rFonts w:ascii="Times New Roman" w:cs="Times New Roman" w:eastAsia="Times New Roman" w:hAnsi="Times New Roman"/>
          <w:sz w:val="19"/>
          <w:szCs w:val="19"/>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19"/>
          <w:szCs w:val="19"/>
          <w:u w:val="single" w:color="auto"/>
          <w:color w:val="auto"/>
        </w:rPr>
        <w:t>clause (b)(vi</w:t>
      </w:r>
      <w:r>
        <w:rPr>
          <w:rFonts w:ascii="Times New Roman" w:cs="Times New Roman" w:eastAsia="Times New Roman" w:hAnsi="Times New Roman"/>
          <w:sz w:val="19"/>
          <w:szCs w:val="19"/>
          <w:color w:val="auto"/>
        </w:rPr>
        <w:t>), then the assignee of such interest shall be deemed to be a Defaulting Lender for all purposes of this Agreement until such compliance occurs.</w:t>
      </w:r>
    </w:p>
    <w:p>
      <w:pPr>
        <w:spacing w:after="0" w:line="183" w:lineRule="exact"/>
        <w:rPr>
          <w:rFonts w:ascii="Times New Roman" w:cs="Times New Roman" w:eastAsia="Times New Roman" w:hAnsi="Times New Roman"/>
          <w:sz w:val="19"/>
          <w:szCs w:val="19"/>
          <w:color w:val="auto"/>
        </w:rPr>
      </w:pPr>
    </w:p>
    <w:p>
      <w:pPr>
        <w:jc w:val="both"/>
        <w:ind w:left="180" w:firstLine="652"/>
        <w:spacing w:after="0" w:line="250" w:lineRule="auto"/>
        <w:tabs>
          <w:tab w:leader="none" w:pos="1465"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0120"/>
          </w:cols>
          <w:pgMar w:left="1440" w:top="1008" w:right="339" w:bottom="1440" w:gutter="0" w:footer="0" w:header="0"/>
        </w:sectPr>
      </w:pPr>
    </w:p>
    <w:bookmarkStart w:id="118" w:name="page119"/>
    <w:bookmarkEnd w:id="118"/>
    <w:p>
      <w:pPr>
        <w:jc w:val="both"/>
        <w:ind w:left="180"/>
        <w:spacing w:after="0" w:line="261" w:lineRule="auto"/>
        <w:rPr>
          <w:sz w:val="20"/>
          <w:szCs w:val="20"/>
          <w:color w:val="auto"/>
        </w:rPr>
      </w:pPr>
      <w:r>
        <w:rPr>
          <w:rFonts w:ascii="Times New Roman" w:cs="Times New Roman" w:eastAsia="Times New Roman" w:hAnsi="Times New Roman"/>
          <w:sz w:val="20"/>
          <w:szCs w:val="20"/>
          <w:color w:val="auto"/>
        </w:rPr>
        <w:t xml:space="preserve">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460" w:firstLine="644"/>
        <w:spacing w:after="0" w:line="252" w:lineRule="auto"/>
        <w:tabs>
          <w:tab w:leader="none" w:pos="82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75" w:lineRule="exact"/>
        <w:rPr>
          <w:rFonts w:ascii="Times New Roman" w:cs="Times New Roman" w:eastAsia="Times New Roman" w:hAnsi="Times New Roman"/>
          <w:sz w:val="20"/>
          <w:szCs w:val="20"/>
          <w:color w:val="auto"/>
        </w:rPr>
      </w:pPr>
    </w:p>
    <w:p>
      <w:pPr>
        <w:ind w:left="820" w:hanging="636"/>
        <w:spacing w:after="0"/>
        <w:tabs>
          <w:tab w:leader="none" w:pos="82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80" w:firstLine="652"/>
        <w:spacing w:after="0" w:line="250" w:lineRule="auto"/>
        <w:tabs>
          <w:tab w:leader="none" w:pos="1474"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a Disqualified Institution or the Borrower or any of the Borrower’s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without regard to the existence of any participations.</w:t>
      </w:r>
    </w:p>
    <w:p>
      <w:pPr>
        <w:spacing w:after="0" w:line="186" w:lineRule="exact"/>
        <w:rPr>
          <w:rFonts w:ascii="Times New Roman" w:cs="Times New Roman" w:eastAsia="Times New Roman" w:hAnsi="Times New Roman"/>
          <w:sz w:val="20"/>
          <w:szCs w:val="20"/>
          <w:color w:val="auto"/>
        </w:rPr>
      </w:pPr>
    </w:p>
    <w:p>
      <w:pPr>
        <w:jc w:val="both"/>
        <w:ind w:left="180" w:firstLine="652"/>
        <w:spacing w:after="0" w:line="250" w:lineRule="auto"/>
        <w:tabs>
          <w:tab w:leader="none" w:pos="1475"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3.01(e</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shall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0120"/>
          </w:cols>
          <w:pgMar w:left="1440" w:top="1008" w:right="339" w:bottom="1440" w:gutter="0" w:footer="0" w:header="0"/>
        </w:sectPr>
      </w:pPr>
    </w:p>
    <w:bookmarkStart w:id="119" w:name="page120"/>
    <w:bookmarkEnd w:id="119"/>
    <w:p>
      <w:pPr>
        <w:jc w:val="both"/>
        <w:ind w:left="180"/>
        <w:spacing w:after="0" w:line="250" w:lineRule="auto"/>
        <w:rPr>
          <w:sz w:val="20"/>
          <w:szCs w:val="20"/>
          <w:color w:val="auto"/>
        </w:rPr>
      </w:pPr>
      <w:r>
        <w:rPr>
          <w:rFonts w:ascii="Times New Roman" w:cs="Times New Roman" w:eastAsia="Times New Roman" w:hAnsi="Times New Roman"/>
          <w:sz w:val="20"/>
          <w:szCs w:val="20"/>
          <w:color w:val="auto"/>
        </w:rPr>
        <w:t xml:space="preserve">by law, each Participant also shall be entitled to the benefits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3" w:lineRule="exact"/>
        <w:rPr>
          <w:sz w:val="20"/>
          <w:szCs w:val="20"/>
          <w:color w:val="auto"/>
        </w:rPr>
      </w:pPr>
    </w:p>
    <w:p>
      <w:pPr>
        <w:jc w:val="both"/>
        <w:ind w:left="-460" w:firstLine="644"/>
        <w:spacing w:after="0" w:line="258" w:lineRule="auto"/>
        <w:tabs>
          <w:tab w:leader="none" w:pos="82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2" w:lineRule="exact"/>
        <w:rPr>
          <w:rFonts w:ascii="Times New Roman" w:cs="Times New Roman" w:eastAsia="Times New Roman" w:hAnsi="Times New Roman"/>
          <w:sz w:val="20"/>
          <w:szCs w:val="20"/>
          <w:color w:val="auto"/>
        </w:rPr>
      </w:pPr>
    </w:p>
    <w:p>
      <w:pPr>
        <w:jc w:val="both"/>
        <w:ind w:left="-460" w:firstLine="644"/>
        <w:spacing w:after="0" w:line="249" w:lineRule="auto"/>
        <w:tabs>
          <w:tab w:leader="none" w:pos="83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L/C Issuer or Swingline Lender after Assignment</w:t>
      </w:r>
      <w:r>
        <w:rPr>
          <w:rFonts w:ascii="Times New Roman" w:cs="Times New Roman" w:eastAsia="Times New Roman" w:hAnsi="Times New Roman"/>
          <w:sz w:val="20"/>
          <w:szCs w:val="20"/>
          <w:color w:val="auto"/>
        </w:rPr>
        <w:t xml:space="preserve">. Notwithstanding anything to the contrary contained herein, if at any time Bank of America assigns all of its Commitment and Revolving Loans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Bank of America may, (i) upon thirty (30) days’ notice to the Administrative Agent,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0" w:lineRule="exact"/>
        <w:rPr>
          <w:rFonts w:ascii="Times New Roman" w:cs="Times New Roman" w:eastAsia="Times New Roman" w:hAnsi="Times New Roman"/>
          <w:sz w:val="20"/>
          <w:szCs w:val="20"/>
          <w:color w:val="auto"/>
        </w:rPr>
      </w:pPr>
    </w:p>
    <w:p>
      <w:pPr>
        <w:ind w:left="820" w:hanging="636"/>
        <w:spacing w:after="0"/>
        <w:tabs>
          <w:tab w:leader="none" w:pos="82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80" w:firstLine="652"/>
        <w:spacing w:after="0" w:line="258" w:lineRule="auto"/>
        <w:tabs>
          <w:tab w:leader="none" w:pos="1474"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assignment shall be made to any Person that was a Disqualified Institution as of the date (the “</w:t>
      </w:r>
      <w:r>
        <w:rPr>
          <w:rFonts w:ascii="Times New Roman" w:cs="Times New Roman" w:eastAsia="Times New Roman" w:hAnsi="Times New Roman"/>
          <w:sz w:val="20"/>
          <w:szCs w:val="20"/>
          <w:u w:val="single" w:color="auto"/>
          <w:color w:val="auto"/>
        </w:rPr>
        <w:t>Trade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on which the applicable Lender entered into a binding agreement to sell and assign all or a portion of its rights and obligations under this Agreement to such Person (unless the Borrower has expressly consented to such assignment as otherwise contemplated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0120"/>
          </w:cols>
          <w:pgMar w:left="1440" w:top="1008" w:right="339" w:bottom="1440" w:gutter="0" w:footer="0" w:header="0"/>
        </w:sectPr>
      </w:pPr>
    </w:p>
    <w:bookmarkStart w:id="120" w:name="page121"/>
    <w:bookmarkEnd w:id="120"/>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in which case such Person will not be considered a Disqualified Institution for the purpose of such assignment).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such assignee shall not retroactively be considered a Disqualified Institution. Any assignment in violation of this </w:t>
      </w:r>
      <w:r>
        <w:rPr>
          <w:rFonts w:ascii="Times New Roman" w:cs="Times New Roman" w:eastAsia="Times New Roman" w:hAnsi="Times New Roman"/>
          <w:sz w:val="20"/>
          <w:szCs w:val="20"/>
          <w:u w:val="single" w:color="auto"/>
          <w:color w:val="auto"/>
        </w:rPr>
        <w:t>clause (g)(i</w:t>
      </w:r>
      <w:r>
        <w:rPr>
          <w:rFonts w:ascii="Times New Roman" w:cs="Times New Roman" w:eastAsia="Times New Roman" w:hAnsi="Times New Roman"/>
          <w:sz w:val="20"/>
          <w:szCs w:val="20"/>
          <w:color w:val="auto"/>
        </w:rPr>
        <w:t xml:space="preserve">) shall not be void, but the other provisions of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shall apply.</w:t>
      </w:r>
    </w:p>
    <w:p>
      <w:pPr>
        <w:spacing w:after="0" w:line="192" w:lineRule="exact"/>
        <w:rPr>
          <w:sz w:val="20"/>
          <w:szCs w:val="20"/>
          <w:color w:val="auto"/>
        </w:rPr>
      </w:pPr>
    </w:p>
    <w:p>
      <w:pPr>
        <w:jc w:val="both"/>
        <w:ind w:left="180" w:firstLine="652"/>
        <w:spacing w:after="0" w:line="262" w:lineRule="auto"/>
        <w:tabs>
          <w:tab w:leader="none" w:pos="1475"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assignment is made to any Disqualified Institution without the Borrower’s prior consent in violation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the Borrower may, at its sole expense and effort, upon notice to the applicable Disqualified Institution and the Administrative Agent, (A) terminate any Commitment of such Disqualified Institution and repay all obligations of the Borrower owing to such Disqualified Institution in connection with such Commitment, (B) in the case of outstanding Incremental Term Loans held by Disqualified Institutions, prepay such Incremental Term Loan by paying the </w:t>
      </w:r>
      <w:r>
        <w:rPr>
          <w:rFonts w:ascii="Times New Roman" w:cs="Times New Roman" w:eastAsia="Times New Roman" w:hAnsi="Times New Roman"/>
          <w:sz w:val="19"/>
          <w:szCs w:val="19"/>
          <w:i w:val="1"/>
          <w:iCs w:val="1"/>
          <w:color w:val="auto"/>
        </w:rPr>
        <w:t>lesser of</w:t>
      </w:r>
      <w:r>
        <w:rPr>
          <w:rFonts w:ascii="Times New Roman" w:cs="Times New Roman" w:eastAsia="Times New Roman" w:hAnsi="Times New Roman"/>
          <w:sz w:val="19"/>
          <w:szCs w:val="19"/>
          <w:color w:val="auto"/>
        </w:rPr>
        <w:t xml:space="preserve"> (1) the principal amount thereof and (2) the amount that such Disqualified Institution paid to acquire such Incremental Term Loans, in each case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cs="Times New Roman" w:eastAsia="Times New Roman" w:hAnsi="Times New Roman"/>
          <w:sz w:val="19"/>
          <w:szCs w:val="19"/>
          <w:u w:val="single" w:color="auto"/>
          <w:color w:val="auto"/>
        </w:rPr>
        <w:t>Section 11.06</w:t>
      </w:r>
      <w:r>
        <w:rPr>
          <w:rFonts w:ascii="Times New Roman" w:cs="Times New Roman" w:eastAsia="Times New Roman" w:hAnsi="Times New Roman"/>
          <w:sz w:val="19"/>
          <w:szCs w:val="19"/>
          <w:color w:val="auto"/>
        </w:rPr>
        <w:t xml:space="preserve">), all of its interest, rights and obligations under this Agreement and related Loan Documents to an Eligible Assignee that shall assume such obligations at the </w:t>
      </w:r>
      <w:r>
        <w:rPr>
          <w:rFonts w:ascii="Times New Roman" w:cs="Times New Roman" w:eastAsia="Times New Roman" w:hAnsi="Times New Roman"/>
          <w:sz w:val="19"/>
          <w:szCs w:val="19"/>
          <w:i w:val="1"/>
          <w:iCs w:val="1"/>
          <w:color w:val="auto"/>
        </w:rPr>
        <w:t>lesser of</w:t>
      </w:r>
    </w:p>
    <w:p>
      <w:pPr>
        <w:spacing w:after="0" w:line="6" w:lineRule="exact"/>
        <w:rPr>
          <w:rFonts w:ascii="Times New Roman" w:cs="Times New Roman" w:eastAsia="Times New Roman" w:hAnsi="Times New Roman"/>
          <w:sz w:val="19"/>
          <w:szCs w:val="19"/>
          <w:color w:val="auto"/>
        </w:rPr>
      </w:pPr>
    </w:p>
    <w:p>
      <w:pPr>
        <w:jc w:val="both"/>
        <w:ind w:left="180" w:firstLine="4"/>
        <w:spacing w:after="0" w:line="247" w:lineRule="auto"/>
        <w:tabs>
          <w:tab w:leader="none" w:pos="477"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thereof and (2) the amount that such Disqualified Institution paid to acquire such interests, rights and obligations,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 and other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(x) 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(y) such assignment does not conflict with Applicable Laws and (z)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Borrower shall not use the proceeds from any Loans to prepay Incremental Term Loans held by Disqualified Institutions.</w:t>
      </w:r>
    </w:p>
    <w:p>
      <w:pPr>
        <w:spacing w:after="0" w:line="198" w:lineRule="exact"/>
        <w:rPr>
          <w:rFonts w:ascii="Times New Roman" w:cs="Times New Roman" w:eastAsia="Times New Roman" w:hAnsi="Times New Roman"/>
          <w:sz w:val="20"/>
          <w:szCs w:val="20"/>
          <w:color w:val="auto"/>
        </w:rPr>
      </w:pPr>
    </w:p>
    <w:p>
      <w:pPr>
        <w:ind w:left="1480" w:hanging="648"/>
        <w:spacing w:after="0"/>
        <w:tabs>
          <w:tab w:leader="none" w:pos="1480"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Agreement, Disqualified Institutions (A) will not</w:t>
      </w:r>
    </w:p>
    <w:p>
      <w:pPr>
        <w:spacing w:after="0" w:line="39" w:lineRule="exact"/>
        <w:rPr>
          <w:rFonts w:ascii="Times New Roman" w:cs="Times New Roman" w:eastAsia="Times New Roman" w:hAnsi="Times New Roman"/>
          <w:sz w:val="19"/>
          <w:szCs w:val="19"/>
          <w:color w:val="auto"/>
        </w:rPr>
      </w:pPr>
    </w:p>
    <w:p>
      <w:pPr>
        <w:jc w:val="both"/>
        <w:ind w:left="180" w:firstLine="4"/>
        <w:spacing w:after="0" w:line="248" w:lineRule="auto"/>
        <w:tabs>
          <w:tab w:leader="none" w:pos="46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right to receive information, reports or other materials provided to Lenders by the Borrower, the Administrative Agent or any other Lender, (2) attend or participate in meetings attended by the Lenders and the Administrative Agent, or (3) access any electronic site established for the Lenders or confidential communications from counsel to or financial advisors of the Administrative Agent or the Lenders and (B) (1)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(2) for purposes of voting on any plan of reorganization or plan of liquidation pursuant to any Debtor Relief Laws (“</w:t>
      </w:r>
      <w:r>
        <w:rPr>
          <w:rFonts w:ascii="Times New Roman" w:cs="Times New Roman" w:eastAsia="Times New Roman" w:hAnsi="Times New Roman"/>
          <w:sz w:val="20"/>
          <w:szCs w:val="20"/>
          <w:u w:val="single" w:color="auto"/>
          <w:color w:val="auto"/>
        </w:rPr>
        <w:t>Plan of Reorganization</w:t>
      </w:r>
      <w:r>
        <w:rPr>
          <w:rFonts w:ascii="Times New Roman" w:cs="Times New Roman" w:eastAsia="Times New Roman" w:hAnsi="Times New Roman"/>
          <w:sz w:val="20"/>
          <w:szCs w:val="20"/>
          <w:color w:val="auto"/>
        </w:rPr>
        <w:t xml:space="preserve">”), each Disqualified Institution party hereto hereby agrees (I) not to vote on such Plan of Reorganization, (II) if such Disqualified Institution does vote on such Plan of Reorganization notwithstanding the restriction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(III) not to contest any request by any party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0120"/>
          </w:cols>
          <w:pgMar w:left="1440" w:top="1089" w:right="339" w:bottom="1440" w:gutter="0" w:footer="0" w:header="0"/>
        </w:sectPr>
      </w:pPr>
    </w:p>
    <w:bookmarkStart w:id="121" w:name="page122"/>
    <w:bookmarkEnd w:id="121"/>
    <w:p>
      <w:pPr>
        <w:ind w:left="1300"/>
        <w:spacing w:after="0" w:line="283" w:lineRule="auto"/>
        <w:rPr>
          <w:sz w:val="20"/>
          <w:szCs w:val="20"/>
          <w:color w:val="auto"/>
        </w:rPr>
      </w:pPr>
      <w:r>
        <w:rPr>
          <w:rFonts w:ascii="Times New Roman" w:cs="Times New Roman" w:eastAsia="Times New Roman" w:hAnsi="Times New Roman"/>
          <w:sz w:val="20"/>
          <w:szCs w:val="20"/>
          <w:color w:val="auto"/>
        </w:rPr>
        <w:t xml:space="preserve">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1300" w:firstLine="652"/>
        <w:spacing w:after="0" w:line="258" w:lineRule="auto"/>
        <w:tabs>
          <w:tab w:leader="none" w:pos="258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on the Platform, including that portion of the Platform that is designated for “public side” Lenders or (B) provide the DQ List to each Lender requesting the same.</w:t>
      </w:r>
    </w:p>
    <w:p>
      <w:pPr>
        <w:spacing w:after="0" w:line="18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11.07</w:t>
      </w:r>
      <w:r>
        <w:rPr>
          <w:sz w:val="20"/>
          <w:szCs w:val="20"/>
          <w:color w:val="auto"/>
        </w:rPr>
        <w:tab/>
      </w:r>
      <w:r>
        <w:rPr>
          <w:rFonts w:ascii="Times New Roman" w:cs="Times New Roman" w:eastAsia="Times New Roman" w:hAnsi="Times New Roman"/>
          <w:sz w:val="19"/>
          <w:szCs w:val="19"/>
          <w:b w:val="1"/>
          <w:bCs w:val="1"/>
          <w:u w:val="single" w:color="auto"/>
          <w:color w:val="auto"/>
        </w:rPr>
        <w:t>Treatment of Certain Information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Confidentiality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62" w:lineRule="auto"/>
        <w:tabs>
          <w:tab w:leader="none" w:pos="1286"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Information</w:t>
      </w:r>
      <w:r>
        <w:rPr>
          <w:rFonts w:ascii="Times New Roman" w:cs="Times New Roman" w:eastAsia="Times New Roman" w:hAnsi="Times New Roman"/>
          <w:sz w:val="19"/>
          <w:szCs w:val="19"/>
          <w:color w:val="auto"/>
        </w:rPr>
        <w:t xml:space="preserve">. Each of the Administrative Agent, the Lenders and the L/C Issuer agrees to maintain the confidentiality of the Information (as defined below), except that Information may be disclosed (i) to its Affiliates, its auditors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(in which case, the Administrative Agent agrees to inform the Borrower promptly in advance thereof prior to such disclosure (other than pursuant to any routine audit or examination conducted by accountants or any governmental regulatory authority exercising examination or regulatory authority) to the extent not prohibited by law, rule or regulation), (iii) to the extent required by Applicable Laws or regulations or by any subpoena or similar legal process (in which case, the Administrative Agent agrees to inform the Borrower promptly in advance thereof prior to such disclosure to the extent not prohibited by law, rule or regulation),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xml:space="preserve">, to (A)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or (B) any actual or prospective party (or its Related Parties) to any swap, derivative or other transaction under which payments are to be made by reference to the Borrower and its obligations, this Agreement or payments hereunder (it being understood that the DQ List may be disclosed to any assignee or Participant or prospective assignee or Participant, in reliance on this clause (vi)), (vii) on a confidential basis to (A) any rating agency in connection with rating any Loan Party or its Subsidiaries or the credit facilities provided hereunder or (B) the provider of any Platform or other electronic delivery service used by the Administrative Agent, the L/C Issuer and/or the Swingline Lender to deliver Borrower Materials or notices to the Lenders, (viii) the CUSIP Service Bureau or any similar agency in connection with the application, issuance, publishing and monitoring of CUSIP numbers or other market identifiers with respect to the credit facilities provided hereunder, (ix) with the consent of the Borrower or to the extent such Information (1) becomes publicly available other than as a result of a breach of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xml:space="preserve"> or (2) becomes available to the Administrative Agent, any Lender, the L/C Issuer or any of their respective Affiliates on a nonconfidential basis from a source other than the Borrower and not known to the Administrative Agent to have confidentiality obligations to the Borrower or (x) is independently discovered or developed by a party hereto without utilizing any Information received from the Borrower or violating the terms of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xml:space="preserve">. For purposes of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Holdings or any Subsidiary relating to Holdings or any Subsidiary or any of their respective businesses, other than any such information that is available to the Administrative Agent, any Lender or the L/C Issuer on a nonconfidential basis prior to disclosure by Holdings or any Subsidiary, provided, that, in the case of information received from Holdings or any Subsidiary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008" w:right="339" w:bottom="1440" w:gutter="0" w:footer="0" w:header="0"/>
        </w:sectPr>
      </w:pPr>
    </w:p>
    <w:bookmarkStart w:id="122" w:name="page123"/>
    <w:bookmarkEnd w:id="122"/>
    <w:p>
      <w:pPr>
        <w:jc w:val="both"/>
        <w:spacing w:after="0" w:line="261" w:lineRule="auto"/>
        <w:rPr>
          <w:sz w:val="20"/>
          <w:szCs w:val="20"/>
          <w:color w:val="auto"/>
        </w:rPr>
      </w:pPr>
      <w:r>
        <w:rPr>
          <w:rFonts w:ascii="Times New Roman" w:cs="Times New Roman" w:eastAsia="Times New Roman" w:hAnsi="Times New Roman"/>
          <w:sz w:val="20"/>
          <w:szCs w:val="20"/>
          <w:color w:val="auto"/>
        </w:rPr>
        <w:t>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72" w:lineRule="exact"/>
        <w:rPr>
          <w:sz w:val="20"/>
          <w:szCs w:val="20"/>
          <w:color w:val="auto"/>
        </w:rPr>
      </w:pPr>
    </w:p>
    <w:p>
      <w:pPr>
        <w:jc w:val="both"/>
        <w:ind w:firstLine="656"/>
        <w:spacing w:after="0" w:line="257" w:lineRule="auto"/>
        <w:tabs>
          <w:tab w:leader="none" w:pos="128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Press Releases</w:t>
      </w:r>
      <w:r>
        <w:rPr>
          <w:rFonts w:ascii="Times New Roman" w:cs="Times New Roman" w:eastAsia="Times New Roman" w:hAnsi="Times New Roman"/>
          <w:sz w:val="20"/>
          <w:szCs w:val="20"/>
          <w:color w:val="auto"/>
        </w:rPr>
        <w:t>. 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Customary Advertising Material</w:t>
      </w:r>
      <w:r>
        <w:rPr>
          <w:rFonts w:ascii="Times New Roman" w:cs="Times New Roman" w:eastAsia="Times New Roman" w:hAnsi="Times New Roman"/>
          <w:sz w:val="20"/>
          <w:szCs w:val="20"/>
          <w:color w:val="auto"/>
        </w:rPr>
        <w:t>. 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11.08</w:t>
      </w:r>
      <w:r>
        <w:rPr>
          <w:sz w:val="20"/>
          <w:szCs w:val="20"/>
          <w:color w:val="auto"/>
        </w:rPr>
        <w:tab/>
      </w:r>
      <w:r>
        <w:rPr>
          <w:rFonts w:ascii="Times New Roman" w:cs="Times New Roman" w:eastAsia="Times New Roman" w:hAnsi="Times New Roman"/>
          <w:sz w:val="19"/>
          <w:szCs w:val="19"/>
          <w:b w:val="1"/>
          <w:bCs w:val="1"/>
          <w:u w:val="single" w:color="auto"/>
          <w:color w:val="auto"/>
        </w:rPr>
        <w:t>Right of Setoff</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any other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the Borrower or any other Loan Party may be contingent or unmatured, secured or unsecured, or are owed to a branch, office or Affiliate of such Lender or the L/C Issuer different from the branch, office or Affiliate holding such deposit or obligated on such Indebtedness; provided that in the event that any Defaulting Lender shall exercise any such right of setoff,</w:t>
      </w:r>
    </w:p>
    <w:p>
      <w:pPr>
        <w:spacing w:after="0" w:line="8" w:lineRule="exact"/>
        <w:rPr>
          <w:sz w:val="20"/>
          <w:szCs w:val="20"/>
          <w:color w:val="auto"/>
        </w:rPr>
      </w:pPr>
    </w:p>
    <w:p>
      <w:pPr>
        <w:jc w:val="both"/>
        <w:ind w:firstLine="8"/>
        <w:spacing w:after="0" w:line="250" w:lineRule="auto"/>
        <w:tabs>
          <w:tab w:leader="none" w:pos="27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to set off shall be paid over immediately to the Administrative Agent for further application in accordance with the provisions of Section 2.15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are in addition to other rights and remedies (including other rights of setoff) that such Lender, the L/C Issuer and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spacing w:after="0" w:line="17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11.09</w:t>
      </w:r>
      <w:r>
        <w:rPr>
          <w:sz w:val="20"/>
          <w:szCs w:val="20"/>
          <w:color w:val="auto"/>
        </w:rPr>
        <w:tab/>
      </w:r>
      <w:r>
        <w:rPr>
          <w:rFonts w:ascii="Times New Roman" w:cs="Times New Roman" w:eastAsia="Times New Roman" w:hAnsi="Times New Roman"/>
          <w:sz w:val="19"/>
          <w:szCs w:val="19"/>
          <w:b w:val="1"/>
          <w:bCs w:val="1"/>
          <w:u w:val="single" w:color="auto"/>
          <w:color w:val="auto"/>
        </w:rPr>
        <w:t>Interest Rate Limitation</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008" w:right="3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20"/>
          <w:szCs w:val="20"/>
          <w:color w:val="auto"/>
        </w:rPr>
        <w:t>exceeds such unpaid principal, refunded to the Borrower. In determining whether the interest contracted for, charged, or received by the Administrative Agent or any Lender exceeds the Maximum Rate, such Person may, to the extent permitted by Applicable Law,</w:t>
      </w:r>
    </w:p>
    <w:p>
      <w:pPr>
        <w:jc w:val="both"/>
        <w:ind w:firstLine="8"/>
        <w:spacing w:after="0" w:line="249" w:lineRule="auto"/>
        <w:tabs>
          <w:tab w:leader="none" w:pos="27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11.10</w:t>
      </w:r>
      <w:r>
        <w:rPr>
          <w:sz w:val="20"/>
          <w:szCs w:val="20"/>
          <w:color w:val="auto"/>
        </w:rPr>
        <w:tab/>
      </w:r>
      <w:r>
        <w:rPr>
          <w:rFonts w:ascii="Times New Roman" w:cs="Times New Roman" w:eastAsia="Times New Roman" w:hAnsi="Times New Roman"/>
          <w:sz w:val="19"/>
          <w:szCs w:val="19"/>
          <w:b w:val="1"/>
          <w:bCs w:val="1"/>
          <w:u w:val="single" w:color="auto"/>
          <w:color w:val="auto"/>
        </w:rPr>
        <w:t>Integration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Effectiveness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7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11.10</w:t>
      </w:r>
      <w:r>
        <w:rPr>
          <w:sz w:val="20"/>
          <w:szCs w:val="20"/>
          <w:color w:val="auto"/>
        </w:rPr>
        <w:tab/>
      </w:r>
      <w:r>
        <w:rPr>
          <w:rFonts w:ascii="Times New Roman" w:cs="Times New Roman" w:eastAsia="Times New Roman" w:hAnsi="Times New Roman"/>
          <w:sz w:val="19"/>
          <w:szCs w:val="19"/>
          <w:b w:val="1"/>
          <w:bCs w:val="1"/>
          <w:u w:val="single" w:color="auto"/>
          <w:color w:val="auto"/>
        </w:rPr>
        <w:t>Survival of Representations and Warranties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11.11</w:t>
      </w:r>
      <w:r>
        <w:rPr>
          <w:sz w:val="20"/>
          <w:szCs w:val="20"/>
          <w:color w:val="auto"/>
        </w:rPr>
        <w:tab/>
      </w: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spacing w:after="0" w:line="19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11.13</w:t>
      </w:r>
      <w:r>
        <w:rPr>
          <w:sz w:val="20"/>
          <w:szCs w:val="20"/>
          <w:color w:val="auto"/>
        </w:rPr>
        <w:tab/>
      </w:r>
      <w:r>
        <w:rPr>
          <w:rFonts w:ascii="Times New Roman" w:cs="Times New Roman" w:eastAsia="Times New Roman" w:hAnsi="Times New Roman"/>
          <w:sz w:val="19"/>
          <w:szCs w:val="19"/>
          <w:b w:val="1"/>
          <w:bCs w:val="1"/>
          <w:u w:val="single" w:color="auto"/>
          <w:color w:val="auto"/>
        </w:rPr>
        <w:t>Replacement of Lenders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660" w:firstLine="644"/>
        <w:spacing w:after="0" w:line="253" w:lineRule="auto"/>
        <w:tabs>
          <w:tab w:leader="none" w:pos="194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is entitled to replace a Lender pursuant to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 if any Lender is a 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and obligations under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089"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20"/>
          <w:szCs w:val="20"/>
          <w:color w:val="auto"/>
        </w:rPr>
        <w:t>related Loan Documents to an Eligible Assignee that shall assume such obligations (which assignee may be another Lender, if a</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Lender accepts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ind w:left="1300" w:firstLine="652"/>
        <w:spacing w:after="0" w:line="283" w:lineRule="auto"/>
        <w:tabs>
          <w:tab w:leader="none" w:pos="259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95"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 (in the case of all other amounts);</w:t>
      </w:r>
    </w:p>
    <w:p>
      <w:pPr>
        <w:spacing w:after="0" w:line="185"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96"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81"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15" w:lineRule="exact"/>
        <w:rPr>
          <w:rFonts w:ascii="Times New Roman" w:cs="Times New Roman" w:eastAsia="Times New Roman" w:hAnsi="Times New Roman"/>
          <w:sz w:val="20"/>
          <w:szCs w:val="20"/>
          <w:color w:val="auto"/>
        </w:rPr>
      </w:pPr>
    </w:p>
    <w:p>
      <w:pPr>
        <w:ind w:left="1300" w:right="20" w:firstLine="652"/>
        <w:spacing w:after="0" w:line="283" w:lineRule="auto"/>
        <w:tabs>
          <w:tab w:leader="none" w:pos="258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46"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9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66" w:lineRule="auto"/>
        <w:tabs>
          <w:tab w:leader="none" w:pos="1946"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agrees that (i) an assignment required pursuant to this </w:t>
      </w:r>
      <w:r>
        <w:rPr>
          <w:rFonts w:ascii="Times New Roman" w:cs="Times New Roman" w:eastAsia="Times New Roman" w:hAnsi="Times New Roman"/>
          <w:sz w:val="19"/>
          <w:szCs w:val="19"/>
          <w:u w:val="single" w:color="auto"/>
          <w:color w:val="auto"/>
        </w:rPr>
        <w:t>Section 11.13</w:t>
      </w:r>
      <w:r>
        <w:rPr>
          <w:rFonts w:ascii="Times New Roman" w:cs="Times New Roman" w:eastAsia="Times New Roman" w:hAnsi="Times New Roman"/>
          <w:sz w:val="19"/>
          <w:szCs w:val="19"/>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any such documents shall be without recourse to or warranty by the parties thereto.</w:t>
      </w:r>
    </w:p>
    <w:p>
      <w:pPr>
        <w:spacing w:after="0" w:line="180" w:lineRule="exact"/>
        <w:rPr>
          <w:rFonts w:ascii="Times New Roman" w:cs="Times New Roman" w:eastAsia="Times New Roman" w:hAnsi="Times New Roman"/>
          <w:sz w:val="19"/>
          <w:szCs w:val="19"/>
          <w:color w:val="auto"/>
        </w:rPr>
      </w:pPr>
    </w:p>
    <w:p>
      <w:pPr>
        <w:jc w:val="both"/>
        <w:ind w:left="660" w:firstLine="644"/>
        <w:spacing w:after="0" w:line="269" w:lineRule="auto"/>
        <w:tabs>
          <w:tab w:leader="none" w:pos="1944"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in this </w:t>
      </w:r>
      <w:r>
        <w:rPr>
          <w:rFonts w:ascii="Times New Roman" w:cs="Times New Roman" w:eastAsia="Times New Roman" w:hAnsi="Times New Roman"/>
          <w:sz w:val="19"/>
          <w:szCs w:val="19"/>
          <w:u w:val="single" w:color="auto"/>
          <w:color w:val="auto"/>
        </w:rPr>
        <w:t>Section 11.13</w:t>
      </w:r>
      <w:r>
        <w:rPr>
          <w:rFonts w:ascii="Times New Roman" w:cs="Times New Roman" w:eastAsia="Times New Roman" w:hAnsi="Times New Roman"/>
          <w:sz w:val="19"/>
          <w:szCs w:val="19"/>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cs="Times New Roman" w:eastAsia="Times New Roman" w:hAnsi="Times New Roman"/>
          <w:sz w:val="19"/>
          <w:szCs w:val="19"/>
          <w:u w:val="single" w:color="auto"/>
          <w:color w:val="auto"/>
        </w:rPr>
        <w:t>Section 9.06</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11.14</w:t>
      </w:r>
      <w:r>
        <w:rPr>
          <w:sz w:val="20"/>
          <w:szCs w:val="20"/>
          <w:color w:val="auto"/>
        </w:rPr>
        <w:tab/>
      </w: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Jurisdiction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 xml:space="preserve">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56"/>
        <w:spacing w:after="0" w:line="253" w:lineRule="auto"/>
        <w:tabs>
          <w:tab w:leader="none" w:pos="128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927" w:right="339" w:bottom="1440" w:gutter="0" w:footer="0" w:header="0"/>
        </w:sectPr>
      </w:pPr>
    </w:p>
    <w:bookmarkStart w:id="125" w:name="page126"/>
    <w:bookmarkEnd w:id="125"/>
    <w:p>
      <w:pPr>
        <w:jc w:val="both"/>
        <w:ind w:firstLine="656"/>
        <w:spacing w:after="0" w:line="250" w:lineRule="auto"/>
        <w:tabs>
          <w:tab w:leader="none" w:pos="128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spacing w:after="0" w:line="17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THE BORROWER AND EACH OTHER LOAN PARTY IRREVOCABLY AND UNCONDITIONALLY WAIVES, TO THE FULLEST EXTENT PERMITTED BY APPLICABLE LAW, THE DEFENSE OF AN INCONVENIENT FORUM TO THE MAINTENANCE OF SUCH ACTION OR PROCEEDING IN ANY SUCH COURT.</w:t>
      </w:r>
    </w:p>
    <w:p>
      <w:pPr>
        <w:spacing w:after="0" w:line="17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11.15</w:t>
      </w:r>
      <w:r>
        <w:rPr>
          <w:sz w:val="20"/>
          <w:szCs w:val="20"/>
          <w:color w:val="auto"/>
        </w:rPr>
        <w:tab/>
      </w: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089" w:right="339" w:bottom="1440" w:gutter="0" w:footer="0" w:header="0"/>
        </w:sectPr>
      </w:pPr>
    </w:p>
    <w:bookmarkStart w:id="126" w:name="page127"/>
    <w:bookmarkEnd w:id="126"/>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11.16</w:t>
      </w:r>
      <w:r>
        <w:rPr>
          <w:sz w:val="20"/>
          <w:szCs w:val="20"/>
          <w:color w:val="auto"/>
        </w:rPr>
        <w:tab/>
      </w:r>
      <w:r>
        <w:rPr>
          <w:rFonts w:ascii="Times New Roman" w:cs="Times New Roman" w:eastAsia="Times New Roman" w:hAnsi="Times New Roman"/>
          <w:sz w:val="19"/>
          <w:szCs w:val="19"/>
          <w:b w:val="1"/>
          <w:bCs w:val="1"/>
          <w:u w:val="single" w:color="auto"/>
          <w:color w:val="auto"/>
        </w:rPr>
        <w:t>Subordination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Loan Party (a “</w:t>
      </w:r>
      <w:r>
        <w:rPr>
          <w:rFonts w:ascii="Times New Roman" w:cs="Times New Roman" w:eastAsia="Times New Roman" w:hAnsi="Times New Roman"/>
          <w:sz w:val="20"/>
          <w:szCs w:val="20"/>
          <w:u w:val="single" w:color="auto"/>
          <w:color w:val="auto"/>
        </w:rPr>
        <w:t>Subordinating Loan Party</w:t>
      </w:r>
      <w:r>
        <w:rPr>
          <w:rFonts w:ascii="Times New Roman" w:cs="Times New Roman" w:eastAsia="Times New Roman" w:hAnsi="Times New Roman"/>
          <w:sz w:val="20"/>
          <w:szCs w:val="20"/>
          <w:color w:val="auto"/>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Default has occurred and is continuing, (a) the Loan Parties may make and receive payments with respect to Intercompany Debt; provided, that, in the event that any Loan Party receives any payment of any Intercompany Debt at a time when such payment is prohibited by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such payment shall be held by such Loan Party, in trust for the benefit of, and shall be paid forthwith over and delivered, upon written request, to the Administrative Agent and (b) any Subsidiary may pay distributions to holders of its Equity Interests as not otherwise prohibited by this Agreement.</w:t>
      </w:r>
    </w:p>
    <w:p>
      <w:pPr>
        <w:spacing w:after="0" w:line="19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11.17</w:t>
      </w:r>
      <w:r>
        <w:rPr>
          <w:sz w:val="20"/>
          <w:szCs w:val="20"/>
          <w:color w:val="auto"/>
        </w:rPr>
        <w:tab/>
      </w:r>
      <w:r>
        <w:rPr>
          <w:rFonts w:ascii="Times New Roman" w:cs="Times New Roman" w:eastAsia="Times New Roman" w:hAnsi="Times New Roman"/>
          <w:sz w:val="19"/>
          <w:szCs w:val="19"/>
          <w:b w:val="1"/>
          <w:bCs w:val="1"/>
          <w:u w:val="single" w:color="auto"/>
          <w:color w:val="auto"/>
        </w:rPr>
        <w:t>No Advisory or Fiduciary Responsibility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all aspects of each transaction contemplated hereby (including in connection with any amendment, waiver or other modification hereof or of any other Loan Document), the Borrower, Holdings and each other Loan Party acknowledges and agrees, and acknowledges its Affiliates’ understanding, that: (a) (i) the services regarding this Agreement provided by the Administrative Agent, the Arrangers and the Lenders and their respective Affiliates are arm’s-length commercial transactions between the Borrower, Holdings, each other Loan Party and their respective Affiliates, on the one hand, and the Administrative Agent, the Arrangers and the Lenders and their respective Affiliates, on the other hand, (ii) each of the Borrower, Holdings and the other Loan Parties has consulted its own legal, accounting, regulatory and tax advisors to the extent it has deemed appropriate, and (iii) the Borrower, Holdings and each other Loan Party is capable of evaluating, and understands and accepts, the terms, risks and conditions of the transactions contemplated hereby and by the other Loan Documents; (b) (i) the Administrative Agent, each Arranger and each Lender and each of their respective Affiliates each is and has been acting solely as a principal and, except as expressly agreed in writing by the relevant parties, has not been, is not, and will not be acting as an advisor, agent or fiduciary, for the Borrower, Holdings, any other Loan Party or any of their respective Affiliates, or any other Person and (ii) neither the Administrative Agent, nor any Arranger, nor any Lender nor any of their respective Affiliates has any obligation to the Borrower, Holdings, any other Loan Party or any of their respective Affiliates with respect to the transactions contemplated hereby except those obligations expressly set forth herein and in the other Loan Documents; and (c) the Administrative Agent, the Arrangers and the Lenders and their respective Affiliates may be engaged in a broad range of transactions that involve interests that differ from those of the Borrower, Holdings, the other Loan Parties and their respective Affiliates, and neither the Administrative Agent, nor any Arranger, nor any Lender nor any of their respective Affiliates has any obligation to disclose any of such interests to the Borrower, Holdings, any other Loan Party or any of their respective Affiliates. To the fullest extent permitted by law, each of the Borrower, Holdings and each other Loan Party hereby waives and releases any claims that it may have against the Administrative Agent, the Arrangers, the Lenders and their respective Affiliates with respect to any breach or alleged breach of agency or fiduciary duty in connection with any aspect of any transactions contemplated hereby.</w:t>
      </w:r>
    </w:p>
    <w:p>
      <w:pPr>
        <w:spacing w:after="0" w:line="19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11.18</w:t>
      </w:r>
      <w:r>
        <w:rPr>
          <w:sz w:val="20"/>
          <w:szCs w:val="20"/>
          <w:color w:val="auto"/>
        </w:rPr>
        <w:tab/>
      </w:r>
      <w:r>
        <w:rPr>
          <w:rFonts w:ascii="Times New Roman" w:cs="Times New Roman" w:eastAsia="Times New Roman" w:hAnsi="Times New Roman"/>
          <w:sz w:val="19"/>
          <w:szCs w:val="19"/>
          <w:b w:val="1"/>
          <w:bCs w:val="1"/>
          <w:u w:val="single" w:color="auto"/>
          <w:color w:val="auto"/>
        </w:rPr>
        <w:t>Electronic Execution; Electronic Records; Counterparts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Recipient Party agrees that any Electronic Signature on or associated with any Communication shall be valid and binding on such Person to the same extent as a manual, original signature, and that any Communication entered into by Electronic Signature,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004" w:right="339" w:bottom="1440" w:gutter="0" w:footer="0" w:header="0"/>
        </w:sectPr>
      </w:pPr>
    </w:p>
    <w:bookmarkStart w:id="127" w:name="page128"/>
    <w:bookmarkEnd w:id="127"/>
    <w:p>
      <w:pPr>
        <w:jc w:val="both"/>
        <w:spacing w:after="0" w:line="250" w:lineRule="auto"/>
        <w:rPr>
          <w:sz w:val="20"/>
          <w:szCs w:val="20"/>
          <w:color w:val="auto"/>
        </w:rPr>
      </w:pPr>
      <w:r>
        <w:rPr>
          <w:rFonts w:ascii="Times New Roman" w:cs="Times New Roman" w:eastAsia="Times New Roman" w:hAnsi="Times New Roman"/>
          <w:sz w:val="20"/>
          <w:szCs w:val="20"/>
          <w:color w:val="auto"/>
        </w:rPr>
        <w:t>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Recipient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provided, further, without limiting the foregoing, (a) to the extent the Administrative Agent, L/C Issuer and/or Swingline Lender has agreed to accept such Electronic Signature, the Administrative Agent and each of the Lender Recipient Parties shall be entitled to rely on any such Electronic Signature purportedly given by or on behalf of any Loan Party and/or any Lender Recipient Party without further verification and regardless of the appearance or form of such Electronic Signature, and (b) upon the request of the Administrative Agent or any Lender Recipient Party, any Electronic Signature shall be promptly followed by a manually executed counterpart.</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Swingline Lender’s reliance on any Electronic Signature transmitted by telecopy, emailed .pdf or any other electronic means). The Administrative Agent, L/C Issuer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of the Loan Parties and each Lender Recipient Party hereby waives (i) any argument, defense or right to contest the legal effect, validity or enforceability of this Agreement or any other Loan Document based solely on the lack of paper original copies of this Agreement, such other Loan Document, and (ii) waives any claim against the Administrative Agent and each Lender Recipient Party for any liabilities arising solely from the Administrative Agent’s and/or any Lender Recipient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21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11.19</w:t>
      </w:r>
      <w:r>
        <w:rPr>
          <w:sz w:val="20"/>
          <w:szCs w:val="20"/>
          <w:color w:val="auto"/>
        </w:rPr>
        <w:tab/>
      </w:r>
      <w:r>
        <w:rPr>
          <w:rFonts w:ascii="Times New Roman" w:cs="Times New Roman" w:eastAsia="Times New Roman" w:hAnsi="Times New Roman"/>
          <w:sz w:val="19"/>
          <w:szCs w:val="19"/>
          <w:b w:val="1"/>
          <w:bCs w:val="1"/>
          <w:u w:val="single" w:color="auto"/>
          <w:color w:val="auto"/>
        </w:rPr>
        <w:t>USA PATRIOT Act Notice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Lender that is subject to the Patriot Act and the Administrative Agent (for itself and not on behalf of any Lender) hereby notifies the Borrower and the other Loan Parties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Patriot Act. The Borrower and each other Loan Party shall, promptly following a request by the Administrative Agent or any Lender, provide all such other documentation and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089" w:right="339" w:bottom="1440" w:gutter="0" w:footer="0" w:header="0"/>
        </w:sectPr>
      </w:pPr>
    </w:p>
    <w:bookmarkStart w:id="128" w:name="page129"/>
    <w:bookmarkEnd w:id="128"/>
    <w:p>
      <w:pPr>
        <w:jc w:val="both"/>
        <w:spacing w:after="0" w:line="283" w:lineRule="auto"/>
        <w:rPr>
          <w:sz w:val="20"/>
          <w:szCs w:val="20"/>
          <w:color w:val="auto"/>
        </w:rPr>
      </w:pPr>
      <w:r>
        <w:rPr>
          <w:rFonts w:ascii="Times New Roman" w:cs="Times New Roman" w:eastAsia="Times New Roman" w:hAnsi="Times New Roman"/>
          <w:sz w:val="20"/>
          <w:szCs w:val="20"/>
          <w:color w:val="auto"/>
        </w:rPr>
        <w:t>the Administrative Agent or such Lender requests in order to comply with its ongoing obligations under applicable “know your customer” and anti-money laundering rules and regulations, including the Patriot Act.</w:t>
      </w:r>
    </w:p>
    <w:p>
      <w:pPr>
        <w:spacing w:after="0" w:line="14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11.20</w:t>
      </w:r>
      <w:r>
        <w:rPr>
          <w:sz w:val="20"/>
          <w:szCs w:val="20"/>
          <w:color w:val="auto"/>
        </w:rPr>
        <w:tab/>
      </w:r>
      <w:r>
        <w:rPr>
          <w:rFonts w:ascii="Times New Roman" w:cs="Times New Roman" w:eastAsia="Times New Roman" w:hAnsi="Times New Roman"/>
          <w:sz w:val="19"/>
          <w:szCs w:val="19"/>
          <w:b w:val="1"/>
          <w:bCs w:val="1"/>
          <w:u w:val="single" w:color="auto"/>
          <w:color w:val="auto"/>
        </w:rPr>
        <w:t>Acknowledgement and Consent to Bail-In of Affected Financial Institutions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19" w:lineRule="exact"/>
        <w:rPr>
          <w:sz w:val="20"/>
          <w:szCs w:val="20"/>
          <w:color w:val="auto"/>
        </w:rPr>
      </w:pPr>
    </w:p>
    <w:p>
      <w:pPr>
        <w:ind w:left="660" w:firstLine="644"/>
        <w:spacing w:after="0" w:line="269" w:lineRule="auto"/>
        <w:tabs>
          <w:tab w:leader="none" w:pos="194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9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5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42"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95"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2" w:lineRule="exact"/>
        <w:rPr>
          <w:rFonts w:ascii="Times New Roman" w:cs="Times New Roman" w:eastAsia="Times New Roman" w:hAnsi="Times New Roman"/>
          <w:sz w:val="20"/>
          <w:szCs w:val="20"/>
          <w:color w:val="auto"/>
        </w:rPr>
      </w:pPr>
    </w:p>
    <w:p>
      <w:pPr>
        <w:ind w:left="1300" w:firstLine="652"/>
        <w:spacing w:after="0" w:line="269" w:lineRule="auto"/>
        <w:tabs>
          <w:tab w:leader="none" w:pos="2596"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9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11.21</w:t>
      </w:r>
      <w:r>
        <w:rPr>
          <w:sz w:val="20"/>
          <w:szCs w:val="20"/>
          <w:color w:val="auto"/>
        </w:rPr>
        <w:tab/>
      </w:r>
      <w:r>
        <w:rPr>
          <w:rFonts w:ascii="Times New Roman" w:cs="Times New Roman" w:eastAsia="Times New Roman" w:hAnsi="Times New Roman"/>
          <w:sz w:val="19"/>
          <w:szCs w:val="19"/>
          <w:b w:val="1"/>
          <w:bCs w:val="1"/>
          <w:u w:val="single" w:color="auto"/>
          <w:color w:val="auto"/>
        </w:rPr>
        <w:t>Acknowledgement Regarding Any Supported QFCs</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00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color w:val="auto"/>
        </w:rPr>
        <w:t>to a Defaulting Lender shall in no event affect the rights of any Covered Party with respect to a Supported QFC or any QFC Credit Support.</w:t>
      </w:r>
    </w:p>
    <w:p>
      <w:pPr>
        <w:sectPr>
          <w:pgSz w:w="11900" w:h="16838" w:orient="portrait"/>
          <w:cols w:equalWidth="0" w:num="1">
            <w:col w:w="11080"/>
          </w:cols>
          <w:pgMar w:left="320" w:top="1089" w:right="499" w:bottom="1440" w:gutter="0" w:footer="0" w:header="0"/>
        </w:sectPr>
      </w:pP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080"/>
          </w:cols>
          <w:pgMar w:left="320" w:top="1089" w:right="499" w:bottom="1440" w:gutter="0" w:footer="0" w:header="0"/>
          <w:type w:val="continuous"/>
        </w:sectPr>
      </w:pPr>
    </w:p>
    <w:bookmarkStart w:id="130" w:name="page131"/>
    <w:bookmarkEnd w:id="130"/>
    <w:p>
      <w:pPr>
        <w:ind w:left="20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as of the date first above written.</w:t>
      </w:r>
    </w:p>
    <w:p>
      <w:pPr>
        <w:spacing w:after="0" w:line="200" w:lineRule="exact"/>
        <w:rPr>
          <w:sz w:val="20"/>
          <w:szCs w:val="20"/>
          <w:color w:val="auto"/>
        </w:rPr>
      </w:pPr>
    </w:p>
    <w:p>
      <w:pPr>
        <w:spacing w:after="0" w:line="24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19"/>
          <w:szCs w:val="19"/>
          <w:color w:val="auto"/>
        </w:rPr>
        <w:t>NCINO OPCO, INC., a Delaware corporation</w:t>
      </w:r>
    </w:p>
    <w:p>
      <w:pPr>
        <w:spacing w:after="0" w:line="24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Gregory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339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Gregory Orenstein</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3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HOLDINGS:</w:t>
      </w:r>
      <w:r>
        <w:rPr>
          <w:sz w:val="20"/>
          <w:szCs w:val="20"/>
          <w:color w:val="auto"/>
        </w:rPr>
        <w:tab/>
      </w:r>
      <w:r>
        <w:rPr>
          <w:rFonts w:ascii="Times New Roman" w:cs="Times New Roman" w:eastAsia="Times New Roman" w:hAnsi="Times New Roman"/>
          <w:sz w:val="19"/>
          <w:szCs w:val="19"/>
          <w:color w:val="auto"/>
        </w:rPr>
        <w:t>NCINO, INC., a Delaware corporation</w:t>
      </w:r>
    </w:p>
    <w:p>
      <w:pPr>
        <w:spacing w:after="0" w:line="200" w:lineRule="exact"/>
        <w:rPr>
          <w:sz w:val="20"/>
          <w:szCs w:val="20"/>
          <w:color w:val="auto"/>
        </w:rPr>
      </w:pPr>
    </w:p>
    <w:p>
      <w:pPr>
        <w:spacing w:after="0" w:line="29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Gregory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339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Gregory Orenstein</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0" w:lineRule="exact"/>
        <w:rPr>
          <w:sz w:val="20"/>
          <w:szCs w:val="20"/>
          <w:color w:val="auto"/>
        </w:rPr>
      </w:pPr>
    </w:p>
    <w:p>
      <w:pPr>
        <w:spacing w:after="0" w:line="270"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GUARANTORS:</w:t>
      </w:r>
      <w:r>
        <w:rPr>
          <w:sz w:val="20"/>
          <w:szCs w:val="20"/>
          <w:color w:val="auto"/>
        </w:rPr>
        <w:tab/>
      </w:r>
      <w:r>
        <w:rPr>
          <w:rFonts w:ascii="Times New Roman" w:cs="Times New Roman" w:eastAsia="Times New Roman" w:hAnsi="Times New Roman"/>
          <w:sz w:val="19"/>
          <w:szCs w:val="19"/>
          <w:color w:val="auto"/>
        </w:rPr>
        <w:t>DOCFOX,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8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Gregory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339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9850" cy="8890"/>
                    </a:xfrm>
                    <a:prstGeom prst="rect">
                      <a:avLst/>
                    </a:prstGeom>
                    <a:noFill/>
                  </pic:spPr>
                </pic:pic>
              </a:graphicData>
            </a:graphic>
          </wp:anchor>
        </w:drawing>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Gregory Orenstein</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INTEGRATED LENDING TECHNOLOGIES, LLC,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 Utah limited liability company</w:t>
      </w:r>
    </w:p>
    <w:p>
      <w:pPr>
        <w:spacing w:after="0" w:line="200" w:lineRule="exact"/>
        <w:rPr>
          <w:sz w:val="20"/>
          <w:szCs w:val="20"/>
          <w:color w:val="auto"/>
        </w:rPr>
      </w:pPr>
    </w:p>
    <w:p>
      <w:pPr>
        <w:spacing w:after="0" w:line="28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Gregory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3398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Gregory Orenstein</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CREDIT AGREEMENT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NCINO OPCO, INC.</w:t>
      </w:r>
    </w:p>
    <w:p>
      <w:pPr>
        <w:sectPr>
          <w:pgSz w:w="11900" w:h="16838" w:orient="portrait"/>
          <w:cols w:equalWidth="0" w:num="1">
            <w:col w:w="11240"/>
          </w:cols>
          <w:pgMar w:left="320" w:top="1413" w:right="339" w:bottom="1440" w:gutter="0" w:footer="0" w:header="0"/>
        </w:sectPr>
      </w:pPr>
    </w:p>
    <w:bookmarkStart w:id="131" w:name="page132"/>
    <w:bookmarkEnd w:id="131"/>
    <w:p>
      <w:pPr>
        <w:spacing w:after="0"/>
        <w:tabs>
          <w:tab w:leader="none" w:pos="282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color w:val="auto"/>
        </w:rPr>
        <w:t>BANK OF AMERICA, N.A.,</w:t>
      </w:r>
    </w:p>
    <w:p>
      <w:pPr>
        <w:spacing w:after="0" w:line="2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 /s/ Priscilla Ruffin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-10795</wp:posOffset>
            </wp:positionV>
            <wp:extent cx="1170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Priscilla Ruffin</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AVP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CREDIT AGREEMENT</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NCINO OPCO, INC.</w:t>
      </w:r>
    </w:p>
    <w:p>
      <w:pPr>
        <w:sectPr>
          <w:pgSz w:w="11900" w:h="16838" w:orient="portrait"/>
          <w:cols w:equalWidth="0" w:num="1">
            <w:col w:w="11240"/>
          </w:cols>
          <w:pgMar w:left="320" w:top="1413" w:right="339" w:bottom="1440" w:gutter="0" w:footer="0" w:header="0"/>
        </w:sectPr>
      </w:pPr>
    </w:p>
    <w:bookmarkStart w:id="132" w:name="page133"/>
    <w:bookmarkEnd w:id="132"/>
    <w:p>
      <w:pPr>
        <w:spacing w:after="0"/>
        <w:tabs>
          <w:tab w:leader="none" w:pos="1140" w:val="left"/>
        </w:tabs>
        <w:rPr>
          <w:sz w:val="20"/>
          <w:szCs w:val="20"/>
          <w:color w:val="auto"/>
        </w:rPr>
      </w:pPr>
      <w:r>
        <w:rPr>
          <w:rFonts w:ascii="Times New Roman" w:cs="Times New Roman" w:eastAsia="Times New Roman" w:hAnsi="Times New Roman"/>
          <w:sz w:val="20"/>
          <w:szCs w:val="20"/>
          <w:color w:val="auto"/>
        </w:rPr>
        <w:t>LENDERS:</w:t>
      </w:r>
      <w:r>
        <w:rPr>
          <w:sz w:val="20"/>
          <w:szCs w:val="20"/>
          <w:color w:val="auto"/>
        </w:rPr>
        <w:tab/>
      </w:r>
      <w:r>
        <w:rPr>
          <w:rFonts w:ascii="Times New Roman" w:cs="Times New Roman" w:eastAsia="Times New Roman" w:hAnsi="Times New Roman"/>
          <w:sz w:val="19"/>
          <w:szCs w:val="19"/>
          <w:color w:val="auto"/>
        </w:rPr>
        <w:t>BANK OF AMERICA, N.A.,</w:t>
      </w:r>
    </w:p>
    <w:p>
      <w:pPr>
        <w:spacing w:after="0" w:line="28" w:lineRule="exact"/>
        <w:rPr>
          <w:sz w:val="20"/>
          <w:szCs w:val="20"/>
          <w:color w:val="auto"/>
        </w:rPr>
      </w:pPr>
    </w:p>
    <w:p>
      <w:pPr>
        <w:jc w:val="right"/>
        <w:ind w:right="5020"/>
        <w:spacing w:after="0"/>
        <w:rPr>
          <w:sz w:val="20"/>
          <w:szCs w:val="20"/>
          <w:color w:val="auto"/>
        </w:rPr>
      </w:pPr>
      <w:r>
        <w:rPr>
          <w:rFonts w:ascii="Times New Roman" w:cs="Times New Roman" w:eastAsia="Times New Roman" w:hAnsi="Times New Roman"/>
          <w:sz w:val="20"/>
          <w:szCs w:val="20"/>
          <w:color w:val="auto"/>
        </w:rPr>
        <w:t>as a Lender, L/C Issuer and Swingline Lender</w:t>
      </w:r>
    </w:p>
    <w:p>
      <w:pPr>
        <w:spacing w:after="0" w:line="2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By:/s/ Thomas M. Paulk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-10795</wp:posOffset>
            </wp:positionV>
            <wp:extent cx="12979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Thomas M. Paulk</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CREDIT AGREEMENT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NCINO OPCO, INC.</w:t>
      </w:r>
    </w:p>
    <w:p>
      <w:pPr>
        <w:sectPr>
          <w:pgSz w:w="11900" w:h="16838" w:orient="portrait"/>
          <w:cols w:equalWidth="0" w:num="1">
            <w:col w:w="11240"/>
          </w:cols>
          <w:pgMar w:left="320" w:top="1413" w:right="339" w:bottom="1440" w:gutter="0" w:footer="0" w:header="0"/>
          <w:type w:val="continuous"/>
        </w:sectPr>
      </w:pPr>
    </w:p>
    <w:bookmarkStart w:id="133" w:name="page134"/>
    <w:bookmarkEnd w:id="133"/>
    <w:p>
      <w:pPr>
        <w:spacing w:after="0" w:line="1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By:/s/ Brian Seipke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-10795</wp:posOffset>
            </wp:positionV>
            <wp:extent cx="11798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Brian Seipke</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CREDIT AGREEMENT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NCINO OPCO, INC.</w:t>
      </w:r>
    </w:p>
    <w:p>
      <w:pPr>
        <w:sectPr>
          <w:pgSz w:w="11900" w:h="16838" w:orient="portrait"/>
          <w:cols w:equalWidth="0" w:num="1">
            <w:col w:w="10120"/>
          </w:cols>
          <w:pgMar w:left="1440" w:top="1440" w:right="339" w:bottom="1440" w:gutter="0" w:footer="0" w:header="0"/>
          <w:type w:val="continuous"/>
        </w:sectPr>
      </w:pPr>
    </w:p>
    <w:bookmarkStart w:id="134" w:name="page135"/>
    <w:bookmarkEnd w:id="134"/>
    <w:p>
      <w:pPr>
        <w:spacing w:after="0" w:line="18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James Travagline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279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Name:James Travagline</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CREDIT AGREEMENT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NCINO OPCO, INC.</w:t>
      </w:r>
    </w:p>
    <w:p>
      <w:pPr>
        <w:sectPr>
          <w:pgSz w:w="11900" w:h="16838" w:orient="portrait"/>
          <w:cols w:equalWidth="0" w:num="1">
            <w:col w:w="10120"/>
          </w:cols>
          <w:pgMar w:left="1440" w:top="1440" w:right="339" w:bottom="1440" w:gutter="0" w:footer="0" w:header="0"/>
        </w:sectPr>
      </w:pPr>
    </w:p>
    <w:bookmarkStart w:id="135" w:name="page136"/>
    <w:bookmarkEnd w:id="135"/>
    <w:p>
      <w:pPr>
        <w:jc w:val="center"/>
        <w:ind w:right="-49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1.01(a)</w:t>
      </w:r>
    </w:p>
    <w:p>
      <w:pPr>
        <w:spacing w:after="0" w:line="25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Certain Addresses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349885</wp:posOffset>
            </wp:positionV>
            <wp:extent cx="6934835" cy="5751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4835" cy="5751830"/>
                    </a:xfrm>
                    <a:prstGeom prst="rect">
                      <a:avLst/>
                    </a:prstGeom>
                    <a:noFill/>
                  </pic:spPr>
                </pic:pic>
              </a:graphicData>
            </a:graphic>
          </wp:anchor>
        </w:drawing>
      </w:r>
    </w:p>
    <w:p>
      <w:pPr>
        <w:sectPr>
          <w:pgSz w:w="11900" w:h="16838" w:orient="portrait"/>
          <w:cols w:equalWidth="0" w:num="1">
            <w:col w:w="10340"/>
          </w:cols>
          <w:pgMar w:left="520" w:top="1071" w:right="10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Any Loan Party: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nCino, Inc.</w:t>
      </w:r>
    </w:p>
    <w:p>
      <w:pPr>
        <w:spacing w:after="0" w:line="22" w:lineRule="exact"/>
        <w:rPr>
          <w:sz w:val="20"/>
          <w:szCs w:val="20"/>
          <w:color w:val="auto"/>
        </w:rPr>
      </w:pPr>
    </w:p>
    <w:p>
      <w:pPr>
        <w:ind w:right="1900"/>
        <w:spacing w:after="0" w:line="243" w:lineRule="auto"/>
        <w:rPr>
          <w:sz w:val="20"/>
          <w:szCs w:val="20"/>
          <w:color w:val="auto"/>
        </w:rPr>
      </w:pPr>
      <w:r>
        <w:rPr>
          <w:rFonts w:ascii="Times New Roman" w:cs="Times New Roman" w:eastAsia="Times New Roman" w:hAnsi="Times New Roman"/>
          <w:sz w:val="20"/>
          <w:szCs w:val="20"/>
          <w:color w:val="auto"/>
        </w:rPr>
        <w:t>6770 Parker Farm Drive Wilmington, North Carolina 28405</w:t>
      </w:r>
    </w:p>
    <w:p>
      <w:pPr>
        <w:ind w:right="440"/>
        <w:spacing w:after="0" w:line="250" w:lineRule="auto"/>
        <w:rPr>
          <w:sz w:val="20"/>
          <w:szCs w:val="20"/>
          <w:color w:val="auto"/>
        </w:rPr>
      </w:pPr>
      <w:r>
        <w:rPr>
          <w:rFonts w:ascii="Times New Roman" w:cs="Times New Roman" w:eastAsia="Times New Roman" w:hAnsi="Times New Roman"/>
          <w:sz w:val="20"/>
          <w:szCs w:val="20"/>
          <w:color w:val="auto"/>
        </w:rPr>
        <w:t>Attn: Gregory Orenstein, Chief Financial Officer Phone: (910) 777-5418</w:t>
      </w: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greg.orenstein@ncino.com</w:t>
      </w:r>
    </w:p>
    <w:p>
      <w:pPr>
        <w:ind w:right="1080"/>
        <w:spacing w:after="0" w:line="286" w:lineRule="auto"/>
        <w:rPr>
          <w:sz w:val="20"/>
          <w:szCs w:val="20"/>
          <w:color w:val="auto"/>
        </w:rPr>
      </w:pPr>
      <w:r>
        <w:rPr>
          <w:rFonts w:ascii="Times New Roman" w:cs="Times New Roman" w:eastAsia="Times New Roman" w:hAnsi="Times New Roman"/>
          <w:sz w:val="19"/>
          <w:szCs w:val="19"/>
          <w:color w:val="auto"/>
        </w:rPr>
        <w:t xml:space="preserve">Website Address: </w:t>
      </w:r>
      <w:r>
        <w:rPr>
          <w:rFonts w:ascii="Times New Roman" w:cs="Times New Roman" w:eastAsia="Times New Roman" w:hAnsi="Times New Roman"/>
          <w:sz w:val="19"/>
          <w:szCs w:val="19"/>
          <w:u w:val="single" w:color="auto"/>
          <w:color w:val="0000FF"/>
        </w:rPr>
        <w:t>https://investor.ncino.com/financial-information/sec-filings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With a Copy to:</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nCino, Inc.</w:t>
      </w:r>
    </w:p>
    <w:p>
      <w:pPr>
        <w:spacing w:after="0" w:line="22" w:lineRule="exact"/>
        <w:rPr>
          <w:sz w:val="20"/>
          <w:szCs w:val="20"/>
          <w:color w:val="auto"/>
        </w:rPr>
      </w:pPr>
    </w:p>
    <w:p>
      <w:pPr>
        <w:ind w:right="1900"/>
        <w:spacing w:after="0" w:line="250" w:lineRule="auto"/>
        <w:rPr>
          <w:sz w:val="20"/>
          <w:szCs w:val="20"/>
          <w:color w:val="auto"/>
        </w:rPr>
      </w:pPr>
      <w:r>
        <w:rPr>
          <w:rFonts w:ascii="Times New Roman" w:cs="Times New Roman" w:eastAsia="Times New Roman" w:hAnsi="Times New Roman"/>
          <w:sz w:val="20"/>
          <w:szCs w:val="20"/>
          <w:color w:val="auto"/>
        </w:rPr>
        <w:t>6770 Parker Farm Drive Wilmington, North Carolina 28405</w:t>
      </w:r>
    </w:p>
    <w:p>
      <w:pPr>
        <w:spacing w:after="0" w:line="246" w:lineRule="auto"/>
        <w:rPr>
          <w:sz w:val="20"/>
          <w:szCs w:val="20"/>
          <w:color w:val="auto"/>
        </w:rPr>
      </w:pPr>
      <w:r>
        <w:rPr>
          <w:rFonts w:ascii="Times New Roman" w:cs="Times New Roman" w:eastAsia="Times New Roman" w:hAnsi="Times New Roman"/>
          <w:sz w:val="20"/>
          <w:szCs w:val="20"/>
          <w:color w:val="auto"/>
        </w:rPr>
        <w:t>Attn: April Rieger, EVP, General Counsel &amp; Secretary Phone: (910) 275-5491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april.rieger@ncino.com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legal@ncino.com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Sidley Austin LLP</w:t>
      </w:r>
    </w:p>
    <w:p>
      <w:pPr>
        <w:spacing w:after="0" w:line="22" w:lineRule="exact"/>
        <w:rPr>
          <w:sz w:val="20"/>
          <w:szCs w:val="20"/>
          <w:color w:val="auto"/>
        </w:rPr>
      </w:pPr>
    </w:p>
    <w:p>
      <w:pPr>
        <w:ind w:right="2540"/>
        <w:spacing w:after="0" w:line="248" w:lineRule="auto"/>
        <w:rPr>
          <w:sz w:val="20"/>
          <w:szCs w:val="20"/>
          <w:color w:val="auto"/>
        </w:rPr>
      </w:pPr>
      <w:r>
        <w:rPr>
          <w:rFonts w:ascii="Times New Roman" w:cs="Times New Roman" w:eastAsia="Times New Roman" w:hAnsi="Times New Roman"/>
          <w:sz w:val="19"/>
          <w:szCs w:val="19"/>
          <w:color w:val="auto"/>
        </w:rPr>
        <w:t>2021 McKinney Avenue Suite 2100 Dallas, Texas 75201 Attn: Kristen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Smith Phone: (214) 969-3505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kirsten.smith@sidley.com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i w:val="1"/>
          <w:iCs w:val="1"/>
          <w:u w:val="single" w:color="auto"/>
          <w:color w:val="auto"/>
        </w:rPr>
        <w:t>Administrative Agent: For Payments and Requests for Credit Extension</w:t>
      </w:r>
    </w:p>
    <w:p>
      <w:pPr>
        <w:spacing w:after="0"/>
        <w:rPr>
          <w:sz w:val="20"/>
          <w:szCs w:val="20"/>
          <w:color w:val="auto"/>
        </w:rPr>
      </w:pPr>
      <w:r>
        <w:rPr>
          <w:rFonts w:ascii="Times New Roman" w:cs="Times New Roman" w:eastAsia="Times New Roman" w:hAnsi="Times New Roman"/>
          <w:sz w:val="20"/>
          <w:szCs w:val="20"/>
          <w:color w:val="auto"/>
        </w:rPr>
        <w:t>Bank of America, N.A. Dedicated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Servicing 900 W Trade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NC 28255 Attn: Sophia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Schooley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(980) 386-7142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Arial" w:cs="Arial" w:eastAsia="Arial" w:hAnsi="Arial"/>
          <w:sz w:val="17"/>
          <w:szCs w:val="17"/>
          <w:u w:val="single" w:color="auto"/>
          <w:color w:val="0000FF"/>
        </w:rPr>
        <w:t>sophia.schooley@bofa.com</w:t>
      </w:r>
    </w:p>
    <w:p>
      <w:pPr>
        <w:spacing w:after="0" w:line="244" w:lineRule="exact"/>
        <w:rPr>
          <w:sz w:val="20"/>
          <w:szCs w:val="20"/>
          <w:color w:val="auto"/>
        </w:rPr>
      </w:pPr>
    </w:p>
    <w:p>
      <w:pPr>
        <w:ind w:right="1720"/>
        <w:spacing w:after="0" w:line="251" w:lineRule="auto"/>
        <w:rPr>
          <w:sz w:val="20"/>
          <w:szCs w:val="20"/>
          <w:color w:val="auto"/>
        </w:rPr>
      </w:pPr>
      <w:r>
        <w:rPr>
          <w:rFonts w:ascii="Times New Roman" w:cs="Times New Roman" w:eastAsia="Times New Roman" w:hAnsi="Times New Roman"/>
          <w:sz w:val="20"/>
          <w:szCs w:val="20"/>
          <w:i w:val="1"/>
          <w:iCs w:val="1"/>
          <w:u w:val="single" w:color="auto"/>
          <w:color w:val="auto"/>
        </w:rPr>
        <w:t>Other Notices as Administrative Agent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Bank of America, N.A. Agency Management 900 W Trade Street Charlotte, North Carolina 28255 Attn: Angela Berry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(980) 388-6483 Email: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w:t>
      </w:r>
      <w:r>
        <w:rPr>
          <w:rFonts w:ascii="Arial" w:cs="Arial" w:eastAsia="Arial" w:hAnsi="Arial"/>
          <w:sz w:val="17"/>
          <w:szCs w:val="17"/>
          <w:u w:val="single" w:color="auto"/>
          <w:color w:val="0000FF"/>
        </w:rPr>
        <w:t>ngela.m.berry@bofa.com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L/C Issuer: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America, N.A. Trade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Mail Code: PA6-580-02-30</w:t>
      </w:r>
    </w:p>
    <w:p>
      <w:pPr>
        <w:spacing w:after="0"/>
        <w:rPr>
          <w:sz w:val="20"/>
          <w:szCs w:val="20"/>
          <w:color w:val="auto"/>
        </w:rPr>
      </w:pPr>
      <w:r>
        <w:rPr>
          <w:rFonts w:ascii="Times New Roman" w:cs="Times New Roman" w:eastAsia="Times New Roman" w:hAnsi="Times New Roman"/>
          <w:sz w:val="20"/>
          <w:szCs w:val="20"/>
          <w:color w:val="auto"/>
        </w:rPr>
        <w:t>1 Fleet Way</w:t>
      </w:r>
    </w:p>
    <w:p>
      <w:pPr>
        <w:spacing w:after="0"/>
        <w:rPr>
          <w:sz w:val="20"/>
          <w:szCs w:val="20"/>
          <w:color w:val="auto"/>
        </w:rPr>
      </w:pPr>
      <w:r>
        <w:rPr>
          <w:rFonts w:ascii="Times New Roman" w:cs="Times New Roman" w:eastAsia="Times New Roman" w:hAnsi="Times New Roman"/>
          <w:sz w:val="20"/>
          <w:szCs w:val="20"/>
          <w:color w:val="auto"/>
        </w:rPr>
        <w:t>Scranton, PA 18507</w:t>
      </w:r>
    </w:p>
    <w:p>
      <w:pPr>
        <w:spacing w:after="0"/>
        <w:rPr>
          <w:sz w:val="20"/>
          <w:szCs w:val="20"/>
          <w:color w:val="auto"/>
        </w:rPr>
      </w:pPr>
      <w:r>
        <w:rPr>
          <w:rFonts w:ascii="Times New Roman" w:cs="Times New Roman" w:eastAsia="Times New Roman" w:hAnsi="Times New Roman"/>
          <w:sz w:val="20"/>
          <w:szCs w:val="20"/>
          <w:color w:val="auto"/>
        </w:rPr>
        <w:t>Telephone: (270) 496-9619</w:t>
      </w:r>
    </w:p>
    <w:p>
      <w:pPr>
        <w:spacing w:after="0"/>
        <w:rPr>
          <w:sz w:val="20"/>
          <w:szCs w:val="20"/>
          <w:color w:val="auto"/>
        </w:rPr>
      </w:pPr>
      <w:r>
        <w:rPr>
          <w:rFonts w:ascii="Times New Roman" w:cs="Times New Roman" w:eastAsia="Times New Roman" w:hAnsi="Times New Roman"/>
          <w:sz w:val="20"/>
          <w:szCs w:val="20"/>
          <w:color w:val="auto"/>
        </w:rPr>
        <w:t>Facsimile: (800-755-8740</w:t>
      </w:r>
    </w:p>
    <w:p>
      <w:pPr>
        <w:spacing w:after="0"/>
        <w:rPr>
          <w:sz w:val="20"/>
          <w:szCs w:val="20"/>
          <w:color w:val="auto"/>
        </w:rPr>
      </w:pPr>
      <w:r>
        <w:rPr>
          <w:rFonts w:ascii="Times New Roman" w:cs="Times New Roman" w:eastAsia="Times New Roman" w:hAnsi="Times New Roman"/>
          <w:sz w:val="20"/>
          <w:szCs w:val="20"/>
          <w:color w:val="auto"/>
        </w:rPr>
        <w:t xml:space="preserve">Electronic Mail: </w:t>
      </w:r>
      <w:r>
        <w:rPr>
          <w:rFonts w:ascii="Times New Roman" w:cs="Times New Roman" w:eastAsia="Times New Roman" w:hAnsi="Times New Roman"/>
          <w:sz w:val="20"/>
          <w:szCs w:val="20"/>
          <w:u w:val="single" w:color="auto"/>
          <w:color w:val="0000FF"/>
        </w:rPr>
        <w:t>tradeclientserviceteamus@bofa.com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Swing Line Lender: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America, N.A. Dedicated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Servicing 900 W Trade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NC 28255 Attn: Sophia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Schooley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(980) 386-7142</w:t>
      </w: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Arial" w:cs="Arial" w:eastAsia="Arial" w:hAnsi="Arial"/>
          <w:sz w:val="17"/>
          <w:szCs w:val="17"/>
          <w:u w:val="single" w:color="auto"/>
          <w:color w:val="0000FF"/>
        </w:rPr>
        <w:t>sophia.schooley@bofa.com</w:t>
      </w:r>
    </w:p>
    <w:p>
      <w:pPr>
        <w:sectPr>
          <w:pgSz w:w="11900" w:h="16838" w:orient="portrait"/>
          <w:cols w:equalWidth="0" w:num="2">
            <w:col w:w="5380" w:space="120"/>
            <w:col w:w="4840"/>
          </w:cols>
          <w:pgMar w:left="520" w:top="1071" w:right="1039" w:bottom="1440" w:gutter="0" w:footer="0" w:header="0"/>
          <w:type w:val="continuous"/>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2.01</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Initial Commitments and Applicable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50" w:type="dxa"/>
        <w:tblCellMar>
          <w:top w:w="0" w:type="dxa"/>
          <w:left w:w="0" w:type="dxa"/>
          <w:bottom w:w="0" w:type="dxa"/>
          <w:right w:w="0" w:type="dxa"/>
        </w:tblCellMar>
      </w:tblPr>
      <w:tr>
        <w:trPr>
          <w:trHeight w:val="419"/>
        </w:trPr>
        <w:tc>
          <w:tcPr>
            <w:tcW w:w="1480" w:type="dxa"/>
            <w:vAlign w:val="bottom"/>
            <w:tcBorders>
              <w:top w:val="single" w:sz="8" w:color="auto"/>
              <w:left w:val="single" w:sz="8" w:color="auto"/>
              <w:right w:val="single" w:sz="8" w:color="auto"/>
            </w:tcBorders>
            <w:vMerge w:val="restart"/>
            <w:shd w:val="clear" w:color="auto" w:fill="C0C0C0"/>
          </w:tcPr>
          <w:p>
            <w:pPr>
              <w:ind w:left="42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140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Revolving</w:t>
            </w:r>
          </w:p>
        </w:tc>
        <w:tc>
          <w:tcPr>
            <w:tcW w:w="1500" w:type="dxa"/>
            <w:vAlign w:val="bottom"/>
            <w:tcBorders>
              <w:top w:val="single" w:sz="8" w:color="auto"/>
              <w:right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20"/>
                <w:szCs w:val="20"/>
                <w:b w:val="1"/>
                <w:bCs w:val="1"/>
                <w:color w:val="auto"/>
              </w:rPr>
              <w:t>Applicable</w:t>
            </w:r>
          </w:p>
        </w:tc>
        <w:tc>
          <w:tcPr>
            <w:tcW w:w="0" w:type="dxa"/>
            <w:vAlign w:val="bottom"/>
          </w:tcPr>
          <w:p>
            <w:pPr>
              <w:spacing w:after="0"/>
              <w:rPr>
                <w:sz w:val="1"/>
                <w:szCs w:val="1"/>
                <w:color w:val="auto"/>
              </w:rPr>
            </w:pPr>
          </w:p>
        </w:tc>
      </w:tr>
      <w:tr>
        <w:trPr>
          <w:trHeight w:val="135"/>
        </w:trPr>
        <w:tc>
          <w:tcPr>
            <w:tcW w:w="1480" w:type="dxa"/>
            <w:vAlign w:val="bottom"/>
            <w:tcBorders>
              <w:left w:val="single" w:sz="8" w:color="auto"/>
              <w:right w:val="single" w:sz="8" w:color="auto"/>
            </w:tcBorders>
            <w:vMerge w:val="continue"/>
            <w:shd w:val="clear" w:color="auto" w:fill="C0C0C0"/>
          </w:tcPr>
          <w:p>
            <w:pPr>
              <w:spacing w:after="0"/>
              <w:rPr>
                <w:sz w:val="11"/>
                <w:szCs w:val="11"/>
                <w:color w:val="auto"/>
              </w:rPr>
            </w:pPr>
          </w:p>
        </w:tc>
        <w:tc>
          <w:tcPr>
            <w:tcW w:w="1400" w:type="dxa"/>
            <w:vAlign w:val="bottom"/>
            <w:tcBorders>
              <w:right w:val="single" w:sz="8" w:color="auto"/>
            </w:tcBorders>
            <w:vMerge w:val="continue"/>
            <w:shd w:val="clear" w:color="auto" w:fill="C0C0C0"/>
          </w:tcPr>
          <w:p>
            <w:pPr>
              <w:spacing w:after="0"/>
              <w:rPr>
                <w:sz w:val="11"/>
                <w:szCs w:val="11"/>
                <w:color w:val="auto"/>
              </w:rPr>
            </w:pPr>
          </w:p>
        </w:tc>
        <w:tc>
          <w:tcPr>
            <w:tcW w:w="1500" w:type="dxa"/>
            <w:vAlign w:val="bottom"/>
            <w:tcBorders>
              <w:right w:val="single" w:sz="8" w:color="auto"/>
            </w:tcBorders>
            <w:vMerge w:val="restart"/>
            <w:shd w:val="clear" w:color="auto" w:fill="C0C0C0"/>
          </w:tcPr>
          <w:p>
            <w:pPr>
              <w:ind w:left="220"/>
              <w:spacing w:after="0"/>
              <w:rPr>
                <w:sz w:val="20"/>
                <w:szCs w:val="20"/>
                <w:color w:val="auto"/>
              </w:rPr>
            </w:pPr>
            <w:r>
              <w:rPr>
                <w:rFonts w:ascii="Times New Roman" w:cs="Times New Roman" w:eastAsia="Times New Roman" w:hAnsi="Times New Roman"/>
                <w:sz w:val="20"/>
                <w:szCs w:val="20"/>
                <w:b w:val="1"/>
                <w:bCs w:val="1"/>
                <w:color w:val="auto"/>
              </w:rPr>
              <w:t>Percentage</w:t>
            </w: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shd w:val="clear" w:color="auto" w:fill="C0C0C0"/>
          </w:tcPr>
          <w:p>
            <w:pPr>
              <w:spacing w:after="0"/>
              <w:rPr>
                <w:sz w:val="9"/>
                <w:szCs w:val="9"/>
                <w:color w:val="auto"/>
              </w:rPr>
            </w:pPr>
          </w:p>
        </w:tc>
        <w:tc>
          <w:tcPr>
            <w:tcW w:w="140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1500" w:type="dxa"/>
            <w:vAlign w:val="bottom"/>
            <w:tcBorders>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480" w:type="dxa"/>
            <w:vAlign w:val="bottom"/>
            <w:tcBorders>
              <w:left w:val="single" w:sz="8" w:color="auto"/>
              <w:right w:val="single" w:sz="8" w:color="auto"/>
            </w:tcBorders>
            <w:shd w:val="clear" w:color="auto" w:fill="C0C0C0"/>
          </w:tcPr>
          <w:p>
            <w:pPr>
              <w:spacing w:after="0"/>
              <w:rPr>
                <w:sz w:val="13"/>
                <w:szCs w:val="13"/>
                <w:color w:val="auto"/>
              </w:rPr>
            </w:pPr>
          </w:p>
        </w:tc>
        <w:tc>
          <w:tcPr>
            <w:tcW w:w="1400" w:type="dxa"/>
            <w:vAlign w:val="bottom"/>
            <w:tcBorders>
              <w:right w:val="single" w:sz="8" w:color="auto"/>
            </w:tcBorders>
            <w:vMerge w:val="continue"/>
            <w:shd w:val="clear" w:color="auto" w:fill="C0C0C0"/>
          </w:tcPr>
          <w:p>
            <w:pPr>
              <w:spacing w:after="0"/>
              <w:rPr>
                <w:sz w:val="13"/>
                <w:szCs w:val="13"/>
                <w:color w:val="auto"/>
              </w:rPr>
            </w:pPr>
          </w:p>
        </w:tc>
        <w:tc>
          <w:tcPr>
            <w:tcW w:w="1500" w:type="dxa"/>
            <w:vAlign w:val="bottom"/>
            <w:tcBorders>
              <w:right w:val="single" w:sz="8" w:color="auto"/>
            </w:tcBorders>
            <w:vMerge w:val="restart"/>
            <w:shd w:val="clear" w:color="auto" w:fill="C0C0C0"/>
          </w:tcPr>
          <w:p>
            <w:pPr>
              <w:ind w:left="220"/>
              <w:spacing w:after="0"/>
              <w:rPr>
                <w:sz w:val="20"/>
                <w:szCs w:val="20"/>
                <w:color w:val="auto"/>
              </w:rPr>
            </w:pPr>
            <w:r>
              <w:rPr>
                <w:rFonts w:ascii="Times New Roman" w:cs="Times New Roman" w:eastAsia="Times New Roman" w:hAnsi="Times New Roman"/>
                <w:sz w:val="20"/>
                <w:szCs w:val="20"/>
                <w:b w:val="1"/>
                <w:bCs w:val="1"/>
                <w:color w:val="auto"/>
              </w:rPr>
              <w:t>of Revolving</w:t>
            </w:r>
          </w:p>
        </w:tc>
        <w:tc>
          <w:tcPr>
            <w:tcW w:w="0" w:type="dxa"/>
            <w:vAlign w:val="bottom"/>
          </w:tcPr>
          <w:p>
            <w:pPr>
              <w:spacing w:after="0"/>
              <w:rPr>
                <w:sz w:val="1"/>
                <w:szCs w:val="1"/>
                <w:color w:val="auto"/>
              </w:rPr>
            </w:pPr>
          </w:p>
        </w:tc>
      </w:tr>
      <w:tr>
        <w:trPr>
          <w:trHeight w:val="75"/>
        </w:trPr>
        <w:tc>
          <w:tcPr>
            <w:tcW w:w="1480" w:type="dxa"/>
            <w:vAlign w:val="bottom"/>
            <w:tcBorders>
              <w:left w:val="single" w:sz="8" w:color="auto"/>
              <w:right w:val="single" w:sz="8" w:color="auto"/>
            </w:tcBorders>
            <w:shd w:val="clear" w:color="auto" w:fill="C0C0C0"/>
          </w:tcPr>
          <w:p>
            <w:pPr>
              <w:spacing w:after="0"/>
              <w:rPr>
                <w:sz w:val="6"/>
                <w:szCs w:val="6"/>
                <w:color w:val="auto"/>
              </w:rPr>
            </w:pPr>
          </w:p>
        </w:tc>
        <w:tc>
          <w:tcPr>
            <w:tcW w:w="1400" w:type="dxa"/>
            <w:vAlign w:val="bottom"/>
            <w:tcBorders>
              <w:right w:val="single" w:sz="8" w:color="auto"/>
            </w:tcBorders>
            <w:shd w:val="clear" w:color="auto" w:fill="C0C0C0"/>
          </w:tcPr>
          <w:p>
            <w:pPr>
              <w:spacing w:after="0"/>
              <w:rPr>
                <w:sz w:val="6"/>
                <w:szCs w:val="6"/>
                <w:color w:val="auto"/>
              </w:rPr>
            </w:pPr>
          </w:p>
        </w:tc>
        <w:tc>
          <w:tcPr>
            <w:tcW w:w="1500" w:type="dxa"/>
            <w:vAlign w:val="bottom"/>
            <w:tcBorders>
              <w:right w:val="single" w:sz="8" w:color="auto"/>
            </w:tcBorders>
            <w:vMerge w:val="continue"/>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1480" w:type="dxa"/>
            <w:vAlign w:val="bottom"/>
            <w:tcBorders>
              <w:left w:val="single" w:sz="8" w:color="auto"/>
              <w:bottom w:val="single" w:sz="8" w:color="C0C0C0"/>
              <w:right w:val="single" w:sz="8" w:color="auto"/>
            </w:tcBorders>
            <w:shd w:val="clear" w:color="auto" w:fill="C0C0C0"/>
          </w:tcPr>
          <w:p>
            <w:pPr>
              <w:spacing w:after="0"/>
              <w:rPr>
                <w:sz w:val="24"/>
                <w:szCs w:val="24"/>
                <w:color w:val="auto"/>
              </w:rPr>
            </w:pPr>
          </w:p>
        </w:tc>
        <w:tc>
          <w:tcPr>
            <w:tcW w:w="1400" w:type="dxa"/>
            <w:vAlign w:val="bottom"/>
            <w:tcBorders>
              <w:bottom w:val="single" w:sz="8" w:color="C0C0C0"/>
              <w:right w:val="single" w:sz="8" w:color="auto"/>
            </w:tcBorders>
            <w:shd w:val="clear" w:color="auto" w:fill="C0C0C0"/>
          </w:tcPr>
          <w:p>
            <w:pPr>
              <w:spacing w:after="0"/>
              <w:rPr>
                <w:sz w:val="24"/>
                <w:szCs w:val="24"/>
                <w:color w:val="auto"/>
              </w:rPr>
            </w:pPr>
          </w:p>
        </w:tc>
        <w:tc>
          <w:tcPr>
            <w:tcW w:w="1500" w:type="dxa"/>
            <w:vAlign w:val="bottom"/>
            <w:tcBorders>
              <w:bottom w:val="single" w:sz="8" w:color="C0C0C0"/>
              <w:right w:val="single" w:sz="8" w:color="auto"/>
            </w:tcBorders>
            <w:shd w:val="clear" w:color="auto" w:fill="C0C0C0"/>
          </w:tcPr>
          <w:p>
            <w:pPr>
              <w:ind w:left="220"/>
              <w:spacing w:after="0"/>
              <w:rPr>
                <w:sz w:val="20"/>
                <w:szCs w:val="20"/>
                <w:color w:val="auto"/>
              </w:rPr>
            </w:pPr>
            <w:r>
              <w:rPr>
                <w:rFonts w:ascii="Times New Roman" w:cs="Times New Roman" w:eastAsia="Times New Roman" w:hAnsi="Times New Roman"/>
                <w:sz w:val="20"/>
                <w:szCs w:val="20"/>
                <w:b w:val="1"/>
                <w:bCs w:val="1"/>
                <w:color w:val="auto"/>
              </w:rPr>
              <w:t>Facility</w:t>
            </w:r>
          </w:p>
        </w:tc>
        <w:tc>
          <w:tcPr>
            <w:tcW w:w="0" w:type="dxa"/>
            <w:vAlign w:val="bottom"/>
          </w:tcPr>
          <w:p>
            <w:pPr>
              <w:spacing w:after="0"/>
              <w:rPr>
                <w:sz w:val="1"/>
                <w:szCs w:val="1"/>
                <w:color w:val="auto"/>
              </w:rPr>
            </w:pPr>
          </w:p>
        </w:tc>
      </w:tr>
      <w:tr>
        <w:trPr>
          <w:trHeight w:val="200"/>
        </w:trPr>
        <w:tc>
          <w:tcPr>
            <w:tcW w:w="1480" w:type="dxa"/>
            <w:vAlign w:val="bottom"/>
            <w:tcBorders>
              <w:top w:val="single" w:sz="8" w:color="auto"/>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Bank of</w:t>
            </w:r>
          </w:p>
        </w:tc>
        <w:tc>
          <w:tcPr>
            <w:tcW w:w="1400" w:type="dxa"/>
            <w:vAlign w:val="bottom"/>
            <w:tcBorders>
              <w:top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$100,000,000.00</w:t>
            </w:r>
          </w:p>
        </w:tc>
        <w:tc>
          <w:tcPr>
            <w:tcW w:w="1500" w:type="dxa"/>
            <w:vAlign w:val="bottom"/>
            <w:tcBorders>
              <w:top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40.000000000%</w:t>
            </w:r>
          </w:p>
        </w:tc>
        <w:tc>
          <w:tcPr>
            <w:tcW w:w="0" w:type="dxa"/>
            <w:vAlign w:val="bottom"/>
          </w:tcPr>
          <w:p>
            <w:pPr>
              <w:spacing w:after="0"/>
              <w:rPr>
                <w:sz w:val="1"/>
                <w:szCs w:val="1"/>
                <w:color w:val="auto"/>
              </w:rPr>
            </w:pPr>
          </w:p>
        </w:tc>
      </w:tr>
      <w:tr>
        <w:trPr>
          <w:trHeight w:val="262"/>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America, N.A.</w:t>
            </w:r>
          </w:p>
        </w:tc>
        <w:tc>
          <w:tcPr>
            <w:tcW w:w="140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480" w:type="dxa"/>
            <w:vAlign w:val="bottom"/>
            <w:tcBorders>
              <w:left w:val="single" w:sz="8" w:color="auto"/>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20"/>
                <w:szCs w:val="20"/>
                <w:color w:val="auto"/>
              </w:rPr>
              <w:t>U.S. Bank,</w:t>
            </w:r>
          </w:p>
        </w:tc>
        <w:tc>
          <w:tcPr>
            <w:tcW w:w="140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9"/>
              </w:rPr>
              <w:t>$75,000,000.00</w:t>
            </w:r>
          </w:p>
        </w:tc>
        <w:tc>
          <w:tcPr>
            <w:tcW w:w="150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8"/>
              </w:rPr>
              <w:t>30.000000000%</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0"/>
                <w:szCs w:val="20"/>
                <w:color w:val="auto"/>
              </w:rPr>
              <w:t>National</w:t>
            </w:r>
          </w:p>
        </w:tc>
        <w:tc>
          <w:tcPr>
            <w:tcW w:w="14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Association</w:t>
            </w:r>
          </w:p>
        </w:tc>
        <w:tc>
          <w:tcPr>
            <w:tcW w:w="140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Wells Fargo</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$75,000,000.00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30.000000000%</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Bank, National</w:t>
            </w:r>
          </w:p>
        </w:tc>
        <w:tc>
          <w:tcPr>
            <w:tcW w:w="1400" w:type="dxa"/>
            <w:vAlign w:val="bottom"/>
            <w:tcBorders>
              <w:right w:val="single" w:sz="8" w:color="auto"/>
            </w:tcBorders>
            <w:vMerge w:val="continue"/>
          </w:tcPr>
          <w:p>
            <w:pPr>
              <w:spacing w:after="0"/>
              <w:rPr>
                <w:sz w:val="19"/>
                <w:szCs w:val="19"/>
                <w:color w:val="auto"/>
              </w:rPr>
            </w:pPr>
          </w:p>
        </w:tc>
        <w:tc>
          <w:tcPr>
            <w:tcW w:w="150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Association</w:t>
            </w:r>
          </w:p>
        </w:tc>
        <w:tc>
          <w:tcPr>
            <w:tcW w:w="140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$250,000,000.00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100.000000000%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1071"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2.03</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Letter of Credit Commitments</w:t>
      </w:r>
    </w:p>
    <w:p>
      <w:pPr>
        <w:spacing w:after="0" w:line="200" w:lineRule="exact"/>
        <w:rPr>
          <w:sz w:val="20"/>
          <w:szCs w:val="20"/>
          <w:color w:val="auto"/>
        </w:rPr>
      </w:pPr>
    </w:p>
    <w:p>
      <w:pPr>
        <w:spacing w:after="0" w:line="319" w:lineRule="exact"/>
        <w:rPr>
          <w:sz w:val="20"/>
          <w:szCs w:val="20"/>
          <w:color w:val="auto"/>
        </w:rPr>
      </w:pPr>
    </w:p>
    <w:tbl>
      <w:tblPr>
        <w:tblLayout w:type="fixed"/>
        <w:tblInd w:w="2050" w:type="dxa"/>
        <w:tblCellMar>
          <w:top w:w="0" w:type="dxa"/>
          <w:left w:w="0" w:type="dxa"/>
          <w:bottom w:w="0" w:type="dxa"/>
          <w:right w:w="0" w:type="dxa"/>
        </w:tblCellMar>
      </w:tblPr>
      <w:tr>
        <w:trPr>
          <w:trHeight w:val="419"/>
        </w:trPr>
        <w:tc>
          <w:tcPr>
            <w:tcW w:w="1460" w:type="dxa"/>
            <w:vAlign w:val="bottom"/>
            <w:tcBorders>
              <w:top w:val="single" w:sz="8" w:color="auto"/>
              <w:left w:val="single" w:sz="8" w:color="auto"/>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Lender</w:t>
            </w:r>
          </w:p>
        </w:tc>
        <w:tc>
          <w:tcPr>
            <w:tcW w:w="134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L/C</w:t>
            </w:r>
          </w:p>
        </w:tc>
        <w:tc>
          <w:tcPr>
            <w:tcW w:w="1580" w:type="dxa"/>
            <w:vAlign w:val="bottom"/>
            <w:tcBorders>
              <w:top w:val="single" w:sz="8" w:color="auto"/>
              <w:right w:val="single" w:sz="8" w:color="auto"/>
            </w:tcBorders>
            <w:shd w:val="clear" w:color="auto" w:fill="C0C0C0"/>
          </w:tcPr>
          <w:p>
            <w:pPr>
              <w:ind w:left="160"/>
              <w:spacing w:after="0"/>
              <w:rPr>
                <w:sz w:val="20"/>
                <w:szCs w:val="20"/>
                <w:color w:val="auto"/>
              </w:rPr>
            </w:pPr>
            <w:r>
              <w:rPr>
                <w:rFonts w:ascii="Times New Roman" w:cs="Times New Roman" w:eastAsia="Times New Roman" w:hAnsi="Times New Roman"/>
                <w:sz w:val="20"/>
                <w:szCs w:val="20"/>
                <w:b w:val="1"/>
                <w:bCs w:val="1"/>
                <w:color w:val="auto"/>
              </w:rPr>
              <w:t>Applicable</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right w:val="single" w:sz="8" w:color="auto"/>
            </w:tcBorders>
            <w:vMerge w:val="continue"/>
            <w:shd w:val="clear" w:color="auto" w:fill="C0C0C0"/>
          </w:tcPr>
          <w:p>
            <w:pPr>
              <w:spacing w:after="0"/>
              <w:rPr>
                <w:sz w:val="11"/>
                <w:szCs w:val="11"/>
                <w:color w:val="auto"/>
              </w:rPr>
            </w:pPr>
          </w:p>
        </w:tc>
        <w:tc>
          <w:tcPr>
            <w:tcW w:w="1340" w:type="dxa"/>
            <w:vAlign w:val="bottom"/>
            <w:tcBorders>
              <w:right w:val="single" w:sz="8" w:color="auto"/>
            </w:tcBorders>
            <w:vMerge w:val="continue"/>
            <w:shd w:val="clear" w:color="auto" w:fill="C0C0C0"/>
          </w:tcPr>
          <w:p>
            <w:pPr>
              <w:spacing w:after="0"/>
              <w:rPr>
                <w:sz w:val="11"/>
                <w:szCs w:val="11"/>
                <w:color w:val="auto"/>
              </w:rPr>
            </w:pPr>
          </w:p>
        </w:tc>
        <w:tc>
          <w:tcPr>
            <w:tcW w:w="1580" w:type="dxa"/>
            <w:vAlign w:val="bottom"/>
            <w:tcBorders>
              <w:right w:val="single" w:sz="8" w:color="auto"/>
            </w:tcBorders>
            <w:vMerge w:val="restart"/>
            <w:shd w:val="clear" w:color="auto" w:fill="C0C0C0"/>
          </w:tcPr>
          <w:p>
            <w:pPr>
              <w:ind w:left="220"/>
              <w:spacing w:after="0"/>
              <w:rPr>
                <w:sz w:val="20"/>
                <w:szCs w:val="20"/>
                <w:color w:val="auto"/>
              </w:rPr>
            </w:pPr>
            <w:r>
              <w:rPr>
                <w:rFonts w:ascii="Times New Roman" w:cs="Times New Roman" w:eastAsia="Times New Roman" w:hAnsi="Times New Roman"/>
                <w:sz w:val="20"/>
                <w:szCs w:val="20"/>
                <w:b w:val="1"/>
                <w:bCs w:val="1"/>
                <w:color w:val="auto"/>
              </w:rPr>
              <w:t>Percentage of</w:t>
            </w:r>
          </w:p>
        </w:tc>
        <w:tc>
          <w:tcPr>
            <w:tcW w:w="0" w:type="dxa"/>
            <w:vAlign w:val="bottom"/>
          </w:tcPr>
          <w:p>
            <w:pPr>
              <w:spacing w:after="0"/>
              <w:rPr>
                <w:sz w:val="1"/>
                <w:szCs w:val="1"/>
                <w:color w:val="auto"/>
              </w:rPr>
            </w:pPr>
          </w:p>
        </w:tc>
      </w:tr>
      <w:tr>
        <w:trPr>
          <w:trHeight w:val="108"/>
        </w:trPr>
        <w:tc>
          <w:tcPr>
            <w:tcW w:w="1460" w:type="dxa"/>
            <w:vAlign w:val="bottom"/>
            <w:tcBorders>
              <w:left w:val="single" w:sz="8" w:color="auto"/>
              <w:right w:val="single" w:sz="8" w:color="auto"/>
            </w:tcBorders>
            <w:shd w:val="clear" w:color="auto" w:fill="C0C0C0"/>
          </w:tcPr>
          <w:p>
            <w:pPr>
              <w:spacing w:after="0"/>
              <w:rPr>
                <w:sz w:val="9"/>
                <w:szCs w:val="9"/>
                <w:color w:val="auto"/>
              </w:rPr>
            </w:pPr>
          </w:p>
        </w:tc>
        <w:tc>
          <w:tcPr>
            <w:tcW w:w="134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460" w:type="dxa"/>
            <w:vAlign w:val="bottom"/>
            <w:tcBorders>
              <w:left w:val="single" w:sz="8" w:color="auto"/>
              <w:right w:val="single" w:sz="8" w:color="auto"/>
            </w:tcBorders>
            <w:shd w:val="clear" w:color="auto" w:fill="C0C0C0"/>
          </w:tcPr>
          <w:p>
            <w:pPr>
              <w:spacing w:after="0"/>
              <w:rPr>
                <w:sz w:val="13"/>
                <w:szCs w:val="13"/>
                <w:color w:val="auto"/>
              </w:rPr>
            </w:pPr>
          </w:p>
        </w:tc>
        <w:tc>
          <w:tcPr>
            <w:tcW w:w="1340" w:type="dxa"/>
            <w:vAlign w:val="bottom"/>
            <w:tcBorders>
              <w:right w:val="single" w:sz="8" w:color="auto"/>
            </w:tcBorders>
            <w:vMerge w:val="continue"/>
            <w:shd w:val="clear" w:color="auto" w:fill="C0C0C0"/>
          </w:tcPr>
          <w:p>
            <w:pPr>
              <w:spacing w:after="0"/>
              <w:rPr>
                <w:sz w:val="13"/>
                <w:szCs w:val="13"/>
                <w:color w:val="auto"/>
              </w:rPr>
            </w:pPr>
          </w:p>
        </w:tc>
        <w:tc>
          <w:tcPr>
            <w:tcW w:w="1580" w:type="dxa"/>
            <w:vAlign w:val="bottom"/>
            <w:tcBorders>
              <w:right w:val="single" w:sz="8" w:color="auto"/>
            </w:tcBorders>
            <w:vMerge w:val="restart"/>
            <w:shd w:val="clear" w:color="auto" w:fill="C0C0C0"/>
          </w:tcPr>
          <w:p>
            <w:pPr>
              <w:ind w:left="220"/>
              <w:spacing w:after="0"/>
              <w:rPr>
                <w:sz w:val="20"/>
                <w:szCs w:val="20"/>
                <w:color w:val="auto"/>
              </w:rPr>
            </w:pPr>
            <w:r>
              <w:rPr>
                <w:rFonts w:ascii="Times New Roman" w:cs="Times New Roman" w:eastAsia="Times New Roman" w:hAnsi="Times New Roman"/>
                <w:sz w:val="20"/>
                <w:szCs w:val="20"/>
                <w:b w:val="1"/>
                <w:bCs w:val="1"/>
                <w:color w:val="auto"/>
              </w:rPr>
              <w:t>L/C</w:t>
            </w:r>
          </w:p>
        </w:tc>
        <w:tc>
          <w:tcPr>
            <w:tcW w:w="0" w:type="dxa"/>
            <w:vAlign w:val="bottom"/>
          </w:tcPr>
          <w:p>
            <w:pPr>
              <w:spacing w:after="0"/>
              <w:rPr>
                <w:sz w:val="1"/>
                <w:szCs w:val="1"/>
                <w:color w:val="auto"/>
              </w:rPr>
            </w:pPr>
          </w:p>
        </w:tc>
      </w:tr>
      <w:tr>
        <w:trPr>
          <w:trHeight w:val="75"/>
        </w:trPr>
        <w:tc>
          <w:tcPr>
            <w:tcW w:w="1460" w:type="dxa"/>
            <w:vAlign w:val="bottom"/>
            <w:tcBorders>
              <w:left w:val="single" w:sz="8" w:color="auto"/>
              <w:right w:val="single" w:sz="8" w:color="auto"/>
            </w:tcBorders>
            <w:shd w:val="clear" w:color="auto" w:fill="C0C0C0"/>
          </w:tcPr>
          <w:p>
            <w:pPr>
              <w:spacing w:after="0"/>
              <w:rPr>
                <w:sz w:val="6"/>
                <w:szCs w:val="6"/>
                <w:color w:val="auto"/>
              </w:rPr>
            </w:pPr>
          </w:p>
        </w:tc>
        <w:tc>
          <w:tcPr>
            <w:tcW w:w="1340" w:type="dxa"/>
            <w:vAlign w:val="bottom"/>
            <w:tcBorders>
              <w:right w:val="single" w:sz="8" w:color="auto"/>
            </w:tcBorders>
            <w:shd w:val="clear" w:color="auto" w:fill="C0C0C0"/>
          </w:tcPr>
          <w:p>
            <w:pPr>
              <w:spacing w:after="0"/>
              <w:rPr>
                <w:sz w:val="6"/>
                <w:szCs w:val="6"/>
                <w:color w:val="auto"/>
              </w:rPr>
            </w:pPr>
          </w:p>
        </w:tc>
        <w:tc>
          <w:tcPr>
            <w:tcW w:w="1580" w:type="dxa"/>
            <w:vAlign w:val="bottom"/>
            <w:tcBorders>
              <w:right w:val="single" w:sz="8" w:color="auto"/>
            </w:tcBorders>
            <w:vMerge w:val="continue"/>
            <w:shd w:val="clear" w:color="auto" w:fill="C0C0C0"/>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1460" w:type="dxa"/>
            <w:vAlign w:val="bottom"/>
            <w:tcBorders>
              <w:left w:val="single" w:sz="8" w:color="auto"/>
              <w:bottom w:val="single" w:sz="8" w:color="C0C0C0"/>
              <w:right w:val="single" w:sz="8" w:color="auto"/>
            </w:tcBorders>
            <w:shd w:val="clear" w:color="auto" w:fill="C0C0C0"/>
          </w:tcPr>
          <w:p>
            <w:pPr>
              <w:spacing w:after="0"/>
              <w:rPr>
                <w:sz w:val="24"/>
                <w:szCs w:val="24"/>
                <w:color w:val="auto"/>
              </w:rPr>
            </w:pPr>
          </w:p>
        </w:tc>
        <w:tc>
          <w:tcPr>
            <w:tcW w:w="1340" w:type="dxa"/>
            <w:vAlign w:val="bottom"/>
            <w:tcBorders>
              <w:bottom w:val="single" w:sz="8" w:color="C0C0C0"/>
              <w:right w:val="single" w:sz="8" w:color="auto"/>
            </w:tcBorders>
            <w:shd w:val="clear" w:color="auto" w:fill="C0C0C0"/>
          </w:tcPr>
          <w:p>
            <w:pPr>
              <w:spacing w:after="0"/>
              <w:rPr>
                <w:sz w:val="24"/>
                <w:szCs w:val="24"/>
                <w:color w:val="auto"/>
              </w:rPr>
            </w:pPr>
          </w:p>
        </w:tc>
        <w:tc>
          <w:tcPr>
            <w:tcW w:w="1580" w:type="dxa"/>
            <w:vAlign w:val="bottom"/>
            <w:tcBorders>
              <w:bottom w:val="single" w:sz="8" w:color="C0C0C0"/>
              <w:right w:val="single" w:sz="8" w:color="auto"/>
            </w:tcBorders>
            <w:shd w:val="clear" w:color="auto" w:fill="C0C0C0"/>
          </w:tcPr>
          <w:p>
            <w:pPr>
              <w:ind w:left="220"/>
              <w:spacing w:after="0"/>
              <w:rPr>
                <w:sz w:val="20"/>
                <w:szCs w:val="20"/>
                <w:color w:val="auto"/>
              </w:rPr>
            </w:pPr>
            <w:r>
              <w:rPr>
                <w:rFonts w:ascii="Times New Roman" w:cs="Times New Roman" w:eastAsia="Times New Roman" w:hAnsi="Times New Roman"/>
                <w:sz w:val="20"/>
                <w:szCs w:val="20"/>
                <w:b w:val="1"/>
                <w:bCs w:val="1"/>
                <w:color w:val="auto"/>
              </w:rPr>
              <w:t>Commitments</w:t>
            </w:r>
          </w:p>
        </w:tc>
        <w:tc>
          <w:tcPr>
            <w:tcW w:w="0" w:type="dxa"/>
            <w:vAlign w:val="bottom"/>
          </w:tcPr>
          <w:p>
            <w:pPr>
              <w:spacing w:after="0"/>
              <w:rPr>
                <w:sz w:val="1"/>
                <w:szCs w:val="1"/>
                <w:color w:val="auto"/>
              </w:rPr>
            </w:pPr>
          </w:p>
        </w:tc>
      </w:tr>
      <w:tr>
        <w:trPr>
          <w:trHeight w:val="200"/>
        </w:trPr>
        <w:tc>
          <w:tcPr>
            <w:tcW w:w="1460" w:type="dxa"/>
            <w:vAlign w:val="bottom"/>
            <w:tcBorders>
              <w:top w:val="single" w:sz="8" w:color="auto"/>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Bank of</w:t>
            </w:r>
          </w:p>
        </w:tc>
        <w:tc>
          <w:tcPr>
            <w:tcW w:w="1340" w:type="dxa"/>
            <w:vAlign w:val="bottom"/>
            <w:tcBorders>
              <w:top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$45,000,000.00</w:t>
            </w:r>
          </w:p>
        </w:tc>
        <w:tc>
          <w:tcPr>
            <w:tcW w:w="1580" w:type="dxa"/>
            <w:vAlign w:val="bottom"/>
            <w:tcBorders>
              <w:top w:val="single" w:sz="8" w:color="auto"/>
              <w:right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100.000000000%</w:t>
            </w:r>
          </w:p>
        </w:tc>
        <w:tc>
          <w:tcPr>
            <w:tcW w:w="0" w:type="dxa"/>
            <w:vAlign w:val="bottom"/>
          </w:tcPr>
          <w:p>
            <w:pPr>
              <w:spacing w:after="0"/>
              <w:rPr>
                <w:sz w:val="1"/>
                <w:szCs w:val="1"/>
                <w:color w:val="auto"/>
              </w:rPr>
            </w:pPr>
          </w:p>
        </w:tc>
      </w:tr>
      <w:tr>
        <w:trPr>
          <w:trHeight w:val="262"/>
        </w:trPr>
        <w:tc>
          <w:tcPr>
            <w:tcW w:w="1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America, N.A.</w:t>
            </w:r>
          </w:p>
        </w:tc>
        <w:tc>
          <w:tcPr>
            <w:tcW w:w="134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2"/>
              </w:rPr>
              <w:t>Total</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$45,000,000.00</w:t>
            </w:r>
          </w:p>
        </w:tc>
        <w:tc>
          <w:tcPr>
            <w:tcW w:w="1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100.000000000%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1314" w:right="1440"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5.18</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Loan Parties</w:t>
      </w:r>
    </w:p>
    <w:p>
      <w:pPr>
        <w:spacing w:after="0" w:line="200" w:lineRule="exact"/>
        <w:rPr>
          <w:sz w:val="20"/>
          <w:szCs w:val="20"/>
          <w:color w:val="auto"/>
        </w:rPr>
      </w:pP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2060" w:type="dxa"/>
            <w:vAlign w:val="bottom"/>
            <w:tcBorders>
              <w:top w:val="single" w:sz="8" w:color="auto"/>
              <w:left w:val="single" w:sz="8" w:color="auto"/>
              <w:right w:val="single" w:sz="8" w:color="auto"/>
            </w:tcBorders>
            <w:vMerge w:val="restart"/>
            <w:shd w:val="clear" w:color="auto" w:fill="001F5F"/>
          </w:tcPr>
          <w:p>
            <w:pPr>
              <w:ind w:left="620"/>
              <w:spacing w:after="0"/>
              <w:rPr>
                <w:sz w:val="20"/>
                <w:szCs w:val="20"/>
                <w:color w:val="auto"/>
              </w:rPr>
            </w:pPr>
            <w:r>
              <w:rPr>
                <w:rFonts w:ascii="Times New Roman" w:cs="Times New Roman" w:eastAsia="Times New Roman" w:hAnsi="Times New Roman"/>
                <w:sz w:val="20"/>
                <w:szCs w:val="20"/>
                <w:color w:val="FFFFFF"/>
              </w:rPr>
              <w:t>Exact Legal</w:t>
            </w:r>
          </w:p>
        </w:tc>
        <w:tc>
          <w:tcPr>
            <w:tcW w:w="1780" w:type="dxa"/>
            <w:vAlign w:val="bottom"/>
            <w:tcBorders>
              <w:top w:val="single" w:sz="8" w:color="auto"/>
              <w:right w:val="single" w:sz="8" w:color="auto"/>
            </w:tcBorders>
            <w:vMerge w:val="restart"/>
            <w:shd w:val="clear" w:color="auto" w:fill="001F5F"/>
          </w:tcPr>
          <w:p>
            <w:pPr>
              <w:ind w:left="220"/>
              <w:spacing w:after="0"/>
              <w:rPr>
                <w:sz w:val="20"/>
                <w:szCs w:val="20"/>
                <w:color w:val="auto"/>
              </w:rPr>
            </w:pPr>
            <w:r>
              <w:rPr>
                <w:rFonts w:ascii="Times New Roman" w:cs="Times New Roman" w:eastAsia="Times New Roman" w:hAnsi="Times New Roman"/>
                <w:sz w:val="20"/>
                <w:szCs w:val="20"/>
                <w:b w:val="1"/>
                <w:bCs w:val="1"/>
                <w:color w:val="FFFFFF"/>
              </w:rPr>
              <w:t>Previous Legal</w:t>
            </w:r>
          </w:p>
        </w:tc>
        <w:tc>
          <w:tcPr>
            <w:tcW w:w="1380" w:type="dxa"/>
            <w:vAlign w:val="bottom"/>
            <w:tcBorders>
              <w:top w:val="single" w:sz="8" w:color="auto"/>
              <w:right w:val="single" w:sz="8" w:color="auto"/>
            </w:tcBorders>
            <w:shd w:val="clear" w:color="auto" w:fill="001F5F"/>
          </w:tcPr>
          <w:p>
            <w:pPr>
              <w:ind w:left="80"/>
              <w:spacing w:after="0"/>
              <w:rPr>
                <w:sz w:val="20"/>
                <w:szCs w:val="20"/>
                <w:color w:val="auto"/>
              </w:rPr>
            </w:pPr>
            <w:r>
              <w:rPr>
                <w:rFonts w:ascii="Times New Roman" w:cs="Times New Roman" w:eastAsia="Times New Roman" w:hAnsi="Times New Roman"/>
                <w:sz w:val="20"/>
                <w:szCs w:val="20"/>
                <w:b w:val="1"/>
                <w:bCs w:val="1"/>
                <w:color w:val="FFFFFF"/>
              </w:rPr>
              <w:t>Jurisdiction</w:t>
            </w:r>
          </w:p>
        </w:tc>
        <w:tc>
          <w:tcPr>
            <w:tcW w:w="1440" w:type="dxa"/>
            <w:vAlign w:val="bottom"/>
            <w:tcBorders>
              <w:top w:val="single" w:sz="8" w:color="auto"/>
              <w:right w:val="single" w:sz="8" w:color="auto"/>
            </w:tcBorders>
            <w:shd w:val="clear" w:color="auto" w:fill="001F5F"/>
          </w:tcPr>
          <w:p>
            <w:pPr>
              <w:ind w:left="440"/>
              <w:spacing w:after="0"/>
              <w:rPr>
                <w:sz w:val="20"/>
                <w:szCs w:val="20"/>
                <w:color w:val="auto"/>
              </w:rPr>
            </w:pPr>
            <w:r>
              <w:rPr>
                <w:rFonts w:ascii="Times New Roman" w:cs="Times New Roman" w:eastAsia="Times New Roman" w:hAnsi="Times New Roman"/>
                <w:sz w:val="20"/>
                <w:szCs w:val="20"/>
                <w:b w:val="1"/>
                <w:bCs w:val="1"/>
                <w:color w:val="FFFFFF"/>
              </w:rPr>
              <w:t>Type of</w:t>
            </w:r>
          </w:p>
        </w:tc>
        <w:tc>
          <w:tcPr>
            <w:tcW w:w="1560" w:type="dxa"/>
            <w:vAlign w:val="bottom"/>
            <w:tcBorders>
              <w:top w:val="single" w:sz="8" w:color="auto"/>
              <w:right w:val="single" w:sz="8" w:color="auto"/>
            </w:tcBorders>
            <w:shd w:val="clear" w:color="auto" w:fill="001F5F"/>
          </w:tcPr>
          <w:p>
            <w:pPr>
              <w:ind w:left="220"/>
              <w:spacing w:after="0"/>
              <w:rPr>
                <w:sz w:val="20"/>
                <w:szCs w:val="20"/>
                <w:color w:val="auto"/>
              </w:rPr>
            </w:pPr>
            <w:r>
              <w:rPr>
                <w:rFonts w:ascii="Times New Roman" w:cs="Times New Roman" w:eastAsia="Times New Roman" w:hAnsi="Times New Roman"/>
                <w:sz w:val="20"/>
                <w:szCs w:val="20"/>
                <w:b w:val="1"/>
                <w:bCs w:val="1"/>
                <w:color w:val="FFFFFF"/>
              </w:rPr>
              <w:t>Address of</w:t>
            </w:r>
          </w:p>
        </w:tc>
        <w:tc>
          <w:tcPr>
            <w:tcW w:w="1420" w:type="dxa"/>
            <w:vAlign w:val="bottom"/>
            <w:tcBorders>
              <w:top w:val="single" w:sz="8" w:color="auto"/>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Federal</w:t>
            </w:r>
          </w:p>
        </w:tc>
        <w:tc>
          <w:tcPr>
            <w:tcW w:w="1340" w:type="dxa"/>
            <w:vAlign w:val="bottom"/>
            <w:tcBorders>
              <w:top w:val="single" w:sz="8" w:color="auto"/>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Organizational</w:t>
            </w:r>
          </w:p>
        </w:tc>
        <w:tc>
          <w:tcPr>
            <w:tcW w:w="0" w:type="dxa"/>
            <w:vAlign w:val="bottom"/>
          </w:tcPr>
          <w:p>
            <w:pPr>
              <w:spacing w:after="0"/>
              <w:rPr>
                <w:sz w:val="1"/>
                <w:szCs w:val="1"/>
                <w:color w:val="auto"/>
              </w:rPr>
            </w:pPr>
          </w:p>
        </w:tc>
      </w:tr>
      <w:tr>
        <w:trPr>
          <w:trHeight w:val="148"/>
        </w:trPr>
        <w:tc>
          <w:tcPr>
            <w:tcW w:w="2060" w:type="dxa"/>
            <w:vAlign w:val="bottom"/>
            <w:tcBorders>
              <w:left w:val="single" w:sz="8" w:color="auto"/>
              <w:right w:val="single" w:sz="8" w:color="auto"/>
            </w:tcBorders>
            <w:vMerge w:val="continue"/>
            <w:shd w:val="clear" w:color="auto" w:fill="001F5F"/>
          </w:tcPr>
          <w:p>
            <w:pPr>
              <w:spacing w:after="0"/>
              <w:rPr>
                <w:sz w:val="12"/>
                <w:szCs w:val="12"/>
                <w:color w:val="auto"/>
              </w:rPr>
            </w:pPr>
          </w:p>
        </w:tc>
        <w:tc>
          <w:tcPr>
            <w:tcW w:w="1780" w:type="dxa"/>
            <w:vAlign w:val="bottom"/>
            <w:tcBorders>
              <w:right w:val="single" w:sz="8" w:color="auto"/>
            </w:tcBorders>
            <w:vMerge w:val="continue"/>
            <w:shd w:val="clear" w:color="auto" w:fill="001F5F"/>
          </w:tcPr>
          <w:p>
            <w:pPr>
              <w:spacing w:after="0"/>
              <w:rPr>
                <w:sz w:val="12"/>
                <w:szCs w:val="12"/>
                <w:color w:val="auto"/>
              </w:rPr>
            </w:pPr>
          </w:p>
        </w:tc>
        <w:tc>
          <w:tcPr>
            <w:tcW w:w="1380" w:type="dxa"/>
            <w:vAlign w:val="bottom"/>
            <w:tcBorders>
              <w:right w:val="single" w:sz="8" w:color="auto"/>
            </w:tcBorders>
            <w:vMerge w:val="restart"/>
            <w:shd w:val="clear" w:color="auto" w:fill="001F5F"/>
          </w:tcPr>
          <w:p>
            <w:pPr>
              <w:ind w:left="100"/>
              <w:spacing w:after="0"/>
              <w:rPr>
                <w:sz w:val="20"/>
                <w:szCs w:val="20"/>
                <w:color w:val="auto"/>
              </w:rPr>
            </w:pPr>
            <w:r>
              <w:rPr>
                <w:rFonts w:ascii="Times New Roman" w:cs="Times New Roman" w:eastAsia="Times New Roman" w:hAnsi="Times New Roman"/>
                <w:sz w:val="20"/>
                <w:szCs w:val="20"/>
                <w:b w:val="1"/>
                <w:bCs w:val="1"/>
                <w:color w:val="FFFFFF"/>
              </w:rPr>
              <w:t>of</w:t>
            </w:r>
          </w:p>
        </w:tc>
        <w:tc>
          <w:tcPr>
            <w:tcW w:w="1440" w:type="dxa"/>
            <w:vAlign w:val="bottom"/>
            <w:tcBorders>
              <w:right w:val="single" w:sz="8" w:color="auto"/>
            </w:tcBorders>
            <w:vMerge w:val="restart"/>
            <w:shd w:val="clear" w:color="auto" w:fill="001F5F"/>
          </w:tcPr>
          <w:p>
            <w:pPr>
              <w:ind w:left="220"/>
              <w:spacing w:after="0"/>
              <w:rPr>
                <w:sz w:val="20"/>
                <w:szCs w:val="20"/>
                <w:color w:val="auto"/>
              </w:rPr>
            </w:pPr>
            <w:r>
              <w:rPr>
                <w:rFonts w:ascii="Times New Roman" w:cs="Times New Roman" w:eastAsia="Times New Roman" w:hAnsi="Times New Roman"/>
                <w:sz w:val="20"/>
                <w:szCs w:val="20"/>
                <w:b w:val="1"/>
                <w:bCs w:val="1"/>
                <w:color w:val="FFFFFF"/>
              </w:rPr>
              <w:t>Organization</w:t>
            </w:r>
          </w:p>
        </w:tc>
        <w:tc>
          <w:tcPr>
            <w:tcW w:w="1560" w:type="dxa"/>
            <w:vAlign w:val="bottom"/>
            <w:tcBorders>
              <w:right w:val="single" w:sz="8" w:color="auto"/>
            </w:tcBorders>
            <w:vMerge w:val="restart"/>
            <w:shd w:val="clear" w:color="auto" w:fill="001F5F"/>
          </w:tcPr>
          <w:p>
            <w:pPr>
              <w:ind w:left="240"/>
              <w:spacing w:after="0"/>
              <w:rPr>
                <w:sz w:val="20"/>
                <w:szCs w:val="20"/>
                <w:color w:val="auto"/>
              </w:rPr>
            </w:pPr>
            <w:r>
              <w:rPr>
                <w:rFonts w:ascii="Times New Roman" w:cs="Times New Roman" w:eastAsia="Times New Roman" w:hAnsi="Times New Roman"/>
                <w:sz w:val="20"/>
                <w:szCs w:val="20"/>
                <w:b w:val="1"/>
                <w:bCs w:val="1"/>
                <w:color w:val="FFFFFF"/>
              </w:rPr>
              <w:t>Chief</w:t>
            </w:r>
          </w:p>
        </w:tc>
        <w:tc>
          <w:tcPr>
            <w:tcW w:w="1420" w:type="dxa"/>
            <w:vAlign w:val="bottom"/>
            <w:tcBorders>
              <w:right w:val="single" w:sz="8" w:color="auto"/>
            </w:tcBorders>
            <w:vMerge w:val="restart"/>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Taxpayer</w:t>
            </w:r>
          </w:p>
        </w:tc>
        <w:tc>
          <w:tcPr>
            <w:tcW w:w="1340" w:type="dxa"/>
            <w:vAlign w:val="bottom"/>
            <w:tcBorders>
              <w:right w:val="single" w:sz="8" w:color="auto"/>
            </w:tcBorders>
            <w:vMerge w:val="restart"/>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Identification</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restart"/>
            <w:shd w:val="clear" w:color="auto" w:fill="001F5F"/>
          </w:tcPr>
          <w:p>
            <w:pPr>
              <w:ind w:left="620"/>
              <w:spacing w:after="0"/>
              <w:rPr>
                <w:sz w:val="20"/>
                <w:szCs w:val="20"/>
                <w:color w:val="auto"/>
              </w:rPr>
            </w:pPr>
            <w:r>
              <w:rPr>
                <w:rFonts w:ascii="Times New Roman" w:cs="Times New Roman" w:eastAsia="Times New Roman" w:hAnsi="Times New Roman"/>
                <w:sz w:val="20"/>
                <w:szCs w:val="20"/>
                <w:color w:val="FFFFFF"/>
              </w:rPr>
              <w:t>Name</w:t>
            </w:r>
          </w:p>
        </w:tc>
        <w:tc>
          <w:tcPr>
            <w:tcW w:w="1780" w:type="dxa"/>
            <w:vAlign w:val="bottom"/>
            <w:tcBorders>
              <w:right w:val="single" w:sz="8" w:color="auto"/>
            </w:tcBorders>
            <w:vMerge w:val="restart"/>
            <w:shd w:val="clear" w:color="auto" w:fill="001F5F"/>
          </w:tcPr>
          <w:p>
            <w:pPr>
              <w:ind w:left="220"/>
              <w:spacing w:after="0"/>
              <w:rPr>
                <w:sz w:val="20"/>
                <w:szCs w:val="20"/>
                <w:color w:val="auto"/>
              </w:rPr>
            </w:pPr>
            <w:r>
              <w:rPr>
                <w:rFonts w:ascii="Times New Roman" w:cs="Times New Roman" w:eastAsia="Times New Roman" w:hAnsi="Times New Roman"/>
                <w:sz w:val="20"/>
                <w:szCs w:val="20"/>
                <w:b w:val="1"/>
                <w:bCs w:val="1"/>
                <w:color w:val="FFFFFF"/>
              </w:rPr>
              <w:t>Names</w:t>
            </w:r>
          </w:p>
        </w:tc>
        <w:tc>
          <w:tcPr>
            <w:tcW w:w="1380" w:type="dxa"/>
            <w:vAlign w:val="bottom"/>
            <w:tcBorders>
              <w:right w:val="single" w:sz="8" w:color="auto"/>
            </w:tcBorders>
            <w:vMerge w:val="continue"/>
            <w:shd w:val="clear" w:color="auto" w:fill="001F5F"/>
          </w:tcPr>
          <w:p>
            <w:pPr>
              <w:spacing w:after="0"/>
              <w:rPr>
                <w:sz w:val="9"/>
                <w:szCs w:val="9"/>
                <w:color w:val="auto"/>
              </w:rPr>
            </w:pPr>
          </w:p>
        </w:tc>
        <w:tc>
          <w:tcPr>
            <w:tcW w:w="1440" w:type="dxa"/>
            <w:vAlign w:val="bottom"/>
            <w:tcBorders>
              <w:right w:val="single" w:sz="8" w:color="auto"/>
            </w:tcBorders>
            <w:vMerge w:val="continue"/>
            <w:shd w:val="clear" w:color="auto" w:fill="001F5F"/>
          </w:tcPr>
          <w:p>
            <w:pPr>
              <w:spacing w:after="0"/>
              <w:rPr>
                <w:sz w:val="9"/>
                <w:szCs w:val="9"/>
                <w:color w:val="auto"/>
              </w:rPr>
            </w:pPr>
          </w:p>
        </w:tc>
        <w:tc>
          <w:tcPr>
            <w:tcW w:w="1560" w:type="dxa"/>
            <w:vAlign w:val="bottom"/>
            <w:tcBorders>
              <w:right w:val="single" w:sz="8" w:color="auto"/>
            </w:tcBorders>
            <w:vMerge w:val="continue"/>
            <w:shd w:val="clear" w:color="auto" w:fill="001F5F"/>
          </w:tcPr>
          <w:p>
            <w:pPr>
              <w:spacing w:after="0"/>
              <w:rPr>
                <w:sz w:val="9"/>
                <w:szCs w:val="9"/>
                <w:color w:val="auto"/>
              </w:rPr>
            </w:pPr>
          </w:p>
        </w:tc>
        <w:tc>
          <w:tcPr>
            <w:tcW w:w="1420" w:type="dxa"/>
            <w:vAlign w:val="bottom"/>
            <w:tcBorders>
              <w:right w:val="single" w:sz="8" w:color="auto"/>
            </w:tcBorders>
            <w:vMerge w:val="continue"/>
            <w:shd w:val="clear" w:color="auto" w:fill="001F5F"/>
          </w:tcPr>
          <w:p>
            <w:pPr>
              <w:spacing w:after="0"/>
              <w:rPr>
                <w:sz w:val="9"/>
                <w:szCs w:val="9"/>
                <w:color w:val="auto"/>
              </w:rPr>
            </w:pPr>
          </w:p>
        </w:tc>
        <w:tc>
          <w:tcPr>
            <w:tcW w:w="1340" w:type="dxa"/>
            <w:vAlign w:val="bottom"/>
            <w:tcBorders>
              <w:right w:val="single" w:sz="8" w:color="auto"/>
            </w:tcBorders>
            <w:vMerge w:val="continue"/>
            <w:shd w:val="clear" w:color="auto" w:fill="001F5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60" w:type="dxa"/>
            <w:vAlign w:val="bottom"/>
            <w:tcBorders>
              <w:left w:val="single" w:sz="8" w:color="auto"/>
              <w:right w:val="single" w:sz="8" w:color="auto"/>
            </w:tcBorders>
            <w:vMerge w:val="continue"/>
            <w:shd w:val="clear" w:color="auto" w:fill="001F5F"/>
          </w:tcPr>
          <w:p>
            <w:pPr>
              <w:spacing w:after="0"/>
              <w:rPr>
                <w:sz w:val="13"/>
                <w:szCs w:val="13"/>
                <w:color w:val="auto"/>
              </w:rPr>
            </w:pPr>
          </w:p>
        </w:tc>
        <w:tc>
          <w:tcPr>
            <w:tcW w:w="1780" w:type="dxa"/>
            <w:vAlign w:val="bottom"/>
            <w:tcBorders>
              <w:right w:val="single" w:sz="8" w:color="auto"/>
            </w:tcBorders>
            <w:vMerge w:val="continue"/>
            <w:shd w:val="clear" w:color="auto" w:fill="001F5F"/>
          </w:tcPr>
          <w:p>
            <w:pPr>
              <w:spacing w:after="0"/>
              <w:rPr>
                <w:sz w:val="13"/>
                <w:szCs w:val="13"/>
                <w:color w:val="auto"/>
              </w:rPr>
            </w:pPr>
          </w:p>
        </w:tc>
        <w:tc>
          <w:tcPr>
            <w:tcW w:w="1380" w:type="dxa"/>
            <w:vAlign w:val="bottom"/>
            <w:tcBorders>
              <w:right w:val="single" w:sz="8" w:color="auto"/>
            </w:tcBorders>
            <w:vMerge w:val="restart"/>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Organization/</w:t>
            </w:r>
          </w:p>
        </w:tc>
        <w:tc>
          <w:tcPr>
            <w:tcW w:w="1440" w:type="dxa"/>
            <w:vAlign w:val="bottom"/>
            <w:tcBorders>
              <w:right w:val="single" w:sz="8" w:color="auto"/>
            </w:tcBorders>
            <w:shd w:val="clear" w:color="auto" w:fill="001F5F"/>
          </w:tcPr>
          <w:p>
            <w:pPr>
              <w:spacing w:after="0"/>
              <w:rPr>
                <w:sz w:val="13"/>
                <w:szCs w:val="13"/>
                <w:color w:val="auto"/>
              </w:rPr>
            </w:pPr>
          </w:p>
        </w:tc>
        <w:tc>
          <w:tcPr>
            <w:tcW w:w="1560" w:type="dxa"/>
            <w:vAlign w:val="bottom"/>
            <w:tcBorders>
              <w:right w:val="single" w:sz="8" w:color="auto"/>
            </w:tcBorders>
            <w:vMerge w:val="restart"/>
            <w:shd w:val="clear" w:color="auto" w:fill="001F5F"/>
          </w:tcPr>
          <w:p>
            <w:pPr>
              <w:ind w:left="240"/>
              <w:spacing w:after="0"/>
              <w:rPr>
                <w:sz w:val="20"/>
                <w:szCs w:val="20"/>
                <w:color w:val="auto"/>
              </w:rPr>
            </w:pPr>
            <w:r>
              <w:rPr>
                <w:rFonts w:ascii="Times New Roman" w:cs="Times New Roman" w:eastAsia="Times New Roman" w:hAnsi="Times New Roman"/>
                <w:sz w:val="20"/>
                <w:szCs w:val="20"/>
                <w:b w:val="1"/>
                <w:bCs w:val="1"/>
                <w:color w:val="FFFFFF"/>
              </w:rPr>
              <w:t>Executive</w:t>
            </w:r>
          </w:p>
        </w:tc>
        <w:tc>
          <w:tcPr>
            <w:tcW w:w="1420" w:type="dxa"/>
            <w:vAlign w:val="bottom"/>
            <w:tcBorders>
              <w:right w:val="single" w:sz="8" w:color="auto"/>
            </w:tcBorders>
            <w:vMerge w:val="restart"/>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Identification</w:t>
            </w:r>
          </w:p>
        </w:tc>
        <w:tc>
          <w:tcPr>
            <w:tcW w:w="1340" w:type="dxa"/>
            <w:vAlign w:val="bottom"/>
            <w:tcBorders>
              <w:right w:val="single" w:sz="8" w:color="auto"/>
            </w:tcBorders>
            <w:vMerge w:val="restart"/>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Number</w:t>
            </w:r>
          </w:p>
        </w:tc>
        <w:tc>
          <w:tcPr>
            <w:tcW w:w="0" w:type="dxa"/>
            <w:vAlign w:val="bottom"/>
          </w:tcPr>
          <w:p>
            <w:pPr>
              <w:spacing w:after="0"/>
              <w:rPr>
                <w:sz w:val="1"/>
                <w:szCs w:val="1"/>
                <w:color w:val="auto"/>
              </w:rPr>
            </w:pPr>
          </w:p>
        </w:tc>
      </w:tr>
      <w:tr>
        <w:trPr>
          <w:trHeight w:val="116"/>
        </w:trPr>
        <w:tc>
          <w:tcPr>
            <w:tcW w:w="2060" w:type="dxa"/>
            <w:vAlign w:val="bottom"/>
            <w:tcBorders>
              <w:left w:val="single" w:sz="8" w:color="auto"/>
              <w:right w:val="single" w:sz="8" w:color="auto"/>
            </w:tcBorders>
            <w:shd w:val="clear" w:color="auto" w:fill="001F5F"/>
          </w:tcPr>
          <w:p>
            <w:pPr>
              <w:spacing w:after="0"/>
              <w:rPr>
                <w:sz w:val="10"/>
                <w:szCs w:val="10"/>
                <w:color w:val="auto"/>
              </w:rPr>
            </w:pPr>
          </w:p>
        </w:tc>
        <w:tc>
          <w:tcPr>
            <w:tcW w:w="1780" w:type="dxa"/>
            <w:vAlign w:val="bottom"/>
            <w:tcBorders>
              <w:right w:val="single" w:sz="8" w:color="auto"/>
            </w:tcBorders>
            <w:shd w:val="clear" w:color="auto" w:fill="001F5F"/>
          </w:tcPr>
          <w:p>
            <w:pPr>
              <w:spacing w:after="0"/>
              <w:rPr>
                <w:sz w:val="10"/>
                <w:szCs w:val="10"/>
                <w:color w:val="auto"/>
              </w:rPr>
            </w:pPr>
          </w:p>
        </w:tc>
        <w:tc>
          <w:tcPr>
            <w:tcW w:w="1380" w:type="dxa"/>
            <w:vAlign w:val="bottom"/>
            <w:tcBorders>
              <w:right w:val="single" w:sz="8" w:color="auto"/>
            </w:tcBorders>
            <w:vMerge w:val="continue"/>
            <w:shd w:val="clear" w:color="auto" w:fill="001F5F"/>
          </w:tcPr>
          <w:p>
            <w:pPr>
              <w:spacing w:after="0"/>
              <w:rPr>
                <w:sz w:val="10"/>
                <w:szCs w:val="10"/>
                <w:color w:val="auto"/>
              </w:rPr>
            </w:pPr>
          </w:p>
        </w:tc>
        <w:tc>
          <w:tcPr>
            <w:tcW w:w="1440" w:type="dxa"/>
            <w:vAlign w:val="bottom"/>
            <w:tcBorders>
              <w:right w:val="single" w:sz="8" w:color="auto"/>
            </w:tcBorders>
            <w:shd w:val="clear" w:color="auto" w:fill="001F5F"/>
          </w:tcPr>
          <w:p>
            <w:pPr>
              <w:spacing w:after="0"/>
              <w:rPr>
                <w:sz w:val="10"/>
                <w:szCs w:val="10"/>
                <w:color w:val="auto"/>
              </w:rPr>
            </w:pPr>
          </w:p>
        </w:tc>
        <w:tc>
          <w:tcPr>
            <w:tcW w:w="1560" w:type="dxa"/>
            <w:vAlign w:val="bottom"/>
            <w:tcBorders>
              <w:right w:val="single" w:sz="8" w:color="auto"/>
            </w:tcBorders>
            <w:vMerge w:val="continue"/>
            <w:shd w:val="clear" w:color="auto" w:fill="001F5F"/>
          </w:tcPr>
          <w:p>
            <w:pPr>
              <w:spacing w:after="0"/>
              <w:rPr>
                <w:sz w:val="10"/>
                <w:szCs w:val="10"/>
                <w:color w:val="auto"/>
              </w:rPr>
            </w:pPr>
          </w:p>
        </w:tc>
        <w:tc>
          <w:tcPr>
            <w:tcW w:w="1420" w:type="dxa"/>
            <w:vAlign w:val="bottom"/>
            <w:tcBorders>
              <w:right w:val="single" w:sz="8" w:color="auto"/>
            </w:tcBorders>
            <w:vMerge w:val="continue"/>
            <w:shd w:val="clear" w:color="auto" w:fill="001F5F"/>
          </w:tcPr>
          <w:p>
            <w:pPr>
              <w:spacing w:after="0"/>
              <w:rPr>
                <w:sz w:val="10"/>
                <w:szCs w:val="10"/>
                <w:color w:val="auto"/>
              </w:rPr>
            </w:pPr>
          </w:p>
        </w:tc>
        <w:tc>
          <w:tcPr>
            <w:tcW w:w="1340" w:type="dxa"/>
            <w:vAlign w:val="bottom"/>
            <w:tcBorders>
              <w:right w:val="single" w:sz="8" w:color="auto"/>
            </w:tcBorders>
            <w:vMerge w:val="continue"/>
            <w:shd w:val="clear" w:color="auto" w:fill="001F5F"/>
          </w:tcPr>
          <w:p>
            <w:pPr>
              <w:spacing w:after="0"/>
              <w:rPr>
                <w:sz w:val="10"/>
                <w:szCs w:val="10"/>
                <w:color w:val="auto"/>
              </w:rPr>
            </w:pPr>
          </w:p>
        </w:tc>
        <w:tc>
          <w:tcPr>
            <w:tcW w:w="0" w:type="dxa"/>
            <w:vAlign w:val="bottom"/>
          </w:tcPr>
          <w:p>
            <w:pPr>
              <w:spacing w:after="0"/>
              <w:rPr>
                <w:sz w:val="1"/>
                <w:szCs w:val="1"/>
                <w:color w:val="auto"/>
              </w:rPr>
            </w:pPr>
          </w:p>
        </w:tc>
      </w:tr>
      <w:tr>
        <w:trPr>
          <w:trHeight w:val="356"/>
        </w:trPr>
        <w:tc>
          <w:tcPr>
            <w:tcW w:w="2060" w:type="dxa"/>
            <w:vAlign w:val="bottom"/>
            <w:tcBorders>
              <w:left w:val="single" w:sz="8" w:color="auto"/>
              <w:bottom w:val="single" w:sz="8" w:color="001F5F"/>
              <w:right w:val="single" w:sz="8" w:color="auto"/>
            </w:tcBorders>
            <w:shd w:val="clear" w:color="auto" w:fill="001F5F"/>
          </w:tcPr>
          <w:p>
            <w:pPr>
              <w:spacing w:after="0"/>
              <w:rPr>
                <w:sz w:val="24"/>
                <w:szCs w:val="24"/>
                <w:color w:val="auto"/>
              </w:rPr>
            </w:pPr>
          </w:p>
        </w:tc>
        <w:tc>
          <w:tcPr>
            <w:tcW w:w="1780" w:type="dxa"/>
            <w:vAlign w:val="bottom"/>
            <w:tcBorders>
              <w:bottom w:val="single" w:sz="8" w:color="001F5F"/>
              <w:right w:val="single" w:sz="8" w:color="auto"/>
            </w:tcBorders>
            <w:shd w:val="clear" w:color="auto" w:fill="001F5F"/>
          </w:tcPr>
          <w:p>
            <w:pPr>
              <w:spacing w:after="0"/>
              <w:rPr>
                <w:sz w:val="24"/>
                <w:szCs w:val="24"/>
                <w:color w:val="auto"/>
              </w:rPr>
            </w:pPr>
          </w:p>
        </w:tc>
        <w:tc>
          <w:tcPr>
            <w:tcW w:w="1380" w:type="dxa"/>
            <w:vAlign w:val="bottom"/>
            <w:tcBorders>
              <w:bottom w:val="single" w:sz="8" w:color="001F5F"/>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Incorporation</w:t>
            </w:r>
          </w:p>
        </w:tc>
        <w:tc>
          <w:tcPr>
            <w:tcW w:w="1440" w:type="dxa"/>
            <w:vAlign w:val="bottom"/>
            <w:tcBorders>
              <w:bottom w:val="single" w:sz="8" w:color="001F5F"/>
              <w:right w:val="single" w:sz="8" w:color="auto"/>
            </w:tcBorders>
            <w:shd w:val="clear" w:color="auto" w:fill="001F5F"/>
          </w:tcPr>
          <w:p>
            <w:pPr>
              <w:spacing w:after="0"/>
              <w:rPr>
                <w:sz w:val="24"/>
                <w:szCs w:val="24"/>
                <w:color w:val="auto"/>
              </w:rPr>
            </w:pPr>
          </w:p>
        </w:tc>
        <w:tc>
          <w:tcPr>
            <w:tcW w:w="1560" w:type="dxa"/>
            <w:vAlign w:val="bottom"/>
            <w:tcBorders>
              <w:bottom w:val="single" w:sz="8" w:color="001F5F"/>
              <w:right w:val="single" w:sz="8" w:color="auto"/>
            </w:tcBorders>
            <w:shd w:val="clear" w:color="auto" w:fill="001F5F"/>
          </w:tcPr>
          <w:p>
            <w:pPr>
              <w:ind w:left="240"/>
              <w:spacing w:after="0"/>
              <w:rPr>
                <w:sz w:val="20"/>
                <w:szCs w:val="20"/>
                <w:color w:val="auto"/>
              </w:rPr>
            </w:pPr>
            <w:r>
              <w:rPr>
                <w:rFonts w:ascii="Times New Roman" w:cs="Times New Roman" w:eastAsia="Times New Roman" w:hAnsi="Times New Roman"/>
                <w:sz w:val="20"/>
                <w:szCs w:val="20"/>
                <w:b w:val="1"/>
                <w:bCs w:val="1"/>
                <w:color w:val="FFFFFF"/>
              </w:rPr>
              <w:t>Office</w:t>
            </w:r>
          </w:p>
        </w:tc>
        <w:tc>
          <w:tcPr>
            <w:tcW w:w="1420" w:type="dxa"/>
            <w:vAlign w:val="bottom"/>
            <w:tcBorders>
              <w:bottom w:val="single" w:sz="8" w:color="001F5F"/>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Number</w:t>
            </w:r>
          </w:p>
        </w:tc>
        <w:tc>
          <w:tcPr>
            <w:tcW w:w="1340" w:type="dxa"/>
            <w:vAlign w:val="bottom"/>
            <w:tcBorders>
              <w:bottom w:val="single" w:sz="8" w:color="001F5F"/>
              <w:right w:val="single" w:sz="8" w:color="auto"/>
            </w:tcBorders>
            <w:shd w:val="clear" w:color="auto" w:fill="001F5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Inc.</w:t>
            </w:r>
          </w:p>
        </w:tc>
        <w:tc>
          <w:tcPr>
            <w:tcW w:w="17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44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Corporation</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6770 Parker</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87-4154342</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6383881</w:t>
            </w:r>
          </w:p>
        </w:tc>
        <w:tc>
          <w:tcPr>
            <w:tcW w:w="0" w:type="dxa"/>
            <w:vAlign w:val="bottom"/>
          </w:tcPr>
          <w:p>
            <w:pPr>
              <w:spacing w:after="0"/>
              <w:rPr>
                <w:sz w:val="1"/>
                <w:szCs w:val="1"/>
                <w:color w:val="auto"/>
              </w:rPr>
            </w:pPr>
          </w:p>
        </w:tc>
      </w:tr>
      <w:tr>
        <w:trPr>
          <w:trHeight w:val="268"/>
        </w:trPr>
        <w:tc>
          <w:tcPr>
            <w:tcW w:w="2060" w:type="dxa"/>
            <w:vAlign w:val="bottom"/>
            <w:tcBorders>
              <w:left w:val="single" w:sz="8" w:color="auto"/>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13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Farm Drive,</w:t>
            </w:r>
          </w:p>
        </w:tc>
        <w:tc>
          <w:tcPr>
            <w:tcW w:w="142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60" w:type="dxa"/>
            <w:vAlign w:val="bottom"/>
            <w:tcBorders>
              <w:left w:val="single" w:sz="8" w:color="auto"/>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Wilmington,</w:t>
            </w:r>
          </w:p>
        </w:tc>
        <w:tc>
          <w:tcPr>
            <w:tcW w:w="14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color w:val="auto"/>
                <w:w w:val="97"/>
              </w:rPr>
              <w:t>North Carolina</w:t>
            </w:r>
          </w:p>
        </w:tc>
        <w:tc>
          <w:tcPr>
            <w:tcW w:w="14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60" w:type="dxa"/>
            <w:vAlign w:val="bottom"/>
            <w:tcBorders>
              <w:left w:val="single" w:sz="8" w:color="auto"/>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28405</w:t>
            </w:r>
          </w:p>
        </w:tc>
        <w:tc>
          <w:tcPr>
            <w:tcW w:w="14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OpCo, Inc.</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Corporation</w:t>
            </w:r>
          </w:p>
        </w:tc>
        <w:tc>
          <w:tcPr>
            <w:tcW w:w="15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6770 Parker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46-4353148</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5451602</w:t>
            </w:r>
          </w:p>
        </w:tc>
        <w:tc>
          <w:tcPr>
            <w:tcW w:w="0" w:type="dxa"/>
            <w:vAlign w:val="bottom"/>
          </w:tcPr>
          <w:p>
            <w:pPr>
              <w:spacing w:after="0"/>
              <w:rPr>
                <w:sz w:val="1"/>
                <w:szCs w:val="1"/>
                <w:color w:val="auto"/>
              </w:rPr>
            </w:pPr>
          </w:p>
        </w:tc>
      </w:tr>
      <w:tr>
        <w:trPr>
          <w:trHeight w:val="258"/>
        </w:trPr>
        <w:tc>
          <w:tcPr>
            <w:tcW w:w="2060" w:type="dxa"/>
            <w:vAlign w:val="bottom"/>
            <w:tcBorders>
              <w:left w:val="single" w:sz="8" w:color="auto"/>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Farm</w:t>
            </w:r>
          </w:p>
        </w:tc>
        <w:tc>
          <w:tcPr>
            <w:tcW w:w="14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auto"/>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13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Drive,</w:t>
            </w:r>
          </w:p>
        </w:tc>
        <w:tc>
          <w:tcPr>
            <w:tcW w:w="142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206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Wilmington,</w:t>
            </w:r>
          </w:p>
        </w:tc>
        <w:tc>
          <w:tcPr>
            <w:tcW w:w="142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6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North Carolina</w:t>
            </w:r>
          </w:p>
        </w:tc>
        <w:tc>
          <w:tcPr>
            <w:tcW w:w="142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28405</w:t>
            </w:r>
          </w:p>
        </w:tc>
        <w:tc>
          <w:tcPr>
            <w:tcW w:w="142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DocFox, Inc.</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14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Corporation</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6770 Parker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30-0948232</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6103637</w:t>
            </w:r>
          </w:p>
        </w:tc>
        <w:tc>
          <w:tcPr>
            <w:tcW w:w="0" w:type="dxa"/>
            <w:vAlign w:val="bottom"/>
          </w:tcPr>
          <w:p>
            <w:pPr>
              <w:spacing w:after="0"/>
              <w:rPr>
                <w:sz w:val="1"/>
                <w:szCs w:val="1"/>
                <w:color w:val="auto"/>
              </w:rPr>
            </w:pPr>
          </w:p>
        </w:tc>
      </w:tr>
      <w:tr>
        <w:trPr>
          <w:trHeight w:val="258"/>
        </w:trPr>
        <w:tc>
          <w:tcPr>
            <w:tcW w:w="2060" w:type="dxa"/>
            <w:vAlign w:val="bottom"/>
            <w:tcBorders>
              <w:left w:val="single" w:sz="8" w:color="auto"/>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Farm Drive,</w:t>
            </w:r>
          </w:p>
        </w:tc>
        <w:tc>
          <w:tcPr>
            <w:tcW w:w="14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60" w:type="dxa"/>
            <w:vAlign w:val="bottom"/>
            <w:tcBorders>
              <w:left w:val="single" w:sz="8" w:color="auto"/>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138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spacing w:after="0"/>
              <w:rPr>
                <w:sz w:val="23"/>
                <w:szCs w:val="23"/>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Wilmington,</w:t>
            </w:r>
          </w:p>
        </w:tc>
        <w:tc>
          <w:tcPr>
            <w:tcW w:w="1420" w:type="dxa"/>
            <w:vAlign w:val="bottom"/>
            <w:tcBorders>
              <w:right w:val="single" w:sz="8" w:color="auto"/>
            </w:tcBorders>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North Carolina</w:t>
            </w:r>
          </w:p>
        </w:tc>
        <w:tc>
          <w:tcPr>
            <w:tcW w:w="142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60" w:type="dxa"/>
            <w:vAlign w:val="bottom"/>
            <w:tcBorders>
              <w:left w:val="single" w:sz="8" w:color="auto"/>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28405</w:t>
            </w:r>
          </w:p>
        </w:tc>
        <w:tc>
          <w:tcPr>
            <w:tcW w:w="14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Integrated Lending</w:t>
            </w:r>
          </w:p>
        </w:tc>
        <w:tc>
          <w:tcPr>
            <w:tcW w:w="1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Utah</w:t>
            </w:r>
          </w:p>
        </w:tc>
        <w:tc>
          <w:tcPr>
            <w:tcW w:w="1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Limited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6770 Parker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33-1037076</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5129559-0160</w:t>
            </w:r>
          </w:p>
        </w:tc>
        <w:tc>
          <w:tcPr>
            <w:tcW w:w="0" w:type="dxa"/>
            <w:vAlign w:val="bottom"/>
          </w:tcPr>
          <w:p>
            <w:pPr>
              <w:spacing w:after="0"/>
              <w:rPr>
                <w:sz w:val="1"/>
                <w:szCs w:val="1"/>
                <w:color w:val="auto"/>
              </w:rPr>
            </w:pPr>
          </w:p>
        </w:tc>
      </w:tr>
      <w:tr>
        <w:trPr>
          <w:trHeight w:val="258"/>
        </w:trPr>
        <w:tc>
          <w:tcPr>
            <w:tcW w:w="2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Technologies, LLC</w:t>
            </w:r>
          </w:p>
        </w:tc>
        <w:tc>
          <w:tcPr>
            <w:tcW w:w="17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Liability</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Farm Drive,</w:t>
            </w:r>
          </w:p>
        </w:tc>
        <w:tc>
          <w:tcPr>
            <w:tcW w:w="14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60" w:type="dxa"/>
            <w:vAlign w:val="bottom"/>
            <w:tcBorders>
              <w:left w:val="single" w:sz="8" w:color="auto"/>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Company</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Wilmington,</w:t>
            </w:r>
          </w:p>
        </w:tc>
        <w:tc>
          <w:tcPr>
            <w:tcW w:w="14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North Carolina</w:t>
            </w:r>
          </w:p>
        </w:tc>
        <w:tc>
          <w:tcPr>
            <w:tcW w:w="142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60" w:type="dxa"/>
            <w:vAlign w:val="bottom"/>
            <w:tcBorders>
              <w:left w:val="single" w:sz="8" w:color="auto"/>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28405</w:t>
            </w:r>
          </w:p>
        </w:tc>
        <w:tc>
          <w:tcPr>
            <w:tcW w:w="14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-4225290</wp:posOffset>
            </wp:positionV>
            <wp:extent cx="6548755" cy="540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8755" cy="540385"/>
                    </a:xfrm>
                    <a:prstGeom prst="rect">
                      <a:avLst/>
                    </a:prstGeom>
                    <a:noFill/>
                  </pic:spPr>
                </pic:pic>
              </a:graphicData>
            </a:graphic>
          </wp:anchor>
        </w:drawing>
      </w:r>
    </w:p>
    <w:p>
      <w:pPr>
        <w:sectPr>
          <w:pgSz w:w="11900" w:h="16838" w:orient="portrait"/>
          <w:cols w:equalWidth="0" w:num="1">
            <w:col w:w="10980"/>
          </w:cols>
          <w:pgMar w:left="440" w:top="1085" w:right="47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Subsidiaries</w:t>
      </w:r>
    </w:p>
    <w:p>
      <w:pPr>
        <w:spacing w:after="0" w:line="200" w:lineRule="exact"/>
        <w:rPr>
          <w:sz w:val="20"/>
          <w:szCs w:val="20"/>
          <w:color w:val="auto"/>
        </w:rPr>
      </w:pPr>
    </w:p>
    <w:p>
      <w:pPr>
        <w:spacing w:after="0" w:line="387" w:lineRule="exact"/>
        <w:rPr>
          <w:sz w:val="20"/>
          <w:szCs w:val="20"/>
          <w:color w:val="auto"/>
        </w:rPr>
      </w:pPr>
    </w:p>
    <w:tbl>
      <w:tblPr>
        <w:tblLayout w:type="fixed"/>
        <w:tblInd w:w="50" w:type="dxa"/>
        <w:tblCellMar>
          <w:top w:w="0" w:type="dxa"/>
          <w:left w:w="0" w:type="dxa"/>
          <w:bottom w:w="0" w:type="dxa"/>
          <w:right w:w="0" w:type="dxa"/>
        </w:tblCellMar>
      </w:tblPr>
      <w:tr>
        <w:trPr>
          <w:trHeight w:val="473"/>
        </w:trPr>
        <w:tc>
          <w:tcPr>
            <w:tcW w:w="2020" w:type="dxa"/>
            <w:vAlign w:val="bottom"/>
            <w:tcBorders>
              <w:top w:val="single" w:sz="8" w:color="auto"/>
              <w:left w:val="single" w:sz="8" w:color="auto"/>
              <w:right w:val="single" w:sz="8" w:color="auto"/>
            </w:tcBorders>
            <w:vMerge w:val="restart"/>
            <w:shd w:val="clear" w:color="auto" w:fill="001F5F"/>
          </w:tcPr>
          <w:p>
            <w:pPr>
              <w:ind w:left="900"/>
              <w:spacing w:after="0"/>
              <w:rPr>
                <w:sz w:val="20"/>
                <w:szCs w:val="20"/>
                <w:color w:val="auto"/>
              </w:rPr>
            </w:pPr>
            <w:r>
              <w:rPr>
                <w:rFonts w:ascii="Times New Roman" w:cs="Times New Roman" w:eastAsia="Times New Roman" w:hAnsi="Times New Roman"/>
                <w:sz w:val="20"/>
                <w:szCs w:val="20"/>
                <w:b w:val="1"/>
                <w:bCs w:val="1"/>
                <w:color w:val="FFFFFF"/>
              </w:rPr>
              <w:t>Subsidiary</w:t>
            </w:r>
          </w:p>
        </w:tc>
        <w:tc>
          <w:tcPr>
            <w:tcW w:w="1420" w:type="dxa"/>
            <w:vAlign w:val="bottom"/>
            <w:tcBorders>
              <w:top w:val="single" w:sz="8" w:color="auto"/>
              <w:right w:val="single" w:sz="8" w:color="auto"/>
            </w:tcBorders>
            <w:vMerge w:val="restart"/>
            <w:shd w:val="clear" w:color="auto" w:fill="001F5F"/>
          </w:tcPr>
          <w:p>
            <w:pPr>
              <w:ind w:left="400"/>
              <w:spacing w:after="0"/>
              <w:rPr>
                <w:sz w:val="20"/>
                <w:szCs w:val="20"/>
                <w:color w:val="auto"/>
              </w:rPr>
            </w:pPr>
            <w:r>
              <w:rPr>
                <w:rFonts w:ascii="Times New Roman" w:cs="Times New Roman" w:eastAsia="Times New Roman" w:hAnsi="Times New Roman"/>
                <w:sz w:val="20"/>
                <w:szCs w:val="20"/>
                <w:b w:val="1"/>
                <w:bCs w:val="1"/>
                <w:color w:val="FFFFFF"/>
              </w:rPr>
              <w:t>Owner</w:t>
            </w:r>
          </w:p>
        </w:tc>
        <w:tc>
          <w:tcPr>
            <w:tcW w:w="1580" w:type="dxa"/>
            <w:vAlign w:val="bottom"/>
            <w:tcBorders>
              <w:top w:val="single" w:sz="8" w:color="auto"/>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Jurisdiction of</w:t>
            </w:r>
          </w:p>
        </w:tc>
        <w:tc>
          <w:tcPr>
            <w:tcW w:w="3380" w:type="dxa"/>
            <w:vAlign w:val="bottom"/>
            <w:tcBorders>
              <w:top w:val="single" w:sz="8" w:color="auto"/>
              <w:right w:val="single" w:sz="8" w:color="auto"/>
            </w:tcBorders>
            <w:vMerge w:val="restart"/>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Type of Organization</w:t>
            </w:r>
          </w:p>
        </w:tc>
        <w:tc>
          <w:tcPr>
            <w:tcW w:w="0" w:type="dxa"/>
            <w:vAlign w:val="bottom"/>
          </w:tcPr>
          <w:p>
            <w:pPr>
              <w:spacing w:after="0"/>
              <w:rPr>
                <w:sz w:val="1"/>
                <w:szCs w:val="1"/>
                <w:color w:val="auto"/>
              </w:rPr>
            </w:pPr>
          </w:p>
        </w:tc>
      </w:tr>
      <w:tr>
        <w:trPr>
          <w:trHeight w:val="168"/>
        </w:trPr>
        <w:tc>
          <w:tcPr>
            <w:tcW w:w="2020" w:type="dxa"/>
            <w:vAlign w:val="bottom"/>
            <w:tcBorders>
              <w:left w:val="single" w:sz="8" w:color="auto"/>
              <w:right w:val="single" w:sz="8" w:color="auto"/>
            </w:tcBorders>
            <w:vMerge w:val="continue"/>
            <w:shd w:val="clear" w:color="auto" w:fill="001F5F"/>
          </w:tcPr>
          <w:p>
            <w:pPr>
              <w:spacing w:after="0"/>
              <w:rPr>
                <w:sz w:val="14"/>
                <w:szCs w:val="14"/>
                <w:color w:val="auto"/>
              </w:rPr>
            </w:pPr>
          </w:p>
        </w:tc>
        <w:tc>
          <w:tcPr>
            <w:tcW w:w="1420" w:type="dxa"/>
            <w:vAlign w:val="bottom"/>
            <w:tcBorders>
              <w:right w:val="single" w:sz="8" w:color="auto"/>
            </w:tcBorders>
            <w:vMerge w:val="continue"/>
            <w:shd w:val="clear" w:color="auto" w:fill="001F5F"/>
          </w:tcPr>
          <w:p>
            <w:pPr>
              <w:spacing w:after="0"/>
              <w:rPr>
                <w:sz w:val="14"/>
                <w:szCs w:val="14"/>
                <w:color w:val="auto"/>
              </w:rPr>
            </w:pPr>
          </w:p>
        </w:tc>
        <w:tc>
          <w:tcPr>
            <w:tcW w:w="1580" w:type="dxa"/>
            <w:vAlign w:val="bottom"/>
            <w:tcBorders>
              <w:right w:val="single" w:sz="8" w:color="auto"/>
            </w:tcBorders>
            <w:vMerge w:val="restart"/>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Organization/</w:t>
            </w:r>
          </w:p>
        </w:tc>
        <w:tc>
          <w:tcPr>
            <w:tcW w:w="3380" w:type="dxa"/>
            <w:vAlign w:val="bottom"/>
            <w:tcBorders>
              <w:right w:val="single" w:sz="8" w:color="auto"/>
            </w:tcBorders>
            <w:vMerge w:val="continue"/>
            <w:shd w:val="clear" w:color="auto" w:fill="001F5F"/>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20" w:type="dxa"/>
            <w:vAlign w:val="bottom"/>
            <w:tcBorders>
              <w:left w:val="single" w:sz="8" w:color="auto"/>
              <w:right w:val="single" w:sz="8" w:color="auto"/>
            </w:tcBorders>
            <w:shd w:val="clear" w:color="auto" w:fill="001F5F"/>
          </w:tcPr>
          <w:p>
            <w:pPr>
              <w:spacing w:after="0"/>
              <w:rPr>
                <w:sz w:val="8"/>
                <w:szCs w:val="8"/>
                <w:color w:val="auto"/>
              </w:rPr>
            </w:pPr>
          </w:p>
        </w:tc>
        <w:tc>
          <w:tcPr>
            <w:tcW w:w="1420" w:type="dxa"/>
            <w:vAlign w:val="bottom"/>
            <w:tcBorders>
              <w:right w:val="single" w:sz="8" w:color="auto"/>
            </w:tcBorders>
            <w:shd w:val="clear" w:color="auto" w:fill="001F5F"/>
          </w:tcPr>
          <w:p>
            <w:pPr>
              <w:spacing w:after="0"/>
              <w:rPr>
                <w:sz w:val="8"/>
                <w:szCs w:val="8"/>
                <w:color w:val="auto"/>
              </w:rPr>
            </w:pPr>
          </w:p>
        </w:tc>
        <w:tc>
          <w:tcPr>
            <w:tcW w:w="1580" w:type="dxa"/>
            <w:vAlign w:val="bottom"/>
            <w:tcBorders>
              <w:right w:val="single" w:sz="8" w:color="auto"/>
            </w:tcBorders>
            <w:vMerge w:val="continue"/>
            <w:shd w:val="clear" w:color="auto" w:fill="001F5F"/>
          </w:tcPr>
          <w:p>
            <w:pPr>
              <w:spacing w:after="0"/>
              <w:rPr>
                <w:sz w:val="8"/>
                <w:szCs w:val="8"/>
                <w:color w:val="auto"/>
              </w:rPr>
            </w:pPr>
          </w:p>
        </w:tc>
        <w:tc>
          <w:tcPr>
            <w:tcW w:w="3380" w:type="dxa"/>
            <w:vAlign w:val="bottom"/>
            <w:tcBorders>
              <w:right w:val="single" w:sz="8" w:color="auto"/>
            </w:tcBorders>
            <w:shd w:val="clear" w:color="auto" w:fill="001F5F"/>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2020" w:type="dxa"/>
            <w:vAlign w:val="bottom"/>
            <w:tcBorders>
              <w:left w:val="single" w:sz="8" w:color="auto"/>
              <w:bottom w:val="single" w:sz="8" w:color="001F5F"/>
              <w:right w:val="single" w:sz="8" w:color="auto"/>
            </w:tcBorders>
            <w:shd w:val="clear" w:color="auto" w:fill="001F5F"/>
          </w:tcPr>
          <w:p>
            <w:pPr>
              <w:spacing w:after="0"/>
              <w:rPr>
                <w:sz w:val="24"/>
                <w:szCs w:val="24"/>
                <w:color w:val="auto"/>
              </w:rPr>
            </w:pPr>
          </w:p>
        </w:tc>
        <w:tc>
          <w:tcPr>
            <w:tcW w:w="1420" w:type="dxa"/>
            <w:vAlign w:val="bottom"/>
            <w:tcBorders>
              <w:bottom w:val="single" w:sz="8" w:color="001F5F"/>
              <w:right w:val="single" w:sz="8" w:color="auto"/>
            </w:tcBorders>
            <w:shd w:val="clear" w:color="auto" w:fill="001F5F"/>
          </w:tcPr>
          <w:p>
            <w:pPr>
              <w:spacing w:after="0"/>
              <w:rPr>
                <w:sz w:val="24"/>
                <w:szCs w:val="24"/>
                <w:color w:val="auto"/>
              </w:rPr>
            </w:pPr>
          </w:p>
        </w:tc>
        <w:tc>
          <w:tcPr>
            <w:tcW w:w="1580" w:type="dxa"/>
            <w:vAlign w:val="bottom"/>
            <w:tcBorders>
              <w:bottom w:val="single" w:sz="8" w:color="001F5F"/>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Incorporation</w:t>
            </w:r>
          </w:p>
        </w:tc>
        <w:tc>
          <w:tcPr>
            <w:tcW w:w="3380" w:type="dxa"/>
            <w:vAlign w:val="bottom"/>
            <w:tcBorders>
              <w:bottom w:val="single" w:sz="8" w:color="001F5F"/>
              <w:right w:val="single" w:sz="8" w:color="auto"/>
            </w:tcBorders>
            <w:shd w:val="clear" w:color="auto" w:fill="001F5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OpCo, Inc.</w:t>
            </w:r>
          </w:p>
        </w:tc>
        <w:tc>
          <w:tcPr>
            <w:tcW w:w="14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nCino,Inc.</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3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Corporation</w:t>
            </w:r>
          </w:p>
        </w:tc>
        <w:tc>
          <w:tcPr>
            <w:tcW w:w="0" w:type="dxa"/>
            <w:vAlign w:val="bottom"/>
          </w:tcPr>
          <w:p>
            <w:pPr>
              <w:spacing w:after="0"/>
              <w:rPr>
                <w:sz w:val="1"/>
                <w:szCs w:val="1"/>
                <w:color w:val="auto"/>
              </w:rPr>
            </w:pPr>
          </w:p>
        </w:tc>
      </w:tr>
      <w:tr>
        <w:trPr>
          <w:trHeight w:val="34"/>
        </w:trPr>
        <w:tc>
          <w:tcPr>
            <w:tcW w:w="20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DocFox, Inc.</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OpCo,</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Corporation</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K.K.</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OpCo,</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Japan</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Kabushiki Kaisha</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APAC Pty Ltd</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OpCo,</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Australia</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Proprietary Company</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Canada, Inc.</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OpCo,</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Canada</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Corporation</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Global Ltd</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OpCo,</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United Kingdom</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Limited Company</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Integrated Lending</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OpCo,</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Utah</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Limited Liability Company</w:t>
            </w:r>
          </w:p>
        </w:tc>
        <w:tc>
          <w:tcPr>
            <w:tcW w:w="0" w:type="dxa"/>
            <w:vAlign w:val="bottom"/>
          </w:tcPr>
          <w:p>
            <w:pPr>
              <w:spacing w:after="0"/>
              <w:rPr>
                <w:sz w:val="1"/>
                <w:szCs w:val="1"/>
                <w:color w:val="auto"/>
              </w:rPr>
            </w:pPr>
          </w:p>
        </w:tc>
      </w:tr>
      <w:tr>
        <w:trPr>
          <w:trHeight w:val="285"/>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Technologies, LLC</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w:t>
            </w:r>
          </w:p>
        </w:tc>
        <w:tc>
          <w:tcPr>
            <w:tcW w:w="158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20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Compliance Solutions</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DocFox, Inc.</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Delaware</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Corporation</w:t>
            </w:r>
          </w:p>
        </w:tc>
        <w:tc>
          <w:tcPr>
            <w:tcW w:w="0" w:type="dxa"/>
            <w:vAlign w:val="bottom"/>
          </w:tcPr>
          <w:p>
            <w:pPr>
              <w:spacing w:after="0"/>
              <w:rPr>
                <w:sz w:val="1"/>
                <w:szCs w:val="1"/>
                <w:color w:val="auto"/>
              </w:rPr>
            </w:pPr>
          </w:p>
        </w:tc>
      </w:tr>
      <w:tr>
        <w:trPr>
          <w:trHeight w:val="270"/>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Holdings, Inc.</w:t>
            </w:r>
          </w:p>
        </w:tc>
        <w:tc>
          <w:tcPr>
            <w:tcW w:w="142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20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DocFox Africa (Pty)</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Compliance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South Africa</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Proprietary Limited Company</w:t>
            </w:r>
          </w:p>
        </w:tc>
        <w:tc>
          <w:tcPr>
            <w:tcW w:w="0" w:type="dxa"/>
            <w:vAlign w:val="bottom"/>
          </w:tcPr>
          <w:p>
            <w:pPr>
              <w:spacing w:after="0"/>
              <w:rPr>
                <w:sz w:val="1"/>
                <w:szCs w:val="1"/>
                <w:color w:val="auto"/>
              </w:rPr>
            </w:pPr>
          </w:p>
        </w:tc>
      </w:tr>
      <w:tr>
        <w:trPr>
          <w:trHeight w:val="297"/>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Ltd.</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Solutions</w:t>
            </w:r>
          </w:p>
        </w:tc>
        <w:tc>
          <w:tcPr>
            <w:tcW w:w="158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Holdings,</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20" w:type="dxa"/>
            <w:vAlign w:val="bottom"/>
            <w:tcBorders>
              <w:left w:val="single" w:sz="8" w:color="auto"/>
              <w:bottom w:val="single" w:sz="8" w:color="auto"/>
              <w:right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w:t>
            </w:r>
          </w:p>
        </w:tc>
        <w:tc>
          <w:tcPr>
            <w:tcW w:w="1580" w:type="dxa"/>
            <w:vAlign w:val="bottom"/>
            <w:tcBorders>
              <w:bottom w:val="single" w:sz="8" w:color="auto"/>
              <w:right w:val="single" w:sz="8" w:color="auto"/>
            </w:tcBorders>
          </w:tcPr>
          <w:p>
            <w:pPr>
              <w:spacing w:after="0"/>
              <w:rPr>
                <w:sz w:val="22"/>
                <w:szCs w:val="22"/>
                <w:color w:val="auto"/>
              </w:rPr>
            </w:pPr>
          </w:p>
        </w:tc>
        <w:tc>
          <w:tcPr>
            <w:tcW w:w="33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FinSuite Pty Ltd</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APAC</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Australia</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Proprietary Company</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Pty Ltd</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New Zealand</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APAC</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New Zealand</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Limited Liability Company</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Limited</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Pty Ltd</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Germany Gmbh</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Global</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Germany</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Gesellschaft mit beschränkter Haftung</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Ltd</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France</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Global</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France</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Société par actions simplifiée (Société à</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Ltd</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associé unique)</w:t>
            </w: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Spain, S.L.</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Global</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Spain</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Sociedad de Responsibilidad Limitada</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Ltd</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nCino Sweden AB</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nCino Global</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Sweden</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Private Limited Company</w:t>
            </w:r>
          </w:p>
        </w:tc>
        <w:tc>
          <w:tcPr>
            <w:tcW w:w="0" w:type="dxa"/>
            <w:vAlign w:val="bottom"/>
          </w:tcPr>
          <w:p>
            <w:pPr>
              <w:spacing w:after="0"/>
              <w:rPr>
                <w:sz w:val="1"/>
                <w:szCs w:val="1"/>
                <w:color w:val="auto"/>
              </w:rPr>
            </w:pPr>
          </w:p>
        </w:tc>
      </w:tr>
      <w:tr>
        <w:trPr>
          <w:trHeight w:val="258"/>
        </w:trPr>
        <w:tc>
          <w:tcPr>
            <w:tcW w:w="2020" w:type="dxa"/>
            <w:vAlign w:val="bottom"/>
            <w:tcBorders>
              <w:left w:val="single" w:sz="8" w:color="auto"/>
              <w:right w:val="single" w:sz="8" w:color="auto"/>
            </w:tcBorders>
          </w:tcPr>
          <w:p>
            <w:pPr>
              <w:spacing w:after="0"/>
              <w:rPr>
                <w:sz w:val="22"/>
                <w:szCs w:val="22"/>
                <w:color w:val="auto"/>
              </w:rPr>
            </w:pP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Ltd</w:t>
            </w:r>
          </w:p>
        </w:tc>
        <w:tc>
          <w:tcPr>
            <w:tcW w:w="1580" w:type="dxa"/>
            <w:vAlign w:val="bottom"/>
            <w:tcBorders>
              <w:right w:val="single" w:sz="8" w:color="auto"/>
            </w:tcBorders>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-5682615</wp:posOffset>
            </wp:positionV>
            <wp:extent cx="579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-5682615</wp:posOffset>
            </wp:positionV>
            <wp:extent cx="3695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-5785485</wp:posOffset>
            </wp:positionV>
            <wp:extent cx="7785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8510" cy="8255"/>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-5622925</wp:posOffset>
            </wp:positionV>
            <wp:extent cx="746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6760" cy="8255"/>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-5451475</wp:posOffset>
            </wp:positionV>
            <wp:extent cx="753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5374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-5682615</wp:posOffset>
            </wp:positionV>
            <wp:extent cx="1142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40" w:name="page141"/>
    <w:bookmarkEnd w:id="140"/>
    <w:p>
      <w:pPr>
        <w:ind w:left="4780"/>
        <w:spacing w:after="0"/>
        <w:rPr>
          <w:sz w:val="20"/>
          <w:szCs w:val="20"/>
          <w:color w:val="auto"/>
        </w:rPr>
      </w:pPr>
      <w:r>
        <w:rPr>
          <w:rFonts w:ascii="Times New Roman" w:cs="Times New Roman" w:eastAsia="Times New Roman" w:hAnsi="Times New Roman"/>
          <w:sz w:val="20"/>
          <w:szCs w:val="20"/>
          <w:b w:val="1"/>
          <w:bCs w:val="1"/>
          <w:u w:val="single" w:color="auto"/>
          <w:color w:val="auto"/>
        </w:rPr>
        <w:t>SCHEDULE 5.19</w:t>
      </w:r>
    </w:p>
    <w:p>
      <w:pPr>
        <w:spacing w:after="0" w:line="32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u w:val="single" w:color="auto"/>
          <w:color w:val="auto"/>
        </w:rPr>
        <w:t>Intellectual Property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COPYRIGHTS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Copyright Registrations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Copyright Applications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 Registrations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20" w:type="dxa"/>
            <w:vAlign w:val="bottom"/>
            <w:tcBorders>
              <w:right w:val="single" w:sz="8" w:color="auto"/>
            </w:tcBorders>
          </w:tcPr>
          <w:p>
            <w:pPr>
              <w:spacing w:after="0"/>
              <w:rPr>
                <w:sz w:val="24"/>
                <w:szCs w:val="24"/>
                <w:color w:val="auto"/>
              </w:rPr>
            </w:pPr>
          </w:p>
        </w:tc>
        <w:tc>
          <w:tcPr>
            <w:tcW w:w="3080" w:type="dxa"/>
            <w:vAlign w:val="bottom"/>
            <w:tcBorders>
              <w:top w:val="single" w:sz="8" w:color="auto"/>
              <w:bottom w:val="single" w:sz="8" w:color="001F5F"/>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Owner</w:t>
            </w:r>
          </w:p>
        </w:tc>
        <w:tc>
          <w:tcPr>
            <w:tcW w:w="3340" w:type="dxa"/>
            <w:vAlign w:val="bottom"/>
            <w:tcBorders>
              <w:top w:val="single" w:sz="8" w:color="auto"/>
              <w:bottom w:val="single" w:sz="8" w:color="001F5F"/>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Mark</w:t>
            </w:r>
          </w:p>
        </w:tc>
        <w:tc>
          <w:tcPr>
            <w:tcW w:w="1620" w:type="dxa"/>
            <w:vAlign w:val="bottom"/>
            <w:tcBorders>
              <w:top w:val="single" w:sz="8" w:color="auto"/>
              <w:bottom w:val="single" w:sz="8" w:color="001F5F"/>
              <w:right w:val="single" w:sz="8" w:color="auto"/>
            </w:tcBorders>
            <w:shd w:val="clear" w:color="auto" w:fill="001F5F"/>
          </w:tcPr>
          <w:p>
            <w:pPr>
              <w:ind w:left="420"/>
              <w:spacing w:after="0"/>
              <w:rPr>
                <w:sz w:val="20"/>
                <w:szCs w:val="20"/>
                <w:color w:val="auto"/>
              </w:rPr>
            </w:pPr>
            <w:r>
              <w:rPr>
                <w:rFonts w:ascii="Times New Roman" w:cs="Times New Roman" w:eastAsia="Times New Roman" w:hAnsi="Times New Roman"/>
                <w:sz w:val="20"/>
                <w:szCs w:val="20"/>
                <w:b w:val="1"/>
                <w:bCs w:val="1"/>
                <w:color w:val="FFFFFF"/>
              </w:rPr>
              <w:t>Reg. No.</w:t>
            </w:r>
          </w:p>
        </w:tc>
        <w:tc>
          <w:tcPr>
            <w:tcW w:w="1680" w:type="dxa"/>
            <w:vAlign w:val="bottom"/>
            <w:tcBorders>
              <w:top w:val="single" w:sz="8" w:color="auto"/>
              <w:bottom w:val="single" w:sz="8" w:color="001F5F"/>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rPr>
              <w:t>Reg. Date</w:t>
            </w:r>
          </w:p>
        </w:tc>
      </w:tr>
      <w:tr>
        <w:trPr>
          <w:trHeight w:val="262"/>
        </w:trPr>
        <w:tc>
          <w:tcPr>
            <w:tcW w:w="120" w:type="dxa"/>
            <w:vAlign w:val="bottom"/>
            <w:tcBorders>
              <w:right w:val="single" w:sz="8" w:color="auto"/>
            </w:tcBorders>
          </w:tcPr>
          <w:p>
            <w:pPr>
              <w:spacing w:after="0"/>
              <w:rPr>
                <w:sz w:val="22"/>
                <w:szCs w:val="22"/>
                <w:color w:val="auto"/>
              </w:rPr>
            </w:pPr>
          </w:p>
        </w:tc>
        <w:tc>
          <w:tcPr>
            <w:tcW w:w="3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LIMEGEAR</w:t>
            </w:r>
          </w:p>
        </w:tc>
        <w:tc>
          <w:tcPr>
            <w:tcW w:w="16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6173591</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10/13/2020</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COMPENSAFE</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5185009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04/18/2017</w:t>
            </w:r>
          </w:p>
        </w:tc>
      </w:tr>
      <w:tr>
        <w:trPr>
          <w:trHeight w:val="34"/>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BANK OPERATING SYSTEM</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6286725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03/09/2021</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NSIGHT (Stylized)</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6098458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07/14/2020</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NSIGHT</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6098457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07/14/2020</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NIQ and Design</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6032711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04/14/2020</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NIQ</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5843549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08/27/2019</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and Design</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4996606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07/12/2016</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Design Only</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4887573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01/19/2016</w:t>
            </w:r>
          </w:p>
        </w:tc>
      </w:tr>
      <w:tr>
        <w:trPr>
          <w:trHeight w:val="34"/>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UNIVERSITY and Design</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4835911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10/20/2015</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UNIVERSITY</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4835910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10/20/2015</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SBA 360</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4701383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03/10/2015</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BANK OPERATING SYSTEM</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4553509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06/17/2014</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NCINO</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4312966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04/02/2013</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 SIMPLENEXUS (Stylized)</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5442379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04/10/2018</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DOCFOX</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5676380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02/12/2019</w:t>
            </w:r>
          </w:p>
        </w:tc>
      </w:tr>
      <w:tr>
        <w:trPr>
          <w:trHeight w:val="35"/>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DOCFOX and Design</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5698652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03/12/2019</w:t>
            </w:r>
          </w:p>
        </w:tc>
      </w:tr>
      <w:tr>
        <w:trPr>
          <w:trHeight w:val="34"/>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6"/>
        </w:trPr>
        <w:tc>
          <w:tcPr>
            <w:tcW w:w="120" w:type="dxa"/>
            <w:vAlign w:val="bottom"/>
            <w:tcBorders>
              <w:right w:val="single" w:sz="8" w:color="auto"/>
            </w:tcBorders>
          </w:tcPr>
          <w:p>
            <w:pPr>
              <w:spacing w:after="0"/>
              <w:rPr>
                <w:sz w:val="22"/>
                <w:szCs w:val="22"/>
                <w:color w:val="auto"/>
              </w:rPr>
            </w:pP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OpCo, Inc.</w:t>
            </w:r>
          </w:p>
        </w:tc>
        <w:tc>
          <w:tcPr>
            <w:tcW w:w="33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WE ARE THE HEART OF THE</w:t>
            </w:r>
          </w:p>
        </w:tc>
        <w:tc>
          <w:tcPr>
            <w:tcW w:w="16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7075828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06/06/2023</w:t>
            </w:r>
          </w:p>
        </w:tc>
      </w:tr>
      <w:tr>
        <w:trPr>
          <w:trHeight w:val="270"/>
        </w:trPr>
        <w:tc>
          <w:tcPr>
            <w:tcW w:w="120" w:type="dxa"/>
            <w:vAlign w:val="bottom"/>
            <w:tcBorders>
              <w:right w:val="single" w:sz="8" w:color="auto"/>
            </w:tcBorders>
          </w:tcPr>
          <w:p>
            <w:pPr>
              <w:spacing w:after="0"/>
              <w:rPr>
                <w:sz w:val="23"/>
                <w:szCs w:val="23"/>
                <w:color w:val="auto"/>
              </w:rPr>
            </w:pPr>
          </w:p>
        </w:tc>
        <w:tc>
          <w:tcPr>
            <w:tcW w:w="3080" w:type="dxa"/>
            <w:vAlign w:val="bottom"/>
            <w:tcBorders>
              <w:right w:val="single" w:sz="8" w:color="auto"/>
            </w:tcBorders>
          </w:tcPr>
          <w:p>
            <w:pPr>
              <w:spacing w:after="0"/>
              <w:rPr>
                <w:sz w:val="23"/>
                <w:szCs w:val="23"/>
                <w:color w:val="auto"/>
              </w:rPr>
            </w:pPr>
          </w:p>
        </w:tc>
        <w:tc>
          <w:tcPr>
            <w:tcW w:w="33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HOMEOWNERSHIP JOURNEY</w:t>
            </w:r>
          </w:p>
        </w:tc>
        <w:tc>
          <w:tcPr>
            <w:tcW w:w="1620" w:type="dxa"/>
            <w:vAlign w:val="bottom"/>
            <w:tcBorders>
              <w:right w:val="single" w:sz="8" w:color="auto"/>
            </w:tcBorders>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r>
      <w:tr>
        <w:trPr>
          <w:trHeight w:val="34"/>
        </w:trPr>
        <w:tc>
          <w:tcPr>
            <w:tcW w:w="120" w:type="dxa"/>
            <w:vAlign w:val="bottom"/>
            <w:tcBorders>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594"/>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Trademark Applications</w:t>
            </w:r>
          </w:p>
        </w:tc>
        <w:tc>
          <w:tcPr>
            <w:tcW w:w="3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53"/>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None.</w:t>
            </w:r>
          </w:p>
        </w:tc>
        <w:tc>
          <w:tcPr>
            <w:tcW w:w="3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039"/>
          </w:cols>
          <w:pgMar w:left="420" w:top="1085"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auto"/>
        </w:rPr>
        <w:t>PATENTS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 Registrations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80" w:type="dxa"/>
            <w:vAlign w:val="bottom"/>
            <w:tcBorders>
              <w:right w:val="single" w:sz="8" w:color="auto"/>
            </w:tcBorders>
          </w:tcPr>
          <w:p>
            <w:pPr>
              <w:spacing w:after="0"/>
              <w:rPr>
                <w:sz w:val="24"/>
                <w:szCs w:val="24"/>
                <w:color w:val="auto"/>
              </w:rPr>
            </w:pPr>
          </w:p>
        </w:tc>
        <w:tc>
          <w:tcPr>
            <w:tcW w:w="1320" w:type="dxa"/>
            <w:vAlign w:val="bottom"/>
            <w:tcBorders>
              <w:top w:val="single" w:sz="8" w:color="auto"/>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Owner</w:t>
            </w:r>
          </w:p>
        </w:tc>
        <w:tc>
          <w:tcPr>
            <w:tcW w:w="5860" w:type="dxa"/>
            <w:vAlign w:val="bottom"/>
            <w:tcBorders>
              <w:top w:val="single" w:sz="8" w:color="auto"/>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Title</w:t>
            </w:r>
          </w:p>
        </w:tc>
        <w:tc>
          <w:tcPr>
            <w:tcW w:w="1140" w:type="dxa"/>
            <w:vAlign w:val="bottom"/>
            <w:tcBorders>
              <w:top w:val="single" w:sz="8" w:color="auto"/>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Patent</w:t>
            </w:r>
          </w:p>
        </w:tc>
        <w:tc>
          <w:tcPr>
            <w:tcW w:w="1220" w:type="dxa"/>
            <w:vAlign w:val="bottom"/>
            <w:tcBorders>
              <w:top w:val="single" w:sz="8" w:color="auto"/>
              <w:right w:val="single" w:sz="8" w:color="auto"/>
            </w:tcBorders>
            <w:shd w:val="clear" w:color="auto" w:fill="001F5F"/>
          </w:tcPr>
          <w:p>
            <w:pPr>
              <w:ind w:left="160"/>
              <w:spacing w:after="0"/>
              <w:rPr>
                <w:sz w:val="20"/>
                <w:szCs w:val="20"/>
                <w:color w:val="auto"/>
              </w:rPr>
            </w:pPr>
            <w:r>
              <w:rPr>
                <w:rFonts w:ascii="Times New Roman" w:cs="Times New Roman" w:eastAsia="Times New Roman" w:hAnsi="Times New Roman"/>
                <w:sz w:val="20"/>
                <w:szCs w:val="20"/>
                <w:b w:val="1"/>
                <w:bCs w:val="1"/>
                <w:color w:val="FFFFFF"/>
              </w:rPr>
              <w:t>Issue Date</w:t>
            </w:r>
          </w:p>
        </w:tc>
      </w:tr>
      <w:tr>
        <w:trPr>
          <w:trHeight w:val="317"/>
        </w:trPr>
        <w:tc>
          <w:tcPr>
            <w:tcW w:w="180" w:type="dxa"/>
            <w:vAlign w:val="bottom"/>
            <w:tcBorders>
              <w:right w:val="single" w:sz="8" w:color="auto"/>
            </w:tcBorders>
          </w:tcPr>
          <w:p>
            <w:pPr>
              <w:spacing w:after="0"/>
              <w:rPr>
                <w:sz w:val="24"/>
                <w:szCs w:val="24"/>
                <w:color w:val="auto"/>
              </w:rPr>
            </w:pPr>
          </w:p>
        </w:tc>
        <w:tc>
          <w:tcPr>
            <w:tcW w:w="1320" w:type="dxa"/>
            <w:vAlign w:val="bottom"/>
            <w:tcBorders>
              <w:bottom w:val="single" w:sz="8" w:color="001F5F"/>
              <w:right w:val="single" w:sz="8" w:color="auto"/>
            </w:tcBorders>
            <w:shd w:val="clear" w:color="auto" w:fill="001F5F"/>
          </w:tcPr>
          <w:p>
            <w:pPr>
              <w:spacing w:after="0"/>
              <w:rPr>
                <w:sz w:val="24"/>
                <w:szCs w:val="24"/>
                <w:color w:val="auto"/>
              </w:rPr>
            </w:pPr>
          </w:p>
        </w:tc>
        <w:tc>
          <w:tcPr>
            <w:tcW w:w="5860" w:type="dxa"/>
            <w:vAlign w:val="bottom"/>
            <w:tcBorders>
              <w:bottom w:val="single" w:sz="8" w:color="001F5F"/>
              <w:right w:val="single" w:sz="8" w:color="auto"/>
            </w:tcBorders>
            <w:shd w:val="clear" w:color="auto" w:fill="001F5F"/>
          </w:tcPr>
          <w:p>
            <w:pPr>
              <w:spacing w:after="0"/>
              <w:rPr>
                <w:sz w:val="24"/>
                <w:szCs w:val="24"/>
                <w:color w:val="auto"/>
              </w:rPr>
            </w:pPr>
          </w:p>
        </w:tc>
        <w:tc>
          <w:tcPr>
            <w:tcW w:w="1140" w:type="dxa"/>
            <w:vAlign w:val="bottom"/>
            <w:tcBorders>
              <w:bottom w:val="single" w:sz="8" w:color="001F5F"/>
              <w:right w:val="single" w:sz="8" w:color="auto"/>
            </w:tcBorders>
            <w:shd w:val="clear" w:color="auto" w:fill="001F5F"/>
          </w:tcPr>
          <w:p>
            <w:pPr>
              <w:jc w:val="center"/>
              <w:spacing w:after="0"/>
              <w:rPr>
                <w:sz w:val="20"/>
                <w:szCs w:val="20"/>
                <w:color w:val="auto"/>
              </w:rPr>
            </w:pPr>
            <w:r>
              <w:rPr>
                <w:rFonts w:ascii="Times New Roman" w:cs="Times New Roman" w:eastAsia="Times New Roman" w:hAnsi="Times New Roman"/>
                <w:sz w:val="20"/>
                <w:szCs w:val="20"/>
                <w:b w:val="1"/>
                <w:bCs w:val="1"/>
                <w:color w:val="FFFFFF"/>
              </w:rPr>
              <w:t>No.</w:t>
            </w:r>
          </w:p>
        </w:tc>
        <w:tc>
          <w:tcPr>
            <w:tcW w:w="1220" w:type="dxa"/>
            <w:vAlign w:val="bottom"/>
            <w:tcBorders>
              <w:bottom w:val="single" w:sz="8" w:color="001F5F"/>
              <w:right w:val="single" w:sz="8" w:color="auto"/>
            </w:tcBorders>
            <w:shd w:val="clear" w:color="auto" w:fill="001F5F"/>
          </w:tcPr>
          <w:p>
            <w:pPr>
              <w:spacing w:after="0"/>
              <w:rPr>
                <w:sz w:val="24"/>
                <w:szCs w:val="24"/>
                <w:color w:val="auto"/>
              </w:rPr>
            </w:pPr>
          </w:p>
        </w:tc>
      </w:tr>
      <w:tr>
        <w:trPr>
          <w:trHeight w:val="263"/>
        </w:trPr>
        <w:tc>
          <w:tcPr>
            <w:tcW w:w="180" w:type="dxa"/>
            <w:vAlign w:val="bottom"/>
            <w:tcBorders>
              <w:right w:val="single" w:sz="8" w:color="auto"/>
            </w:tcBorders>
          </w:tcPr>
          <w:p>
            <w:pPr>
              <w:spacing w:after="0"/>
              <w:rPr>
                <w:sz w:val="22"/>
                <w:szCs w:val="22"/>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STRUCTURE-BASED ENTITY ANALYSIS</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10282461</w:t>
            </w:r>
          </w:p>
        </w:tc>
        <w:tc>
          <w:tcPr>
            <w:tcW w:w="12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05/07/2019</w:t>
            </w:r>
          </w:p>
        </w:tc>
      </w:tr>
      <w:tr>
        <w:trPr>
          <w:trHeight w:val="34"/>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SYSTEM FOR PERIODICALLY UPDATING BACKINGS</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10192262</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01/29/2019</w:t>
            </w:r>
          </w:p>
        </w:tc>
      </w:tr>
      <w:tr>
        <w:trPr>
          <w:trHeight w:val="270"/>
        </w:trPr>
        <w:tc>
          <w:tcPr>
            <w:tcW w:w="1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FOR RESOURCE REQUESTS</w:t>
            </w:r>
          </w:p>
        </w:tc>
        <w:tc>
          <w:tcPr>
            <w:tcW w:w="11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r>
        <w:trPr>
          <w:trHeight w:val="35"/>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AUTOMATED APPROVAL</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10013237</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07/03/2018</w:t>
            </w:r>
          </w:p>
        </w:tc>
      </w:tr>
      <w:tr>
        <w:trPr>
          <w:trHeight w:val="34"/>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BACKING MANAGEMENT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9619840</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04/11/2017</w:t>
            </w:r>
          </w:p>
        </w:tc>
      </w:tr>
      <w:tr>
        <w:trPr>
          <w:trHeight w:val="35"/>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FINANCIAL-SERVICE STRUCTURED CONTENT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9530164</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12/27/2016</w:t>
            </w:r>
          </w:p>
        </w:tc>
      </w:tr>
      <w:tr>
        <w:trPr>
          <w:trHeight w:val="270"/>
        </w:trPr>
        <w:tc>
          <w:tcPr>
            <w:tcW w:w="1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MANAGER</w:t>
            </w:r>
          </w:p>
        </w:tc>
        <w:tc>
          <w:tcPr>
            <w:tcW w:w="11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r>
        <w:trPr>
          <w:trHeight w:val="34"/>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ind w:right="461"/>
              <w:spacing w:after="0"/>
              <w:rPr>
                <w:sz w:val="20"/>
                <w:szCs w:val="20"/>
                <w:color w:val="auto"/>
              </w:rPr>
            </w:pPr>
            <w:r>
              <w:rPr>
                <w:rFonts w:ascii="Times New Roman" w:cs="Times New Roman" w:eastAsia="Times New Roman" w:hAnsi="Times New Roman"/>
                <w:sz w:val="20"/>
                <w:szCs w:val="20"/>
                <w:color w:val="auto"/>
                <w:w w:val="98"/>
              </w:rPr>
              <w:t>UNIFIED SYSTEM FOR REAL-TIME COORDINATION OF</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9471665</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10/18/2016</w:t>
            </w:r>
          </w:p>
        </w:tc>
      </w:tr>
      <w:tr>
        <w:trPr>
          <w:trHeight w:val="270"/>
        </w:trPr>
        <w:tc>
          <w:tcPr>
            <w:tcW w:w="1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860" w:type="dxa"/>
            <w:vAlign w:val="bottom"/>
            <w:tcBorders>
              <w:right w:val="single" w:sz="8" w:color="auto"/>
            </w:tcBorders>
          </w:tcPr>
          <w:p>
            <w:pPr>
              <w:jc w:val="center"/>
              <w:ind w:right="441"/>
              <w:spacing w:after="0"/>
              <w:rPr>
                <w:sz w:val="20"/>
                <w:szCs w:val="20"/>
                <w:color w:val="auto"/>
              </w:rPr>
            </w:pPr>
            <w:r>
              <w:rPr>
                <w:rFonts w:ascii="Times New Roman" w:cs="Times New Roman" w:eastAsia="Times New Roman" w:hAnsi="Times New Roman"/>
                <w:sz w:val="20"/>
                <w:szCs w:val="20"/>
                <w:color w:val="auto"/>
                <w:w w:val="98"/>
              </w:rPr>
              <w:t>CONTENT-OBJECT ACTION ITEMS ACROSS DEVICES</w:t>
            </w:r>
          </w:p>
        </w:tc>
        <w:tc>
          <w:tcPr>
            <w:tcW w:w="11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r>
        <w:trPr>
          <w:trHeight w:val="35"/>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CAPTURING EVOLUTION OF A RESOURCE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9418116</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08/16/2016</w:t>
            </w:r>
          </w:p>
        </w:tc>
      </w:tr>
      <w:tr>
        <w:trPr>
          <w:trHeight w:val="270"/>
        </w:trPr>
        <w:tc>
          <w:tcPr>
            <w:tcW w:w="1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MEMORANDUM ACCORDING TO RESOURCE REQUESTS</w:t>
            </w:r>
          </w:p>
        </w:tc>
        <w:tc>
          <w:tcPr>
            <w:tcW w:w="11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r>
        <w:trPr>
          <w:trHeight w:val="34"/>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FINANCIAL-SERVICE STRUCTURED CONTENT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9268819</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02/23/2016</w:t>
            </w:r>
          </w:p>
        </w:tc>
      </w:tr>
      <w:tr>
        <w:trPr>
          <w:trHeight w:val="270"/>
        </w:trPr>
        <w:tc>
          <w:tcPr>
            <w:tcW w:w="1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MANAGER</w:t>
            </w:r>
          </w:p>
        </w:tc>
        <w:tc>
          <w:tcPr>
            <w:tcW w:w="11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r>
        <w:trPr>
          <w:trHeight w:val="35"/>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FINANCIAL-SERVICE STRUCTURED CONTENT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9098875</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08/04/2015</w:t>
            </w:r>
          </w:p>
        </w:tc>
      </w:tr>
      <w:tr>
        <w:trPr>
          <w:trHeight w:val="270"/>
        </w:trPr>
        <w:tc>
          <w:tcPr>
            <w:tcW w:w="1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MANAGER</w:t>
            </w:r>
          </w:p>
        </w:tc>
        <w:tc>
          <w:tcPr>
            <w:tcW w:w="11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r>
        <w:trPr>
          <w:trHeight w:val="35"/>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FINANCIAL-SERVICE STRUCTURED CONTENT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9082151</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07/14/2015</w:t>
            </w:r>
          </w:p>
        </w:tc>
      </w:tr>
      <w:tr>
        <w:trPr>
          <w:trHeight w:val="270"/>
        </w:trPr>
        <w:tc>
          <w:tcPr>
            <w:tcW w:w="1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MANAGER</w:t>
            </w:r>
          </w:p>
        </w:tc>
        <w:tc>
          <w:tcPr>
            <w:tcW w:w="11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r>
        <w:trPr>
          <w:trHeight w:val="35"/>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FINANCIAL-SERVICE STRUCTURED CONTENT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8762376</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06/24/2014</w:t>
            </w:r>
          </w:p>
        </w:tc>
      </w:tr>
      <w:tr>
        <w:trPr>
          <w:trHeight w:val="270"/>
        </w:trPr>
        <w:tc>
          <w:tcPr>
            <w:tcW w:w="1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MANAGER</w:t>
            </w:r>
          </w:p>
        </w:tc>
        <w:tc>
          <w:tcPr>
            <w:tcW w:w="11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r>
        <w:trPr>
          <w:trHeight w:val="35"/>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56"/>
        </w:trPr>
        <w:tc>
          <w:tcPr>
            <w:tcW w:w="18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nCino, Inc.</w:t>
            </w: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FINANCIAL-SERVICE STRUCTURED CONTENT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8572083</w:t>
            </w:r>
          </w:p>
        </w:tc>
        <w:tc>
          <w:tcPr>
            <w:tcW w:w="1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10/29/2013</w:t>
            </w:r>
          </w:p>
        </w:tc>
      </w:tr>
      <w:tr>
        <w:trPr>
          <w:trHeight w:val="270"/>
        </w:trPr>
        <w:tc>
          <w:tcPr>
            <w:tcW w:w="18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MANAGER</w:t>
            </w:r>
          </w:p>
        </w:tc>
        <w:tc>
          <w:tcPr>
            <w:tcW w:w="114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r>
      <w:tr>
        <w:trPr>
          <w:trHeight w:val="34"/>
        </w:trPr>
        <w:tc>
          <w:tcPr>
            <w:tcW w:w="18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58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607"/>
        </w:trPr>
        <w:tc>
          <w:tcPr>
            <w:tcW w:w="7360" w:type="dxa"/>
            <w:vAlign w:val="bottom"/>
            <w:gridSpan w:val="3"/>
          </w:tcPr>
          <w:p>
            <w:pPr>
              <w:jc w:val="center"/>
              <w:ind w:right="5601"/>
              <w:spacing w:after="0"/>
              <w:rPr>
                <w:sz w:val="20"/>
                <w:szCs w:val="20"/>
                <w:color w:val="auto"/>
              </w:rPr>
            </w:pPr>
            <w:r>
              <w:rPr>
                <w:rFonts w:ascii="Times New Roman" w:cs="Times New Roman" w:eastAsia="Times New Roman" w:hAnsi="Times New Roman"/>
                <w:sz w:val="20"/>
                <w:szCs w:val="20"/>
                <w:b w:val="1"/>
                <w:bCs w:val="1"/>
                <w:color w:val="auto"/>
                <w:w w:val="98"/>
              </w:rPr>
              <w:t>Patent Applications</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0" w:lineRule="exact"/>
        <w:rPr>
          <w:sz w:val="20"/>
          <w:szCs w:val="20"/>
          <w:color w:val="auto"/>
        </w:rPr>
      </w:pPr>
    </w:p>
    <w:p>
      <w:pPr>
        <w:spacing w:after="0" w:line="355" w:lineRule="exact"/>
        <w:rPr>
          <w:sz w:val="20"/>
          <w:szCs w:val="20"/>
          <w:color w:val="auto"/>
        </w:rPr>
      </w:pPr>
    </w:p>
    <w:tbl>
      <w:tblPr>
        <w:tblLayout w:type="fixed"/>
        <w:tblInd w:w="160" w:type="dxa"/>
        <w:tblCellMar>
          <w:top w:w="0" w:type="dxa"/>
          <w:left w:w="0" w:type="dxa"/>
          <w:bottom w:w="0" w:type="dxa"/>
          <w:right w:w="0" w:type="dxa"/>
        </w:tblCellMar>
      </w:tblPr>
      <w:tr>
        <w:trPr>
          <w:trHeight w:val="336"/>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1580" w:type="dxa"/>
            <w:vAlign w:val="bottom"/>
            <w:tcBorders>
              <w:top w:val="single" w:sz="8" w:color="auto"/>
              <w:bottom w:val="single" w:sz="8" w:color="001F5F"/>
              <w:right w:val="single" w:sz="8" w:color="auto"/>
            </w:tcBorders>
            <w:shd w:val="clear" w:color="auto" w:fill="001F5F"/>
          </w:tcPr>
          <w:p>
            <w:pPr>
              <w:ind w:left="340"/>
              <w:spacing w:after="0"/>
              <w:rPr>
                <w:sz w:val="20"/>
                <w:szCs w:val="20"/>
                <w:color w:val="auto"/>
              </w:rPr>
            </w:pPr>
            <w:r>
              <w:rPr>
                <w:rFonts w:ascii="Times New Roman" w:cs="Times New Roman" w:eastAsia="Times New Roman" w:hAnsi="Times New Roman"/>
                <w:sz w:val="20"/>
                <w:szCs w:val="20"/>
                <w:b w:val="1"/>
                <w:bCs w:val="1"/>
                <w:color w:val="FFFFFF"/>
              </w:rPr>
              <w:t>Applicant</w:t>
            </w:r>
          </w:p>
        </w:tc>
        <w:tc>
          <w:tcPr>
            <w:tcW w:w="5180" w:type="dxa"/>
            <w:vAlign w:val="bottom"/>
            <w:tcBorders>
              <w:top w:val="single" w:sz="8" w:color="auto"/>
              <w:bottom w:val="single" w:sz="8" w:color="001F5F"/>
              <w:right w:val="single" w:sz="8" w:color="auto"/>
            </w:tcBorders>
            <w:shd w:val="clear" w:color="auto" w:fill="001F5F"/>
          </w:tcPr>
          <w:p>
            <w:pPr>
              <w:ind w:left="2360"/>
              <w:spacing w:after="0"/>
              <w:rPr>
                <w:sz w:val="20"/>
                <w:szCs w:val="20"/>
                <w:color w:val="auto"/>
              </w:rPr>
            </w:pPr>
            <w:r>
              <w:rPr>
                <w:rFonts w:ascii="Times New Roman" w:cs="Times New Roman" w:eastAsia="Times New Roman" w:hAnsi="Times New Roman"/>
                <w:sz w:val="20"/>
                <w:szCs w:val="20"/>
                <w:b w:val="1"/>
                <w:bCs w:val="1"/>
                <w:color w:val="FFFFFF"/>
              </w:rPr>
              <w:t>Title</w:t>
            </w:r>
          </w:p>
        </w:tc>
        <w:tc>
          <w:tcPr>
            <w:tcW w:w="1380" w:type="dxa"/>
            <w:vAlign w:val="bottom"/>
            <w:tcBorders>
              <w:top w:val="single" w:sz="8" w:color="auto"/>
              <w:bottom w:val="single" w:sz="8" w:color="001F5F"/>
              <w:right w:val="single" w:sz="8" w:color="auto"/>
            </w:tcBorders>
            <w:shd w:val="clear" w:color="auto" w:fill="001F5F"/>
          </w:tcPr>
          <w:p>
            <w:pPr>
              <w:ind w:left="200"/>
              <w:spacing w:after="0"/>
              <w:rPr>
                <w:sz w:val="20"/>
                <w:szCs w:val="20"/>
                <w:color w:val="auto"/>
              </w:rPr>
            </w:pPr>
            <w:r>
              <w:rPr>
                <w:rFonts w:ascii="Times New Roman" w:cs="Times New Roman" w:eastAsia="Times New Roman" w:hAnsi="Times New Roman"/>
                <w:sz w:val="20"/>
                <w:szCs w:val="20"/>
                <w:b w:val="1"/>
                <w:bCs w:val="1"/>
                <w:color w:val="FFFFFF"/>
              </w:rPr>
              <w:t>Appl. No.</w:t>
            </w:r>
          </w:p>
        </w:tc>
        <w:tc>
          <w:tcPr>
            <w:tcW w:w="1320" w:type="dxa"/>
            <w:vAlign w:val="bottom"/>
            <w:tcBorders>
              <w:top w:val="single" w:sz="8" w:color="auto"/>
              <w:bottom w:val="single" w:sz="8" w:color="001F5F"/>
              <w:right w:val="single" w:sz="8" w:color="auto"/>
            </w:tcBorders>
            <w:shd w:val="clear" w:color="auto" w:fill="001F5F"/>
          </w:tcPr>
          <w:p>
            <w:pPr>
              <w:ind w:left="180"/>
              <w:spacing w:after="0"/>
              <w:rPr>
                <w:sz w:val="20"/>
                <w:szCs w:val="20"/>
                <w:color w:val="auto"/>
              </w:rPr>
            </w:pPr>
            <w:r>
              <w:rPr>
                <w:rFonts w:ascii="Times New Roman" w:cs="Times New Roman" w:eastAsia="Times New Roman" w:hAnsi="Times New Roman"/>
                <w:sz w:val="20"/>
                <w:szCs w:val="20"/>
                <w:b w:val="1"/>
                <w:bCs w:val="1"/>
                <w:color w:val="FFFFFF"/>
              </w:rPr>
              <w:t>Filing Date</w:t>
            </w:r>
          </w:p>
        </w:tc>
      </w:tr>
      <w:tr>
        <w:trPr>
          <w:trHeight w:val="263"/>
        </w:trPr>
        <w:tc>
          <w:tcPr>
            <w:tcW w:w="40" w:type="dxa"/>
            <w:vAlign w:val="bottom"/>
            <w:tcBorders>
              <w:top w:val="single" w:sz="8" w:color="auto"/>
              <w:right w:val="single" w:sz="8" w:color="auto"/>
            </w:tcBorders>
          </w:tcPr>
          <w:p>
            <w:pPr>
              <w:spacing w:after="0"/>
              <w:rPr>
                <w:sz w:val="22"/>
                <w:szCs w:val="22"/>
                <w:color w:val="auto"/>
              </w:rPr>
            </w:pPr>
          </w:p>
        </w:tc>
        <w:tc>
          <w:tcPr>
            <w:tcW w:w="158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nCino, Inc.</w:t>
            </w:r>
          </w:p>
        </w:tc>
        <w:tc>
          <w:tcPr>
            <w:tcW w:w="5180" w:type="dxa"/>
            <w:vAlign w:val="bottom"/>
            <w:tcBorders>
              <w:top w:val="single" w:sz="8" w:color="auto"/>
              <w:right w:val="single" w:sz="8" w:color="auto"/>
            </w:tcBorders>
          </w:tcPr>
          <w:p>
            <w:pPr>
              <w:jc w:val="center"/>
              <w:ind w:right="401"/>
              <w:spacing w:after="0"/>
              <w:rPr>
                <w:sz w:val="20"/>
                <w:szCs w:val="20"/>
                <w:color w:val="auto"/>
              </w:rPr>
            </w:pPr>
            <w:r>
              <w:rPr>
                <w:rFonts w:ascii="Times New Roman" w:cs="Times New Roman" w:eastAsia="Times New Roman" w:hAnsi="Times New Roman"/>
                <w:sz w:val="20"/>
                <w:szCs w:val="20"/>
                <w:color w:val="auto"/>
                <w:w w:val="97"/>
              </w:rPr>
              <w:t>SYSTEM FOR PERIODICALLY UPDATING</w:t>
            </w:r>
          </w:p>
        </w:tc>
        <w:tc>
          <w:tcPr>
            <w:tcW w:w="1380" w:type="dxa"/>
            <w:vAlign w:val="bottom"/>
            <w:tcBorders>
              <w:top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rPr>
              <w:t>16242502</w:t>
            </w:r>
          </w:p>
        </w:tc>
        <w:tc>
          <w:tcPr>
            <w:tcW w:w="132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01/08/2019</w:t>
            </w:r>
          </w:p>
        </w:tc>
      </w:tr>
      <w:tr>
        <w:trPr>
          <w:trHeight w:val="270"/>
        </w:trPr>
        <w:tc>
          <w:tcPr>
            <w:tcW w:w="40" w:type="dxa"/>
            <w:vAlign w:val="bottom"/>
            <w:tcBorders>
              <w:right w:val="single" w:sz="8" w:color="auto"/>
            </w:tcBorders>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tcPr>
          <w:p>
            <w:pPr>
              <w:jc w:val="center"/>
              <w:ind w:right="381"/>
              <w:spacing w:after="0"/>
              <w:rPr>
                <w:sz w:val="20"/>
                <w:szCs w:val="20"/>
                <w:color w:val="auto"/>
              </w:rPr>
            </w:pPr>
            <w:r>
              <w:rPr>
                <w:rFonts w:ascii="Times New Roman" w:cs="Times New Roman" w:eastAsia="Times New Roman" w:hAnsi="Times New Roman"/>
                <w:sz w:val="20"/>
                <w:szCs w:val="20"/>
                <w:color w:val="auto"/>
                <w:w w:val="98"/>
              </w:rPr>
              <w:t>BACKINGS FOR RESOURCE REQUESTS</w:t>
            </w:r>
          </w:p>
        </w:tc>
        <w:tc>
          <w:tcPr>
            <w:tcW w:w="138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20190139133</w:t>
            </w:r>
          </w:p>
        </w:tc>
        <w:tc>
          <w:tcPr>
            <w:tcW w:w="1320" w:type="dxa"/>
            <w:vAlign w:val="bottom"/>
            <w:tcBorders>
              <w:right w:val="single" w:sz="8" w:color="auto"/>
            </w:tcBorders>
          </w:tcPr>
          <w:p>
            <w:pPr>
              <w:spacing w:after="0"/>
              <w:rPr>
                <w:sz w:val="23"/>
                <w:szCs w:val="23"/>
                <w:color w:val="auto"/>
              </w:rPr>
            </w:pPr>
          </w:p>
        </w:tc>
      </w:tr>
      <w:tr>
        <w:trPr>
          <w:trHeight w:val="35"/>
        </w:trPr>
        <w:tc>
          <w:tcPr>
            <w:tcW w:w="40" w:type="dxa"/>
            <w:vAlign w:val="bottom"/>
            <w:tcBorders>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51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039"/>
          </w:cols>
          <w:pgMar w:left="420" w:top="1328" w:right="1440" w:bottom="1440" w:gutter="0" w:footer="0" w:header="0"/>
        </w:sectPr>
      </w:pPr>
    </w:p>
    <w:bookmarkStart w:id="142" w:name="page143"/>
    <w:bookmarkEnd w:id="142"/>
    <w:p>
      <w:pPr>
        <w:ind w:left="4458"/>
        <w:spacing w:after="0"/>
        <w:rPr>
          <w:sz w:val="20"/>
          <w:szCs w:val="20"/>
          <w:color w:val="auto"/>
        </w:rPr>
      </w:pPr>
      <w:r>
        <w:rPr>
          <w:rFonts w:ascii="Times New Roman" w:cs="Times New Roman" w:eastAsia="Times New Roman" w:hAnsi="Times New Roman"/>
          <w:sz w:val="20"/>
          <w:szCs w:val="20"/>
          <w:b w:val="1"/>
          <w:bCs w:val="1"/>
          <w:u w:val="single" w:color="auto"/>
          <w:color w:val="auto"/>
        </w:rPr>
        <w:t>SCHEDULE 6.17</w:t>
      </w:r>
    </w:p>
    <w:p>
      <w:pPr>
        <w:spacing w:after="0" w:line="324" w:lineRule="exact"/>
        <w:rPr>
          <w:sz w:val="20"/>
          <w:szCs w:val="20"/>
          <w:color w:val="auto"/>
        </w:rPr>
      </w:pPr>
    </w:p>
    <w:p>
      <w:pPr>
        <w:ind w:left="4158"/>
        <w:spacing w:after="0"/>
        <w:rPr>
          <w:sz w:val="20"/>
          <w:szCs w:val="20"/>
          <w:color w:val="auto"/>
        </w:rPr>
      </w:pPr>
      <w:r>
        <w:rPr>
          <w:rFonts w:ascii="Times New Roman" w:cs="Times New Roman" w:eastAsia="Times New Roman" w:hAnsi="Times New Roman"/>
          <w:sz w:val="20"/>
          <w:szCs w:val="20"/>
          <w:b w:val="1"/>
          <w:bCs w:val="1"/>
          <w:color w:val="auto"/>
        </w:rPr>
        <w:t>Post-Closing Obligations</w:t>
      </w:r>
    </w:p>
    <w:p>
      <w:pPr>
        <w:spacing w:after="0" w:line="323" w:lineRule="exact"/>
        <w:rPr>
          <w:sz w:val="20"/>
          <w:szCs w:val="20"/>
          <w:color w:val="auto"/>
        </w:rPr>
      </w:pPr>
    </w:p>
    <w:p>
      <w:pPr>
        <w:jc w:val="both"/>
        <w:ind w:left="318" w:right="20" w:hanging="318"/>
        <w:spacing w:after="0" w:line="285" w:lineRule="auto"/>
        <w:tabs>
          <w:tab w:leader="none" w:pos="31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thirty (30) days of the Closing Date </w:t>
      </w:r>
      <w:r>
        <w:rPr>
          <w:rFonts w:ascii="Times New Roman" w:cs="Times New Roman" w:eastAsia="Times New Roman" w:hAnsi="Times New Roman"/>
          <w:sz w:val="21"/>
          <w:szCs w:val="21"/>
          <w:color w:val="auto"/>
        </w:rPr>
        <w:t>(or such later date as the Administrative Agent may agree in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reasonable discretion)</w:t>
      </w:r>
      <w:r>
        <w:rPr>
          <w:rFonts w:ascii="Times New Roman" w:cs="Times New Roman" w:eastAsia="Times New Roman" w:hAnsi="Times New Roman"/>
          <w:sz w:val="19"/>
          <w:szCs w:val="19"/>
          <w:color w:val="auto"/>
        </w:rPr>
        <w:t>, the Loan Parties shall deliver to the Administrative Agent the endorsement certificates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required under Section 6.07 of the Credit Agreement.</w:t>
      </w:r>
    </w:p>
    <w:p>
      <w:pPr>
        <w:spacing w:after="0" w:line="143" w:lineRule="exact"/>
        <w:rPr>
          <w:rFonts w:ascii="Times New Roman" w:cs="Times New Roman" w:eastAsia="Times New Roman" w:hAnsi="Times New Roman"/>
          <w:sz w:val="20"/>
          <w:szCs w:val="20"/>
          <w:color w:val="auto"/>
        </w:rPr>
      </w:pPr>
    </w:p>
    <w:p>
      <w:pPr>
        <w:jc w:val="both"/>
        <w:ind w:left="318" w:hanging="318"/>
        <w:spacing w:after="0" w:line="261" w:lineRule="auto"/>
        <w:tabs>
          <w:tab w:leader="none" w:pos="31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of the Closing Date (or such later date as the Administrative Agent may agree in its reasonable discretion), Borrower shall deliver to the Administrative Agent the original of that certain Loan Agreement dated on or about the Closing Date, by and among nCino OpCo, Inc., as lender, and nCino Global LTD, as borrower.</w:t>
      </w:r>
    </w:p>
    <w:p>
      <w:pPr>
        <w:sectPr>
          <w:pgSz w:w="11900" w:h="16838" w:orient="portrait"/>
          <w:cols w:equalWidth="0" w:num="1">
            <w:col w:w="9858"/>
          </w:cols>
          <w:pgMar w:left="742" w:top="1328" w:right="1299" w:bottom="1440" w:gutter="0" w:footer="0" w:header="0"/>
        </w:sectPr>
      </w:pPr>
    </w:p>
    <w:bookmarkStart w:id="143" w:name="page144"/>
    <w:bookmarkEnd w:id="143"/>
    <w:p>
      <w:pPr>
        <w:ind w:left="4458"/>
        <w:spacing w:after="0"/>
        <w:rPr>
          <w:sz w:val="20"/>
          <w:szCs w:val="20"/>
          <w:color w:val="auto"/>
        </w:rPr>
      </w:pPr>
      <w:r>
        <w:rPr>
          <w:rFonts w:ascii="Times New Roman" w:cs="Times New Roman" w:eastAsia="Times New Roman" w:hAnsi="Times New Roman"/>
          <w:sz w:val="20"/>
          <w:szCs w:val="20"/>
          <w:b w:val="1"/>
          <w:bCs w:val="1"/>
          <w:u w:val="single" w:color="auto"/>
          <w:color w:val="auto"/>
        </w:rPr>
        <w:t>SCHEDULE 7.01</w:t>
      </w:r>
    </w:p>
    <w:p>
      <w:pPr>
        <w:spacing w:after="0" w:line="324" w:lineRule="exact"/>
        <w:rPr>
          <w:sz w:val="20"/>
          <w:szCs w:val="20"/>
          <w:color w:val="auto"/>
        </w:rPr>
      </w:pPr>
    </w:p>
    <w:p>
      <w:pPr>
        <w:ind w:left="4598"/>
        <w:spacing w:after="0"/>
        <w:rPr>
          <w:sz w:val="20"/>
          <w:szCs w:val="20"/>
          <w:color w:val="auto"/>
        </w:rPr>
      </w:pPr>
      <w:r>
        <w:rPr>
          <w:rFonts w:ascii="Times New Roman" w:cs="Times New Roman" w:eastAsia="Times New Roman" w:hAnsi="Times New Roman"/>
          <w:sz w:val="20"/>
          <w:szCs w:val="20"/>
          <w:b w:val="1"/>
          <w:bCs w:val="1"/>
          <w:color w:val="auto"/>
        </w:rPr>
        <w:t>Existing Liens</w:t>
      </w:r>
    </w:p>
    <w:p>
      <w:pPr>
        <w:spacing w:after="0" w:line="200" w:lineRule="exact"/>
        <w:rPr>
          <w:sz w:val="20"/>
          <w:szCs w:val="20"/>
          <w:color w:val="auto"/>
        </w:rPr>
      </w:pPr>
    </w:p>
    <w:p>
      <w:pPr>
        <w:spacing w:after="0" w:line="317" w:lineRule="exact"/>
        <w:rPr>
          <w:sz w:val="20"/>
          <w:szCs w:val="20"/>
          <w:color w:val="auto"/>
        </w:rPr>
      </w:pPr>
    </w:p>
    <w:p>
      <w:pPr>
        <w:ind w:left="318" w:right="99" w:hanging="318"/>
        <w:spacing w:after="0" w:line="269" w:lineRule="auto"/>
        <w:tabs>
          <w:tab w:leader="none" w:pos="3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 2022 8899635 naming nCino OpCo, Inc., as debtor, and U.S. Bank Equipment Finance, as secured party, filed with the Delaware Department of State on October 26, 2022.</w:t>
      </w:r>
    </w:p>
    <w:p>
      <w:pPr>
        <w:spacing w:after="0" w:line="199" w:lineRule="exact"/>
        <w:rPr>
          <w:rFonts w:ascii="Times New Roman" w:cs="Times New Roman" w:eastAsia="Times New Roman" w:hAnsi="Times New Roman"/>
          <w:sz w:val="20"/>
          <w:szCs w:val="20"/>
          <w:color w:val="auto"/>
        </w:rPr>
      </w:pPr>
    </w:p>
    <w:p>
      <w:pPr>
        <w:ind w:left="318" w:right="179" w:hanging="318"/>
        <w:spacing w:after="0" w:line="261" w:lineRule="auto"/>
        <w:tabs>
          <w:tab w:leader="none" w:pos="3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 2023 8406521 naming nCino OpCo, Inc., as debtor, and U.S. Bank Equipment Finance, a Division of U.S. Bank National Association, as secured party, filed with the Delaware Department of State on December 12, 2023.</w:t>
      </w:r>
    </w:p>
    <w:p>
      <w:pPr>
        <w:spacing w:after="0" w:line="194" w:lineRule="exact"/>
        <w:rPr>
          <w:rFonts w:ascii="Times New Roman" w:cs="Times New Roman" w:eastAsia="Times New Roman" w:hAnsi="Times New Roman"/>
          <w:sz w:val="20"/>
          <w:szCs w:val="20"/>
          <w:color w:val="auto"/>
        </w:rPr>
      </w:pPr>
    </w:p>
    <w:p>
      <w:pPr>
        <w:ind w:left="318" w:right="619" w:hanging="318"/>
        <w:spacing w:after="0" w:line="269" w:lineRule="auto"/>
        <w:tabs>
          <w:tab w:leader="none" w:pos="3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Financing Statement 2019 9271060 naming nCino, Inc., as debtor, and U.S. Bank Equipment Finance, as secured party, filed with the Delaware Department of State on December 27, 2019.</w:t>
      </w:r>
    </w:p>
    <w:p>
      <w:pPr>
        <w:sectPr>
          <w:pgSz w:w="11900" w:h="16838" w:orient="portrait"/>
          <w:cols w:equalWidth="0" w:num="1">
            <w:col w:w="9717"/>
          </w:cols>
          <w:pgMar w:left="742" w:top="1341" w:right="1440" w:bottom="1440" w:gutter="0" w:footer="0" w:header="0"/>
        </w:sectPr>
      </w:pPr>
    </w:p>
    <w:bookmarkStart w:id="144" w:name="page145"/>
    <w:bookmarkEnd w:id="144"/>
    <w:p>
      <w:pPr>
        <w:ind w:left="4458"/>
        <w:spacing w:after="0"/>
        <w:rPr>
          <w:sz w:val="20"/>
          <w:szCs w:val="20"/>
          <w:color w:val="auto"/>
        </w:rPr>
      </w:pPr>
      <w:r>
        <w:rPr>
          <w:rFonts w:ascii="Times New Roman" w:cs="Times New Roman" w:eastAsia="Times New Roman" w:hAnsi="Times New Roman"/>
          <w:sz w:val="20"/>
          <w:szCs w:val="20"/>
          <w:b w:val="1"/>
          <w:bCs w:val="1"/>
          <w:u w:val="single" w:color="auto"/>
          <w:color w:val="auto"/>
        </w:rPr>
        <w:t>SCHEDULE 7.02</w:t>
      </w:r>
    </w:p>
    <w:p>
      <w:pPr>
        <w:spacing w:after="0" w:line="324" w:lineRule="exact"/>
        <w:rPr>
          <w:sz w:val="20"/>
          <w:szCs w:val="20"/>
          <w:color w:val="auto"/>
        </w:rPr>
      </w:pPr>
    </w:p>
    <w:p>
      <w:pPr>
        <w:ind w:left="4278"/>
        <w:spacing w:after="0"/>
        <w:rPr>
          <w:sz w:val="20"/>
          <w:szCs w:val="20"/>
          <w:color w:val="auto"/>
        </w:rPr>
      </w:pPr>
      <w:r>
        <w:rPr>
          <w:rFonts w:ascii="Times New Roman" w:cs="Times New Roman" w:eastAsia="Times New Roman" w:hAnsi="Times New Roman"/>
          <w:sz w:val="20"/>
          <w:szCs w:val="20"/>
          <w:b w:val="1"/>
          <w:bCs w:val="1"/>
          <w:color w:val="auto"/>
        </w:rPr>
        <w:t>Existing Indebtedness</w:t>
      </w:r>
    </w:p>
    <w:p>
      <w:pPr>
        <w:spacing w:after="0" w:line="314" w:lineRule="exact"/>
        <w:rPr>
          <w:sz w:val="20"/>
          <w:szCs w:val="20"/>
          <w:color w:val="auto"/>
        </w:rPr>
      </w:pPr>
    </w:p>
    <w:p>
      <w:pPr>
        <w:ind w:left="318" w:hanging="318"/>
        <w:spacing w:after="0" w:line="269" w:lineRule="auto"/>
        <w:tabs>
          <w:tab w:leader="none" w:pos="31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Agreement, dated as of July 23, 2024 (as amended, restated, amended and restated, supplemented or otherwise modified prior to the date hereof), by and between Brew Land, LLC, as lessor, nCino OpCo, Inc., as lessee.</w:t>
      </w:r>
    </w:p>
    <w:p>
      <w:pPr>
        <w:spacing w:after="0" w:line="186" w:lineRule="exact"/>
        <w:rPr>
          <w:rFonts w:ascii="Times New Roman" w:cs="Times New Roman" w:eastAsia="Times New Roman" w:hAnsi="Times New Roman"/>
          <w:sz w:val="20"/>
          <w:szCs w:val="20"/>
          <w:color w:val="auto"/>
        </w:rPr>
      </w:pPr>
    </w:p>
    <w:p>
      <w:pPr>
        <w:jc w:val="both"/>
        <w:ind w:left="318" w:hanging="318"/>
        <w:spacing w:after="0" w:line="248" w:lineRule="auto"/>
        <w:tabs>
          <w:tab w:leader="none" w:pos="31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Real Estate Sublease, dated as of June 23, 2021 (as amended, restated, amended and restated, supplemented or otherwise modified prior the date hereof), by and between SolutionReach, Inc., as sublessor, and nCino OpCo, Inc., as sublessee.</w:t>
      </w:r>
    </w:p>
    <w:p>
      <w:pPr>
        <w:spacing w:after="0" w:line="221" w:lineRule="exact"/>
        <w:rPr>
          <w:rFonts w:ascii="Times New Roman" w:cs="Times New Roman" w:eastAsia="Times New Roman" w:hAnsi="Times New Roman"/>
          <w:sz w:val="22"/>
          <w:szCs w:val="22"/>
          <w:color w:val="auto"/>
        </w:rPr>
      </w:pPr>
    </w:p>
    <w:p>
      <w:pPr>
        <w:ind w:left="318" w:hanging="318"/>
        <w:spacing w:after="0"/>
        <w:tabs>
          <w:tab w:leader="none" w:pos="31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Indebtedness pursuant to the Liens listed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are incorporated by reference.</w:t>
      </w:r>
    </w:p>
    <w:p>
      <w:pPr>
        <w:spacing w:after="0" w:line="206" w:lineRule="exact"/>
        <w:rPr>
          <w:rFonts w:ascii="Times New Roman" w:cs="Times New Roman" w:eastAsia="Times New Roman" w:hAnsi="Times New Roman"/>
          <w:sz w:val="22"/>
          <w:szCs w:val="22"/>
          <w:color w:val="auto"/>
        </w:rPr>
      </w:pPr>
    </w:p>
    <w:p>
      <w:pPr>
        <w:ind w:left="318" w:right="20" w:hanging="318"/>
        <w:spacing w:after="0" w:line="245" w:lineRule="auto"/>
        <w:tabs>
          <w:tab w:leader="none" w:pos="31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Hold Back Amount of the Purchaser (as each term is defined in the Share Purchase Agreement to be entered into on or about October 29, 2024) in an amount not to exceed [$26,000,000].</w:t>
      </w:r>
    </w:p>
    <w:p>
      <w:pPr>
        <w:sectPr>
          <w:pgSz w:w="11900" w:h="16838" w:orient="portrait"/>
          <w:cols w:equalWidth="0" w:num="1">
            <w:col w:w="9858"/>
          </w:cols>
          <w:pgMar w:left="742" w:top="1085" w:right="1299" w:bottom="1440" w:gutter="0" w:footer="0" w:header="0"/>
        </w:sectPr>
      </w:pPr>
    </w:p>
    <w:bookmarkStart w:id="145" w:name="page146"/>
    <w:bookmarkEnd w:id="145"/>
    <w:p>
      <w:pPr>
        <w:ind w:left="4458"/>
        <w:spacing w:after="0"/>
        <w:rPr>
          <w:sz w:val="20"/>
          <w:szCs w:val="20"/>
          <w:color w:val="auto"/>
        </w:rPr>
      </w:pPr>
      <w:r>
        <w:rPr>
          <w:rFonts w:ascii="Times New Roman" w:cs="Times New Roman" w:eastAsia="Times New Roman" w:hAnsi="Times New Roman"/>
          <w:sz w:val="20"/>
          <w:szCs w:val="20"/>
          <w:b w:val="1"/>
          <w:bCs w:val="1"/>
          <w:u w:val="single" w:color="auto"/>
          <w:color w:val="auto"/>
        </w:rPr>
        <w:t>SCHEDULE 7.03</w:t>
      </w:r>
    </w:p>
    <w:p>
      <w:pPr>
        <w:spacing w:after="0" w:line="324" w:lineRule="exact"/>
        <w:rPr>
          <w:sz w:val="20"/>
          <w:szCs w:val="20"/>
          <w:color w:val="auto"/>
        </w:rPr>
      </w:pPr>
    </w:p>
    <w:p>
      <w:pPr>
        <w:ind w:left="4318"/>
        <w:spacing w:after="0"/>
        <w:rPr>
          <w:sz w:val="20"/>
          <w:szCs w:val="20"/>
          <w:color w:val="auto"/>
        </w:rPr>
      </w:pPr>
      <w:r>
        <w:rPr>
          <w:rFonts w:ascii="Times New Roman" w:cs="Times New Roman" w:eastAsia="Times New Roman" w:hAnsi="Times New Roman"/>
          <w:sz w:val="20"/>
          <w:szCs w:val="20"/>
          <w:b w:val="1"/>
          <w:bCs w:val="1"/>
          <w:color w:val="auto"/>
        </w:rPr>
        <w:t>Existing Investments</w:t>
      </w:r>
    </w:p>
    <w:p>
      <w:pPr>
        <w:spacing w:after="0" w:line="328" w:lineRule="exact"/>
        <w:rPr>
          <w:sz w:val="20"/>
          <w:szCs w:val="20"/>
          <w:color w:val="auto"/>
        </w:rPr>
      </w:pPr>
    </w:p>
    <w:p>
      <w:pPr>
        <w:ind w:left="318" w:hanging="318"/>
        <w:spacing w:after="0"/>
        <w:tabs>
          <w:tab w:leader="none" w:pos="31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by nCino, Inc. in Encompass Corporation Group Holdings Limited as of the Closing Date.</w:t>
      </w:r>
    </w:p>
    <w:p>
      <w:pPr>
        <w:spacing w:after="0" w:line="215" w:lineRule="exact"/>
        <w:rPr>
          <w:rFonts w:ascii="Times New Roman" w:cs="Times New Roman" w:eastAsia="Times New Roman" w:hAnsi="Times New Roman"/>
          <w:sz w:val="20"/>
          <w:szCs w:val="20"/>
          <w:color w:val="auto"/>
        </w:rPr>
      </w:pPr>
    </w:p>
    <w:p>
      <w:pPr>
        <w:ind w:left="318" w:hanging="318"/>
        <w:spacing w:after="0"/>
        <w:tabs>
          <w:tab w:leader="none" w:pos="31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by nCino, Inc. in ZestFinance, Inc. d/b/a Zest AI as of the Closing Date.</w:t>
      </w:r>
    </w:p>
    <w:p>
      <w:pPr>
        <w:spacing w:after="0" w:line="229" w:lineRule="exact"/>
        <w:rPr>
          <w:rFonts w:ascii="Times New Roman" w:cs="Times New Roman" w:eastAsia="Times New Roman" w:hAnsi="Times New Roman"/>
          <w:sz w:val="20"/>
          <w:szCs w:val="20"/>
          <w:color w:val="auto"/>
        </w:rPr>
      </w:pPr>
    </w:p>
    <w:p>
      <w:pPr>
        <w:ind w:left="318" w:hanging="318"/>
        <w:spacing w:after="0"/>
        <w:tabs>
          <w:tab w:leader="none" w:pos="31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by nCino, Inc. in Rich Data Corporation Solutions Pte Ltd. as of the Closing Date.</w:t>
      </w:r>
    </w:p>
    <w:p>
      <w:pPr>
        <w:spacing w:after="0" w:line="215" w:lineRule="exact"/>
        <w:rPr>
          <w:rFonts w:ascii="Times New Roman" w:cs="Times New Roman" w:eastAsia="Times New Roman" w:hAnsi="Times New Roman"/>
          <w:sz w:val="20"/>
          <w:szCs w:val="20"/>
          <w:color w:val="auto"/>
        </w:rPr>
      </w:pPr>
    </w:p>
    <w:p>
      <w:pPr>
        <w:ind w:left="318" w:right="399" w:hanging="318"/>
        <w:spacing w:after="0" w:line="269" w:lineRule="auto"/>
        <w:tabs>
          <w:tab w:leader="none" w:pos="31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officers, directors and employees of the Loan Parties in the ordinary course in the aggregate amount of $369,000 as of the Closing Date.</w:t>
      </w:r>
    </w:p>
    <w:p>
      <w:pPr>
        <w:spacing w:after="0" w:line="159" w:lineRule="exact"/>
        <w:rPr>
          <w:rFonts w:ascii="Times New Roman" w:cs="Times New Roman" w:eastAsia="Times New Roman" w:hAnsi="Times New Roman"/>
          <w:sz w:val="20"/>
          <w:szCs w:val="20"/>
          <w:color w:val="auto"/>
        </w:rPr>
      </w:pPr>
    </w:p>
    <w:p>
      <w:pPr>
        <w:ind w:left="318" w:right="359" w:hanging="318"/>
        <w:spacing w:after="0" w:line="283" w:lineRule="auto"/>
        <w:tabs>
          <w:tab w:leader="none" w:pos="31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Agreement, to be dated on or about the Closing Date, by and among nCino OpCo, Inc., as lender, and nCino Global LTD, as borrower.</w:t>
      </w:r>
    </w:p>
    <w:p>
      <w:pPr>
        <w:sectPr>
          <w:pgSz w:w="11900" w:h="16838" w:orient="portrait"/>
          <w:cols w:equalWidth="0" w:num="1">
            <w:col w:w="9717"/>
          </w:cols>
          <w:pgMar w:left="742" w:top="1328" w:right="1440" w:bottom="1440" w:gutter="0" w:footer="0" w:header="0"/>
        </w:sectPr>
      </w:pPr>
    </w:p>
    <w:bookmarkStart w:id="146" w:name="page147"/>
    <w:bookmarkEnd w:id="146"/>
    <w:p>
      <w:pPr>
        <w:jc w:val="center"/>
        <w:ind w:right="-680"/>
        <w:spacing w:after="0"/>
        <w:rPr>
          <w:sz w:val="20"/>
          <w:szCs w:val="20"/>
          <w:color w:val="auto"/>
        </w:rPr>
      </w:pPr>
      <w:r>
        <w:rPr>
          <w:rFonts w:ascii="Times New Roman" w:cs="Times New Roman" w:eastAsia="Times New Roman" w:hAnsi="Times New Roman"/>
          <w:sz w:val="20"/>
          <w:szCs w:val="20"/>
          <w:b w:val="1"/>
          <w:bCs w:val="1"/>
          <w:u w:val="single" w:color="auto"/>
          <w:color w:val="auto"/>
        </w:rPr>
        <w:t>EXHIBIT 1.01</w:t>
      </w:r>
    </w:p>
    <w:p>
      <w:pPr>
        <w:spacing w:after="0" w:line="22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2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b w:val="1"/>
          <w:bCs w:val="1"/>
          <w:color w:val="auto"/>
        </w:rPr>
        <w:t>Secured Party Designation Notice</w:t>
      </w:r>
    </w:p>
    <w:p>
      <w:pPr>
        <w:spacing w:after="0" w:line="2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16" w:lineRule="exact"/>
        <w:rPr>
          <w:sz w:val="20"/>
          <w:szCs w:val="20"/>
          <w:color w:val="auto"/>
        </w:rPr>
      </w:pPr>
    </w:p>
    <w:p>
      <w:pPr>
        <w:jc w:val="both"/>
        <w:ind w:left="540" w:right="199" w:hanging="1295"/>
        <w:spacing w:after="0" w:line="253" w:lineRule="auto"/>
        <w:tabs>
          <w:tab w:leader="none" w:pos="520" w:val="left"/>
        </w:tabs>
        <w:rPr>
          <w:sz w:val="20"/>
          <w:szCs w:val="20"/>
          <w:color w:val="auto"/>
        </w:rPr>
      </w:pPr>
      <w:r>
        <w:rPr>
          <w:rFonts w:ascii="Times New Roman" w:cs="Times New Roman" w:eastAsia="Times New Roman" w:hAnsi="Times New Roman"/>
          <w:sz w:val="20"/>
          <w:szCs w:val="20"/>
          <w:color w:val="auto"/>
        </w:rPr>
        <w:t>RE:</w:t>
        <w:tab/>
        <w:t>Credit Agreement, dated as of October 28, 2024, by and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from time to time party thereto, the Lenders from time to time party thereto, and Bank of America, N.A., as Administrative Agent, L/C Issuer and Swingline Lender (as amended, modified, extended,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and not otherwise defined shall have the meanings set forth in the Credit Agreement)</w:t>
      </w:r>
    </w:p>
    <w:p>
      <w:pPr>
        <w:spacing w:after="0" w:line="18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b w:val="1"/>
          <w:bCs w:val="1"/>
          <w:color w:val="auto"/>
        </w:rPr>
        <w:t>[Date]</w:t>
      </w:r>
    </w:p>
    <w:p>
      <w:pPr>
        <w:spacing w:after="0" w:line="229" w:lineRule="exact"/>
        <w:rPr>
          <w:sz w:val="20"/>
          <w:szCs w:val="20"/>
          <w:color w:val="auto"/>
        </w:rPr>
      </w:pPr>
    </w:p>
    <w:p>
      <w:pPr>
        <w:jc w:val="both"/>
        <w:ind w:right="199"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[Name of Cash Management Bank/Hedge Bank]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Secured Party</w:t>
      </w:r>
      <w:r>
        <w:rPr>
          <w:rFonts w:ascii="Times New Roman" w:cs="Times New Roman" w:eastAsia="Times New Roman" w:hAnsi="Times New Roman"/>
          <w:sz w:val="20"/>
          <w:szCs w:val="20"/>
          <w:color w:val="auto"/>
        </w:rPr>
        <w:t>”) hereby notifies you, pursuant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terms of the Credit Agreement, that the Secured Party meets the requirements of a </w:t>
      </w:r>
      <w:r>
        <w:rPr>
          <w:rFonts w:ascii="Times New Roman" w:cs="Times New Roman" w:eastAsia="Times New Roman" w:hAnsi="Times New Roman"/>
          <w:sz w:val="20"/>
          <w:szCs w:val="20"/>
          <w:b w:val="1"/>
          <w:bCs w:val="1"/>
          <w:color w:val="auto"/>
        </w:rPr>
        <w:t>[Cash Management Bank] [Hedge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Bank] </w:t>
      </w:r>
      <w:r>
        <w:rPr>
          <w:rFonts w:ascii="Times New Roman" w:cs="Times New Roman" w:eastAsia="Times New Roman" w:hAnsi="Times New Roman"/>
          <w:sz w:val="20"/>
          <w:szCs w:val="20"/>
          <w:color w:val="auto"/>
        </w:rPr>
        <w:t>under the terms of the Credit Agreement and is a</w:t>
      </w:r>
      <w:r>
        <w:rPr>
          <w:rFonts w:ascii="Times New Roman" w:cs="Times New Roman" w:eastAsia="Times New Roman" w:hAnsi="Times New Roman"/>
          <w:sz w:val="20"/>
          <w:szCs w:val="20"/>
          <w:b w:val="1"/>
          <w:bCs w:val="1"/>
          <w:color w:val="auto"/>
        </w:rPr>
        <w:t xml:space="preserve"> [Cash Management Bank] [Hedge Bank] </w:t>
      </w:r>
      <w:r>
        <w:rPr>
          <w:rFonts w:ascii="Times New Roman" w:cs="Times New Roman" w:eastAsia="Times New Roman" w:hAnsi="Times New Roman"/>
          <w:sz w:val="20"/>
          <w:szCs w:val="20"/>
          <w:color w:val="auto"/>
        </w:rPr>
        <w:t>under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other Loan Documents.</w:t>
      </w:r>
    </w:p>
    <w:p>
      <w:pPr>
        <w:spacing w:after="0" w:line="188" w:lineRule="exact"/>
        <w:rPr>
          <w:sz w:val="20"/>
          <w:szCs w:val="20"/>
          <w:color w:val="auto"/>
        </w:rPr>
      </w:pPr>
    </w:p>
    <w:p>
      <w:pPr>
        <w:jc w:val="both"/>
        <w:ind w:right="199" w:firstLine="648"/>
        <w:spacing w:after="0" w:line="269" w:lineRule="auto"/>
        <w:rPr>
          <w:sz w:val="20"/>
          <w:szCs w:val="20"/>
          <w:color w:val="auto"/>
        </w:rPr>
      </w:pPr>
      <w:r>
        <w:rPr>
          <w:rFonts w:ascii="Times New Roman" w:cs="Times New Roman" w:eastAsia="Times New Roman" w:hAnsi="Times New Roman"/>
          <w:sz w:val="20"/>
          <w:szCs w:val="20"/>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 duly authorized officer of the undersigned has executed this notice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80" w:hanging="92"/>
        <w:spacing w:after="0"/>
        <w:tabs>
          <w:tab w:leader="none" w:pos="418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w:t>
      </w:r>
      <w:r>
        <w:rPr>
          <w:rFonts w:ascii="Times New Roman" w:cs="Times New Roman" w:eastAsia="Times New Roman" w:hAnsi="Times New Roman"/>
          <w:sz w:val="20"/>
          <w:szCs w:val="20"/>
          <w:b w:val="1"/>
          <w:bCs w:val="1"/>
          <w:color w:val="auto"/>
        </w:rPr>
        <w:t>[Cash Management Bank] [Hedge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2470150</wp:posOffset>
            </wp:positionH>
            <wp:positionV relativeFrom="paragraph">
              <wp:posOffset>-8255</wp:posOffset>
            </wp:positionV>
            <wp:extent cx="125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jc w:val="center"/>
        <w:ind w:right="219"/>
        <w:spacing w:after="0"/>
        <w:tabs>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-10795</wp:posOffset>
            </wp:positionV>
            <wp:extent cx="125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-10795</wp:posOffset>
            </wp:positionV>
            <wp:extent cx="125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-10795</wp:posOffset>
            </wp:positionV>
            <wp:extent cx="125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9719"/>
          </w:cols>
          <w:pgMar w:left="740" w:top="1409" w:right="1440" w:bottom="1440" w:gutter="0" w:footer="0" w:header="0"/>
        </w:sectPr>
      </w:pPr>
    </w:p>
    <w:bookmarkStart w:id="147" w:name="page148"/>
    <w:bookmarkEnd w:id="147"/>
    <w:p>
      <w:pPr>
        <w:jc w:val="center"/>
        <w:ind w:right="-279"/>
        <w:spacing w:after="0"/>
        <w:rPr>
          <w:sz w:val="20"/>
          <w:szCs w:val="20"/>
          <w:color w:val="auto"/>
        </w:rPr>
      </w:pPr>
      <w:r>
        <w:rPr>
          <w:rFonts w:ascii="Times New Roman" w:cs="Times New Roman" w:eastAsia="Times New Roman" w:hAnsi="Times New Roman"/>
          <w:sz w:val="20"/>
          <w:szCs w:val="20"/>
          <w:b w:val="1"/>
          <w:bCs w:val="1"/>
          <w:u w:val="single" w:color="auto"/>
          <w:color w:val="auto"/>
        </w:rPr>
        <w:t>EXHIBIT 2.02</w:t>
      </w:r>
    </w:p>
    <w:p>
      <w:pPr>
        <w:spacing w:after="0" w:line="22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[Form of] Loan Notice</w:t>
      </w:r>
    </w:p>
    <w:p>
      <w:pPr>
        <w:spacing w:after="0" w:line="24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43" w:lineRule="exact"/>
        <w:rPr>
          <w:sz w:val="20"/>
          <w:szCs w:val="20"/>
          <w:color w:val="auto"/>
        </w:rPr>
      </w:pPr>
    </w:p>
    <w:p>
      <w:pPr>
        <w:jc w:val="both"/>
        <w:ind w:left="660" w:right="600" w:hanging="1943"/>
        <w:spacing w:after="0" w:line="251" w:lineRule="auto"/>
        <w:tabs>
          <w:tab w:leader="none" w:pos="6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Credit Agreement, dated as of October 28, 2024 (as amended, modified, extended, restated, amended and restated, replaced, or supplemented from time to time, the “Credit Agreement”; capitalized terms used herein and not otherwise defined shall have the meanings set forth in the Credit Agreement), by and among nCino OpCo, Inc., a Delaware corporation (the “Borrower”), nCino, Inc., a Delaware corporation (“Holdings”), the other Guarantors from time to time party thereto, the Lenders from time to time party thereto, and Bank of America, N.A., as Administrative Agent, L/C Issuer and Swingline Lender</w:t>
      </w:r>
    </w:p>
    <w:p>
      <w:pPr>
        <w:spacing w:after="0" w:line="39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24"/>
          <w:szCs w:val="24"/>
          <w:b w:val="1"/>
          <w:bCs w:val="1"/>
          <w:color w:val="auto"/>
          <w:vertAlign w:val="superscript"/>
        </w:rPr>
        <w:t>1</w:t>
      </w:r>
    </w:p>
    <w:p>
      <w:pPr>
        <w:spacing w:after="0" w:line="16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0"/>
          <w:szCs w:val="20"/>
          <w:color w:val="auto"/>
        </w:rPr>
        <w:t>EFFECTIVE DATE:</w:t>
      </w:r>
      <w:r>
        <w:rPr>
          <w:sz w:val="20"/>
          <w:szCs w:val="20"/>
          <w:color w:val="auto"/>
        </w:rPr>
        <w:tab/>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requests the following</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Revolving Facility</w:t>
      </w:r>
    </w:p>
    <w:p>
      <w:pPr>
        <w:spacing w:after="0" w:line="200" w:lineRule="exact"/>
        <w:rPr>
          <w:sz w:val="20"/>
          <w:szCs w:val="20"/>
          <w:color w:val="auto"/>
        </w:rPr>
      </w:pPr>
    </w:p>
    <w:p>
      <w:pPr>
        <w:spacing w:after="0" w:line="319" w:lineRule="exact"/>
        <w:rPr>
          <w:sz w:val="20"/>
          <w:szCs w:val="20"/>
          <w:color w:val="auto"/>
        </w:rPr>
      </w:pPr>
    </w:p>
    <w:tbl>
      <w:tblPr>
        <w:tblLayout w:type="fixed"/>
        <w:tblInd w:w="830" w:type="dxa"/>
        <w:tblCellMar>
          <w:top w:w="0" w:type="dxa"/>
          <w:left w:w="0" w:type="dxa"/>
          <w:bottom w:w="0" w:type="dxa"/>
          <w:right w:w="0" w:type="dxa"/>
        </w:tblCellMar>
      </w:tblPr>
      <w:tr>
        <w:trPr>
          <w:trHeight w:val="230"/>
        </w:trPr>
        <w:tc>
          <w:tcPr>
            <w:tcW w:w="500" w:type="dxa"/>
            <w:vAlign w:val="bottom"/>
            <w:tcBorders>
              <w:top w:val="single" w:sz="8" w:color="auto"/>
              <w:left w:val="single" w:sz="8" w:color="auto"/>
            </w:tcBorders>
          </w:tcPr>
          <w:p>
            <w:pPr>
              <w:spacing w:after="0"/>
              <w:rPr>
                <w:sz w:val="19"/>
                <w:szCs w:val="19"/>
                <w:color w:val="auto"/>
              </w:rPr>
            </w:pPr>
          </w:p>
        </w:tc>
        <w:tc>
          <w:tcPr>
            <w:tcW w:w="1280" w:type="dxa"/>
            <w:vAlign w:val="bottom"/>
            <w:tcBorders>
              <w:top w:val="single" w:sz="8" w:color="auto"/>
              <w:right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144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420" w:type="dxa"/>
            <w:vAlign w:val="bottom"/>
            <w:tcBorders>
              <w:top w:val="single" w:sz="8" w:color="auto"/>
            </w:tcBorders>
          </w:tcPr>
          <w:p>
            <w:pPr>
              <w:spacing w:after="0"/>
              <w:rPr>
                <w:sz w:val="19"/>
                <w:szCs w:val="19"/>
                <w:color w:val="auto"/>
              </w:rPr>
            </w:pPr>
          </w:p>
        </w:tc>
        <w:tc>
          <w:tcPr>
            <w:tcW w:w="1260" w:type="dxa"/>
            <w:vAlign w:val="bottom"/>
            <w:tcBorders>
              <w:top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184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w w:val="97"/>
              </w:rPr>
              <w:t>For Term SOFR</w:t>
            </w: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b w:val="1"/>
                <w:bCs w:val="1"/>
                <w:color w:val="auto"/>
                <w:w w:val="99"/>
              </w:rPr>
              <w:t>Borrowing</w:t>
            </w:r>
          </w:p>
        </w:tc>
        <w:tc>
          <w:tcPr>
            <w:tcW w:w="1440" w:type="dxa"/>
            <w:vAlign w:val="bottom"/>
            <w:tcBorders>
              <w:right w:val="single" w:sz="8" w:color="auto"/>
            </w:tcBorders>
            <w:gridSpan w:val="3"/>
          </w:tcPr>
          <w:p>
            <w:pPr>
              <w:jc w:val="center"/>
              <w:ind w:right="40"/>
              <w:spacing w:after="0" w:line="209" w:lineRule="exact"/>
              <w:rPr>
                <w:sz w:val="20"/>
                <w:szCs w:val="20"/>
                <w:color w:val="auto"/>
              </w:rPr>
            </w:pPr>
            <w:r>
              <w:rPr>
                <w:rFonts w:ascii="Times New Roman" w:cs="Times New Roman" w:eastAsia="Times New Roman" w:hAnsi="Times New Roman"/>
                <w:sz w:val="20"/>
                <w:szCs w:val="20"/>
                <w:b w:val="1"/>
                <w:bCs w:val="1"/>
                <w:color w:val="auto"/>
                <w:w w:val="98"/>
              </w:rPr>
              <w:t>Requested</w:t>
            </w:r>
          </w:p>
        </w:tc>
        <w:tc>
          <w:tcPr>
            <w:tcW w:w="1680" w:type="dxa"/>
            <w:vAlign w:val="bottom"/>
            <w:tcBorders>
              <w:right w:val="single" w:sz="8" w:color="auto"/>
            </w:tcBorders>
            <w:gridSpan w:val="3"/>
          </w:tcPr>
          <w:p>
            <w:pPr>
              <w:jc w:val="center"/>
              <w:ind w:right="60"/>
              <w:spacing w:after="0" w:line="209" w:lineRule="exact"/>
              <w:rPr>
                <w:sz w:val="20"/>
                <w:szCs w:val="20"/>
                <w:color w:val="auto"/>
              </w:rPr>
            </w:pPr>
            <w:r>
              <w:rPr>
                <w:rFonts w:ascii="Times New Roman" w:cs="Times New Roman" w:eastAsia="Times New Roman" w:hAnsi="Times New Roman"/>
                <w:sz w:val="20"/>
                <w:szCs w:val="20"/>
                <w:b w:val="1"/>
                <w:bCs w:val="1"/>
                <w:color w:val="auto"/>
                <w:w w:val="99"/>
              </w:rPr>
              <w:t>Base Rate Loan</w:t>
            </w:r>
          </w:p>
        </w:tc>
        <w:tc>
          <w:tcPr>
            <w:tcW w:w="520" w:type="dxa"/>
            <w:vAlign w:val="bottom"/>
          </w:tcPr>
          <w:p>
            <w:pPr>
              <w:spacing w:after="0"/>
              <w:rPr>
                <w:sz w:val="18"/>
                <w:szCs w:val="18"/>
                <w:color w:val="auto"/>
              </w:rPr>
            </w:pPr>
          </w:p>
        </w:tc>
        <w:tc>
          <w:tcPr>
            <w:tcW w:w="1320" w:type="dxa"/>
            <w:vAlign w:val="bottom"/>
            <w:tcBorders>
              <w:right w:val="single" w:sz="8" w:color="auto"/>
            </w:tcBorders>
            <w:gridSpan w:val="2"/>
          </w:tcPr>
          <w:p>
            <w:pPr>
              <w:jc w:val="center"/>
              <w:ind w:right="540"/>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w w:val="97"/>
              </w:rPr>
              <w:t>Loans</w:t>
            </w:r>
          </w:p>
        </w:tc>
        <w:tc>
          <w:tcPr>
            <w:tcW w:w="0" w:type="dxa"/>
            <w:vAlign w:val="bottom"/>
          </w:tcPr>
          <w:p>
            <w:pPr>
              <w:spacing w:after="0"/>
              <w:rPr>
                <w:sz w:val="1"/>
                <w:szCs w:val="1"/>
                <w:color w:val="auto"/>
              </w:rPr>
            </w:pPr>
          </w:p>
        </w:tc>
      </w:tr>
      <w:tr>
        <w:trPr>
          <w:trHeight w:val="257"/>
        </w:trPr>
        <w:tc>
          <w:tcPr>
            <w:tcW w:w="17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or conversion or</w:t>
            </w:r>
          </w:p>
        </w:tc>
        <w:tc>
          <w:tcPr>
            <w:tcW w:w="320" w:type="dxa"/>
            <w:vAlign w:val="bottom"/>
          </w:tcPr>
          <w:p>
            <w:pPr>
              <w:spacing w:after="0"/>
              <w:rPr>
                <w:sz w:val="22"/>
                <w:szCs w:val="22"/>
                <w:color w:val="auto"/>
              </w:rPr>
            </w:pPr>
          </w:p>
        </w:tc>
        <w:tc>
          <w:tcPr>
            <w:tcW w:w="1120" w:type="dxa"/>
            <w:vAlign w:val="bottom"/>
            <w:tcBorders>
              <w:right w:val="single" w:sz="8" w:color="auto"/>
            </w:tcBorders>
            <w:gridSpan w:val="2"/>
          </w:tcPr>
          <w:p>
            <w:pPr>
              <w:jc w:val="center"/>
              <w:ind w:right="360"/>
              <w:spacing w:after="0" w:line="257" w:lineRule="exact"/>
              <w:rPr>
                <w:sz w:val="20"/>
                <w:szCs w:val="20"/>
                <w:color w:val="auto"/>
              </w:rPr>
            </w:pPr>
            <w:r>
              <w:rPr>
                <w:rFonts w:ascii="Times New Roman" w:cs="Times New Roman" w:eastAsia="Times New Roman" w:hAnsi="Times New Roman"/>
                <w:sz w:val="20"/>
                <w:szCs w:val="20"/>
                <w:b w:val="1"/>
                <w:bCs w:val="1"/>
                <w:color w:val="auto"/>
                <w:w w:val="97"/>
              </w:rPr>
              <w:t>amount</w:t>
            </w:r>
            <w:r>
              <w:rPr>
                <w:rFonts w:ascii="Times New Roman" w:cs="Times New Roman" w:eastAsia="Times New Roman" w:hAnsi="Times New Roman"/>
                <w:sz w:val="25"/>
                <w:szCs w:val="25"/>
                <w:b w:val="1"/>
                <w:bCs w:val="1"/>
                <w:color w:val="auto"/>
                <w:w w:val="97"/>
                <w:vertAlign w:val="superscript"/>
              </w:rPr>
              <w:t>4</w:t>
            </w:r>
          </w:p>
        </w:tc>
        <w:tc>
          <w:tcPr>
            <w:tcW w:w="420" w:type="dxa"/>
            <w:vAlign w:val="bottom"/>
          </w:tcPr>
          <w:p>
            <w:pPr>
              <w:spacing w:after="0"/>
              <w:rPr>
                <w:sz w:val="22"/>
                <w:szCs w:val="22"/>
                <w:color w:val="auto"/>
              </w:rPr>
            </w:pPr>
          </w:p>
        </w:tc>
        <w:tc>
          <w:tcPr>
            <w:tcW w:w="12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w w:val="95"/>
              </w:rPr>
              <w:t>or</w:t>
            </w:r>
          </w:p>
        </w:tc>
        <w:tc>
          <w:tcPr>
            <w:tcW w:w="520" w:type="dxa"/>
            <w:vAlign w:val="bottom"/>
          </w:tcPr>
          <w:p>
            <w:pPr>
              <w:spacing w:after="0"/>
              <w:rPr>
                <w:sz w:val="22"/>
                <w:szCs w:val="22"/>
                <w:color w:val="auto"/>
              </w:rPr>
            </w:pPr>
          </w:p>
        </w:tc>
        <w:tc>
          <w:tcPr>
            <w:tcW w:w="1320" w:type="dxa"/>
            <w:vAlign w:val="bottom"/>
            <w:tcBorders>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0" w:type="dxa"/>
            <w:vAlign w:val="bottom"/>
          </w:tcPr>
          <w:p>
            <w:pPr>
              <w:spacing w:after="0"/>
              <w:rPr>
                <w:sz w:val="1"/>
                <w:szCs w:val="1"/>
                <w:color w:val="auto"/>
              </w:rPr>
            </w:pPr>
          </w:p>
        </w:tc>
      </w:tr>
      <w:tr>
        <w:trPr>
          <w:trHeight w:val="20"/>
        </w:trPr>
        <w:tc>
          <w:tcPr>
            <w:tcW w:w="1780" w:type="dxa"/>
            <w:vAlign w:val="bottom"/>
            <w:tcBorders>
              <w:left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continuation</w:t>
            </w: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Term SOFR</w:t>
            </w: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80" w:type="dxa"/>
            <w:vAlign w:val="bottom"/>
            <w:tcBorders>
              <w:left w:val="single" w:sz="8" w:color="auto"/>
              <w:right w:val="single" w:sz="8" w:color="auto"/>
            </w:tcBorders>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gridSpan w:val="3"/>
            <w:vMerge w:val="continue"/>
          </w:tcPr>
          <w:p>
            <w:pPr>
              <w:spacing w:after="0"/>
              <w:rPr>
                <w:sz w:val="18"/>
                <w:szCs w:val="18"/>
                <w:color w:val="auto"/>
              </w:rPr>
            </w:pPr>
          </w:p>
        </w:tc>
        <w:tc>
          <w:tcPr>
            <w:tcW w:w="1840" w:type="dxa"/>
            <w:vAlign w:val="bottom"/>
            <w:tcBorders>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b w:val="1"/>
                <w:bCs w:val="1"/>
                <w:color w:val="auto"/>
                <w:w w:val="98"/>
              </w:rPr>
              <w:t>Interest Period</w:t>
            </w:r>
          </w:p>
        </w:tc>
        <w:tc>
          <w:tcPr>
            <w:tcW w:w="0" w:type="dxa"/>
            <w:vAlign w:val="bottom"/>
          </w:tcPr>
          <w:p>
            <w:pPr>
              <w:spacing w:after="0"/>
              <w:rPr>
                <w:sz w:val="1"/>
                <w:szCs w:val="1"/>
                <w:color w:val="auto"/>
              </w:rPr>
            </w:pPr>
          </w:p>
        </w:tc>
      </w:tr>
      <w:tr>
        <w:trPr>
          <w:trHeight w:val="262"/>
        </w:trPr>
        <w:tc>
          <w:tcPr>
            <w:tcW w:w="50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0"/>
                <w:szCs w:val="20"/>
                <w:b w:val="1"/>
                <w:bCs w:val="1"/>
                <w:color w:val="auto"/>
                <w:w w:val="98"/>
              </w:rPr>
              <w:t>Loan</w:t>
            </w: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Borders>
              <w:left w:val="single" w:sz="8" w:color="auto"/>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600" w:firstLine="2"/>
        <w:spacing w:after="0" w:line="235" w:lineRule="auto"/>
        <w:tabs>
          <w:tab w:leader="none" w:pos="108" w:val="left"/>
        </w:tabs>
        <w:numPr>
          <w:ilvl w:val="0"/>
          <w:numId w:val="19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Each such Loan Notice must be received by the Administrative Agent not later than 11:00 a.m. (i) two Business Days prior to the requested date of any Borrowing of, conversion to or continuation of Term SOFR Loans or of any conversion of Term SOFR Loans to Base Rate Loans, and (ii) on the requested date of any Borrowing of Base Rate Loans.</w:t>
      </w:r>
    </w:p>
    <w:p>
      <w:pPr>
        <w:spacing w:after="0" w:line="92" w:lineRule="exact"/>
        <w:rPr>
          <w:sz w:val="20"/>
          <w:szCs w:val="20"/>
          <w:color w:val="auto"/>
        </w:rPr>
      </w:pPr>
    </w:p>
    <w:p>
      <w:pPr>
        <w:ind w:right="600" w:firstLine="2"/>
        <w:spacing w:after="0" w:line="229" w:lineRule="auto"/>
        <w:tabs>
          <w:tab w:leader="none" w:pos="129" w:val="left"/>
        </w:tabs>
        <w:numPr>
          <w:ilvl w:val="0"/>
          <w:numId w:val="19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multiple effective dates are needed, multiple Loan Notices will need to be prepared and signed. The requested date of the Borrowing, conversion or continuation, as the case may be, shall be a Business Day.</w:t>
      </w:r>
    </w:p>
    <w:p>
      <w:pPr>
        <w:spacing w:after="0" w:line="90" w:lineRule="exact"/>
        <w:rPr>
          <w:sz w:val="20"/>
          <w:szCs w:val="20"/>
          <w:color w:val="auto"/>
        </w:rPr>
      </w:pPr>
    </w:p>
    <w:p>
      <w:pPr>
        <w:ind w:firstLine="2"/>
        <w:spacing w:after="0" w:line="229" w:lineRule="auto"/>
        <w:tabs>
          <w:tab w:leader="none" w:pos="103" w:val="left"/>
        </w:tabs>
        <w:numPr>
          <w:ilvl w:val="0"/>
          <w:numId w:val="19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multiple borrowings, conversions and/or continuations for a particular facility, fill out a new row for each borrowing/conversion and/or continuation.</w:t>
      </w:r>
    </w:p>
    <w:p>
      <w:pPr>
        <w:spacing w:after="0" w:line="90" w:lineRule="exact"/>
        <w:rPr>
          <w:sz w:val="20"/>
          <w:szCs w:val="20"/>
          <w:color w:val="auto"/>
        </w:rPr>
      </w:pPr>
    </w:p>
    <w:p>
      <w:pPr>
        <w:jc w:val="both"/>
        <w:ind w:right="600" w:firstLine="2"/>
        <w:spacing w:after="0" w:line="235" w:lineRule="auto"/>
        <w:tabs>
          <w:tab w:leader="none" w:pos="123" w:val="left"/>
        </w:tabs>
        <w:numPr>
          <w:ilvl w:val="0"/>
          <w:numId w:val="19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Each Borrowing of, conversion to or continuation of Term SOFR Loans shall be in a principal amount of $1,000,000 a whole multiple of $500,000 in excess thereof. Except as provided in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each Borrowing of or conversion to Base Rate Loans shall be in a principal amount of $500,000 or a whole multiple of $100,000 in excess thereof.</w:t>
      </w:r>
    </w:p>
    <w:p>
      <w:pPr>
        <w:sectPr>
          <w:pgSz w:w="11900" w:h="16838" w:orient="portrait"/>
          <w:cols w:equalWidth="0" w:num="1">
            <w:col w:w="10120"/>
          </w:cols>
          <w:pgMar w:left="740" w:top="1409" w:right="1039" w:bottom="1440" w:gutter="0" w:footer="0" w:header="0"/>
        </w:sectPr>
      </w:pPr>
    </w:p>
    <w:bookmarkStart w:id="148" w:name="page149"/>
    <w:bookmarkEnd w:id="148"/>
    <w:p>
      <w:pPr>
        <w:ind w:right="199" w:firstLine="648"/>
        <w:spacing w:after="0" w:line="283" w:lineRule="auto"/>
        <w:rPr>
          <w:sz w:val="20"/>
          <w:szCs w:val="20"/>
          <w:color w:val="auto"/>
        </w:rPr>
      </w:pPr>
      <w:r>
        <w:rPr>
          <w:rFonts w:ascii="Times New Roman" w:cs="Times New Roman" w:eastAsia="Times New Roman" w:hAnsi="Times New Roman"/>
          <w:sz w:val="20"/>
          <w:szCs w:val="20"/>
          <w:color w:val="auto"/>
        </w:rPr>
        <w:t>The Borrowing requested herein complies with the proviso to the first sentence of Section 2.01 of the Credit Agreement.</w:t>
      </w:r>
    </w:p>
    <w:p>
      <w:pPr>
        <w:spacing w:after="0" w:line="183" w:lineRule="exact"/>
        <w:rPr>
          <w:sz w:val="20"/>
          <w:szCs w:val="20"/>
          <w:color w:val="auto"/>
        </w:rPr>
      </w:pPr>
    </w:p>
    <w:p>
      <w:pPr>
        <w:ind w:right="199" w:firstLine="648"/>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[Use following paragraph for Loan Notice delivered other than in connection with a conversion or continuation]</w:t>
      </w:r>
    </w:p>
    <w:p>
      <w:pPr>
        <w:spacing w:after="0" w:line="183" w:lineRule="exact"/>
        <w:rPr>
          <w:sz w:val="20"/>
          <w:szCs w:val="20"/>
          <w:color w:val="auto"/>
        </w:rPr>
      </w:pPr>
    </w:p>
    <w:p>
      <w:pPr>
        <w:ind w:right="199" w:firstLine="648"/>
        <w:spacing w:after="0" w:line="226" w:lineRule="auto"/>
        <w:rPr>
          <w:sz w:val="20"/>
          <w:szCs w:val="20"/>
          <w:color w:val="auto"/>
        </w:rPr>
      </w:pPr>
      <w:r>
        <w:rPr>
          <w:rFonts w:ascii="Times New Roman" w:cs="Times New Roman" w:eastAsia="Times New Roman" w:hAnsi="Times New Roman"/>
          <w:sz w:val="20"/>
          <w:szCs w:val="20"/>
          <w:color w:val="auto"/>
        </w:rPr>
        <w:t>The Borrower hereby represents and warrants that the conditions specified in Section 2.01 and 4.02 of the Credit Agreement shall be satisfied on and as of the date of the Credit Extension.</w:t>
      </w:r>
      <w:r>
        <w:rPr>
          <w:rFonts w:ascii="Times New Roman" w:cs="Times New Roman" w:eastAsia="Times New Roman" w:hAnsi="Times New Roman"/>
          <w:sz w:val="25"/>
          <w:szCs w:val="25"/>
          <w:color w:val="auto"/>
          <w:vertAlign w:val="superscript"/>
        </w:rPr>
        <w:t>5</w:t>
      </w:r>
    </w:p>
    <w:p>
      <w:pPr>
        <w:spacing w:after="0" w:line="228" w:lineRule="exact"/>
        <w:rPr>
          <w:sz w:val="20"/>
          <w:szCs w:val="20"/>
          <w:color w:val="auto"/>
        </w:rPr>
      </w:pPr>
    </w:p>
    <w:p>
      <w:pPr>
        <w:ind w:right="199" w:firstLine="648"/>
        <w:spacing w:after="0" w:line="283" w:lineRule="auto"/>
        <w:rPr>
          <w:sz w:val="20"/>
          <w:szCs w:val="20"/>
          <w:color w:val="auto"/>
        </w:rPr>
      </w:pPr>
      <w:r>
        <w:rPr>
          <w:rFonts w:ascii="Times New Roman" w:cs="Times New Roman" w:eastAsia="Times New Roman" w:hAnsi="Times New Roman"/>
          <w:sz w:val="20"/>
          <w:szCs w:val="20"/>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6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9719"/>
          </w:cols>
          <w:pgMar w:left="74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hanging="98"/>
        <w:spacing w:after="0"/>
        <w:tabs>
          <w:tab w:leader="none" w:pos="100" w:val="left"/>
        </w:tabs>
        <w:numPr>
          <w:ilvl w:val="0"/>
          <w:numId w:val="20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Do not include this paragraph for Loan Notices delivered in connection with a conversion or continuation.</w:t>
      </w:r>
    </w:p>
    <w:p>
      <w:pPr>
        <w:sectPr>
          <w:pgSz w:w="11900" w:h="16838" w:orient="portrait"/>
          <w:cols w:equalWidth="0" w:num="1">
            <w:col w:w="9719"/>
          </w:cols>
          <w:pgMar w:left="740" w:top="1399" w:right="1440" w:bottom="1440" w:gutter="0" w:footer="0" w:header="0"/>
          <w:type w:val="continuous"/>
        </w:sectPr>
      </w:pPr>
    </w:p>
    <w:bookmarkStart w:id="149" w:name="page150"/>
    <w:bookmarkEnd w:id="149"/>
    <w:p>
      <w:pPr>
        <w:ind w:left="3180"/>
        <w:spacing w:after="0"/>
        <w:rPr>
          <w:sz w:val="20"/>
          <w:szCs w:val="20"/>
          <w:color w:val="auto"/>
        </w:rPr>
      </w:pPr>
      <w:r>
        <w:rPr>
          <w:rFonts w:ascii="Times New Roman" w:cs="Times New Roman" w:eastAsia="Times New Roman" w:hAnsi="Times New Roman"/>
          <w:sz w:val="20"/>
          <w:szCs w:val="20"/>
          <w:color w:val="auto"/>
        </w:rPr>
        <w:t>NCINO OPCO, INC.,</w:t>
      </w:r>
    </w:p>
    <w:p>
      <w:pPr>
        <w:spacing w:after="0" w:line="2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color w:val="auto"/>
        </w:rPr>
        <w:t>a Delaware corporation</w:t>
      </w:r>
    </w:p>
    <w:p>
      <w:pPr>
        <w:spacing w:after="0" w:line="232" w:lineRule="exact"/>
        <w:rPr>
          <w:sz w:val="20"/>
          <w:szCs w:val="20"/>
          <w:color w:val="auto"/>
        </w:rPr>
      </w:pPr>
    </w:p>
    <w:p>
      <w:pPr>
        <w:ind w:left="3180"/>
        <w:spacing w:after="0"/>
        <w:tabs>
          <w:tab w:leader="none" w:pos="3700" w:val="left"/>
          <w:tab w:leader="none" w:pos="448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-10795</wp:posOffset>
            </wp:positionV>
            <wp:extent cx="1257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-10795</wp:posOffset>
            </wp:positionV>
            <wp:extent cx="1257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-10795</wp:posOffset>
            </wp:positionV>
            <wp:extent cx="1257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150" w:name="page151"/>
    <w:bookmarkEnd w:id="150"/>
    <w:p>
      <w:pPr>
        <w:spacing w:after="0" w:line="1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EXHIBIT 2.04</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[Form of] Swingline Loan</w:t>
      </w:r>
    </w:p>
    <w:p>
      <w:pPr>
        <w:spacing w:after="0" w:line="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Notice</w:t>
      </w:r>
    </w:p>
    <w:p>
      <w:pPr>
        <w:spacing w:after="0" w:line="19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 and Swingline Lender</w:t>
      </w:r>
    </w:p>
    <w:p>
      <w:pPr>
        <w:spacing w:after="0" w:line="216" w:lineRule="exact"/>
        <w:rPr>
          <w:sz w:val="20"/>
          <w:szCs w:val="20"/>
          <w:color w:val="auto"/>
        </w:rPr>
      </w:pPr>
    </w:p>
    <w:p>
      <w:pPr>
        <w:jc w:val="both"/>
        <w:ind w:left="560" w:right="199" w:hanging="1295"/>
        <w:spacing w:after="0" w:line="253" w:lineRule="auto"/>
        <w:tabs>
          <w:tab w:leader="none" w:pos="540" w:val="left"/>
        </w:tabs>
        <w:rPr>
          <w:sz w:val="20"/>
          <w:szCs w:val="20"/>
          <w:color w:val="auto"/>
        </w:rPr>
      </w:pPr>
      <w:r>
        <w:rPr>
          <w:rFonts w:ascii="Times New Roman" w:cs="Times New Roman" w:eastAsia="Times New Roman" w:hAnsi="Times New Roman"/>
          <w:sz w:val="20"/>
          <w:szCs w:val="20"/>
          <w:color w:val="auto"/>
        </w:rPr>
        <w:t>RE:</w:t>
        <w:tab/>
        <w:t>Credit Agreement, dated as of October 28, 2024, by and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from time to time party thereto, the Lenders from time to time party thereto, and Bank of America, N.A., as Administrative Agent, L/C Issuer and Swingline Lender (as amended, modified, extended,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and not otherwise defined shall have the meanings set forth in the Credit Agreement)</w:t>
      </w:r>
    </w:p>
    <w:p>
      <w:pPr>
        <w:spacing w:after="0" w:line="18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1"/>
          <w:szCs w:val="11"/>
          <w:b w:val="1"/>
          <w:bCs w:val="1"/>
          <w:color w:val="auto"/>
        </w:rPr>
        <w:t>1</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undersigned hereby requests a Swingline Loan:</w:t>
      </w:r>
    </w:p>
    <w:p>
      <w:pPr>
        <w:spacing w:after="0" w:line="21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3240" w:type="dxa"/>
            <w:vAlign w:val="bottom"/>
            <w:gridSpan w:val="5"/>
          </w:tcPr>
          <w:p>
            <w:pPr>
              <w:ind w:left="220"/>
              <w:spacing w:after="0"/>
              <w:rPr>
                <w:sz w:val="20"/>
                <w:szCs w:val="20"/>
                <w:color w:val="auto"/>
              </w:rPr>
            </w:pPr>
            <w:r>
              <w:rPr>
                <w:rFonts w:ascii="Times New Roman" w:cs="Times New Roman" w:eastAsia="Times New Roman" w:hAnsi="Times New Roman"/>
                <w:sz w:val="20"/>
                <w:szCs w:val="20"/>
                <w:color w:val="auto"/>
              </w:rPr>
              <w:t xml:space="preserve">On </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 xml:space="preserve"> (the “Credit Extension Date”)</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w:t>
            </w: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20" w:type="dxa"/>
            <w:vAlign w:val="bottom"/>
            <w:vMerge w:val="continue"/>
          </w:tcPr>
          <w:p>
            <w:pPr>
              <w:spacing w:after="0"/>
              <w:rPr>
                <w:sz w:val="22"/>
                <w:szCs w:val="22"/>
                <w:color w:val="auto"/>
              </w:rPr>
            </w:pPr>
          </w:p>
        </w:tc>
        <w:tc>
          <w:tcPr>
            <w:tcW w:w="324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uto"/>
              </w:rPr>
              <w:t>In the amount of $</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11"/>
                <w:szCs w:val="11"/>
                <w:b w:val="1"/>
                <w:bCs w:val="1"/>
                <w:color w:val="auto"/>
              </w:rPr>
              <w:t>2</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-29210</wp:posOffset>
            </wp:positionV>
            <wp:extent cx="31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81" w:lineRule="exact"/>
        <w:rPr>
          <w:sz w:val="20"/>
          <w:szCs w:val="20"/>
          <w:color w:val="auto"/>
        </w:rPr>
      </w:pPr>
    </w:p>
    <w:p>
      <w:pPr>
        <w:ind w:right="199" w:firstLine="648"/>
        <w:spacing w:after="0" w:line="269" w:lineRule="auto"/>
        <w:rPr>
          <w:sz w:val="20"/>
          <w:szCs w:val="20"/>
          <w:color w:val="auto"/>
        </w:rPr>
      </w:pPr>
      <w:r>
        <w:rPr>
          <w:rFonts w:ascii="Times New Roman" w:cs="Times New Roman" w:eastAsia="Times New Roman" w:hAnsi="Times New Roman"/>
          <w:sz w:val="20"/>
          <w:szCs w:val="20"/>
          <w:color w:val="auto"/>
        </w:rPr>
        <w:t>The Swingline Borrowing requested herein complies with the requirements of the provisos contained in Section 2.04(a) of the Credit Agreement.</w:t>
      </w:r>
    </w:p>
    <w:p>
      <w:pPr>
        <w:spacing w:after="0" w:line="173" w:lineRule="exact"/>
        <w:rPr>
          <w:sz w:val="20"/>
          <w:szCs w:val="20"/>
          <w:color w:val="auto"/>
        </w:rPr>
      </w:pPr>
    </w:p>
    <w:p>
      <w:pPr>
        <w:ind w:right="199" w:firstLine="648"/>
        <w:spacing w:after="0" w:line="283" w:lineRule="auto"/>
        <w:rPr>
          <w:sz w:val="20"/>
          <w:szCs w:val="20"/>
          <w:color w:val="auto"/>
        </w:rPr>
      </w:pPr>
      <w:r>
        <w:rPr>
          <w:rFonts w:ascii="Times New Roman" w:cs="Times New Roman" w:eastAsia="Times New Roman" w:hAnsi="Times New Roman"/>
          <w:sz w:val="20"/>
          <w:szCs w:val="20"/>
          <w:color w:val="auto"/>
        </w:rPr>
        <w:t>The Borrower hereby represents and warrants that the conditions specified in Section 4.02 shall be satisfied on and as of the Credit Extension Date.</w:t>
      </w:r>
    </w:p>
    <w:p>
      <w:pPr>
        <w:spacing w:after="0" w:line="146" w:lineRule="exact"/>
        <w:rPr>
          <w:sz w:val="20"/>
          <w:szCs w:val="20"/>
          <w:color w:val="auto"/>
        </w:rPr>
      </w:pPr>
    </w:p>
    <w:p>
      <w:pPr>
        <w:ind w:right="199" w:firstLine="648"/>
        <w:spacing w:after="0" w:line="283" w:lineRule="auto"/>
        <w:rPr>
          <w:sz w:val="20"/>
          <w:szCs w:val="20"/>
          <w:color w:val="auto"/>
        </w:rPr>
      </w:pPr>
      <w:r>
        <w:rPr>
          <w:rFonts w:ascii="Times New Roman" w:cs="Times New Roman" w:eastAsia="Times New Roman" w:hAnsi="Times New Roman"/>
          <w:sz w:val="20"/>
          <w:szCs w:val="20"/>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37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NCINO OPCO,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Delaware corporation</w:t>
      </w:r>
    </w:p>
    <w:p>
      <w:pPr>
        <w:spacing w:after="0" w:line="214" w:lineRule="exact"/>
        <w:rPr>
          <w:sz w:val="20"/>
          <w:szCs w:val="20"/>
          <w:color w:val="auto"/>
        </w:rPr>
      </w:pPr>
    </w:p>
    <w:p>
      <w:pPr>
        <w:jc w:val="center"/>
        <w:ind w:right="219"/>
        <w:spacing w:after="0"/>
        <w:tabs>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-10795</wp:posOffset>
            </wp:positionV>
            <wp:extent cx="1257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-10795</wp:posOffset>
            </wp:positionV>
            <wp:extent cx="1257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-10795</wp:posOffset>
            </wp:positionV>
            <wp:extent cx="1257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319" w:firstLine="2"/>
        <w:spacing w:after="0" w:line="229" w:lineRule="auto"/>
        <w:tabs>
          <w:tab w:leader="none" w:pos="103" w:val="left"/>
        </w:tabs>
        <w:numPr>
          <w:ilvl w:val="0"/>
          <w:numId w:val="20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Each such Loan Notice must be received by the Administrative Agent and the Swingline Lender not later than 1:00 p.m. on the requested borrowing date.</w:t>
      </w:r>
    </w:p>
    <w:p>
      <w:pPr>
        <w:spacing w:after="0" w:line="60" w:lineRule="exact"/>
        <w:rPr>
          <w:sz w:val="20"/>
          <w:szCs w:val="20"/>
          <w:color w:val="auto"/>
        </w:rPr>
      </w:pPr>
    </w:p>
    <w:p>
      <w:pPr>
        <w:ind w:left="100" w:hanging="98"/>
        <w:spacing w:after="0"/>
        <w:tabs>
          <w:tab w:leader="none" w:pos="100" w:val="left"/>
        </w:tabs>
        <w:numPr>
          <w:ilvl w:val="0"/>
          <w:numId w:val="20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Any such borrowing shall be a minimum of $100,000.</w:t>
      </w:r>
    </w:p>
    <w:p>
      <w:pPr>
        <w:sectPr>
          <w:pgSz w:w="11900" w:h="16838" w:orient="portrait"/>
          <w:cols w:equalWidth="0" w:num="1">
            <w:col w:w="9719"/>
          </w:cols>
          <w:pgMar w:left="740" w:top="1440" w:right="1440" w:bottom="1440" w:gutter="0" w:footer="0" w:header="0"/>
        </w:sectPr>
      </w:pPr>
    </w:p>
    <w:bookmarkStart w:id="151" w:name="page152"/>
    <w:bookmarkEnd w:id="151"/>
    <w:p>
      <w:pPr>
        <w:jc w:val="center"/>
        <w:ind w:right="-980"/>
        <w:spacing w:after="0"/>
        <w:rPr>
          <w:sz w:val="20"/>
          <w:szCs w:val="20"/>
          <w:color w:val="auto"/>
        </w:rPr>
      </w:pPr>
      <w:r>
        <w:rPr>
          <w:rFonts w:ascii="Times New Roman" w:cs="Times New Roman" w:eastAsia="Times New Roman" w:hAnsi="Times New Roman"/>
          <w:sz w:val="20"/>
          <w:szCs w:val="20"/>
          <w:b w:val="1"/>
          <w:bCs w:val="1"/>
          <w:u w:val="single" w:color="auto"/>
          <w:color w:val="auto"/>
        </w:rPr>
        <w:t>EXHIBIT 2.05</w:t>
      </w:r>
    </w:p>
    <w:p>
      <w:pPr>
        <w:spacing w:after="0" w:line="22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2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0"/>
          <w:szCs w:val="20"/>
          <w:b w:val="1"/>
          <w:bCs w:val="1"/>
          <w:color w:val="auto"/>
        </w:rPr>
        <w:t>Notice of Loan Prepayment</w:t>
      </w:r>
    </w:p>
    <w:p>
      <w:pPr>
        <w:spacing w:after="0" w:line="207"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16" w:lineRule="exact"/>
        <w:rPr>
          <w:sz w:val="20"/>
          <w:szCs w:val="20"/>
          <w:color w:val="auto"/>
        </w:rPr>
      </w:pPr>
    </w:p>
    <w:p>
      <w:pPr>
        <w:jc w:val="both"/>
        <w:ind w:left="960" w:right="199" w:hanging="1295"/>
        <w:spacing w:after="0" w:line="254" w:lineRule="auto"/>
        <w:tabs>
          <w:tab w:leader="none" w:pos="9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Credit Agreement, dated as of October 28, 2024 (as amended, modified, extended, restated, amended and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and not otherwise defined shall have the meanings set forth in the Credit Agreement), by and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from time to time party thereto, the Lenders from time to time party thereto, and Bank of America, N.A., as Administrative Agent, L/C Issuer and Swingline Lender</w:t>
      </w:r>
    </w:p>
    <w:p>
      <w:pPr>
        <w:spacing w:after="0" w:line="200" w:lineRule="exact"/>
        <w:rPr>
          <w:sz w:val="20"/>
          <w:szCs w:val="20"/>
          <w:color w:val="auto"/>
        </w:rPr>
      </w:pPr>
    </w:p>
    <w:p>
      <w:pPr>
        <w:spacing w:after="0" w:line="226"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b w:val="1"/>
          <w:bCs w:val="1"/>
          <w:color w:val="auto"/>
        </w:rPr>
        <w:t>[Date]</w:t>
      </w:r>
    </w:p>
    <w:p>
      <w:pPr>
        <w:spacing w:after="0" w:line="154" w:lineRule="exact"/>
        <w:rPr>
          <w:sz w:val="20"/>
          <w:szCs w:val="20"/>
          <w:color w:val="auto"/>
        </w:rPr>
      </w:pPr>
    </w:p>
    <w:p>
      <w:pPr>
        <w:ind w:left="940"/>
        <w:spacing w:after="0"/>
        <w:tabs>
          <w:tab w:leader="none" w:pos="6540" w:val="left"/>
        </w:tabs>
        <w:rPr>
          <w:sz w:val="20"/>
          <w:szCs w:val="20"/>
          <w:color w:val="auto"/>
        </w:rPr>
      </w:pPr>
      <w:r>
        <w:rPr>
          <w:rFonts w:ascii="Times New Roman" w:cs="Times New Roman" w:eastAsia="Times New Roman" w:hAnsi="Times New Roman"/>
          <w:sz w:val="20"/>
          <w:szCs w:val="20"/>
          <w:color w:val="auto"/>
        </w:rPr>
        <w:t xml:space="preserve">The Borrower hereby notifies the Administrative Agent that on </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pursuant to the terms of Section 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-5715</wp:posOffset>
            </wp:positionV>
            <wp:extent cx="1854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420" cy="8255"/>
                    </a:xfrm>
                    <a:prstGeom prst="rect">
                      <a:avLst/>
                    </a:prstGeom>
                    <a:noFill/>
                  </pic:spPr>
                </pic:pic>
              </a:graphicData>
            </a:graphic>
          </wp:anchor>
        </w:drawing>
      </w:r>
    </w:p>
    <w:p>
      <w:pPr>
        <w:spacing w:after="0" w:line="9" w:lineRule="exact"/>
        <w:rPr>
          <w:sz w:val="20"/>
          <w:szCs w:val="20"/>
          <w:color w:val="auto"/>
        </w:rPr>
      </w:pPr>
    </w:p>
    <w:p>
      <w:pPr>
        <w:jc w:val="both"/>
        <w:ind w:left="300" w:right="199"/>
        <w:spacing w:after="0" w:line="216" w:lineRule="auto"/>
        <w:rPr>
          <w:sz w:val="20"/>
          <w:szCs w:val="20"/>
          <w:color w:val="auto"/>
        </w:rPr>
      </w:pPr>
      <w:r>
        <w:rPr>
          <w:rFonts w:ascii="Times New Roman" w:cs="Times New Roman" w:eastAsia="Times New Roman" w:hAnsi="Times New Roman"/>
          <w:sz w:val="20"/>
          <w:szCs w:val="20"/>
          <w:color w:val="auto"/>
        </w:rPr>
        <w:t>(Prepayments) of the Credit Agreement, the Borrower intends to prepay/repay the following Loans as more specifically set forth below</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u w:val="single" w:color="auto"/>
          <w:color w:val="auto"/>
        </w:rPr>
        <w:t>Loans</w:t>
      </w: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40" w:type="dxa"/>
            <w:vAlign w:val="bottom"/>
            <w:tcBorders>
              <w:top w:val="single" w:sz="8" w:color="auto"/>
              <w:left w:val="single" w:sz="8" w:color="auto"/>
            </w:tcBorders>
          </w:tcPr>
          <w:p>
            <w:pPr>
              <w:spacing w:after="0"/>
              <w:rPr>
                <w:sz w:val="18"/>
                <w:szCs w:val="18"/>
                <w:color w:val="auto"/>
              </w:rPr>
            </w:pPr>
          </w:p>
        </w:tc>
        <w:tc>
          <w:tcPr>
            <w:tcW w:w="1460" w:type="dxa"/>
            <w:vAlign w:val="bottom"/>
            <w:tcBorders>
              <w:top w:val="single" w:sz="8" w:color="auto"/>
              <w:right w:val="single" w:sz="8" w:color="auto"/>
            </w:tcBorders>
            <w:gridSpan w:val="2"/>
          </w:tcPr>
          <w:p>
            <w:pPr>
              <w:jc w:val="center"/>
              <w:ind w:right="740"/>
              <w:spacing w:after="0" w:line="203" w:lineRule="exact"/>
              <w:rPr>
                <w:sz w:val="20"/>
                <w:szCs w:val="20"/>
                <w:color w:val="auto"/>
              </w:rPr>
            </w:pPr>
            <w:r>
              <w:rPr>
                <w:rFonts w:ascii="Calibri" w:cs="Calibri" w:eastAsia="Calibri" w:hAnsi="Calibri"/>
                <w:sz w:val="20"/>
                <w:szCs w:val="20"/>
                <w:b w:val="1"/>
                <w:bCs w:val="1"/>
                <w:color w:val="auto"/>
                <w:w w:val="99"/>
              </w:rPr>
              <w:t>Indicate:</w:t>
            </w:r>
          </w:p>
        </w:tc>
        <w:tc>
          <w:tcPr>
            <w:tcW w:w="580" w:type="dxa"/>
            <w:vAlign w:val="bottom"/>
            <w:tcBorders>
              <w:top w:val="single" w:sz="8" w:color="auto"/>
            </w:tcBorders>
          </w:tcPr>
          <w:p>
            <w:pPr>
              <w:spacing w:after="0"/>
              <w:rPr>
                <w:sz w:val="18"/>
                <w:szCs w:val="18"/>
                <w:color w:val="auto"/>
              </w:rPr>
            </w:pPr>
          </w:p>
        </w:tc>
        <w:tc>
          <w:tcPr>
            <w:tcW w:w="1600" w:type="dxa"/>
            <w:vAlign w:val="bottom"/>
            <w:tcBorders>
              <w:top w:val="single" w:sz="8" w:color="auto"/>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Indicate:</w:t>
            </w:r>
          </w:p>
        </w:tc>
        <w:tc>
          <w:tcPr>
            <w:tcW w:w="940" w:type="dxa"/>
            <w:vAlign w:val="bottom"/>
            <w:tcBorders>
              <w:top w:val="single" w:sz="8" w:color="auto"/>
            </w:tcBorders>
          </w:tcPr>
          <w:p>
            <w:pPr>
              <w:spacing w:after="0"/>
              <w:rPr>
                <w:sz w:val="18"/>
                <w:szCs w:val="18"/>
                <w:color w:val="auto"/>
              </w:rPr>
            </w:pPr>
          </w:p>
        </w:tc>
        <w:tc>
          <w:tcPr>
            <w:tcW w:w="2040" w:type="dxa"/>
            <w:vAlign w:val="bottom"/>
            <w:tcBorders>
              <w:top w:val="single" w:sz="8" w:color="auto"/>
              <w:right w:val="single" w:sz="8" w:color="auto"/>
            </w:tcBorders>
            <w:gridSpan w:val="2"/>
          </w:tcPr>
          <w:p>
            <w:pPr>
              <w:jc w:val="center"/>
              <w:ind w:right="1280"/>
              <w:spacing w:after="0" w:line="203" w:lineRule="exact"/>
              <w:rPr>
                <w:sz w:val="20"/>
                <w:szCs w:val="20"/>
                <w:color w:val="auto"/>
              </w:rPr>
            </w:pPr>
            <w:r>
              <w:rPr>
                <w:rFonts w:ascii="Times New Roman" w:cs="Times New Roman" w:eastAsia="Times New Roman" w:hAnsi="Times New Roman"/>
                <w:sz w:val="20"/>
                <w:szCs w:val="20"/>
                <w:b w:val="1"/>
                <w:bCs w:val="1"/>
                <w:color w:val="auto"/>
                <w:w w:val="99"/>
              </w:rPr>
              <w:t>Indicate:</w:t>
            </w:r>
          </w:p>
        </w:tc>
        <w:tc>
          <w:tcPr>
            <w:tcW w:w="2580" w:type="dxa"/>
            <w:vAlign w:val="bottom"/>
            <w:tcBorders>
              <w:top w:val="single" w:sz="8" w:color="auto"/>
              <w:right w:val="single" w:sz="8" w:color="auto"/>
            </w:tcBorders>
            <w:gridSpan w:val="3"/>
          </w:tcPr>
          <w:p>
            <w:pPr>
              <w:jc w:val="center"/>
              <w:ind w:right="40"/>
              <w:spacing w:after="0" w:line="203" w:lineRule="exact"/>
              <w:rPr>
                <w:sz w:val="20"/>
                <w:szCs w:val="20"/>
                <w:color w:val="auto"/>
              </w:rPr>
            </w:pPr>
            <w:r>
              <w:rPr>
                <w:rFonts w:ascii="Times New Roman" w:cs="Times New Roman" w:eastAsia="Times New Roman" w:hAnsi="Times New Roman"/>
                <w:sz w:val="20"/>
                <w:szCs w:val="20"/>
                <w:b w:val="1"/>
                <w:bCs w:val="1"/>
                <w:i w:val="1"/>
                <w:iCs w:val="1"/>
                <w:color w:val="auto"/>
                <w:w w:val="97"/>
              </w:rPr>
              <w:t>For Term SOFR Loans</w:t>
            </w:r>
          </w:p>
        </w:tc>
        <w:tc>
          <w:tcPr>
            <w:tcW w:w="0" w:type="dxa"/>
            <w:vAlign w:val="bottom"/>
          </w:tcPr>
          <w:p>
            <w:pPr>
              <w:spacing w:after="0"/>
              <w:rPr>
                <w:sz w:val="1"/>
                <w:szCs w:val="1"/>
                <w:color w:val="auto"/>
              </w:rPr>
            </w:pPr>
          </w:p>
        </w:tc>
      </w:tr>
      <w:tr>
        <w:trPr>
          <w:trHeight w:val="27"/>
        </w:trPr>
        <w:tc>
          <w:tcPr>
            <w:tcW w:w="2200" w:type="dxa"/>
            <w:vAlign w:val="bottom"/>
            <w:tcBorders>
              <w:left w:val="single" w:sz="8" w:color="auto"/>
              <w:right w:val="single" w:sz="8" w:color="auto"/>
            </w:tcBorders>
            <w:gridSpan w:val="3"/>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00" w:type="dxa"/>
            <w:vAlign w:val="bottom"/>
            <w:tcBorders>
              <w:right w:val="single" w:sz="8" w:color="auto"/>
            </w:tcBorders>
            <w:vMerge w:val="restart"/>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amount</w:t>
            </w:r>
            <w:r>
              <w:rPr>
                <w:rFonts w:ascii="Times New Roman" w:cs="Times New Roman" w:eastAsia="Times New Roman" w:hAnsi="Times New Roman"/>
                <w:sz w:val="25"/>
                <w:szCs w:val="25"/>
                <w:b w:val="1"/>
                <w:bCs w:val="1"/>
                <w:color w:val="auto"/>
                <w:vertAlign w:val="superscript"/>
              </w:rPr>
              <w:t>3</w:t>
            </w:r>
          </w:p>
        </w:tc>
        <w:tc>
          <w:tcPr>
            <w:tcW w:w="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Calibri" w:cs="Calibri" w:eastAsia="Calibri" w:hAnsi="Calibri"/>
                <w:sz w:val="20"/>
                <w:szCs w:val="20"/>
                <w:b w:val="1"/>
                <w:bCs w:val="1"/>
                <w:color w:val="auto"/>
              </w:rPr>
              <w:t>Revolving Loan or</w:t>
            </w:r>
          </w:p>
        </w:tc>
        <w:tc>
          <w:tcPr>
            <w:tcW w:w="12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20"/>
                <w:szCs w:val="20"/>
                <w:b w:val="1"/>
                <w:bCs w:val="1"/>
                <w:color w:val="auto"/>
              </w:rPr>
              <w:t>Prepayment</w:t>
            </w:r>
          </w:p>
        </w:tc>
        <w:tc>
          <w:tcPr>
            <w:tcW w:w="900" w:type="dxa"/>
            <w:vAlign w:val="bottom"/>
            <w:tcBorders>
              <w:right w:val="single" w:sz="8" w:color="auto"/>
            </w:tcBorders>
            <w:vMerge w:val="continue"/>
          </w:tcPr>
          <w:p>
            <w:pPr>
              <w:spacing w:after="0"/>
              <w:rPr>
                <w:sz w:val="18"/>
                <w:szCs w:val="18"/>
                <w:color w:val="auto"/>
              </w:rPr>
            </w:pPr>
          </w:p>
        </w:tc>
        <w:tc>
          <w:tcPr>
            <w:tcW w:w="2980" w:type="dxa"/>
            <w:vAlign w:val="bottom"/>
            <w:tcBorders>
              <w:right w:val="single" w:sz="8" w:color="auto"/>
            </w:tcBorders>
            <w:gridSpan w:val="3"/>
          </w:tcPr>
          <w:p>
            <w:pPr>
              <w:ind w:left="660"/>
              <w:spacing w:after="0" w:line="196" w:lineRule="exact"/>
              <w:rPr>
                <w:sz w:val="20"/>
                <w:szCs w:val="20"/>
                <w:color w:val="auto"/>
              </w:rPr>
            </w:pPr>
            <w:r>
              <w:rPr>
                <w:rFonts w:ascii="Times New Roman" w:cs="Times New Roman" w:eastAsia="Times New Roman" w:hAnsi="Times New Roman"/>
                <w:sz w:val="20"/>
                <w:szCs w:val="20"/>
                <w:b w:val="1"/>
                <w:bCs w:val="1"/>
                <w:color w:val="auto"/>
              </w:rPr>
              <w:t>Base Rate Loan or</w:t>
            </w:r>
          </w:p>
        </w:tc>
        <w:tc>
          <w:tcPr>
            <w:tcW w:w="540" w:type="dxa"/>
            <w:vAlign w:val="bottom"/>
          </w:tcPr>
          <w:p>
            <w:pPr>
              <w:spacing w:after="0"/>
              <w:rPr>
                <w:sz w:val="18"/>
                <w:szCs w:val="18"/>
                <w:color w:val="auto"/>
              </w:rPr>
            </w:pPr>
          </w:p>
        </w:tc>
        <w:tc>
          <w:tcPr>
            <w:tcW w:w="2040" w:type="dxa"/>
            <w:vAlign w:val="bottom"/>
            <w:tcBorders>
              <w:right w:val="single" w:sz="8" w:color="auto"/>
            </w:tcBorders>
            <w:gridSpan w:val="2"/>
          </w:tcPr>
          <w:p>
            <w:pPr>
              <w:jc w:val="center"/>
              <w:ind w:right="560"/>
              <w:spacing w:after="0" w:line="196" w:lineRule="exact"/>
              <w:rPr>
                <w:sz w:val="20"/>
                <w:szCs w:val="20"/>
                <w:color w:val="auto"/>
              </w:rPr>
            </w:pPr>
            <w:r>
              <w:rPr>
                <w:rFonts w:ascii="Times New Roman" w:cs="Times New Roman" w:eastAsia="Times New Roman" w:hAnsi="Times New Roman"/>
                <w:sz w:val="20"/>
                <w:szCs w:val="20"/>
                <w:b w:val="1"/>
                <w:bCs w:val="1"/>
                <w:color w:val="auto"/>
                <w:w w:val="99"/>
              </w:rPr>
              <w:t>Indicate: Interest</w:t>
            </w:r>
          </w:p>
        </w:tc>
        <w:tc>
          <w:tcPr>
            <w:tcW w:w="0" w:type="dxa"/>
            <w:vAlign w:val="bottom"/>
          </w:tcPr>
          <w:p>
            <w:pPr>
              <w:spacing w:after="0"/>
              <w:rPr>
                <w:sz w:val="1"/>
                <w:szCs w:val="1"/>
                <w:color w:val="auto"/>
              </w:rPr>
            </w:pPr>
          </w:p>
        </w:tc>
      </w:tr>
      <w:tr>
        <w:trPr>
          <w:trHeight w:val="20"/>
        </w:trPr>
        <w:tc>
          <w:tcPr>
            <w:tcW w:w="2200" w:type="dxa"/>
            <w:vAlign w:val="bottom"/>
            <w:tcBorders>
              <w:left w:val="single" w:sz="8" w:color="auto"/>
              <w:right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2980" w:type="dxa"/>
            <w:vAlign w:val="bottom"/>
            <w:tcBorders>
              <w:right w:val="single" w:sz="8" w:color="auto"/>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left w:val="single" w:sz="8" w:color="auto"/>
              <w:right w:val="single" w:sz="8" w:color="auto"/>
            </w:tcBorders>
            <w:gridSpan w:val="3"/>
          </w:tcPr>
          <w:p>
            <w:pPr>
              <w:jc w:val="center"/>
              <w:spacing w:after="0"/>
              <w:rPr>
                <w:sz w:val="20"/>
                <w:szCs w:val="20"/>
                <w:color w:val="auto"/>
              </w:rPr>
            </w:pPr>
            <w:r>
              <w:rPr>
                <w:rFonts w:ascii="Calibri" w:cs="Calibri" w:eastAsia="Calibri" w:hAnsi="Calibri"/>
                <w:sz w:val="20"/>
                <w:szCs w:val="20"/>
                <w:b w:val="1"/>
                <w:bCs w:val="1"/>
                <w:color w:val="auto"/>
                <w:w w:val="99"/>
              </w:rPr>
              <w:t>Swingline Loan</w:t>
            </w: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980" w:type="dxa"/>
            <w:vAlign w:val="bottom"/>
            <w:tcBorders>
              <w:right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7"/>
              </w:rPr>
              <w:t>Term SOFR Loan</w:t>
            </w:r>
          </w:p>
        </w:tc>
        <w:tc>
          <w:tcPr>
            <w:tcW w:w="540" w:type="dxa"/>
            <w:vAlign w:val="bottom"/>
          </w:tcPr>
          <w:p>
            <w:pPr>
              <w:spacing w:after="0"/>
              <w:rPr>
                <w:sz w:val="23"/>
                <w:szCs w:val="23"/>
                <w:color w:val="auto"/>
              </w:rPr>
            </w:pPr>
          </w:p>
        </w:tc>
        <w:tc>
          <w:tcPr>
            <w:tcW w:w="2040" w:type="dxa"/>
            <w:vAlign w:val="bottom"/>
            <w:tcBorders>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20"/>
                <w:szCs w:val="20"/>
                <w:b w:val="1"/>
                <w:bCs w:val="1"/>
                <w:color w:val="auto"/>
                <w:w w:val="98"/>
              </w:rPr>
              <w:t>Period</w:t>
            </w:r>
          </w:p>
        </w:tc>
        <w:tc>
          <w:tcPr>
            <w:tcW w:w="0" w:type="dxa"/>
            <w:vAlign w:val="bottom"/>
          </w:tcPr>
          <w:p>
            <w:pPr>
              <w:spacing w:after="0"/>
              <w:rPr>
                <w:sz w:val="1"/>
                <w:szCs w:val="1"/>
                <w:color w:val="auto"/>
              </w:rPr>
            </w:pPr>
          </w:p>
        </w:tc>
      </w:tr>
      <w:tr>
        <w:trPr>
          <w:trHeight w:val="34"/>
        </w:trPr>
        <w:tc>
          <w:tcPr>
            <w:tcW w:w="740" w:type="dxa"/>
            <w:vAlign w:val="bottom"/>
            <w:tcBorders>
              <w:left w:val="single" w:sz="8" w:color="auto"/>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 w:type="dxa"/>
            <w:vAlign w:val="bottom"/>
            <w:tcBorders>
              <w:left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Borders>
              <w:left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Borders>
              <w:left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0" w:hanging="98"/>
        <w:spacing w:after="0"/>
        <w:tabs>
          <w:tab w:leader="none" w:pos="400" w:val="left"/>
        </w:tabs>
        <w:numPr>
          <w:ilvl w:val="0"/>
          <w:numId w:val="20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Specify date of such prepayment. This notice must be received by (1) the Administrative Agent not later than 11:00</w:t>
      </w:r>
    </w:p>
    <w:p>
      <w:pPr>
        <w:spacing w:after="0" w:line="1" w:lineRule="exact"/>
        <w:rPr>
          <w:sz w:val="20"/>
          <w:szCs w:val="20"/>
          <w:color w:val="auto"/>
        </w:rPr>
      </w:pPr>
    </w:p>
    <w:p>
      <w:pPr>
        <w:ind w:left="300" w:right="199"/>
        <w:spacing w:after="0" w:line="212" w:lineRule="auto"/>
        <w:rPr>
          <w:sz w:val="20"/>
          <w:szCs w:val="20"/>
          <w:color w:val="auto"/>
        </w:rPr>
      </w:pPr>
      <w:r>
        <w:rPr>
          <w:rFonts w:ascii="Times New Roman" w:cs="Times New Roman" w:eastAsia="Times New Roman" w:hAnsi="Times New Roman"/>
          <w:sz w:val="18"/>
          <w:szCs w:val="18"/>
          <w:color w:val="auto"/>
        </w:rPr>
        <w:t>a.m. (i) two Business Days prior to any date of prepayment of Term SOFR Loans and (ii) on the date of prepayment of Base Rate Loans or (2) the Swingline Lender and the Administrative Agent not later than 1:00 p.m. on the date of such prepayment.</w:t>
      </w:r>
    </w:p>
    <w:p>
      <w:pPr>
        <w:spacing w:after="0" w:line="47" w:lineRule="exact"/>
        <w:rPr>
          <w:sz w:val="20"/>
          <w:szCs w:val="20"/>
          <w:color w:val="auto"/>
        </w:rPr>
      </w:pPr>
    </w:p>
    <w:p>
      <w:pPr>
        <w:jc w:val="both"/>
        <w:ind w:left="300" w:right="199" w:firstLine="2"/>
        <w:spacing w:after="0" w:line="235" w:lineRule="auto"/>
        <w:tabs>
          <w:tab w:leader="none" w:pos="408" w:val="left"/>
        </w:tabs>
        <w:numPr>
          <w:ilvl w:val="0"/>
          <w:numId w:val="20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Note to Borrower: Scheduled payments and advances should only be processed by auto debit, wire or to Bank of America’s ACH account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check or cashier’s check). Unscheduled payments should only be received by wire or DDA transfers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ACH or check or cashier’s check).</w:t>
      </w:r>
    </w:p>
    <w:p>
      <w:pPr>
        <w:spacing w:after="0" w:line="2" w:lineRule="exact"/>
        <w:rPr>
          <w:rFonts w:ascii="Times New Roman" w:cs="Times New Roman" w:eastAsia="Times New Roman" w:hAnsi="Times New Roman"/>
          <w:sz w:val="23"/>
          <w:szCs w:val="23"/>
          <w:color w:val="auto"/>
          <w:vertAlign w:val="superscript"/>
        </w:rPr>
      </w:pPr>
    </w:p>
    <w:p>
      <w:pPr>
        <w:ind w:left="300"/>
        <w:spacing w:after="0" w:line="19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Any prepayment of (1) Term SOFR Loans shall be in a principal amount of $1,000,000 or a whole multiple of</w:t>
      </w:r>
    </w:p>
    <w:p>
      <w:pPr>
        <w:jc w:val="both"/>
        <w:ind w:left="300" w:right="199"/>
        <w:spacing w:after="0" w:line="24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$500,000 in excess thereof; and (iii) any prepayment of Base Rate Loans shall be in a principal amount of $500,000 or a whole multiple of $100,000 in excess thereof or, in each case, if less, the entire principal amount thereof then outstanding or (2) Swingline Loans shall be in a minimum principal amount of $100,000 or a whole multiple of</w:t>
      </w:r>
    </w:p>
    <w:p>
      <w:pPr>
        <w:spacing w:after="0" w:line="2" w:lineRule="exact"/>
        <w:rPr>
          <w:rFonts w:ascii="Times New Roman" w:cs="Times New Roman" w:eastAsia="Times New Roman" w:hAnsi="Times New Roman"/>
          <w:sz w:val="23"/>
          <w:szCs w:val="23"/>
          <w:color w:val="auto"/>
          <w:vertAlign w:val="superscript"/>
        </w:rPr>
      </w:pPr>
    </w:p>
    <w:p>
      <w:pPr>
        <w:ind w:left="3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$100,000 in excess thereof (or, if less, the entire principal thereof then outstanding).</w:t>
      </w:r>
    </w:p>
    <w:p>
      <w:pPr>
        <w:sectPr>
          <w:pgSz w:w="11900" w:h="16838" w:orient="portrait"/>
          <w:cols w:equalWidth="0" w:num="1">
            <w:col w:w="10019"/>
          </w:cols>
          <w:pgMar w:left="440" w:top="1409" w:right="1440" w:bottom="1440" w:gutter="0" w:footer="0" w:header="0"/>
        </w:sectPr>
      </w:pPr>
    </w:p>
    <w:bookmarkStart w:id="152" w:name="page153"/>
    <w:bookmarkEnd w:id="152"/>
    <w:p>
      <w:pPr>
        <w:ind w:right="199" w:firstLine="648"/>
        <w:spacing w:after="0" w:line="283" w:lineRule="auto"/>
        <w:rPr>
          <w:sz w:val="20"/>
          <w:szCs w:val="20"/>
          <w:color w:val="auto"/>
        </w:rPr>
      </w:pPr>
      <w:r>
        <w:rPr>
          <w:rFonts w:ascii="Times New Roman" w:cs="Times New Roman" w:eastAsia="Times New Roman" w:hAnsi="Times New Roman"/>
          <w:sz w:val="20"/>
          <w:szCs w:val="20"/>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9719"/>
          </w:cols>
          <w:pgMar w:left="740" w:top="1399" w:right="1440" w:bottom="1440" w:gutter="0" w:footer="0" w:header="0"/>
        </w:sectPr>
      </w:pPr>
    </w:p>
    <w:bookmarkStart w:id="153" w:name="page154"/>
    <w:bookmarkEnd w:id="153"/>
    <w:p>
      <w:pPr>
        <w:ind w:left="3180"/>
        <w:spacing w:after="0"/>
        <w:rPr>
          <w:sz w:val="20"/>
          <w:szCs w:val="20"/>
          <w:color w:val="auto"/>
        </w:rPr>
      </w:pPr>
      <w:r>
        <w:rPr>
          <w:rFonts w:ascii="Times New Roman" w:cs="Times New Roman" w:eastAsia="Times New Roman" w:hAnsi="Times New Roman"/>
          <w:sz w:val="20"/>
          <w:szCs w:val="20"/>
          <w:color w:val="auto"/>
        </w:rPr>
        <w:t>NCINO OPCO, INC.,</w:t>
      </w:r>
    </w:p>
    <w:p>
      <w:pPr>
        <w:spacing w:after="0" w:line="2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color w:val="auto"/>
        </w:rPr>
        <w:t>a Delaware corporation</w:t>
      </w:r>
    </w:p>
    <w:p>
      <w:pPr>
        <w:spacing w:after="0" w:line="225" w:lineRule="exact"/>
        <w:rPr>
          <w:sz w:val="20"/>
          <w:szCs w:val="20"/>
          <w:color w:val="auto"/>
        </w:rPr>
      </w:pPr>
    </w:p>
    <w:p>
      <w:pPr>
        <w:ind w:left="3180"/>
        <w:spacing w:after="0"/>
        <w:tabs>
          <w:tab w:leader="none" w:pos="3700" w:val="left"/>
          <w:tab w:leader="none" w:pos="448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-10795</wp:posOffset>
            </wp:positionV>
            <wp:extent cx="1257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-10795</wp:posOffset>
            </wp:positionV>
            <wp:extent cx="1257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-10795</wp:posOffset>
            </wp:positionV>
            <wp:extent cx="1257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[Signature Page to Notice of Loan Prepayment]</w:t>
      </w:r>
    </w:p>
    <w:p>
      <w:pPr>
        <w:sectPr>
          <w:pgSz w:w="11900" w:h="16838" w:orient="portrait"/>
          <w:cols w:equalWidth="0" w:num="1">
            <w:col w:w="9019"/>
          </w:cols>
          <w:pgMar w:left="1440" w:top="1399" w:right="1440" w:bottom="1440" w:gutter="0" w:footer="0" w:header="0"/>
          <w:type w:val="continuous"/>
        </w:sectPr>
      </w:pPr>
    </w:p>
    <w:bookmarkStart w:id="154" w:name="page155"/>
    <w:bookmarkEnd w:id="154"/>
    <w:p>
      <w:pPr>
        <w:jc w:val="center"/>
        <w:ind w:right="-700"/>
        <w:spacing w:after="0"/>
        <w:rPr>
          <w:sz w:val="20"/>
          <w:szCs w:val="20"/>
          <w:color w:val="auto"/>
        </w:rPr>
      </w:pPr>
      <w:r>
        <w:rPr>
          <w:rFonts w:ascii="Times New Roman" w:cs="Times New Roman" w:eastAsia="Times New Roman" w:hAnsi="Times New Roman"/>
          <w:sz w:val="20"/>
          <w:szCs w:val="20"/>
          <w:b w:val="1"/>
          <w:bCs w:val="1"/>
          <w:u w:val="single" w:color="auto"/>
          <w:color w:val="auto"/>
        </w:rPr>
        <w:t>EXHIBIT 2.11(a)</w:t>
      </w:r>
    </w:p>
    <w:p>
      <w:pPr>
        <w:spacing w:after="0" w:line="22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2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b w:val="1"/>
          <w:bCs w:val="1"/>
          <w:color w:val="auto"/>
        </w:rPr>
        <w:t>Revolving Note</w:t>
      </w:r>
    </w:p>
    <w:p>
      <w:pPr>
        <w:spacing w:after="0" w:line="6" w:lineRule="exact"/>
        <w:rPr>
          <w:sz w:val="20"/>
          <w:szCs w:val="20"/>
          <w:color w:val="auto"/>
        </w:rPr>
      </w:pPr>
    </w:p>
    <w:p>
      <w:pPr>
        <w:jc w:val="center"/>
        <w:ind w:right="-680"/>
        <w:spacing w:after="0"/>
        <w:tabs>
          <w:tab w:leader="none" w:pos="160" w:val="left"/>
          <w:tab w:leader="none" w:pos="180" w:val="left"/>
        </w:tabs>
        <w:rPr>
          <w:sz w:val="20"/>
          <w:szCs w:val="20"/>
          <w:color w:val="auto"/>
        </w:rPr>
      </w:pPr>
      <w:r>
        <w:rPr>
          <w:rFonts w:ascii="Times New Roman" w:cs="Times New Roman" w:eastAsia="Times New Roman" w:hAnsi="Times New Roman"/>
          <w:sz w:val="20"/>
          <w:szCs w:val="20"/>
          <w:b w:val="1"/>
          <w:bCs w:val="1"/>
          <w:color w:val="auto"/>
        </w:rPr>
        <w:t>[</w:t>
        <w:tab/>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-20320</wp:posOffset>
            </wp:positionV>
            <wp:extent cx="1257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-20320</wp:posOffset>
            </wp:positionV>
            <wp:extent cx="1257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76" w:lineRule="exact"/>
        <w:rPr>
          <w:sz w:val="20"/>
          <w:szCs w:val="20"/>
          <w:color w:val="auto"/>
        </w:rPr>
      </w:pPr>
    </w:p>
    <w:p>
      <w:pPr>
        <w:jc w:val="both"/>
        <w:ind w:right="199" w:firstLine="648"/>
        <w:spacing w:after="0" w:line="254" w:lineRule="auto"/>
        <w:rPr>
          <w:sz w:val="20"/>
          <w:szCs w:val="20"/>
          <w:color w:val="auto"/>
        </w:rPr>
      </w:pPr>
      <w:r>
        <w:rPr>
          <w:rFonts w:ascii="Times New Roman" w:cs="Times New Roman" w:eastAsia="Times New Roman" w:hAnsi="Times New Roman"/>
          <w:sz w:val="20"/>
          <w:szCs w:val="20"/>
          <w:color w:val="auto"/>
        </w:rPr>
        <w:t>FOR VALUE RECEIVED, the undersigned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hereby promises to pay to </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 xml:space="preserve"> or its registered assigns (the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in accordance with the provisions of the Credit Agreement (as hereinafter defined), the principal amount of each Revolving Loan from time to time made by the Lender to the Borrower under that certain Credit Agreement, dated as of October 28, 2024 (as amended, restated, extended, supplemented or otherwise modified in writing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the terms defined therein being used herein as therein defined), among the Borrower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Guarantors from time to time party thereto, the Lenders from time to time party thereto, and Bank of America, N.A., as Administrative Agent, L/C Issuer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5016500</wp:posOffset>
            </wp:positionH>
            <wp:positionV relativeFrom="paragraph">
              <wp:posOffset>-944245</wp:posOffset>
            </wp:positionV>
            <wp:extent cx="1511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130" cy="8255"/>
                    </a:xfrm>
                    <a:prstGeom prst="rect">
                      <a:avLst/>
                    </a:prstGeom>
                    <a:noFill/>
                  </pic:spPr>
                </pic:pic>
              </a:graphicData>
            </a:graphic>
          </wp:anchor>
        </w:drawing>
      </w:r>
    </w:p>
    <w:p>
      <w:pPr>
        <w:spacing w:after="0" w:line="170" w:lineRule="exact"/>
        <w:rPr>
          <w:sz w:val="20"/>
          <w:szCs w:val="20"/>
          <w:color w:val="auto"/>
        </w:rPr>
      </w:pPr>
    </w:p>
    <w:p>
      <w:pPr>
        <w:jc w:val="both"/>
        <w:ind w:right="179" w:firstLine="648"/>
        <w:spacing w:after="0" w:line="251" w:lineRule="auto"/>
        <w:rPr>
          <w:sz w:val="20"/>
          <w:szCs w:val="20"/>
          <w:color w:val="auto"/>
        </w:rPr>
      </w:pPr>
      <w:r>
        <w:rPr>
          <w:rFonts w:ascii="Times New Roman" w:cs="Times New Roman" w:eastAsia="Times New Roman" w:hAnsi="Times New Roman"/>
          <w:sz w:val="20"/>
          <w:szCs w:val="20"/>
          <w:color w:val="auto"/>
        </w:rPr>
        <w:t>The Borrower promises to pay interest on the unpaid principal amount of each Revolving Loan from the date of such Revolving Loan until such principal amount is paid in full, at such interest rates and at such times as provided in the Credit Agreement. Except as otherwise provided in Section 2.04(f) of the Credit Agreement with respect to Swingline Loans,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82" w:lineRule="exact"/>
        <w:rPr>
          <w:sz w:val="20"/>
          <w:szCs w:val="20"/>
          <w:color w:val="auto"/>
        </w:rPr>
      </w:pPr>
    </w:p>
    <w:p>
      <w:pPr>
        <w:jc w:val="both"/>
        <w:ind w:right="199" w:firstLine="648"/>
        <w:spacing w:after="0" w:line="257" w:lineRule="auto"/>
        <w:rPr>
          <w:sz w:val="20"/>
          <w:szCs w:val="20"/>
          <w:color w:val="auto"/>
        </w:rPr>
      </w:pPr>
      <w:r>
        <w:rPr>
          <w:rFonts w:ascii="Times New Roman" w:cs="Times New Roman" w:eastAsia="Times New Roman" w:hAnsi="Times New Roman"/>
          <w:sz w:val="20"/>
          <w:szCs w:val="20"/>
          <w:color w:val="auto"/>
        </w:rPr>
        <w:t>This Revolving Note is one of the Revolving Notes referred to in the Credit Agreement, and the holder is entitled to the benefits thereof. Revolving Loans made by the Lender shall be evidenced by one or more loan accounts or records maintained by the Lender in the ordinary course of business. The Lender may also attach schedules to this Revolving Note and endorse thereon the date, amount and maturity of its Revolving Loans and payments with respect thereto.</w:t>
      </w:r>
    </w:p>
    <w:p>
      <w:pPr>
        <w:spacing w:after="0" w:line="173" w:lineRule="exact"/>
        <w:rPr>
          <w:sz w:val="20"/>
          <w:szCs w:val="20"/>
          <w:color w:val="auto"/>
        </w:rPr>
      </w:pPr>
    </w:p>
    <w:p>
      <w:pPr>
        <w:jc w:val="both"/>
        <w:ind w:right="199" w:firstLine="648"/>
        <w:spacing w:after="0" w:line="283" w:lineRule="auto"/>
        <w:rPr>
          <w:sz w:val="20"/>
          <w:szCs w:val="20"/>
          <w:color w:val="auto"/>
        </w:rPr>
      </w:pPr>
      <w:r>
        <w:rPr>
          <w:rFonts w:ascii="Times New Roman" w:cs="Times New Roman" w:eastAsia="Times New Roman" w:hAnsi="Times New Roman"/>
          <w:sz w:val="20"/>
          <w:szCs w:val="20"/>
          <w:color w:val="auto"/>
        </w:rPr>
        <w:t>The Borrower, for itself, its successors and assigns, hereby waives diligence, presentment, protest and demand and notice of protest, demand, dishonor and non-payment of this Revolving Note.</w:t>
      </w:r>
    </w:p>
    <w:p>
      <w:pPr>
        <w:spacing w:after="0" w:line="133" w:lineRule="exact"/>
        <w:rPr>
          <w:sz w:val="20"/>
          <w:szCs w:val="20"/>
          <w:color w:val="auto"/>
        </w:rPr>
      </w:pPr>
    </w:p>
    <w:p>
      <w:pPr>
        <w:jc w:val="both"/>
        <w:ind w:right="199" w:firstLine="648"/>
        <w:spacing w:after="0" w:line="254" w:lineRule="auto"/>
        <w:rPr>
          <w:sz w:val="20"/>
          <w:szCs w:val="20"/>
          <w:color w:val="auto"/>
        </w:rPr>
      </w:pPr>
      <w:r>
        <w:rPr>
          <w:rFonts w:ascii="Times New Roman" w:cs="Times New Roman" w:eastAsia="Times New Roman" w:hAnsi="Times New Roman"/>
          <w:sz w:val="20"/>
          <w:szCs w:val="20"/>
          <w:color w:val="auto"/>
        </w:rPr>
        <w:t>Delivery of an executed counterpart of a signature page of this Revolving Note by fax transmission or other electronic mail transmission (e.g. “pdf” or “tif”) shall be effective as delivery of a manually executed counterpart of this Revolving Note.</w:t>
      </w:r>
    </w:p>
    <w:p>
      <w:pPr>
        <w:spacing w:after="0" w:line="174" w:lineRule="exact"/>
        <w:rPr>
          <w:sz w:val="20"/>
          <w:szCs w:val="20"/>
          <w:color w:val="auto"/>
        </w:rPr>
      </w:pPr>
    </w:p>
    <w:p>
      <w:pPr>
        <w:jc w:val="both"/>
        <w:ind w:right="199" w:firstLine="648"/>
        <w:spacing w:after="0" w:line="269" w:lineRule="auto"/>
        <w:rPr>
          <w:sz w:val="20"/>
          <w:szCs w:val="20"/>
          <w:color w:val="auto"/>
        </w:rPr>
      </w:pPr>
      <w:r>
        <w:rPr>
          <w:rFonts w:ascii="Times New Roman" w:cs="Times New Roman" w:eastAsia="Times New Roman" w:hAnsi="Times New Roman"/>
          <w:sz w:val="20"/>
          <w:szCs w:val="20"/>
          <w:color w:val="auto"/>
        </w:rPr>
        <w:t>THIS NOTE SHALL BE GOVERNED BY AND CONSTRUED IN ACCORDANCE WITH THE LAWS OF THE STATE OF NEW YORK.</w:t>
      </w:r>
    </w:p>
    <w:p>
      <w:pPr>
        <w:spacing w:after="0" w:line="15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9719"/>
          </w:cols>
          <w:pgMar w:left="740" w:top="1409" w:right="1440" w:bottom="1440" w:gutter="0" w:footer="0" w:header="0"/>
        </w:sectPr>
      </w:pPr>
    </w:p>
    <w:bookmarkStart w:id="155" w:name="page156"/>
    <w:bookmarkEnd w:id="155"/>
    <w:p>
      <w:pPr>
        <w:ind w:left="3180"/>
        <w:spacing w:after="0"/>
        <w:rPr>
          <w:sz w:val="20"/>
          <w:szCs w:val="20"/>
          <w:color w:val="auto"/>
        </w:rPr>
      </w:pPr>
      <w:r>
        <w:rPr>
          <w:rFonts w:ascii="Times New Roman" w:cs="Times New Roman" w:eastAsia="Times New Roman" w:hAnsi="Times New Roman"/>
          <w:sz w:val="19"/>
          <w:szCs w:val="19"/>
          <w:b w:val="1"/>
          <w:bCs w:val="1"/>
          <w:color w:val="auto"/>
        </w:rPr>
        <w:t>NCINO OPCO, INC.</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color w:val="auto"/>
        </w:rPr>
        <w:t>a Delaware corporation</w:t>
      </w:r>
    </w:p>
    <w:p>
      <w:pPr>
        <w:spacing w:after="0" w:line="225" w:lineRule="exact"/>
        <w:rPr>
          <w:sz w:val="20"/>
          <w:szCs w:val="20"/>
          <w:color w:val="auto"/>
        </w:rPr>
      </w:pPr>
    </w:p>
    <w:p>
      <w:pPr>
        <w:ind w:left="3180"/>
        <w:spacing w:after="0"/>
        <w:tabs>
          <w:tab w:leader="none" w:pos="3700" w:val="left"/>
          <w:tab w:leader="none" w:pos="448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-10795</wp:posOffset>
            </wp:positionV>
            <wp:extent cx="125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-10795</wp:posOffset>
            </wp:positionV>
            <wp:extent cx="1257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-10795</wp:posOffset>
            </wp:positionV>
            <wp:extent cx="1257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156" w:name="page157"/>
    <w:bookmarkEnd w:id="156"/>
    <w:p>
      <w:pPr>
        <w:ind w:left="3480"/>
        <w:spacing w:after="0"/>
        <w:rPr>
          <w:sz w:val="20"/>
          <w:szCs w:val="20"/>
          <w:color w:val="auto"/>
        </w:rPr>
      </w:pPr>
      <w:r>
        <w:rPr>
          <w:rFonts w:ascii="Times New Roman" w:cs="Times New Roman" w:eastAsia="Times New Roman" w:hAnsi="Times New Roman"/>
          <w:sz w:val="20"/>
          <w:szCs w:val="20"/>
          <w:b w:val="1"/>
          <w:bCs w:val="1"/>
          <w:u w:val="single" w:color="auto"/>
          <w:color w:val="auto"/>
        </w:rPr>
        <w:t>EXHIBIT 3.01-1</w:t>
      </w:r>
    </w:p>
    <w:p>
      <w:pPr>
        <w:spacing w:after="0" w:line="229"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26" w:lineRule="exact"/>
        <w:rPr>
          <w:sz w:val="20"/>
          <w:szCs w:val="20"/>
          <w:color w:val="auto"/>
        </w:rPr>
      </w:pPr>
    </w:p>
    <w:p>
      <w:pPr>
        <w:jc w:val="center"/>
        <w:ind w:right="1319"/>
        <w:spacing w:after="0"/>
        <w:rPr>
          <w:sz w:val="20"/>
          <w:szCs w:val="20"/>
          <w:color w:val="auto"/>
        </w:rPr>
      </w:pPr>
      <w:r>
        <w:rPr>
          <w:rFonts w:ascii="Times New Roman" w:cs="Times New Roman" w:eastAsia="Times New Roman" w:hAnsi="Times New Roman"/>
          <w:sz w:val="20"/>
          <w:szCs w:val="20"/>
          <w:b w:val="1"/>
          <w:bCs w:val="1"/>
          <w:color w:val="auto"/>
        </w:rPr>
        <w:t>U.S. Tax Compliance Certificate</w:t>
      </w:r>
    </w:p>
    <w:p>
      <w:pPr>
        <w:spacing w:after="0" w:line="2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(For Foreign Lenders That Are Not Partnerships For U.S.</w:t>
      </w:r>
    </w:p>
    <w:p>
      <w:pPr>
        <w:spacing w:after="0" w:line="2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Federal Income Tax Purposes)</w:t>
      </w:r>
    </w:p>
    <w:p>
      <w:pPr>
        <w:spacing w:after="0" w:line="194" w:lineRule="exact"/>
        <w:rPr>
          <w:sz w:val="20"/>
          <w:szCs w:val="20"/>
          <w:color w:val="auto"/>
        </w:rPr>
      </w:pPr>
    </w:p>
    <w:p>
      <w:pPr>
        <w:jc w:val="both"/>
        <w:ind w:right="199"/>
        <w:spacing w:after="0" w:line="250"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October 28, 2024, by and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from time to time party thereto, the Lenders from time to time party thereto, and Bank of America, N.A., as Administrative Agent, L/C Issuer and Swingline Lender (as amended, modified, extended,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”).Pursuant to the provisions of Section 3.01 of the Credit Agreement, the undersigned hereby certifies that (a) it is the sole record and beneficial owner of the Loan(s) (as well as any Note(s) evidencing such Loan(s)) in respect of which it is providing this certificate, (b) it is not a bank within the meaning of Section 881(c)(3)(A) of the Code, (c) it is not a ten percent shareholder of the Borrower within the meaning of Section 871(h)(3)(B) of the Code, and (d) it is not a controlled foreign corporation related to the Borrower as described in Section 881(c)(3)(C) of the Code.</w:t>
      </w:r>
    </w:p>
    <w:p>
      <w:pPr>
        <w:spacing w:after="0" w:line="196" w:lineRule="exact"/>
        <w:rPr>
          <w:sz w:val="20"/>
          <w:szCs w:val="20"/>
          <w:color w:val="auto"/>
        </w:rPr>
      </w:pPr>
    </w:p>
    <w:p>
      <w:pPr>
        <w:jc w:val="both"/>
        <w:ind w:right="199"/>
        <w:spacing w:after="0" w:line="253"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 with a certificate of its non-U.S. Person status on IRS Form W-8BEN (or W-8BEN-E). By executing this certificate, the undersigned agrees that (a) if the information provided on this certificate changes, the undersigned shall promptly so inform the Borrower and the Administrative Agent, and (b)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9" w:lineRule="exact"/>
        <w:rPr>
          <w:sz w:val="20"/>
          <w:szCs w:val="20"/>
          <w:color w:val="auto"/>
        </w:rPr>
      </w:pPr>
    </w:p>
    <w:p>
      <w:pPr>
        <w:jc w:val="both"/>
        <w:ind w:right="199"/>
        <w:spacing w:after="0" w:line="269"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 OF FOREIGN LENDER]</w:t>
      </w:r>
    </w:p>
    <w:p>
      <w:pPr>
        <w:spacing w:after="0" w:line="200" w:lineRule="exact"/>
        <w:rPr>
          <w:sz w:val="20"/>
          <w:szCs w:val="20"/>
          <w:color w:val="auto"/>
        </w:rPr>
      </w:pPr>
    </w:p>
    <w:p>
      <w:pPr>
        <w:spacing w:after="0" w:line="263" w:lineRule="exact"/>
        <w:rPr>
          <w:sz w:val="20"/>
          <w:szCs w:val="20"/>
          <w:color w:val="auto"/>
        </w:rPr>
      </w:pPr>
    </w:p>
    <w:p>
      <w:pPr>
        <w:spacing w:after="0"/>
        <w:tabs>
          <w:tab w:leader="none" w:pos="520" w:val="left"/>
          <w:tab w:leader="none" w:pos="1280" w:val="left"/>
        </w:tabs>
        <w:rPr>
          <w:sz w:val="20"/>
          <w:szCs w:val="20"/>
          <w:color w:val="auto"/>
        </w:rPr>
      </w:pPr>
      <w:r>
        <w:rPr>
          <w:rFonts w:ascii="Times New Roman" w:cs="Times New Roman" w:eastAsia="Times New Roman" w:hAnsi="Times New Roman"/>
          <w:sz w:val="20"/>
          <w:szCs w:val="20"/>
          <w:color w:val="auto"/>
        </w:rPr>
        <w:t>By:</w:t>
        <w:tab/>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-10795</wp:posOffset>
            </wp:positionV>
            <wp:extent cx="125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-10795</wp:posOffset>
            </wp:positionV>
            <wp:extent cx="125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-10795</wp:posOffset>
            </wp:positionV>
            <wp:extent cx="1257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720" w:val="left"/>
          <w:tab w:leader="none" w:pos="1160" w:val="left"/>
        </w:tabs>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-8255</wp:posOffset>
            </wp:positionV>
            <wp:extent cx="125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-8255</wp:posOffset>
            </wp:positionV>
            <wp:extent cx="1257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9719"/>
          </w:cols>
          <w:pgMar w:left="740" w:top="1409" w:right="1440" w:bottom="1440" w:gutter="0" w:footer="0" w:header="0"/>
        </w:sectPr>
      </w:pPr>
    </w:p>
    <w:bookmarkStart w:id="157" w:name="page158"/>
    <w:bookmarkEnd w:id="157"/>
    <w:p>
      <w:pPr>
        <w:ind w:left="3480"/>
        <w:spacing w:after="0"/>
        <w:rPr>
          <w:sz w:val="20"/>
          <w:szCs w:val="20"/>
          <w:color w:val="auto"/>
        </w:rPr>
      </w:pPr>
      <w:r>
        <w:rPr>
          <w:rFonts w:ascii="Times New Roman" w:cs="Times New Roman" w:eastAsia="Times New Roman" w:hAnsi="Times New Roman"/>
          <w:sz w:val="20"/>
          <w:szCs w:val="20"/>
          <w:b w:val="1"/>
          <w:bCs w:val="1"/>
          <w:u w:val="single" w:color="auto"/>
          <w:color w:val="auto"/>
        </w:rPr>
        <w:t>EXHIBIT 3.01-2</w:t>
      </w:r>
    </w:p>
    <w:p>
      <w:pPr>
        <w:spacing w:after="0" w:line="229"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26" w:lineRule="exact"/>
        <w:rPr>
          <w:sz w:val="20"/>
          <w:szCs w:val="20"/>
          <w:color w:val="auto"/>
        </w:rPr>
      </w:pPr>
    </w:p>
    <w:p>
      <w:pPr>
        <w:jc w:val="center"/>
        <w:ind w:right="1319"/>
        <w:spacing w:after="0"/>
        <w:rPr>
          <w:sz w:val="20"/>
          <w:szCs w:val="20"/>
          <w:color w:val="auto"/>
        </w:rPr>
      </w:pPr>
      <w:r>
        <w:rPr>
          <w:rFonts w:ascii="Times New Roman" w:cs="Times New Roman" w:eastAsia="Times New Roman" w:hAnsi="Times New Roman"/>
          <w:sz w:val="20"/>
          <w:szCs w:val="20"/>
          <w:b w:val="1"/>
          <w:bCs w:val="1"/>
          <w:color w:val="auto"/>
        </w:rPr>
        <w:t>U.S. Tax Compliance Certificate</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(For Foreign Participants That Are Not Partnerships For U.S.</w:t>
      </w:r>
    </w:p>
    <w:p>
      <w:pPr>
        <w:spacing w:after="0" w:line="2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Federal Income Tax Purposes)</w:t>
      </w:r>
    </w:p>
    <w:p>
      <w:pPr>
        <w:spacing w:after="0" w:line="194" w:lineRule="exact"/>
        <w:rPr>
          <w:sz w:val="20"/>
          <w:szCs w:val="20"/>
          <w:color w:val="auto"/>
        </w:rPr>
      </w:pPr>
    </w:p>
    <w:p>
      <w:pPr>
        <w:jc w:val="both"/>
        <w:ind w:right="199"/>
        <w:spacing w:after="0" w:line="250"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October 28, 2024, by and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from time to time party thereto, the Lenders from time to time party thereto, and Bank of America, N.A., as Administrative Agent, L/C Issuer and Swingline Lender (as amended, modified, extended,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Pursuant to the provisions of Section 3.01 of the Credit Agreement, the undersigned hereby certifies that (a) it is the sole record and beneficial owner of the participation in respect of which it is providing this certificate, (b) it is not a bank within the meaning of Section 881(c)(3)(A) of the Code, (c) it is not a ten percent shareholder of the Borrower within the meaning of Section 871(h)(3)(B) of the Code, and (d) it is not a controlled foreign corporation related to the Borrower as described in Section 881(c)(3)(C) of the Code.</w:t>
      </w:r>
    </w:p>
    <w:p>
      <w:pPr>
        <w:spacing w:after="0" w:line="193" w:lineRule="exact"/>
        <w:rPr>
          <w:sz w:val="20"/>
          <w:szCs w:val="20"/>
          <w:color w:val="auto"/>
        </w:rPr>
      </w:pPr>
    </w:p>
    <w:p>
      <w:pPr>
        <w:jc w:val="both"/>
        <w:ind w:right="199"/>
        <w:spacing w:after="0" w:line="253"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a certificate of its non-U.S. Person status on IRS Form W-8BEN (or W-8BEN-E).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2" w:lineRule="exact"/>
        <w:rPr>
          <w:sz w:val="20"/>
          <w:szCs w:val="20"/>
          <w:color w:val="auto"/>
        </w:rPr>
      </w:pPr>
    </w:p>
    <w:p>
      <w:pPr>
        <w:jc w:val="both"/>
        <w:ind w:right="199"/>
        <w:spacing w:after="0" w:line="269"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 OF PARTICIPANT]</w:t>
      </w:r>
    </w:p>
    <w:p>
      <w:pPr>
        <w:spacing w:after="0" w:line="200" w:lineRule="exact"/>
        <w:rPr>
          <w:sz w:val="20"/>
          <w:szCs w:val="20"/>
          <w:color w:val="auto"/>
        </w:rPr>
      </w:pPr>
    </w:p>
    <w:p>
      <w:pPr>
        <w:spacing w:after="0" w:line="263" w:lineRule="exact"/>
        <w:rPr>
          <w:sz w:val="20"/>
          <w:szCs w:val="20"/>
          <w:color w:val="auto"/>
        </w:rPr>
      </w:pPr>
    </w:p>
    <w:p>
      <w:pPr>
        <w:spacing w:after="0"/>
        <w:tabs>
          <w:tab w:leader="none" w:pos="520" w:val="left"/>
          <w:tab w:leader="none" w:pos="1280" w:val="left"/>
        </w:tabs>
        <w:rPr>
          <w:sz w:val="20"/>
          <w:szCs w:val="20"/>
          <w:color w:val="auto"/>
        </w:rPr>
      </w:pPr>
      <w:r>
        <w:rPr>
          <w:rFonts w:ascii="Times New Roman" w:cs="Times New Roman" w:eastAsia="Times New Roman" w:hAnsi="Times New Roman"/>
          <w:sz w:val="20"/>
          <w:szCs w:val="20"/>
          <w:color w:val="auto"/>
        </w:rPr>
        <w:t>By:</w:t>
        <w:tab/>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-10795</wp:posOffset>
            </wp:positionV>
            <wp:extent cx="1257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-10795</wp:posOffset>
            </wp:positionV>
            <wp:extent cx="125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-10795</wp:posOffset>
            </wp:positionV>
            <wp:extent cx="1257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Date: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-10795</wp:posOffset>
            </wp:positionV>
            <wp:extent cx="314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ectPr>
          <w:pgSz w:w="11900" w:h="16838" w:orient="portrait"/>
          <w:cols w:equalWidth="0" w:num="1">
            <w:col w:w="9719"/>
          </w:cols>
          <w:pgMar w:left="740" w:top="1409" w:right="1440" w:bottom="1440" w:gutter="0" w:footer="0" w:header="0"/>
        </w:sectPr>
      </w:pPr>
    </w:p>
    <w:bookmarkStart w:id="158" w:name="page159"/>
    <w:bookmarkEnd w:id="158"/>
    <w:p>
      <w:pPr>
        <w:ind w:left="3480"/>
        <w:spacing w:after="0"/>
        <w:rPr>
          <w:sz w:val="20"/>
          <w:szCs w:val="20"/>
          <w:color w:val="auto"/>
        </w:rPr>
      </w:pPr>
      <w:r>
        <w:rPr>
          <w:rFonts w:ascii="Times New Roman" w:cs="Times New Roman" w:eastAsia="Times New Roman" w:hAnsi="Times New Roman"/>
          <w:sz w:val="20"/>
          <w:szCs w:val="20"/>
          <w:b w:val="1"/>
          <w:bCs w:val="1"/>
          <w:u w:val="single" w:color="auto"/>
          <w:color w:val="auto"/>
        </w:rPr>
        <w:t>EXHIBIT 3.01-3</w:t>
      </w:r>
    </w:p>
    <w:p>
      <w:pPr>
        <w:spacing w:after="0" w:line="229"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26" w:lineRule="exact"/>
        <w:rPr>
          <w:sz w:val="20"/>
          <w:szCs w:val="20"/>
          <w:color w:val="auto"/>
        </w:rPr>
      </w:pPr>
    </w:p>
    <w:p>
      <w:pPr>
        <w:jc w:val="center"/>
        <w:ind w:right="1319"/>
        <w:spacing w:after="0"/>
        <w:rPr>
          <w:sz w:val="20"/>
          <w:szCs w:val="20"/>
          <w:color w:val="auto"/>
        </w:rPr>
      </w:pPr>
      <w:r>
        <w:rPr>
          <w:rFonts w:ascii="Times New Roman" w:cs="Times New Roman" w:eastAsia="Times New Roman" w:hAnsi="Times New Roman"/>
          <w:sz w:val="20"/>
          <w:szCs w:val="20"/>
          <w:b w:val="1"/>
          <w:bCs w:val="1"/>
          <w:color w:val="auto"/>
        </w:rPr>
        <w:t>U.S. Tax Compliance Certificate</w:t>
      </w:r>
    </w:p>
    <w:p>
      <w:pPr>
        <w:spacing w:after="0" w:line="20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(For Foreign Participants That Are Partnerships For U.S.</w:t>
      </w:r>
    </w:p>
    <w:p>
      <w:pPr>
        <w:spacing w:after="0" w:line="2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Federal Income Tax Purposes)</w:t>
      </w:r>
    </w:p>
    <w:p>
      <w:pPr>
        <w:spacing w:after="0" w:line="194" w:lineRule="exact"/>
        <w:rPr>
          <w:sz w:val="20"/>
          <w:szCs w:val="20"/>
          <w:color w:val="auto"/>
        </w:rPr>
      </w:pPr>
    </w:p>
    <w:p>
      <w:pPr>
        <w:jc w:val="both"/>
        <w:ind w:right="199"/>
        <w:spacing w:after="0" w:line="250"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October 28, 2024, by and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from time to time party thereto, the Lenders from time to time party thereto, and Bank of America, N.A., as Administrative Agent, L/C Issuer and Swingline Lender (as amended, modified, extended,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Pursuant to the provisions of Section 3.01 of the Credit Agreement, the undersigned hereby certifies that (a) it is the sole record owner of the participation in respect of which it is providing this certificate, (b) its direct or indirect partners/members are the sole beneficial owners of such participation, (c) with respect such participation,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shareholder of the Borrower within the meaning of Section 871(h)(3)(B) of the Code, and (e) none of its direct or indirect partners/members is a controlled foreign corporation related to the Borrower as described in Section 881(c)(3)(C) of the Code.</w:t>
      </w:r>
    </w:p>
    <w:p>
      <w:pPr>
        <w:spacing w:after="0" w:line="180" w:lineRule="exact"/>
        <w:rPr>
          <w:sz w:val="20"/>
          <w:szCs w:val="20"/>
          <w:color w:val="auto"/>
        </w:rPr>
      </w:pPr>
    </w:p>
    <w:p>
      <w:pPr>
        <w:jc w:val="both"/>
        <w:ind w:right="199"/>
        <w:spacing w:after="0" w:line="253"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IRS Form W-8IMY accompanied by one of the following forms from each of its partners/members that is claiming the portfolio interest exemption: (a) an IRS Form W-8BEN (or W-8BEN-E) or (b) an IRS Form W-8IMY accompanied by an IRS Form W- 8BEN (or W-8BEN-E) from each of such partner’s/member’s beneficial owners that is claiming the portfolio interest exemption. By executing this certificate, the undersigned agrees that (i) if the information provided on this certificate changes, the undersigned shall promptly so inform such Lender and (ii)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jc w:val="both"/>
        <w:ind w:right="199"/>
        <w:spacing w:after="0" w:line="269"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 OF PARTICIPANT]</w:t>
      </w:r>
    </w:p>
    <w:p>
      <w:pPr>
        <w:spacing w:after="0" w:line="200" w:lineRule="exact"/>
        <w:rPr>
          <w:sz w:val="20"/>
          <w:szCs w:val="20"/>
          <w:color w:val="auto"/>
        </w:rPr>
      </w:pPr>
    </w:p>
    <w:p>
      <w:pPr>
        <w:spacing w:after="0" w:line="263" w:lineRule="exact"/>
        <w:rPr>
          <w:sz w:val="20"/>
          <w:szCs w:val="20"/>
          <w:color w:val="auto"/>
        </w:rPr>
      </w:pPr>
    </w:p>
    <w:p>
      <w:pPr>
        <w:spacing w:after="0"/>
        <w:tabs>
          <w:tab w:leader="none" w:pos="520" w:val="left"/>
          <w:tab w:leader="none" w:pos="1280" w:val="left"/>
        </w:tabs>
        <w:rPr>
          <w:sz w:val="20"/>
          <w:szCs w:val="20"/>
          <w:color w:val="auto"/>
        </w:rPr>
      </w:pPr>
      <w:r>
        <w:rPr>
          <w:rFonts w:ascii="Times New Roman" w:cs="Times New Roman" w:eastAsia="Times New Roman" w:hAnsi="Times New Roman"/>
          <w:sz w:val="20"/>
          <w:szCs w:val="20"/>
          <w:color w:val="auto"/>
        </w:rPr>
        <w:t>By:</w:t>
        <w:tab/>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-10795</wp:posOffset>
            </wp:positionV>
            <wp:extent cx="125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-10795</wp:posOffset>
            </wp:positionV>
            <wp:extent cx="1257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-10795</wp:posOffset>
            </wp:positionV>
            <wp:extent cx="1257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Date: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-10795</wp:posOffset>
            </wp:positionV>
            <wp:extent cx="314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ectPr>
          <w:pgSz w:w="11900" w:h="16838" w:orient="portrait"/>
          <w:cols w:equalWidth="0" w:num="1">
            <w:col w:w="9719"/>
          </w:cols>
          <w:pgMar w:left="740" w:top="1409" w:right="1440" w:bottom="1440" w:gutter="0" w:footer="0" w:header="0"/>
        </w:sectPr>
      </w:pPr>
    </w:p>
    <w:bookmarkStart w:id="159" w:name="page160"/>
    <w:bookmarkEnd w:id="159"/>
    <w:p>
      <w:pPr>
        <w:spacing w:after="0" w:line="1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u w:val="single" w:color="auto"/>
          <w:color w:val="auto"/>
        </w:rPr>
        <w:t>Exhibit 3.01-4</w:t>
      </w:r>
    </w:p>
    <w:p>
      <w:pPr>
        <w:spacing w:after="0" w:line="229"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26" w:lineRule="exact"/>
        <w:rPr>
          <w:sz w:val="20"/>
          <w:szCs w:val="20"/>
          <w:color w:val="auto"/>
        </w:rPr>
      </w:pPr>
    </w:p>
    <w:p>
      <w:pPr>
        <w:jc w:val="center"/>
        <w:ind w:right="1319"/>
        <w:spacing w:after="0"/>
        <w:rPr>
          <w:sz w:val="20"/>
          <w:szCs w:val="20"/>
          <w:color w:val="auto"/>
        </w:rPr>
      </w:pPr>
      <w:r>
        <w:rPr>
          <w:rFonts w:ascii="Times New Roman" w:cs="Times New Roman" w:eastAsia="Times New Roman" w:hAnsi="Times New Roman"/>
          <w:sz w:val="20"/>
          <w:szCs w:val="20"/>
          <w:b w:val="1"/>
          <w:bCs w:val="1"/>
          <w:color w:val="auto"/>
        </w:rPr>
        <w:t>U.S. Tax Compliance Certificate</w:t>
      </w:r>
    </w:p>
    <w:p>
      <w:pPr>
        <w:spacing w:after="0" w:line="2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(For Foreign Lenders That Are Partnerships For U.S.</w:t>
      </w:r>
    </w:p>
    <w:p>
      <w:pPr>
        <w:spacing w:after="0" w:line="2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Federal Income Tax Purposes)</w:t>
      </w:r>
    </w:p>
    <w:p>
      <w:pPr>
        <w:spacing w:after="0" w:line="194" w:lineRule="exact"/>
        <w:rPr>
          <w:sz w:val="20"/>
          <w:szCs w:val="20"/>
          <w:color w:val="auto"/>
        </w:rPr>
      </w:pPr>
    </w:p>
    <w:p>
      <w:pPr>
        <w:jc w:val="both"/>
        <w:ind w:right="179"/>
        <w:spacing w:after="0" w:line="249" w:lineRule="auto"/>
        <w:rPr>
          <w:sz w:val="20"/>
          <w:szCs w:val="20"/>
          <w:color w:val="auto"/>
        </w:rPr>
      </w:pPr>
      <w:r>
        <w:rPr>
          <w:rFonts w:ascii="Times New Roman" w:cs="Times New Roman" w:eastAsia="Times New Roman" w:hAnsi="Times New Roman"/>
          <w:sz w:val="20"/>
          <w:szCs w:val="20"/>
          <w:color w:val="auto"/>
        </w:rPr>
        <w:t>Reference is hereby made to the Credit Agreement, dated as of October 28, 2024, by and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from time to time party thereto, the Lenders from time to time party thereto, and Bank of America, N.A., as Administrative Agent, L/C Issuer and Swingline Lender (as amended, modified, extended,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Pursuant to the provisions of Section 3.01 of the Credit Agreement, the undersigned hereby certifies that (a) it is the sole record owner of the Loan(s) (as well as any Note(s) evidencing such Loan(s)) in respect of which it is providing this certificate, (b) its direct or indirect partners/members are the sole beneficial owners of such Loan(s) (as well as any Note(s) evidencing such Loan(s)), (c)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shareholder of the Borrower within the meaning of Section 871(h)(3)(B) of the Code and (e) none of its direct or indirect partners/members is a controlled foreign corporation related to the Borrower as described in Section 881(c)(3)(C) of the Code.</w:t>
      </w:r>
    </w:p>
    <w:p>
      <w:pPr>
        <w:spacing w:after="0" w:line="197" w:lineRule="exact"/>
        <w:rPr>
          <w:sz w:val="20"/>
          <w:szCs w:val="20"/>
          <w:color w:val="auto"/>
        </w:rPr>
      </w:pPr>
    </w:p>
    <w:p>
      <w:pPr>
        <w:jc w:val="both"/>
        <w:ind w:right="199"/>
        <w:spacing w:after="0" w:line="252"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 with IRS Form W-8IMY accompanied by one of the following forms from each of its partners/members that is claiming the portfolio interest exemption: (a) an IRS Form W-8BEN (or W-8BEN-E) or (b) an IRS Form W-8IMY accompanied by an IRS Form W-8BEN (or W-8BEN-E) from each of such partner’s/member’s beneficial owners that is claiming the portfolio interest exemption. By executing this certificate, the undersigned agrees that (i) if the information provided on this certificate changes, the undersigned shall promptly so inform the Borrower and the Administrative Agent, and (ii)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6" w:lineRule="exact"/>
        <w:rPr>
          <w:sz w:val="20"/>
          <w:szCs w:val="20"/>
          <w:color w:val="auto"/>
        </w:rPr>
      </w:pPr>
    </w:p>
    <w:p>
      <w:pPr>
        <w:jc w:val="both"/>
        <w:ind w:right="199"/>
        <w:spacing w:after="0" w:line="283"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 OF LENDER]</w:t>
      </w:r>
    </w:p>
    <w:p>
      <w:pPr>
        <w:spacing w:after="0" w:line="200" w:lineRule="exact"/>
        <w:rPr>
          <w:sz w:val="20"/>
          <w:szCs w:val="20"/>
          <w:color w:val="auto"/>
        </w:rPr>
      </w:pPr>
    </w:p>
    <w:p>
      <w:pPr>
        <w:spacing w:after="0" w:line="263" w:lineRule="exact"/>
        <w:rPr>
          <w:sz w:val="20"/>
          <w:szCs w:val="20"/>
          <w:color w:val="auto"/>
        </w:rPr>
      </w:pPr>
    </w:p>
    <w:p>
      <w:pPr>
        <w:spacing w:after="0"/>
        <w:tabs>
          <w:tab w:leader="none" w:pos="520" w:val="left"/>
          <w:tab w:leader="none" w:pos="1280" w:val="left"/>
        </w:tabs>
        <w:rPr>
          <w:sz w:val="20"/>
          <w:szCs w:val="20"/>
          <w:color w:val="auto"/>
        </w:rPr>
      </w:pPr>
      <w:r>
        <w:rPr>
          <w:rFonts w:ascii="Times New Roman" w:cs="Times New Roman" w:eastAsia="Times New Roman" w:hAnsi="Times New Roman"/>
          <w:sz w:val="20"/>
          <w:szCs w:val="20"/>
          <w:color w:val="auto"/>
        </w:rPr>
        <w:t>By:</w:t>
        <w:tab/>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-10795</wp:posOffset>
            </wp:positionV>
            <wp:extent cx="125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-10795</wp:posOffset>
            </wp:positionV>
            <wp:extent cx="125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-10795</wp:posOffset>
            </wp:positionV>
            <wp:extent cx="1257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Date: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-10795</wp:posOffset>
            </wp:positionV>
            <wp:extent cx="314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ectPr>
          <w:pgSz w:w="11900" w:h="16838" w:orient="portrait"/>
          <w:cols w:equalWidth="0" w:num="1">
            <w:col w:w="9719"/>
          </w:cols>
          <w:pgMar w:left="740" w:top="1440" w:right="1440" w:bottom="1440" w:gutter="0" w:footer="0" w:header="0"/>
        </w:sectPr>
      </w:pPr>
    </w:p>
    <w:bookmarkStart w:id="160" w:name="page161"/>
    <w:bookmarkEnd w:id="160"/>
    <w:p>
      <w:pPr>
        <w:ind w:left="3720"/>
        <w:spacing w:after="0"/>
        <w:rPr>
          <w:sz w:val="20"/>
          <w:szCs w:val="20"/>
          <w:color w:val="auto"/>
        </w:rPr>
      </w:pPr>
      <w:r>
        <w:rPr>
          <w:rFonts w:ascii="Times New Roman" w:cs="Times New Roman" w:eastAsia="Times New Roman" w:hAnsi="Times New Roman"/>
          <w:sz w:val="20"/>
          <w:szCs w:val="20"/>
          <w:b w:val="1"/>
          <w:bCs w:val="1"/>
          <w:u w:val="single" w:color="auto"/>
          <w:color w:val="auto"/>
        </w:rPr>
        <w:t>EXHIBIT 4.01</w:t>
      </w:r>
    </w:p>
    <w:p>
      <w:pPr>
        <w:spacing w:after="0" w:line="33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Solvency Certificate</w:t>
      </w:r>
    </w:p>
    <w:p>
      <w:pPr>
        <w:spacing w:after="0" w:line="13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2312670</wp:posOffset>
            </wp:positionH>
            <wp:positionV relativeFrom="paragraph">
              <wp:posOffset>-10795</wp:posOffset>
            </wp:positionV>
            <wp:extent cx="31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63" w:lineRule="exact"/>
        <w:rPr>
          <w:sz w:val="20"/>
          <w:szCs w:val="20"/>
          <w:color w:val="auto"/>
        </w:rPr>
      </w:pPr>
    </w:p>
    <w:p>
      <w:pPr>
        <w:jc w:val="both"/>
        <w:ind w:right="179" w:firstLine="648"/>
        <w:spacing w:after="0" w:line="251" w:lineRule="auto"/>
        <w:rPr>
          <w:sz w:val="20"/>
          <w:szCs w:val="20"/>
          <w:color w:val="auto"/>
        </w:rPr>
      </w:pPr>
      <w:r>
        <w:rPr>
          <w:rFonts w:ascii="Times New Roman" w:cs="Times New Roman" w:eastAsia="Times New Roman" w:hAnsi="Times New Roman"/>
          <w:sz w:val="20"/>
          <w:szCs w:val="20"/>
          <w:color w:val="auto"/>
        </w:rPr>
        <w:t>This Solvency Certificate (this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is being delivered pursuant to the Credit Agreement, dated as of October 28, 2024 (as amended, modified, extended, restated, amended and restated, replaced,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and not otherwise defined shall have the meanings set forth in the Credit Agreement), by and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DocFox, Inc., a Delaware corporation (“</w:t>
      </w:r>
      <w:r>
        <w:rPr>
          <w:rFonts w:ascii="Times New Roman" w:cs="Times New Roman" w:eastAsia="Times New Roman" w:hAnsi="Times New Roman"/>
          <w:sz w:val="20"/>
          <w:szCs w:val="20"/>
          <w:u w:val="single" w:color="auto"/>
          <w:color w:val="auto"/>
        </w:rPr>
        <w:t>DocFox</w:t>
      </w:r>
      <w:r>
        <w:rPr>
          <w:rFonts w:ascii="Times New Roman" w:cs="Times New Roman" w:eastAsia="Times New Roman" w:hAnsi="Times New Roman"/>
          <w:sz w:val="20"/>
          <w:szCs w:val="20"/>
          <w:color w:val="auto"/>
        </w:rPr>
        <w:t>”), and Integrated Lending Technologies, LLC, a Utah limited liability company (“</w:t>
      </w:r>
      <w:r>
        <w:rPr>
          <w:rFonts w:ascii="Times New Roman" w:cs="Times New Roman" w:eastAsia="Times New Roman" w:hAnsi="Times New Roman"/>
          <w:sz w:val="20"/>
          <w:szCs w:val="20"/>
          <w:u w:val="single" w:color="auto"/>
          <w:color w:val="auto"/>
        </w:rPr>
        <w:t>ILT</w:t>
      </w:r>
      <w:r>
        <w:rPr>
          <w:rFonts w:ascii="Times New Roman" w:cs="Times New Roman" w:eastAsia="Times New Roman" w:hAnsi="Times New Roman"/>
          <w:sz w:val="20"/>
          <w:szCs w:val="20"/>
          <w:color w:val="auto"/>
        </w:rPr>
        <w:t>” and together with DocFox, the Borrower and Holdings,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the Lenders from time to time party thereto and Bank of America, N.A., as Administrative Agent, L/C Issuer and Swingline Lender.</w:t>
      </w:r>
    </w:p>
    <w:p>
      <w:pPr>
        <w:spacing w:after="0" w:line="209" w:lineRule="exact"/>
        <w:rPr>
          <w:sz w:val="20"/>
          <w:szCs w:val="20"/>
          <w:color w:val="auto"/>
        </w:rPr>
      </w:pPr>
    </w:p>
    <w:p>
      <w:pPr>
        <w:jc w:val="both"/>
        <w:ind w:right="199" w:firstLine="648"/>
        <w:spacing w:after="0" w:line="269" w:lineRule="auto"/>
        <w:rPr>
          <w:sz w:val="20"/>
          <w:szCs w:val="20"/>
          <w:color w:val="auto"/>
        </w:rPr>
      </w:pPr>
      <w:r>
        <w:rPr>
          <w:rFonts w:ascii="Times New Roman" w:cs="Times New Roman" w:eastAsia="Times New Roman" w:hAnsi="Times New Roman"/>
          <w:sz w:val="20"/>
          <w:szCs w:val="20"/>
          <w:color w:val="auto"/>
        </w:rPr>
        <w:t>I, [ ], the [ ] of Holdings, in that capacity only and not in my individual capacity, do hereby certify on behalf of the Loan Parties and their Subsidiaries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-192405</wp:posOffset>
            </wp:positionV>
            <wp:extent cx="1257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-192405</wp:posOffset>
            </wp:positionV>
            <wp:extent cx="1257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66" w:lineRule="exact"/>
        <w:rPr>
          <w:sz w:val="20"/>
          <w:szCs w:val="20"/>
          <w:color w:val="auto"/>
        </w:rPr>
      </w:pPr>
    </w:p>
    <w:p>
      <w:pPr>
        <w:ind w:right="199" w:firstLine="650"/>
        <w:spacing w:after="0" w:line="269" w:lineRule="auto"/>
        <w:tabs>
          <w:tab w:leader="none" w:pos="877"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after giving effect to the transactions contemplated by the Credit Agreement, the Loan Parties, together with their Subsidiaries, taken as a whole, on a Consolidated basis are, Solvent.</w:t>
      </w:r>
    </w:p>
    <w:p>
      <w:pPr>
        <w:spacing w:after="0" w:line="199" w:lineRule="exact"/>
        <w:rPr>
          <w:rFonts w:ascii="Times New Roman" w:cs="Times New Roman" w:eastAsia="Times New Roman" w:hAnsi="Times New Roman"/>
          <w:sz w:val="20"/>
          <w:szCs w:val="20"/>
          <w:color w:val="auto"/>
        </w:rPr>
      </w:pPr>
    </w:p>
    <w:p>
      <w:pPr>
        <w:jc w:val="both"/>
        <w:ind w:right="199" w:firstLine="650"/>
        <w:spacing w:after="0" w:line="261" w:lineRule="auto"/>
        <w:tabs>
          <w:tab w:leader="none" w:pos="877"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reaching the conclusions set forth in this Certificate, the undersigned has (i) reviewed the Credit Agreement and other Loan Documents referred to therein and such other documents deemed relevant and (ii) made such other investigations and inquiries as the undersigned has deemed appropriate.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9719"/>
          </w:cols>
          <w:pgMar w:left="740" w:top="1409"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9"/>
          <w:szCs w:val="19"/>
          <w:color w:val="auto"/>
        </w:rPr>
        <w:t>IN WITNESS WHEREOF, I have executed this Certificate this as of the date first written above.</w:t>
      </w:r>
    </w:p>
    <w:p>
      <w:pPr>
        <w:sectPr>
          <w:pgSz w:w="11900" w:h="16838" w:orient="portrait"/>
          <w:cols w:equalWidth="0" w:num="1">
            <w:col w:w="9019"/>
          </w:cols>
          <w:pgMar w:left="1440" w:top="1399" w:right="1440" w:bottom="1440" w:gutter="0" w:footer="0" w:header="0"/>
        </w:sectPr>
      </w:pPr>
    </w:p>
    <w:p>
      <w:pPr>
        <w:spacing w:after="0" w:line="29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b w:val="1"/>
          <w:bCs w:val="1"/>
          <w:color w:val="auto"/>
        </w:rPr>
        <w:t>NCINO, INC.</w:t>
      </w:r>
    </w:p>
    <w:p>
      <w:pPr>
        <w:spacing w:after="0" w:line="285" w:lineRule="exact"/>
        <w:rPr>
          <w:sz w:val="20"/>
          <w:szCs w:val="20"/>
          <w:color w:val="auto"/>
        </w:rPr>
      </w:pPr>
    </w:p>
    <w:p>
      <w:pPr>
        <w:ind w:left="3180"/>
        <w:spacing w:after="0"/>
        <w:tabs>
          <w:tab w:leader="none" w:pos="39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-10795</wp:posOffset>
            </wp:positionV>
            <wp:extent cx="1257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019"/>
          </w:cols>
          <w:pgMar w:left="1440" w:top="1399" w:right="1440" w:bottom="1440" w:gutter="0" w:footer="0" w:header="0"/>
          <w:type w:val="continuous"/>
        </w:sectPr>
      </w:pPr>
    </w:p>
    <w:bookmarkStart w:id="162" w:name="page163"/>
    <w:bookmarkEnd w:id="162"/>
    <w:p>
      <w:pPr>
        <w:spacing w:after="0" w:line="1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EXHIBIT 6.02</w:t>
      </w: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[Form of] Compliance</w:t>
      </w:r>
    </w:p>
    <w:p>
      <w:pPr>
        <w:spacing w:after="0" w:line="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Certificate</w:t>
      </w:r>
    </w:p>
    <w:p>
      <w:pPr>
        <w:spacing w:after="0" w:line="190" w:lineRule="exact"/>
        <w:rPr>
          <w:sz w:val="20"/>
          <w:szCs w:val="20"/>
          <w:color w:val="auto"/>
        </w:rPr>
      </w:pPr>
    </w:p>
    <w:p>
      <w:pPr>
        <w:ind w:left="4720"/>
        <w:spacing w:after="0"/>
        <w:tabs>
          <w:tab w:leader="none" w:pos="7060" w:val="left"/>
          <w:tab w:leader="none" w:pos="7500" w:val="left"/>
        </w:tabs>
        <w:rPr>
          <w:sz w:val="20"/>
          <w:szCs w:val="20"/>
          <w:color w:val="auto"/>
        </w:rPr>
      </w:pPr>
      <w:r>
        <w:rPr>
          <w:rFonts w:ascii="Times New Roman" w:cs="Times New Roman" w:eastAsia="Times New Roman" w:hAnsi="Times New Roman"/>
          <w:sz w:val="20"/>
          <w:szCs w:val="20"/>
          <w:color w:val="auto"/>
        </w:rPr>
        <w:t xml:space="preserve">Financial Statement Date: </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4374515</wp:posOffset>
            </wp:positionH>
            <wp:positionV relativeFrom="paragraph">
              <wp:posOffset>-8255</wp:posOffset>
            </wp:positionV>
            <wp:extent cx="1257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4646295</wp:posOffset>
            </wp:positionH>
            <wp:positionV relativeFrom="paragraph">
              <wp:posOffset>-8255</wp:posOffset>
            </wp:positionV>
            <wp:extent cx="1257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29" w:lineRule="exact"/>
        <w:rPr>
          <w:sz w:val="20"/>
          <w:szCs w:val="20"/>
          <w:color w:val="auto"/>
        </w:rPr>
      </w:pPr>
    </w:p>
    <w:p>
      <w:pPr>
        <w:jc w:val="both"/>
        <w:ind w:left="660" w:right="199" w:hanging="1295"/>
        <w:spacing w:after="0" w:line="251" w:lineRule="auto"/>
        <w:tabs>
          <w:tab w:leader="none" w:pos="6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Credit Agreement, dated as of October 28, 2024 (as amended, modified, extended, restated, amended and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and not otherwise defined shall have the meanings set forth in the Credit Agreement), by and among nCino OpCo,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from time to time party thereto, the Lenders from time to time party thereto, and Bank of America, N.A., as Administrative Agent, L/C Issuer and Swingline Lender</w:t>
      </w:r>
    </w:p>
    <w:p>
      <w:pPr>
        <w:spacing w:after="0" w:line="200" w:lineRule="exact"/>
        <w:rPr>
          <w:sz w:val="20"/>
          <w:szCs w:val="20"/>
          <w:color w:val="auto"/>
        </w:rPr>
      </w:pP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b w:val="1"/>
          <w:bCs w:val="1"/>
          <w:color w:val="auto"/>
        </w:rPr>
        <w:t>[Date]</w:t>
      </w:r>
    </w:p>
    <w:p>
      <w:pPr>
        <w:spacing w:after="0" w:line="220" w:lineRule="exact"/>
        <w:rPr>
          <w:sz w:val="20"/>
          <w:szCs w:val="20"/>
          <w:color w:val="auto"/>
        </w:rPr>
      </w:pPr>
    </w:p>
    <w:p>
      <w:pPr>
        <w:jc w:val="both"/>
        <w:ind w:right="199" w:firstLine="648"/>
        <w:spacing w:after="0" w:line="258" w:lineRule="auto"/>
        <w:rPr>
          <w:sz w:val="20"/>
          <w:szCs w:val="20"/>
          <w:color w:val="auto"/>
        </w:rPr>
      </w:pPr>
      <w:r>
        <w:rPr>
          <w:rFonts w:ascii="Times New Roman" w:cs="Times New Roman" w:eastAsia="Times New Roman" w:hAnsi="Times New Roman"/>
          <w:sz w:val="20"/>
          <w:szCs w:val="20"/>
          <w:color w:val="auto"/>
        </w:rPr>
        <w:t>The undersigned Responsible Officer of Holdings hereby certifies as of the Financial Statement Date that [he/she] is the [ ] of Holdings, and that, in such capacity and not individually, [he/she] is authorized to execute and deliver this Compliance Certificate to the Administrative Agent on behalf of the Borrower and the other Loan Parties, 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-338455</wp:posOffset>
            </wp:positionV>
            <wp:extent cx="1600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6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b w:val="1"/>
          <w:bCs w:val="1"/>
          <w:i w:val="1"/>
          <w:iCs w:val="1"/>
          <w:color w:val="auto"/>
        </w:rPr>
        <w:t>[Use following paragraph 1 for fiscal year-end financial statements]</w:t>
      </w:r>
    </w:p>
    <w:p>
      <w:pPr>
        <w:spacing w:after="0" w:line="220" w:lineRule="exact"/>
        <w:rPr>
          <w:sz w:val="20"/>
          <w:szCs w:val="20"/>
          <w:color w:val="auto"/>
        </w:rPr>
      </w:pPr>
    </w:p>
    <w:p>
      <w:pPr>
        <w:jc w:val="both"/>
        <w:ind w:right="199" w:firstLine="650"/>
        <w:spacing w:after="0" w:line="258" w:lineRule="auto"/>
        <w:tabs>
          <w:tab w:leader="none" w:pos="877"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has delivered the year-end audited financial statements pursuant to Section 6.01(a) of the Credit Agreement for the fiscal year of Holdings ended as of the Financial Statement Date (which such financial statements are attached hereto as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together with a report and opinion of an independent certified public accountant required by such section.</w:t>
      </w:r>
    </w:p>
    <w:p>
      <w:pPr>
        <w:spacing w:after="0" w:line="18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i w:val="1"/>
          <w:iCs w:val="1"/>
          <w:color w:val="auto"/>
        </w:rPr>
        <w:t>[Use following paragraph 1 for fiscal quarter-end financial statements]</w:t>
      </w:r>
    </w:p>
    <w:p>
      <w:pPr>
        <w:spacing w:after="0" w:line="220" w:lineRule="exact"/>
        <w:rPr>
          <w:sz w:val="20"/>
          <w:szCs w:val="20"/>
          <w:color w:val="auto"/>
        </w:rPr>
      </w:pPr>
    </w:p>
    <w:p>
      <w:pPr>
        <w:jc w:val="both"/>
        <w:ind w:right="199" w:firstLine="650"/>
        <w:spacing w:after="0" w:line="253" w:lineRule="auto"/>
        <w:tabs>
          <w:tab w:leader="none" w:pos="877"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delivered unaudited financial statements pursuant to Section 6.01(b) of the Credit Agreement for the fiscal quarter of Holdings ended as of the Financial Statement Date. Such Consolidated financial statements (i) were prepared in accordance with GAAP consistently applied throughout the period covered thereby, except as expressly noted on Schedule [4/5] hereto, and (ii) fairly present the financial condition, results of operations, Shareholders’ Equity and cash flows of Holdings and its Subsidiaries in all material respects, subject only to normal year-end audit adjustments and the absence of footnotes.</w:t>
      </w:r>
    </w:p>
    <w:p>
      <w:pPr>
        <w:spacing w:after="0" w:line="192" w:lineRule="exact"/>
        <w:rPr>
          <w:rFonts w:ascii="Times New Roman" w:cs="Times New Roman" w:eastAsia="Times New Roman" w:hAnsi="Times New Roman"/>
          <w:sz w:val="20"/>
          <w:szCs w:val="20"/>
          <w:color w:val="auto"/>
        </w:rPr>
      </w:pPr>
    </w:p>
    <w:p>
      <w:pPr>
        <w:jc w:val="both"/>
        <w:ind w:right="199" w:firstLine="650"/>
        <w:spacing w:after="0" w:line="251" w:lineRule="auto"/>
        <w:tabs>
          <w:tab w:leader="none" w:pos="877"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undersigned has reviewed the terms of the Credit Agreement and has made, or has caused to be made under [his/her] supervision, a review in reasonable detail of the transactions and condition of Holdings and its Subsidiaries during the accounting period covered by such financial statements referred to in Paragraph 1 above. Such review has not disclosed the existence at the end of such accounting period of any condition or event that constitutes a Default or an Event of Default, nor does the undersigned have any knowledge of the existence of any such condition or event as of the date of this Compliance Certificate [except for such conditions or events listed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attached hereto, in each case, describing the nature and period of existence thereof and what action the Loan Parties have taken, are taking and propose to take with respect thereto].</w:t>
      </w:r>
    </w:p>
    <w:p>
      <w:pPr>
        <w:sectPr>
          <w:pgSz w:w="11900" w:h="16838" w:orient="portrait"/>
          <w:cols w:equalWidth="0" w:num="1">
            <w:col w:w="9719"/>
          </w:cols>
          <w:pgMar w:left="740" w:top="1440" w:right="1440" w:bottom="1440" w:gutter="0" w:footer="0" w:header="0"/>
        </w:sectPr>
      </w:pPr>
    </w:p>
    <w:bookmarkStart w:id="163" w:name="page164"/>
    <w:bookmarkEnd w:id="163"/>
    <w:p>
      <w:pPr>
        <w:jc w:val="both"/>
        <w:ind w:right="199" w:firstLine="650"/>
        <w:spacing w:after="0" w:line="261" w:lineRule="auto"/>
        <w:tabs>
          <w:tab w:leader="none" w:pos="877"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Financial Statement Date, Holdings and its Subsidiaries were in compliance with the financial covenants contained in Section 7.11 of the Credit Agreement as shown on </w:t>
      </w:r>
      <w:r>
        <w:rPr>
          <w:rFonts w:ascii="Times New Roman" w:cs="Times New Roman" w:eastAsia="Times New Roman" w:hAnsi="Times New Roman"/>
          <w:sz w:val="20"/>
          <w:szCs w:val="20"/>
          <w:u w:val="single" w:color="auto"/>
          <w:color w:val="auto"/>
        </w:rPr>
        <w:t>Schedule [2/3]</w:t>
      </w:r>
      <w:r>
        <w:rPr>
          <w:rFonts w:ascii="Times New Roman" w:cs="Times New Roman" w:eastAsia="Times New Roman" w:hAnsi="Times New Roman"/>
          <w:sz w:val="20"/>
          <w:szCs w:val="20"/>
          <w:color w:val="auto"/>
        </w:rPr>
        <w:t xml:space="preserve"> attached hereto (including the details of such calculation).</w:t>
      </w:r>
    </w:p>
    <w:p>
      <w:pPr>
        <w:spacing w:after="0" w:line="1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color w:val="auto"/>
        </w:rPr>
        <w:t>[Use following paragraph 4 for updated Schedules required with fiscal year-end financial statements]</w:t>
      </w:r>
    </w:p>
    <w:p>
      <w:pPr>
        <w:spacing w:after="0" w:line="220" w:lineRule="exact"/>
        <w:rPr>
          <w:sz w:val="20"/>
          <w:szCs w:val="20"/>
          <w:color w:val="auto"/>
        </w:rPr>
      </w:pPr>
    </w:p>
    <w:p>
      <w:pPr>
        <w:jc w:val="both"/>
        <w:ind w:right="199" w:firstLine="650"/>
        <w:spacing w:after="0" w:line="239" w:lineRule="auto"/>
        <w:tabs>
          <w:tab w:leader="none" w:pos="877"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[Closing Date][delivery of the most recent Compliance Certificate pursuant to Section 6.02(a) of the Credit Agreement],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 there have been no changes to the information set forth on Schedule 5.19 of the Credit Agreement [other than as set forth on Schedule [3/4] attached hereto] and (ii) there has been no material change in accounting policies or financial reporting practices by any Loan Party or any Subsidiary thereof [other than as set forth on Schedule [4/5] attached hereto].</w:t>
      </w:r>
    </w:p>
    <w:p>
      <w:pPr>
        <w:spacing w:after="0" w:line="202" w:lineRule="exact"/>
        <w:rPr>
          <w:sz w:val="20"/>
          <w:szCs w:val="20"/>
          <w:color w:val="auto"/>
        </w:rPr>
      </w:pPr>
    </w:p>
    <w:p>
      <w:pPr>
        <w:jc w:val="both"/>
        <w:ind w:right="199" w:firstLine="648"/>
        <w:spacing w:after="0" w:line="261" w:lineRule="auto"/>
        <w:rPr>
          <w:sz w:val="20"/>
          <w:szCs w:val="20"/>
          <w:color w:val="auto"/>
        </w:rPr>
      </w:pPr>
      <w:r>
        <w:rPr>
          <w:rFonts w:ascii="Times New Roman" w:cs="Times New Roman" w:eastAsia="Times New Roman" w:hAnsi="Times New Roman"/>
          <w:sz w:val="20"/>
          <w:szCs w:val="20"/>
          <w:color w:val="auto"/>
        </w:rPr>
        <w:t>Delivery of an executed counterpart of a signature page of this Compliance Certificate by fax transmission or other electronic mail transmission (e.g. “pdf” or “tif”) shall be effective as delivery of a manually executed counterpart of this Compliance Certificate.</w:t>
      </w:r>
    </w:p>
    <w:p>
      <w:pPr>
        <w:spacing w:after="0" w:line="18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9719"/>
          </w:cols>
          <w:pgMar w:left="74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hanging="98"/>
        <w:spacing w:after="0"/>
        <w:tabs>
          <w:tab w:leader="none" w:pos="100" w:val="left"/>
        </w:tabs>
        <w:numPr>
          <w:ilvl w:val="0"/>
          <w:numId w:val="2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Closing Date for the first annual Compliance Certificate delivered after the Closing Date. Thereafter, use the alternative.</w:t>
      </w:r>
    </w:p>
    <w:p>
      <w:pPr>
        <w:sectPr>
          <w:pgSz w:w="11900" w:h="16838" w:orient="portrait"/>
          <w:cols w:equalWidth="0" w:num="1">
            <w:col w:w="9719"/>
          </w:cols>
          <w:pgMar w:left="740" w:top="1399" w:right="1440" w:bottom="1440" w:gutter="0" w:footer="0" w:header="0"/>
          <w:type w:val="continuous"/>
        </w:sectPr>
      </w:pPr>
    </w:p>
    <w:bookmarkStart w:id="164" w:name="page165"/>
    <w:bookmarkEnd w:id="164"/>
    <w:p>
      <w:pPr>
        <w:ind w:left="3180"/>
        <w:spacing w:after="0"/>
        <w:rPr>
          <w:sz w:val="20"/>
          <w:szCs w:val="20"/>
          <w:color w:val="auto"/>
        </w:rPr>
      </w:pPr>
      <w:r>
        <w:rPr>
          <w:rFonts w:ascii="Times New Roman" w:cs="Times New Roman" w:eastAsia="Times New Roman" w:hAnsi="Times New Roman"/>
          <w:sz w:val="20"/>
          <w:szCs w:val="20"/>
          <w:color w:val="auto"/>
        </w:rPr>
        <w:t>NCINO, INC.,</w:t>
      </w:r>
    </w:p>
    <w:p>
      <w:pPr>
        <w:spacing w:after="0" w:line="2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color w:val="auto"/>
        </w:rPr>
        <w:t>a Delaware corporation</w:t>
      </w:r>
    </w:p>
    <w:p>
      <w:pPr>
        <w:spacing w:after="0" w:line="200" w:lineRule="exact"/>
        <w:rPr>
          <w:sz w:val="20"/>
          <w:szCs w:val="20"/>
          <w:color w:val="auto"/>
        </w:rPr>
      </w:pPr>
    </w:p>
    <w:p>
      <w:pPr>
        <w:spacing w:after="0" w:line="268" w:lineRule="exact"/>
        <w:rPr>
          <w:sz w:val="20"/>
          <w:szCs w:val="20"/>
          <w:color w:val="auto"/>
        </w:rPr>
      </w:pPr>
    </w:p>
    <w:p>
      <w:pPr>
        <w:ind w:left="3180"/>
        <w:spacing w:after="0"/>
        <w:tabs>
          <w:tab w:leader="none" w:pos="3700" w:val="left"/>
        </w:tabs>
        <w:rPr>
          <w:sz w:val="20"/>
          <w:szCs w:val="20"/>
          <w:color w:val="auto"/>
        </w:rPr>
      </w:pPr>
      <w:r>
        <w:rPr>
          <w:rFonts w:ascii="Times New Roman" w:cs="Times New Roman" w:eastAsia="Times New Roman" w:hAnsi="Times New Roman"/>
          <w:sz w:val="20"/>
          <w:szCs w:val="20"/>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-10795</wp:posOffset>
            </wp:positionV>
            <wp:extent cx="1257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019"/>
          </w:cols>
          <w:pgMar w:left="1440" w:top="1399" w:right="1440" w:bottom="1440" w:gutter="0" w:footer="0" w:header="0"/>
        </w:sectPr>
      </w:pPr>
    </w:p>
    <w:bookmarkStart w:id="165" w:name="page166"/>
    <w:bookmarkEnd w:id="165"/>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SCHEDULE 1 TO</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COMPLIANCE CERTIFICATE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Financial Statements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See attached</w:t>
      </w:r>
      <w:r>
        <w:rPr>
          <w:rFonts w:ascii="Times New Roman" w:cs="Times New Roman" w:eastAsia="Times New Roman" w:hAnsi="Times New Roman"/>
          <w:sz w:val="20"/>
          <w:szCs w:val="20"/>
          <w:u w:val="single" w:color="auto"/>
          <w:color w:val="auto"/>
        </w:rPr>
        <w:t>]</w:t>
      </w:r>
    </w:p>
    <w:p>
      <w:pPr>
        <w:sectPr>
          <w:pgSz w:w="11900" w:h="16838" w:orient="portrait"/>
          <w:cols w:equalWidth="0" w:num="1">
            <w:col w:w="9019"/>
          </w:cols>
          <w:pgMar w:left="1440" w:top="1440" w:right="1440" w:bottom="1440" w:gutter="0" w:footer="0" w:header="0"/>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20"/>
          <w:szCs w:val="20"/>
          <w:color w:val="auto"/>
        </w:rPr>
        <w:t>[SCHEDULE 2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COMPLIANCE CERTIFICATE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Default or Event of Default]</w:t>
      </w:r>
    </w:p>
    <w:p>
      <w:pPr>
        <w:sectPr>
          <w:pgSz w:w="11900" w:h="16838" w:orient="portrait"/>
          <w:cols w:equalWidth="0" w:num="1">
            <w:col w:w="9019"/>
          </w:cols>
          <w:pgMar w:left="1440" w:top="1399" w:right="1440"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0"/>
          <w:szCs w:val="20"/>
          <w:color w:val="auto"/>
        </w:rPr>
        <w:t>SCHEDULE [2/3]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COMPLIANCE CERTIFICATE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Financial Covenant Analysis and Information [See Attached.]</w:t>
      </w:r>
    </w:p>
    <w:p>
      <w:pPr>
        <w:sectPr>
          <w:pgSz w:w="11900" w:h="16838" w:orient="portrait"/>
          <w:cols w:equalWidth="0" w:num="1">
            <w:col w:w="9019"/>
          </w:cols>
          <w:pgMar w:left="1440" w:top="1399" w:right="1440"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20"/>
          <w:szCs w:val="20"/>
          <w:color w:val="auto"/>
        </w:rPr>
        <w:t>[SCHEDULE 3/4 TO</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COMPLIANCE CERTIFICATE</w:t>
      </w:r>
    </w:p>
    <w:p>
      <w:pPr>
        <w:spacing w:after="0" w:line="27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u w:val="single" w:color="auto"/>
          <w:color w:val="auto"/>
        </w:rPr>
        <w:t>Updates to Schedule 5.19 of the Credit Agreement]</w:t>
      </w:r>
    </w:p>
    <w:p>
      <w:pPr>
        <w:sectPr>
          <w:pgSz w:w="11900" w:h="16838" w:orient="portrait"/>
          <w:cols w:equalWidth="0" w:num="1">
            <w:col w:w="9019"/>
          </w:cols>
          <w:pgMar w:left="1440" w:top="1399"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color w:val="auto"/>
        </w:rPr>
        <w:t>[SCHEDULE 4/5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COMPLIANCE CERTIFICATE</w:t>
      </w:r>
    </w:p>
    <w:p>
      <w:pPr>
        <w:spacing w:after="0" w:line="2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u w:val="single" w:color="auto"/>
          <w:color w:val="auto"/>
        </w:rPr>
        <w:t>Material Change in Accounting Policies or Financial Reporting Practices]</w:t>
      </w:r>
    </w:p>
    <w:p>
      <w:pPr>
        <w:sectPr>
          <w:pgSz w:w="11900" w:h="16838" w:orient="portrait"/>
          <w:cols w:equalWidth="0" w:num="1">
            <w:col w:w="9019"/>
          </w:cols>
          <w:pgMar w:left="1440" w:top="1399" w:right="1440" w:bottom="1440" w:gutter="0" w:footer="0" w:header="0"/>
        </w:sectPr>
      </w:pPr>
    </w:p>
    <w:bookmarkStart w:id="170" w:name="page171"/>
    <w:bookmarkEnd w:id="170"/>
    <w:p>
      <w:pPr>
        <w:ind w:left="3560"/>
        <w:spacing w:after="0"/>
        <w:rPr>
          <w:sz w:val="20"/>
          <w:szCs w:val="20"/>
          <w:color w:val="auto"/>
        </w:rPr>
      </w:pPr>
      <w:r>
        <w:rPr>
          <w:rFonts w:ascii="Times New Roman" w:cs="Times New Roman" w:eastAsia="Times New Roman" w:hAnsi="Times New Roman"/>
          <w:sz w:val="20"/>
          <w:szCs w:val="20"/>
          <w:b w:val="1"/>
          <w:bCs w:val="1"/>
          <w:u w:val="single" w:color="auto"/>
          <w:color w:val="auto"/>
        </w:rPr>
        <w:t>EXHIBIT 6.12</w:t>
      </w: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[Form of] Joinder</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190" w:lineRule="exact"/>
        <w:rPr>
          <w:sz w:val="20"/>
          <w:szCs w:val="20"/>
          <w:color w:val="auto"/>
        </w:rPr>
      </w:pPr>
    </w:p>
    <w:p>
      <w:pPr>
        <w:jc w:val="both"/>
        <w:ind w:right="199" w:firstLine="648"/>
        <w:spacing w:after="0" w:line="267" w:lineRule="auto"/>
        <w:rPr>
          <w:sz w:val="20"/>
          <w:szCs w:val="20"/>
          <w:color w:val="auto"/>
        </w:rPr>
      </w:pPr>
      <w:r>
        <w:rPr>
          <w:rFonts w:ascii="Times New Roman" w:cs="Times New Roman" w:eastAsia="Times New Roman" w:hAnsi="Times New Roman"/>
          <w:sz w:val="19"/>
          <w:szCs w:val="19"/>
          <w:color w:val="auto"/>
        </w:rPr>
        <w:t>THIS JOINDER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dated as of </w:t>
      </w:r>
      <w:r>
        <w:rPr>
          <w:rFonts w:ascii="Times New Roman" w:cs="Times New Roman" w:eastAsia="Times New Roman" w:hAnsi="Times New Roman"/>
          <w:sz w:val="19"/>
          <w:szCs w:val="19"/>
          <w:b w:val="1"/>
          <w:bCs w:val="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w:t>
      </w:r>
      <w:r>
        <w:rPr>
          <w:rFonts w:ascii="Times New Roman" w:cs="Times New Roman" w:eastAsia="Times New Roman" w:hAnsi="Times New Roman"/>
          <w:sz w:val="19"/>
          <w:szCs w:val="19"/>
          <w:color w:val="auto"/>
        </w:rPr>
        <w:t xml:space="preserve">, is by and among </w:t>
      </w:r>
      <w:r>
        <w:rPr>
          <w:rFonts w:ascii="Times New Roman" w:cs="Times New Roman" w:eastAsia="Times New Roman" w:hAnsi="Times New Roman"/>
          <w:sz w:val="19"/>
          <w:szCs w:val="19"/>
          <w:b w:val="1"/>
          <w:bCs w:val="1"/>
          <w:color w:val="auto"/>
        </w:rPr>
        <w:t>[ ]</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 ]</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Subsidiary Guarantor</w:t>
      </w:r>
      <w:r>
        <w:rPr>
          <w:rFonts w:ascii="Times New Roman" w:cs="Times New Roman" w:eastAsia="Times New Roman" w:hAnsi="Times New Roman"/>
          <w:sz w:val="19"/>
          <w:szCs w:val="19"/>
          <w:color w:val="auto"/>
        </w:rPr>
        <w:t>”), nCino OpCo,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and Bank of America, N.A. (“</w:t>
      </w:r>
      <w:r>
        <w:rPr>
          <w:rFonts w:ascii="Times New Roman" w:cs="Times New Roman" w:eastAsia="Times New Roman" w:hAnsi="Times New Roman"/>
          <w:sz w:val="19"/>
          <w:szCs w:val="19"/>
          <w:u w:val="single" w:color="auto"/>
          <w:color w:val="auto"/>
        </w:rPr>
        <w:t>BofA</w:t>
      </w:r>
      <w:r>
        <w:rPr>
          <w:rFonts w:ascii="Times New Roman" w:cs="Times New Roman" w:eastAsia="Times New Roman" w:hAnsi="Times New Roman"/>
          <w:sz w:val="19"/>
          <w:szCs w:val="19"/>
          <w:color w:val="auto"/>
        </w:rPr>
        <w:t>”), in its capacity as administrative agent (in such capacity,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under that certain Credit Agreement, dated as of October 28, 2024 (as amended, modified, extended, restated, replaced, or supplemented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by and among the Borrower, the Guarantors from time to time party thereto, the Lenders from time to time party thereto, the Administrative Agent and BofA, as Swingline Lender and L/C Issuer. Capitalized terms used herein but not otherwise defined shall have the meanings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-942975</wp:posOffset>
            </wp:positionV>
            <wp:extent cx="1600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-942975</wp:posOffset>
            </wp:positionV>
            <wp:extent cx="400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-942975</wp:posOffset>
            </wp:positionV>
            <wp:extent cx="1600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-942975</wp:posOffset>
            </wp:positionV>
            <wp:extent cx="1600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59" w:lineRule="exact"/>
        <w:rPr>
          <w:sz w:val="20"/>
          <w:szCs w:val="20"/>
          <w:color w:val="auto"/>
        </w:rPr>
      </w:pPr>
    </w:p>
    <w:p>
      <w:pPr>
        <w:jc w:val="both"/>
        <w:ind w:right="199" w:firstLine="648"/>
        <w:spacing w:after="0" w:line="269" w:lineRule="auto"/>
        <w:rPr>
          <w:sz w:val="20"/>
          <w:szCs w:val="20"/>
          <w:color w:val="auto"/>
        </w:rPr>
      </w:pPr>
      <w:r>
        <w:rPr>
          <w:rFonts w:ascii="Times New Roman" w:cs="Times New Roman" w:eastAsia="Times New Roman" w:hAnsi="Times New Roman"/>
          <w:sz w:val="20"/>
          <w:szCs w:val="20"/>
          <w:color w:val="auto"/>
        </w:rPr>
        <w:t>The Subsidiary Guarantor is an additional Loan Party, and, consequently, the Loan Parties are required by Section 6.12 of the Credit Agreement to cause the Subsidiary Guarantor to become a “Guarantor” thereunder.</w:t>
      </w:r>
    </w:p>
    <w:p>
      <w:pPr>
        <w:spacing w:after="0" w:line="159" w:lineRule="exact"/>
        <w:rPr>
          <w:sz w:val="20"/>
          <w:szCs w:val="20"/>
          <w:color w:val="auto"/>
        </w:rPr>
      </w:pPr>
    </w:p>
    <w:p>
      <w:pPr>
        <w:jc w:val="both"/>
        <w:ind w:right="199" w:firstLine="648"/>
        <w:spacing w:after="0" w:line="269" w:lineRule="auto"/>
        <w:rPr>
          <w:sz w:val="20"/>
          <w:szCs w:val="20"/>
          <w:color w:val="auto"/>
        </w:rPr>
      </w:pPr>
      <w:r>
        <w:rPr>
          <w:rFonts w:ascii="Times New Roman" w:cs="Times New Roman" w:eastAsia="Times New Roman" w:hAnsi="Times New Roman"/>
          <w:sz w:val="20"/>
          <w:szCs w:val="20"/>
          <w:color w:val="auto"/>
        </w:rPr>
        <w:t>Accordingly, the Subsidiary Guarantor and the Borrower hereby agree as follows with the Administrative Agent, for the benefit of the Secured Parties:</w:t>
      </w:r>
    </w:p>
    <w:p>
      <w:pPr>
        <w:spacing w:after="0" w:line="146" w:lineRule="exact"/>
        <w:rPr>
          <w:sz w:val="20"/>
          <w:szCs w:val="20"/>
          <w:color w:val="auto"/>
        </w:rPr>
      </w:pPr>
    </w:p>
    <w:p>
      <w:pPr>
        <w:jc w:val="both"/>
        <w:ind w:right="199" w:firstLine="650"/>
        <w:spacing w:after="0" w:line="253" w:lineRule="auto"/>
        <w:tabs>
          <w:tab w:leader="none" w:pos="877"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Guarantor hereby acknowledges, agrees and confirms that, by its execution of this Agreement, the Subsidiary Guarantor will be deemed to be a party to and a “Guarantor” under the Credit Agreement and shall have all of the obligations of a Guarantor thereunder as if it had executed the Credit Agreement and the other Loan Documents as a Guarantor. The Subsidiary Guarantor hereby ratifies, as of the date hereof, and agrees to be bound by, all representations and warranties, covenants and other terms, conditions and provisions of the Credit Agreement and the other applicable Loan Documents. Without limiting the generality of the foregoing terms of this Paragraph 1, the Subsidiary Guarantor hereby guarantees, jointly and severally together with the other Guarantors, the prompt payment of the Secured Obligations in accordance with Article X of the Credit Agreement.</w:t>
      </w:r>
    </w:p>
    <w:p>
      <w:pPr>
        <w:spacing w:after="0" w:line="180" w:lineRule="exact"/>
        <w:rPr>
          <w:rFonts w:ascii="Times New Roman" w:cs="Times New Roman" w:eastAsia="Times New Roman" w:hAnsi="Times New Roman"/>
          <w:sz w:val="20"/>
          <w:szCs w:val="20"/>
          <w:color w:val="auto"/>
        </w:rPr>
      </w:pPr>
    </w:p>
    <w:p>
      <w:pPr>
        <w:jc w:val="both"/>
        <w:ind w:right="199" w:firstLine="650"/>
        <w:spacing w:after="0" w:line="261" w:lineRule="auto"/>
        <w:tabs>
          <w:tab w:leader="none" w:pos="877"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Subsidiary Guarantor and the Borrower hereby agree that all of the representations and warranties contained in Article V of the Loan Agreement and each other Loan Document are true and correct as of the date hereof.</w:t>
      </w:r>
    </w:p>
    <w:p>
      <w:pPr>
        <w:spacing w:after="0" w:line="181" w:lineRule="exact"/>
        <w:rPr>
          <w:rFonts w:ascii="Times New Roman" w:cs="Times New Roman" w:eastAsia="Times New Roman" w:hAnsi="Times New Roman"/>
          <w:sz w:val="20"/>
          <w:szCs w:val="20"/>
          <w:color w:val="auto"/>
        </w:rPr>
      </w:pPr>
    </w:p>
    <w:p>
      <w:pPr>
        <w:jc w:val="both"/>
        <w:ind w:right="199" w:firstLine="650"/>
        <w:spacing w:after="0" w:line="252" w:lineRule="auto"/>
        <w:tabs>
          <w:tab w:leader="none" w:pos="877"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Guarantor hereby acknowledges, agrees and confirms that, by its execution of this Agreement, the Subsidiary Guarantor will be deemed to be a party to the Security Agreement, and shall have all the rights and obligations of an “Grantor” (as such term is defined in the Security Agreement) thereunder as if it had executed the Security Agreement. The Subsidiary Guarantor hereby ratifies, as of the date hereof, and agrees to be bound by, all of the terms, provisions and conditions contained in the Security Agreement. Without limiting the generality of the foregoing terms of this Paragraph 2, the Subsidiary Guarantor hereby grants, pledges and assigns to the Administrative Agent, for the benefit of the Secured Parties, a continuing security interest in, and a right of set off, to the extent applicable, against any and all right, title and interest of the Subsidiary Guarantor in and to the Collateral (as such term is defined in Section 2 of the Security Agreement) of the Subsidiary Guarantor.</w:t>
      </w:r>
    </w:p>
    <w:p>
      <w:pPr>
        <w:spacing w:after="0" w:line="175" w:lineRule="exact"/>
        <w:rPr>
          <w:rFonts w:ascii="Times New Roman" w:cs="Times New Roman" w:eastAsia="Times New Roman" w:hAnsi="Times New Roman"/>
          <w:sz w:val="20"/>
          <w:szCs w:val="20"/>
          <w:color w:val="auto"/>
        </w:rPr>
      </w:pPr>
    </w:p>
    <w:p>
      <w:pPr>
        <w:jc w:val="both"/>
        <w:ind w:right="199" w:firstLine="650"/>
        <w:spacing w:after="0" w:line="268" w:lineRule="auto"/>
        <w:tabs>
          <w:tab w:leader="none" w:pos="877"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Subsidiary Guarantor acknowledges and confirms that it has received a copy of the Credit Agreement and the schedules and exhibits thereto and each Loan Document and Collateral Document and the schedules and exhibits thereto. The information on the schedules to the Credit</w:t>
      </w:r>
    </w:p>
    <w:p>
      <w:pPr>
        <w:sectPr>
          <w:pgSz w:w="11900" w:h="16838" w:orient="portrait"/>
          <w:cols w:equalWidth="0" w:num="1">
            <w:col w:w="9719"/>
          </w:cols>
          <w:pgMar w:left="740" w:top="1409" w:right="1440" w:bottom="1440" w:gutter="0" w:footer="0" w:header="0"/>
        </w:sectPr>
      </w:pPr>
    </w:p>
    <w:bookmarkStart w:id="171" w:name="page172"/>
    <w:bookmarkEnd w:id="171"/>
    <w:p>
      <w:pPr>
        <w:ind w:right="239"/>
        <w:spacing w:after="0" w:line="283" w:lineRule="auto"/>
        <w:rPr>
          <w:sz w:val="20"/>
          <w:szCs w:val="20"/>
          <w:color w:val="auto"/>
        </w:rPr>
      </w:pPr>
      <w:r>
        <w:rPr>
          <w:rFonts w:ascii="Times New Roman" w:cs="Times New Roman" w:eastAsia="Times New Roman" w:hAnsi="Times New Roman"/>
          <w:sz w:val="20"/>
          <w:szCs w:val="20"/>
          <w:color w:val="auto"/>
        </w:rPr>
        <w:t xml:space="preserve">Agreement and the Collateral Documents are hereby supplemented (to the extent permitted under the Credit Agreement or Collateral Documents) to reflect the information shown on the attached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right="199" w:firstLine="650"/>
        <w:spacing w:after="0" w:line="254" w:lineRule="auto"/>
        <w:tabs>
          <w:tab w:leader="none" w:pos="87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confirms that the Credit Agreement is, and upon the Subsidiary Guarantor becoming a Guarantor, shall continue to be, in full force and effect. The parties hereto confirm and agree that immediately upon the Subsidiary Guarantor becoming a Guarantor the term “Obligations,” as used in the Credit Agreement, shall include all obligations of the Subsidiary Guarantor under the Credit Agreement and under each other Loan Document.</w:t>
      </w:r>
    </w:p>
    <w:p>
      <w:pPr>
        <w:spacing w:after="0" w:line="187" w:lineRule="exact"/>
        <w:rPr>
          <w:rFonts w:ascii="Times New Roman" w:cs="Times New Roman" w:eastAsia="Times New Roman" w:hAnsi="Times New Roman"/>
          <w:sz w:val="20"/>
          <w:szCs w:val="20"/>
          <w:color w:val="auto"/>
        </w:rPr>
      </w:pPr>
    </w:p>
    <w:p>
      <w:pPr>
        <w:jc w:val="both"/>
        <w:ind w:right="199" w:firstLine="650"/>
        <w:spacing w:after="0" w:line="258" w:lineRule="auto"/>
        <w:tabs>
          <w:tab w:leader="none" w:pos="87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Borrower and the Subsidiary Guarantor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Agreement.</w:t>
      </w:r>
    </w:p>
    <w:p>
      <w:pPr>
        <w:spacing w:after="0" w:line="172" w:lineRule="exact"/>
        <w:rPr>
          <w:rFonts w:ascii="Times New Roman" w:cs="Times New Roman" w:eastAsia="Times New Roman" w:hAnsi="Times New Roman"/>
          <w:sz w:val="20"/>
          <w:szCs w:val="20"/>
          <w:color w:val="auto"/>
        </w:rPr>
      </w:pPr>
    </w:p>
    <w:p>
      <w:pPr>
        <w:jc w:val="both"/>
        <w:ind w:right="199" w:firstLine="650"/>
        <w:spacing w:after="0" w:line="258" w:lineRule="auto"/>
        <w:tabs>
          <w:tab w:leader="none" w:pos="87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w:t>
      </w:r>
    </w:p>
    <w:p>
      <w:pPr>
        <w:spacing w:after="0" w:line="185" w:lineRule="exact"/>
        <w:rPr>
          <w:rFonts w:ascii="Times New Roman" w:cs="Times New Roman" w:eastAsia="Times New Roman" w:hAnsi="Times New Roman"/>
          <w:sz w:val="20"/>
          <w:szCs w:val="20"/>
          <w:color w:val="auto"/>
        </w:rPr>
      </w:pPr>
    </w:p>
    <w:p>
      <w:pPr>
        <w:jc w:val="both"/>
        <w:ind w:right="199" w:firstLine="650"/>
        <w:spacing w:after="0" w:line="261" w:lineRule="auto"/>
        <w:tabs>
          <w:tab w:leader="none" w:pos="87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and enforced in accordance with the laws of the State of New York. The terms of Sections 11.14 and 11.15 of the Credit Agreement are incorporated herein by reference, mutatis mutandis, and the parties hereto agree to such terms.</w:t>
      </w:r>
    </w:p>
    <w:p>
      <w:pPr>
        <w:spacing w:after="0" w:line="18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9719"/>
          </w:cols>
          <w:pgMar w:left="740" w:top="1399" w:right="1440" w:bottom="1440" w:gutter="0" w:footer="0" w:header="0"/>
        </w:sectPr>
      </w:pPr>
    </w:p>
    <w:bookmarkStart w:id="172" w:name="page173"/>
    <w:bookmarkEnd w:id="172"/>
    <w:p>
      <w:pPr>
        <w:jc w:val="both"/>
        <w:ind w:right="219" w:firstLine="648"/>
        <w:spacing w:after="0" w:line="268" w:lineRule="auto"/>
        <w:rPr>
          <w:sz w:val="20"/>
          <w:szCs w:val="20"/>
          <w:color w:val="auto"/>
        </w:rPr>
      </w:pPr>
      <w:r>
        <w:rPr>
          <w:rFonts w:ascii="Times New Roman" w:cs="Times New Roman" w:eastAsia="Times New Roman" w:hAnsi="Times New Roman"/>
          <w:sz w:val="20"/>
          <w:szCs w:val="20"/>
          <w:color w:val="auto"/>
        </w:rPr>
        <w:t>IN WITNESS WHEREOF, each of the Borrower and the Subsidiary Guarantor has caused this Agreement to be duly executed by its authorized officer, and the Administrative Agent, for the benefit of the Secured Parties, has caused the same to be accepted by its authorized officer, as of the day and year first above written.</w:t>
      </w:r>
    </w:p>
    <w:p>
      <w:pPr>
        <w:spacing w:after="0" w:line="157"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SUBSIDIARY GUARANTOR:</w:t>
      </w:r>
      <w:r>
        <w:rPr>
          <w:sz w:val="20"/>
          <w:szCs w:val="20"/>
          <w:color w:val="auto"/>
        </w:rPr>
        <w:tab/>
      </w:r>
      <w:r>
        <w:rPr>
          <w:rFonts w:ascii="Times New Roman" w:cs="Times New Roman" w:eastAsia="Times New Roman" w:hAnsi="Times New Roman"/>
          <w:sz w:val="19"/>
          <w:szCs w:val="19"/>
          <w:b w:val="1"/>
          <w:bCs w:val="1"/>
          <w:color w:val="auto"/>
        </w:rPr>
        <w:t>[SUBSIDIARY GUARANTOR]</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[Jurisdiction and Type of Organization]</w:t>
      </w:r>
    </w:p>
    <w:p>
      <w:pPr>
        <w:spacing w:after="0" w:line="200" w:lineRule="exact"/>
        <w:rPr>
          <w:sz w:val="20"/>
          <w:szCs w:val="20"/>
          <w:color w:val="auto"/>
        </w:rPr>
      </w:pPr>
    </w:p>
    <w:p>
      <w:pPr>
        <w:jc w:val="center"/>
        <w:ind w:right="219"/>
        <w:spacing w:after="0"/>
        <w:tabs>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-10795</wp:posOffset>
            </wp:positionV>
            <wp:extent cx="1257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-10795</wp:posOffset>
            </wp:positionV>
            <wp:extent cx="1257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-10795</wp:posOffset>
            </wp:positionV>
            <wp:extent cx="1257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b w:val="1"/>
          <w:bCs w:val="1"/>
          <w:color w:val="auto"/>
        </w:rPr>
        <w:t>BORROWER:</w:t>
      </w:r>
      <w:r>
        <w:rPr>
          <w:sz w:val="20"/>
          <w:szCs w:val="20"/>
          <w:color w:val="auto"/>
        </w:rPr>
        <w:tab/>
      </w:r>
      <w:r>
        <w:rPr>
          <w:rFonts w:ascii="Times New Roman" w:cs="Times New Roman" w:eastAsia="Times New Roman" w:hAnsi="Times New Roman"/>
          <w:sz w:val="19"/>
          <w:szCs w:val="19"/>
          <w:color w:val="auto"/>
        </w:rPr>
        <w:t>NCINO OPCO, INC.,</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jc w:val="center"/>
        <w:ind w:right="219"/>
        <w:spacing w:after="0"/>
        <w:tabs>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-10795</wp:posOffset>
            </wp:positionV>
            <wp:extent cx="1257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-10795</wp:posOffset>
            </wp:positionV>
            <wp:extent cx="1257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3568065</wp:posOffset>
            </wp:positionH>
            <wp:positionV relativeFrom="paragraph">
              <wp:posOffset>-10795</wp:posOffset>
            </wp:positionV>
            <wp:extent cx="1257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accepted and agreed: BANK OF</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AMERICA, N.A.,</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16" w:lineRule="exact"/>
        <w:rPr>
          <w:sz w:val="20"/>
          <w:szCs w:val="20"/>
          <w:color w:val="auto"/>
        </w:rPr>
      </w:pPr>
    </w:p>
    <w:p>
      <w:pPr>
        <w:spacing w:after="0"/>
        <w:tabs>
          <w:tab w:leader="none" w:pos="520" w:val="left"/>
          <w:tab w:leader="none" w:pos="1280" w:val="left"/>
        </w:tabs>
        <w:rPr>
          <w:sz w:val="20"/>
          <w:szCs w:val="20"/>
          <w:color w:val="auto"/>
        </w:rPr>
      </w:pPr>
      <w:r>
        <w:rPr>
          <w:rFonts w:ascii="Times New Roman" w:cs="Times New Roman" w:eastAsia="Times New Roman" w:hAnsi="Times New Roman"/>
          <w:sz w:val="20"/>
          <w:szCs w:val="20"/>
          <w:color w:val="auto"/>
        </w:rPr>
        <w:t>By:</w:t>
        <w:tab/>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-10795</wp:posOffset>
            </wp:positionV>
            <wp:extent cx="1257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-10795</wp:posOffset>
            </wp:positionV>
            <wp:extent cx="1257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-10795</wp:posOffset>
            </wp:positionV>
            <wp:extent cx="1257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9719"/>
          </w:cols>
          <w:pgMar w:left="740" w:top="1399" w:right="1440" w:bottom="1440" w:gutter="0" w:footer="0" w:header="0"/>
        </w:sectPr>
      </w:pPr>
    </w:p>
    <w:bookmarkStart w:id="173" w:name="page174"/>
    <w:bookmarkEnd w:id="173"/>
    <w:p>
      <w:pPr>
        <w:ind w:left="3480"/>
        <w:spacing w:after="0"/>
        <w:rPr>
          <w:sz w:val="20"/>
          <w:szCs w:val="20"/>
          <w:color w:val="auto"/>
        </w:rPr>
      </w:pPr>
      <w:r>
        <w:rPr>
          <w:rFonts w:ascii="Times New Roman" w:cs="Times New Roman" w:eastAsia="Times New Roman" w:hAnsi="Times New Roman"/>
          <w:sz w:val="20"/>
          <w:szCs w:val="20"/>
          <w:b w:val="1"/>
          <w:bCs w:val="1"/>
          <w:u w:val="single" w:color="auto"/>
          <w:color w:val="auto"/>
        </w:rPr>
        <w:t>EXHIBIT 11.06(b)</w:t>
      </w: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[Form of] Assignment and</w:t>
      </w:r>
    </w:p>
    <w:p>
      <w:pPr>
        <w:spacing w:after="0" w:line="2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Assumption</w:t>
      </w:r>
    </w:p>
    <w:p>
      <w:pPr>
        <w:spacing w:after="0" w:line="194" w:lineRule="exact"/>
        <w:rPr>
          <w:sz w:val="20"/>
          <w:szCs w:val="20"/>
          <w:color w:val="auto"/>
        </w:rPr>
      </w:pPr>
    </w:p>
    <w:p>
      <w:pPr>
        <w:jc w:val="both"/>
        <w:ind w:right="199" w:firstLine="648"/>
        <w:spacing w:after="0" w:line="222" w:lineRule="auto"/>
        <w:rPr>
          <w:sz w:val="20"/>
          <w:szCs w:val="20"/>
          <w:color w:val="auto"/>
        </w:rPr>
      </w:pPr>
      <w:r>
        <w:rPr>
          <w:rFonts w:ascii="Times New Roman" w:cs="Times New Roman" w:eastAsia="Times New Roman" w:hAnsi="Times New Roman"/>
          <w:sz w:val="20"/>
          <w:szCs w:val="20"/>
          <w:color w:val="auto"/>
        </w:rPr>
        <w:t>This Assignment and Assumption (this “</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is dated as of the Effective Date set forth below and is entered into by and between </w:t>
      </w:r>
      <w:r>
        <w:rPr>
          <w:rFonts w:ascii="Times New Roman" w:cs="Times New Roman" w:eastAsia="Times New Roman" w:hAnsi="Times New Roman"/>
          <w:sz w:val="20"/>
          <w:szCs w:val="20"/>
          <w:b w:val="1"/>
          <w:bCs w:val="1"/>
          <w:color w:val="auto"/>
        </w:rPr>
        <w:t>[the][each]</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20"/>
          <w:szCs w:val="20"/>
          <w:color w:val="auto"/>
        </w:rPr>
        <w:t xml:space="preserve"> Assignor identified in item 1 below (</w:t>
      </w:r>
      <w:r>
        <w:rPr>
          <w:rFonts w:ascii="Times New Roman" w:cs="Times New Roman" w:eastAsia="Times New Roman" w:hAnsi="Times New Roman"/>
          <w:sz w:val="20"/>
          <w:szCs w:val="20"/>
          <w:b w:val="1"/>
          <w:bCs w:val="1"/>
          <w:color w:val="auto"/>
        </w:rPr>
        <w:t>[the][each,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[the][each]</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20"/>
          <w:szCs w:val="20"/>
          <w:color w:val="auto"/>
        </w:rPr>
        <w:t xml:space="preserve"> Assignee identified in item 2 below (</w:t>
      </w:r>
      <w:r>
        <w:rPr>
          <w:rFonts w:ascii="Times New Roman" w:cs="Times New Roman" w:eastAsia="Times New Roman" w:hAnsi="Times New Roman"/>
          <w:sz w:val="20"/>
          <w:szCs w:val="20"/>
          <w:b w:val="1"/>
          <w:bCs w:val="1"/>
          <w:color w:val="auto"/>
        </w:rPr>
        <w:t>[the][each,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[It is understood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agreed that the rights and obligations of [the Assignors][the Assignees]</w:t>
      </w:r>
      <w:r>
        <w:rPr>
          <w:rFonts w:ascii="Times New Roman" w:cs="Times New Roman" w:eastAsia="Times New Roman" w:hAnsi="Times New Roman"/>
          <w:sz w:val="25"/>
          <w:szCs w:val="25"/>
          <w:b w:val="1"/>
          <w:bCs w:val="1"/>
          <w:color w:val="auto"/>
          <w:vertAlign w:val="superscript"/>
        </w:rPr>
        <w:t>14</w:t>
      </w:r>
      <w:r>
        <w:rPr>
          <w:rFonts w:ascii="Times New Roman" w:cs="Times New Roman" w:eastAsia="Times New Roman" w:hAnsi="Times New Roman"/>
          <w:sz w:val="20"/>
          <w:szCs w:val="20"/>
          <w:b w:val="1"/>
          <w:bCs w:val="1"/>
          <w:color w:val="auto"/>
        </w:rPr>
        <w:t xml:space="preserve"> hereunder are several and not joint.]</w:t>
      </w:r>
      <w:r>
        <w:rPr>
          <w:rFonts w:ascii="Times New Roman" w:cs="Times New Roman" w:eastAsia="Times New Roman" w:hAnsi="Times New Roman"/>
          <w:sz w:val="25"/>
          <w:szCs w:val="25"/>
          <w:color w:val="auto"/>
          <w:vertAlign w:val="superscript"/>
        </w:rPr>
        <w:t>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Capitalized terms used but not defined herein shall have the meanings given to them in the Credit Agreement identified below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7" w:lineRule="exact"/>
        <w:rPr>
          <w:sz w:val="20"/>
          <w:szCs w:val="20"/>
          <w:color w:val="auto"/>
        </w:rPr>
      </w:pPr>
    </w:p>
    <w:p>
      <w:pPr>
        <w:jc w:val="both"/>
        <w:ind w:right="179" w:firstLine="648"/>
        <w:spacing w:after="0" w:line="249" w:lineRule="auto"/>
        <w:rPr>
          <w:sz w:val="20"/>
          <w:szCs w:val="20"/>
          <w:color w:val="auto"/>
        </w:rPr>
      </w:pPr>
      <w:r>
        <w:rPr>
          <w:rFonts w:ascii="Times New Roman" w:cs="Times New Roman" w:eastAsia="Times New Roman" w:hAnsi="Times New Roman"/>
          <w:sz w:val="20"/>
          <w:szCs w:val="20"/>
          <w:color w:val="auto"/>
        </w:rPr>
        <w:t xml:space="preserve">For an agreed consideration, </w:t>
      </w:r>
      <w:r>
        <w:rPr>
          <w:rFonts w:ascii="Times New Roman" w:cs="Times New Roman" w:eastAsia="Times New Roman" w:hAnsi="Times New Roman"/>
          <w:sz w:val="20"/>
          <w:szCs w:val="20"/>
          <w:b w:val="1"/>
          <w:bCs w:val="1"/>
          <w:color w:val="auto"/>
        </w:rPr>
        <w:t>[the][each]</w:t>
      </w:r>
      <w:r>
        <w:rPr>
          <w:rFonts w:ascii="Times New Roman" w:cs="Times New Roman" w:eastAsia="Times New Roman" w:hAnsi="Times New Roman"/>
          <w:sz w:val="20"/>
          <w:szCs w:val="20"/>
          <w:color w:val="auto"/>
        </w:rPr>
        <w:t xml:space="preserve"> Assignor hereby irrevocably sells and assigns to </w:t>
      </w:r>
      <w:r>
        <w:rPr>
          <w:rFonts w:ascii="Times New Roman" w:cs="Times New Roman" w:eastAsia="Times New Roman" w:hAnsi="Times New Roman"/>
          <w:sz w:val="20"/>
          <w:szCs w:val="20"/>
          <w:b w:val="1"/>
          <w:bCs w:val="1"/>
          <w:color w:val="auto"/>
        </w:rPr>
        <w:t>[the Assignee][the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respective Assignees]</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[the][each] </w:t>
      </w:r>
      <w:r>
        <w:rPr>
          <w:rFonts w:ascii="Times New Roman" w:cs="Times New Roman" w:eastAsia="Times New Roman" w:hAnsi="Times New Roman"/>
          <w:sz w:val="20"/>
          <w:szCs w:val="20"/>
          <w:color w:val="auto"/>
        </w:rPr>
        <w:t>Assignee hereby irrevocably purchases and assumes from</w:t>
      </w:r>
      <w:r>
        <w:rPr>
          <w:rFonts w:ascii="Times New Roman" w:cs="Times New Roman" w:eastAsia="Times New Roman" w:hAnsi="Times New Roman"/>
          <w:sz w:val="20"/>
          <w:szCs w:val="20"/>
          <w:b w:val="1"/>
          <w:bCs w:val="1"/>
          <w:color w:val="auto"/>
        </w:rPr>
        <w:t xml:space="preserve"> [the Assignor][the respective Assignors]</w:t>
      </w:r>
      <w:r>
        <w:rPr>
          <w:rFonts w:ascii="Times New Roman" w:cs="Times New Roman" w:eastAsia="Times New Roman" w:hAnsi="Times New Roman"/>
          <w:sz w:val="20"/>
          <w:szCs w:val="20"/>
          <w:color w:val="auto"/>
        </w:rPr>
        <w:t>, subject to and in accordance with the Standard Terms and Conditions and the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as of the Effective Date inserted by the Administrative Agent as contemplated below (a) all of </w:t>
      </w:r>
      <w:r>
        <w:rPr>
          <w:rFonts w:ascii="Times New Roman" w:cs="Times New Roman" w:eastAsia="Times New Roman" w:hAnsi="Times New Roman"/>
          <w:sz w:val="20"/>
          <w:szCs w:val="20"/>
          <w:b w:val="1"/>
          <w:bCs w:val="1"/>
          <w:color w:val="auto"/>
        </w:rPr>
        <w:t>[the Assignor’s][the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respective Assignors’] </w:t>
      </w:r>
      <w:r>
        <w:rPr>
          <w:rFonts w:ascii="Times New Roman" w:cs="Times New Roman" w:eastAsia="Times New Roman" w:hAnsi="Times New Roman"/>
          <w:sz w:val="20"/>
          <w:szCs w:val="20"/>
          <w:color w:val="auto"/>
        </w:rPr>
        <w:t>rights and obligations in</w:t>
      </w:r>
      <w:r>
        <w:rPr>
          <w:rFonts w:ascii="Times New Roman" w:cs="Times New Roman" w:eastAsia="Times New Roman" w:hAnsi="Times New Roman"/>
          <w:sz w:val="20"/>
          <w:szCs w:val="20"/>
          <w:b w:val="1"/>
          <w:bCs w:val="1"/>
          <w:color w:val="auto"/>
        </w:rPr>
        <w:t xml:space="preserve"> [its capacity as a Lender][their respective capacities as Lenders] </w:t>
      </w:r>
      <w:r>
        <w:rPr>
          <w:rFonts w:ascii="Times New Roman" w:cs="Times New Roman" w:eastAsia="Times New Roman" w:hAnsi="Times New Roman"/>
          <w:sz w:val="20"/>
          <w:szCs w:val="20"/>
          <w:color w:val="auto"/>
        </w:rPr>
        <w:t>under the Credit Agreement and any other Loan Documents in the amount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and equal to the percentage interest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color w:val="auto"/>
        </w:rPr>
        <w:t xml:space="preserve"> identified below of all the outstanding rights and obligations under the respective facilities identified below (including, without limitation, the Letters of Credit and the Swingline Loans included in such facilities) and (b) to the extent permitted to be assigned under applicable law, all claims, suits, causes of action and any other right of </w:t>
      </w:r>
      <w:r>
        <w:rPr>
          <w:rFonts w:ascii="Times New Roman" w:cs="Times New Roman" w:eastAsia="Times New Roman" w:hAnsi="Times New Roman"/>
          <w:sz w:val="20"/>
          <w:szCs w:val="20"/>
          <w:b w:val="1"/>
          <w:bCs w:val="1"/>
          <w:color w:val="auto"/>
        </w:rPr>
        <w:t>[the Assignor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its capacity as a Lender)][the respective Assignors (in their respective capacities as Lenders)] </w:t>
      </w:r>
      <w:r>
        <w:rPr>
          <w:rFonts w:ascii="Times New Roman" w:cs="Times New Roman" w:eastAsia="Times New Roman" w:hAnsi="Times New Roman"/>
          <w:sz w:val="20"/>
          <w:szCs w:val="20"/>
          <w:color w:val="auto"/>
        </w:rPr>
        <w:t>against any Person,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whether known or unknown, arising under or in connection with the Credit Agreement, any other Loan Documents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(the rights and obligations sold and assigned by </w:t>
      </w:r>
      <w:r>
        <w:rPr>
          <w:rFonts w:ascii="Times New Roman" w:cs="Times New Roman" w:eastAsia="Times New Roman" w:hAnsi="Times New Roman"/>
          <w:sz w:val="20"/>
          <w:szCs w:val="20"/>
          <w:b w:val="1"/>
          <w:bCs w:val="1"/>
          <w:color w:val="auto"/>
        </w:rPr>
        <w:t>[the][any]</w:t>
      </w:r>
      <w:r>
        <w:rPr>
          <w:rFonts w:ascii="Times New Roman" w:cs="Times New Roman" w:eastAsia="Times New Roman" w:hAnsi="Times New Roman"/>
          <w:sz w:val="20"/>
          <w:szCs w:val="20"/>
          <w:color w:val="auto"/>
        </w:rPr>
        <w:t xml:space="preserve"> Assignor to </w:t>
      </w:r>
      <w:r>
        <w:rPr>
          <w:rFonts w:ascii="Times New Roman" w:cs="Times New Roman" w:eastAsia="Times New Roman" w:hAnsi="Times New Roman"/>
          <w:sz w:val="20"/>
          <w:szCs w:val="20"/>
          <w:b w:val="1"/>
          <w:bCs w:val="1"/>
          <w:color w:val="auto"/>
        </w:rPr>
        <w:t>[the][any]</w:t>
      </w:r>
      <w:r>
        <w:rPr>
          <w:rFonts w:ascii="Times New Roman" w:cs="Times New Roman" w:eastAsia="Times New Roman" w:hAnsi="Times New Roman"/>
          <w:sz w:val="20"/>
          <w:szCs w:val="20"/>
          <w:color w:val="auto"/>
        </w:rPr>
        <w:t xml:space="preserve"> Assignee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being referred to herein collectively as </w:t>
      </w:r>
      <w:r>
        <w:rPr>
          <w:rFonts w:ascii="Times New Roman" w:cs="Times New Roman" w:eastAsia="Times New Roman" w:hAnsi="Times New Roman"/>
          <w:sz w:val="20"/>
          <w:szCs w:val="20"/>
          <w:b w:val="1"/>
          <w:bCs w:val="1"/>
          <w:color w:val="auto"/>
        </w:rPr>
        <w:t>[the][an]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Assigned Interest</w:t>
      </w:r>
      <w:r>
        <w:rPr>
          <w:rFonts w:ascii="Times New Roman" w:cs="Times New Roman" w:eastAsia="Times New Roman" w:hAnsi="Times New Roman"/>
          <w:sz w:val="20"/>
          <w:szCs w:val="20"/>
          <w:color w:val="auto"/>
        </w:rPr>
        <w:t xml:space="preserve">”). Each such sale and assignment is without recourse to </w:t>
      </w:r>
      <w:r>
        <w:rPr>
          <w:rFonts w:ascii="Times New Roman" w:cs="Times New Roman" w:eastAsia="Times New Roman" w:hAnsi="Times New Roman"/>
          <w:sz w:val="20"/>
          <w:szCs w:val="20"/>
          <w:b w:val="1"/>
          <w:bCs w:val="1"/>
          <w:color w:val="auto"/>
        </w:rPr>
        <w:t>[the][any]</w:t>
      </w:r>
      <w:r>
        <w:rPr>
          <w:rFonts w:ascii="Times New Roman" w:cs="Times New Roman" w:eastAsia="Times New Roman" w:hAnsi="Times New Roman"/>
          <w:sz w:val="20"/>
          <w:szCs w:val="20"/>
          <w:color w:val="auto"/>
        </w:rPr>
        <w:t xml:space="preserve"> Assignor and, except as expressly provided in this Assignment and Assumption, without representation or warranty by </w:t>
      </w:r>
      <w:r>
        <w:rPr>
          <w:rFonts w:ascii="Times New Roman" w:cs="Times New Roman" w:eastAsia="Times New Roman" w:hAnsi="Times New Roman"/>
          <w:sz w:val="20"/>
          <w:szCs w:val="20"/>
          <w:b w:val="1"/>
          <w:bCs w:val="1"/>
          <w:color w:val="auto"/>
        </w:rPr>
        <w:t xml:space="preserve">[the][any] </w:t>
      </w:r>
      <w:r>
        <w:rPr>
          <w:rFonts w:ascii="Times New Roman" w:cs="Times New Roman" w:eastAsia="Times New Roman" w:hAnsi="Times New Roman"/>
          <w:sz w:val="20"/>
          <w:szCs w:val="20"/>
          <w:color w:val="auto"/>
        </w:rPr>
        <w:t>Assignor.</w:t>
      </w:r>
    </w:p>
    <w:p>
      <w:pPr>
        <w:spacing w:after="0" w:line="200" w:lineRule="exact"/>
        <w:rPr>
          <w:sz w:val="20"/>
          <w:szCs w:val="20"/>
          <w:color w:val="auto"/>
        </w:rPr>
      </w:pPr>
    </w:p>
    <w:p>
      <w:pPr>
        <w:spacing w:after="0" w:line="244" w:lineRule="exact"/>
        <w:rPr>
          <w:sz w:val="20"/>
          <w:szCs w:val="20"/>
          <w:color w:val="auto"/>
        </w:rPr>
      </w:pPr>
    </w:p>
    <w:p>
      <w:pPr>
        <w:ind w:left="640" w:hanging="638"/>
        <w:spacing w:after="0"/>
        <w:tabs>
          <w:tab w:leader="none" w:pos="6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 each Assignor, indicate [is][is not] a Defaulting Lender]</w:t>
      </w:r>
    </w:p>
    <w:p>
      <w:pPr>
        <w:spacing w:after="0" w:line="215" w:lineRule="exact"/>
        <w:rPr>
          <w:rFonts w:ascii="Times New Roman" w:cs="Times New Roman" w:eastAsia="Times New Roman" w:hAnsi="Times New Roman"/>
          <w:sz w:val="20"/>
          <w:szCs w:val="20"/>
          <w:color w:val="auto"/>
        </w:rPr>
      </w:pPr>
    </w:p>
    <w:p>
      <w:pPr>
        <w:ind w:left="640" w:hanging="638"/>
        <w:spacing w:after="0"/>
        <w:tabs>
          <w:tab w:leader="none" w:pos="6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20"/>
          <w:szCs w:val="20"/>
          <w:color w:val="auto"/>
        </w:rPr>
        <w:t>:</w:t>
      </w:r>
    </w:p>
    <w:p>
      <w:pPr>
        <w:spacing w:after="0" w:line="32"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 each Assignee, indicate [Affiliate][Approved Fund] of [identify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-766445</wp:posOffset>
            </wp:positionV>
            <wp:extent cx="1257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-174625</wp:posOffset>
            </wp:positionV>
            <wp:extent cx="1257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40" w:lineRule="exact"/>
        <w:rPr>
          <w:sz w:val="20"/>
          <w:szCs w:val="20"/>
          <w:color w:val="auto"/>
        </w:rPr>
      </w:pPr>
    </w:p>
    <w:p>
      <w:pPr>
        <w:ind w:right="179" w:firstLine="2"/>
        <w:spacing w:after="0" w:line="230" w:lineRule="auto"/>
        <w:tabs>
          <w:tab w:leader="none" w:pos="129" w:val="left"/>
        </w:tabs>
        <w:numPr>
          <w:ilvl w:val="0"/>
          <w:numId w:val="2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ind w:right="199" w:firstLine="2"/>
        <w:spacing w:after="0" w:line="221" w:lineRule="auto"/>
        <w:tabs>
          <w:tab w:leader="none" w:pos="129" w:val="left"/>
        </w:tabs>
        <w:numPr>
          <w:ilvl w:val="0"/>
          <w:numId w:val="2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 w:lineRule="exact"/>
        <w:rPr>
          <w:rFonts w:ascii="Times New Roman" w:cs="Times New Roman" w:eastAsia="Times New Roman" w:hAnsi="Times New Roman"/>
          <w:sz w:val="19"/>
          <w:szCs w:val="19"/>
          <w:color w:val="auto"/>
          <w:vertAlign w:val="superscript"/>
        </w:rPr>
      </w:pPr>
    </w:p>
    <w:p>
      <w:pPr>
        <w:ind w:left="140" w:hanging="138"/>
        <w:spacing w:after="0" w:line="192" w:lineRule="auto"/>
        <w:tabs>
          <w:tab w:leader="none" w:pos="140" w:val="left"/>
        </w:tabs>
        <w:numPr>
          <w:ilvl w:val="0"/>
          <w:numId w:val="2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Select as appropriate.</w:t>
      </w:r>
    </w:p>
    <w:p>
      <w:pPr>
        <w:spacing w:after="0" w:line="1" w:lineRule="exact"/>
        <w:rPr>
          <w:rFonts w:ascii="Times New Roman" w:cs="Times New Roman" w:eastAsia="Times New Roman" w:hAnsi="Times New Roman"/>
          <w:sz w:val="19"/>
          <w:szCs w:val="19"/>
          <w:color w:val="auto"/>
          <w:vertAlign w:val="superscript"/>
        </w:rPr>
      </w:pPr>
    </w:p>
    <w:p>
      <w:pPr>
        <w:ind w:left="140" w:hanging="138"/>
        <w:spacing w:after="0" w:line="191" w:lineRule="auto"/>
        <w:tabs>
          <w:tab w:leader="none" w:pos="140" w:val="left"/>
        </w:tabs>
        <w:numPr>
          <w:ilvl w:val="0"/>
          <w:numId w:val="2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 bracketed language if there are either multiple Assignors or multiple Assignees.</w:t>
      </w:r>
    </w:p>
    <w:p>
      <w:pPr>
        <w:sectPr>
          <w:pgSz w:w="11900" w:h="16838" w:orient="portrait"/>
          <w:cols w:equalWidth="0" w:num="1">
            <w:col w:w="9719"/>
          </w:cols>
          <w:pgMar w:left="740" w:top="1409" w:right="1440" w:bottom="1440" w:gutter="0" w:footer="0" w:header="0"/>
        </w:sectPr>
      </w:pPr>
    </w:p>
    <w:bookmarkStart w:id="174" w:name="page175"/>
    <w:bookmarkEnd w:id="174"/>
    <w:p>
      <w:pPr>
        <w:ind w:left="640" w:hanging="638"/>
        <w:spacing w:after="0"/>
        <w:tabs>
          <w:tab w:leader="none" w:pos="64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nCino Opco, Inc., a Delaware corporation</w:t>
      </w:r>
    </w:p>
    <w:p>
      <w:pPr>
        <w:spacing w:after="0" w:line="229" w:lineRule="exact"/>
        <w:rPr>
          <w:rFonts w:ascii="Times New Roman" w:cs="Times New Roman" w:eastAsia="Times New Roman" w:hAnsi="Times New Roman"/>
          <w:sz w:val="20"/>
          <w:szCs w:val="20"/>
          <w:color w:val="auto"/>
        </w:rPr>
      </w:pPr>
    </w:p>
    <w:p>
      <w:pPr>
        <w:ind w:left="640" w:hanging="638"/>
        <w:spacing w:after="0"/>
        <w:tabs>
          <w:tab w:leader="none" w:pos="64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Bank of America, N.A., as the administrative agent under the Credit Agreement</w:t>
      </w:r>
    </w:p>
    <w:p>
      <w:pPr>
        <w:spacing w:after="0" w:line="202" w:lineRule="exact"/>
        <w:rPr>
          <w:rFonts w:ascii="Times New Roman" w:cs="Times New Roman" w:eastAsia="Times New Roman" w:hAnsi="Times New Roman"/>
          <w:sz w:val="20"/>
          <w:szCs w:val="20"/>
          <w:color w:val="auto"/>
        </w:rPr>
      </w:pPr>
    </w:p>
    <w:p>
      <w:pPr>
        <w:ind w:left="640" w:right="199" w:hanging="638"/>
        <w:spacing w:after="0" w:line="283" w:lineRule="auto"/>
        <w:tabs>
          <w:tab w:leader="none" w:pos="64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Credit Agreement, dated as of October 28, 2024 among the Borrower, the Guarantors, the Lenders and Bank of America, N.A., as Administrative Agent, L/C Issuer, and Swingline Lender</w:t>
      </w:r>
    </w:p>
    <w:p>
      <w:pPr>
        <w:spacing w:after="0" w:line="146" w:lineRule="exact"/>
        <w:rPr>
          <w:rFonts w:ascii="Times New Roman" w:cs="Times New Roman" w:eastAsia="Times New Roman" w:hAnsi="Times New Roman"/>
          <w:sz w:val="20"/>
          <w:szCs w:val="20"/>
          <w:color w:val="auto"/>
        </w:rPr>
      </w:pPr>
    </w:p>
    <w:p>
      <w:pPr>
        <w:ind w:left="640" w:hanging="638"/>
        <w:spacing w:after="0"/>
        <w:tabs>
          <w:tab w:leader="none" w:pos="64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Assigned Interest:</w:t>
      </w:r>
    </w:p>
    <w:p>
      <w:pPr>
        <w:spacing w:after="0" w:line="200" w:lineRule="exact"/>
        <w:rPr>
          <w:sz w:val="20"/>
          <w:szCs w:val="20"/>
          <w:color w:val="auto"/>
        </w:rPr>
      </w:pP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60" w:type="dxa"/>
            <w:vAlign w:val="bottom"/>
            <w:tcBorders>
              <w:top w:val="single" w:sz="8" w:color="auto"/>
              <w:left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2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Aggregate</w:t>
            </w:r>
          </w:p>
        </w:tc>
        <w:tc>
          <w:tcPr>
            <w:tcW w:w="1320" w:type="dxa"/>
            <w:vAlign w:val="bottom"/>
            <w:tcBorders>
              <w:top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8"/>
              </w:rPr>
              <w:t>Amount of</w:t>
            </w:r>
          </w:p>
        </w:tc>
        <w:tc>
          <w:tcPr>
            <w:tcW w:w="1320" w:type="dxa"/>
            <w:vAlign w:val="bottom"/>
            <w:tcBorders>
              <w:top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Percentage</w:t>
            </w:r>
          </w:p>
        </w:tc>
        <w:tc>
          <w:tcPr>
            <w:tcW w:w="2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20"/>
                <w:szCs w:val="20"/>
                <w:color w:val="auto"/>
              </w:rPr>
              <w:t>Amount of</w:t>
            </w:r>
          </w:p>
        </w:tc>
        <w:tc>
          <w:tcPr>
            <w:tcW w:w="1320" w:type="dxa"/>
            <w:vAlign w:val="bottom"/>
            <w:tcBorders>
              <w:right w:val="single" w:sz="8" w:color="auto"/>
            </w:tcBorders>
            <w:gridSpan w:val="3"/>
            <w:vMerge w:val="continue"/>
          </w:tcPr>
          <w:p>
            <w:pPr>
              <w:spacing w:after="0"/>
              <w:rPr>
                <w:sz w:val="19"/>
                <w:szCs w:val="19"/>
                <w:color w:val="auto"/>
              </w:rPr>
            </w:pPr>
          </w:p>
        </w:tc>
        <w:tc>
          <w:tcPr>
            <w:tcW w:w="1320" w:type="dxa"/>
            <w:vAlign w:val="bottom"/>
            <w:tcBorders>
              <w:right w:val="single" w:sz="8" w:color="auto"/>
            </w:tcBorders>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Borders>
              <w:lef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20"/>
                <w:szCs w:val="20"/>
                <w:color w:val="auto"/>
                <w:w w:val="97"/>
              </w:rPr>
              <w:t>Commitment/</w:t>
            </w:r>
          </w:p>
        </w:tc>
        <w:tc>
          <w:tcPr>
            <w:tcW w:w="13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8"/>
              </w:rPr>
              <w:t>Commitment/</w:t>
            </w:r>
          </w:p>
        </w:tc>
        <w:tc>
          <w:tcPr>
            <w:tcW w:w="1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7"/>
              </w:rPr>
              <w:t>Assigned of</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right w:val="single" w:sz="8" w:color="auto"/>
            </w:tcBorders>
            <w:gridSpan w:val="2"/>
          </w:tcPr>
          <w:p>
            <w:pPr>
              <w:jc w:val="center"/>
              <w:ind w:right="220"/>
              <w:spacing w:after="0" w:line="226" w:lineRule="exact"/>
              <w:rPr>
                <w:sz w:val="20"/>
                <w:szCs w:val="20"/>
                <w:color w:val="auto"/>
              </w:rPr>
            </w:pPr>
            <w:r>
              <w:rPr>
                <w:rFonts w:ascii="Times New Roman" w:cs="Times New Roman" w:eastAsia="Times New Roman" w:hAnsi="Times New Roman"/>
                <w:sz w:val="20"/>
                <w:szCs w:val="20"/>
                <w:color w:val="auto"/>
                <w:w w:val="98"/>
              </w:rPr>
              <w:t>Facility</w:t>
            </w:r>
          </w:p>
        </w:tc>
        <w:tc>
          <w:tcPr>
            <w:tcW w:w="12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140"/>
              <w:spacing w:after="0" w:line="226" w:lineRule="exact"/>
              <w:rPr>
                <w:sz w:val="20"/>
                <w:szCs w:val="20"/>
                <w:color w:val="auto"/>
              </w:rPr>
            </w:pPr>
            <w:r>
              <w:rPr>
                <w:rFonts w:ascii="Times New Roman" w:cs="Times New Roman" w:eastAsia="Times New Roman" w:hAnsi="Times New Roman"/>
                <w:sz w:val="20"/>
                <w:szCs w:val="20"/>
                <w:color w:val="auto"/>
                <w:w w:val="98"/>
              </w:rPr>
              <w:t>Loans</w:t>
            </w:r>
          </w:p>
        </w:tc>
        <w:tc>
          <w:tcPr>
            <w:tcW w:w="28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300"/>
              <w:spacing w:after="0" w:line="226" w:lineRule="exact"/>
              <w:rPr>
                <w:sz w:val="20"/>
                <w:szCs w:val="20"/>
                <w:color w:val="auto"/>
              </w:rPr>
            </w:pPr>
            <w:r>
              <w:rPr>
                <w:rFonts w:ascii="Times New Roman" w:cs="Times New Roman" w:eastAsia="Times New Roman" w:hAnsi="Times New Roman"/>
                <w:sz w:val="20"/>
                <w:szCs w:val="20"/>
                <w:color w:val="auto"/>
              </w:rPr>
              <w:t>Loans</w:t>
            </w:r>
          </w:p>
        </w:tc>
        <w:tc>
          <w:tcPr>
            <w:tcW w:w="1320" w:type="dxa"/>
            <w:vAlign w:val="bottom"/>
            <w:tcBorders>
              <w:right w:val="single" w:sz="8" w:color="auto"/>
            </w:tcBorders>
            <w:gridSpan w:val="3"/>
          </w:tcPr>
          <w:p>
            <w:pPr>
              <w:jc w:val="center"/>
              <w:spacing w:after="0" w:line="226" w:lineRule="exact"/>
              <w:rPr>
                <w:sz w:val="20"/>
                <w:szCs w:val="20"/>
                <w:color w:val="auto"/>
              </w:rPr>
            </w:pPr>
            <w:r>
              <w:rPr>
                <w:rFonts w:ascii="Times New Roman" w:cs="Times New Roman" w:eastAsia="Times New Roman" w:hAnsi="Times New Roman"/>
                <w:sz w:val="20"/>
                <w:szCs w:val="20"/>
                <w:color w:val="auto"/>
                <w:w w:val="98"/>
              </w:rPr>
              <w:t>Commitment/</w:t>
            </w:r>
          </w:p>
        </w:tc>
        <w:tc>
          <w:tcPr>
            <w:tcW w:w="1100" w:type="dxa"/>
            <w:vAlign w:val="bottom"/>
            <w:tcBorders>
              <w:right w:val="single" w:sz="8" w:color="auto"/>
            </w:tcBorders>
            <w:gridSpan w:val="3"/>
          </w:tcPr>
          <w:p>
            <w:pPr>
              <w:ind w:left="200"/>
              <w:spacing w:after="0" w:line="226" w:lineRule="exact"/>
              <w:rPr>
                <w:sz w:val="20"/>
                <w:szCs w:val="20"/>
                <w:color w:val="auto"/>
              </w:rPr>
            </w:pPr>
            <w:r>
              <w:rPr>
                <w:rFonts w:ascii="Times New Roman" w:cs="Times New Roman" w:eastAsia="Times New Roman" w:hAnsi="Times New Roman"/>
                <w:sz w:val="20"/>
                <w:szCs w:val="20"/>
                <w:color w:val="auto"/>
              </w:rPr>
              <w:t>CUSIP</w:t>
            </w:r>
          </w:p>
        </w:tc>
        <w:tc>
          <w:tcPr>
            <w:tcW w:w="0" w:type="dxa"/>
            <w:vAlign w:val="bottom"/>
          </w:tcPr>
          <w:p>
            <w:pPr>
              <w:spacing w:after="0"/>
              <w:rPr>
                <w:sz w:val="1"/>
                <w:szCs w:val="1"/>
                <w:color w:val="auto"/>
              </w:rPr>
            </w:pPr>
          </w:p>
        </w:tc>
      </w:tr>
      <w:tr>
        <w:trPr>
          <w:trHeight w:val="256"/>
        </w:trPr>
        <w:tc>
          <w:tcPr>
            <w:tcW w:w="60" w:type="dxa"/>
            <w:vAlign w:val="bottom"/>
            <w:tcBorders>
              <w:left w:val="single" w:sz="8" w:color="auto"/>
            </w:tcBorders>
          </w:tcPr>
          <w:p>
            <w:pPr>
              <w:spacing w:after="0"/>
              <w:rPr>
                <w:sz w:val="22"/>
                <w:szCs w:val="22"/>
                <w:color w:val="auto"/>
              </w:rPr>
            </w:pPr>
          </w:p>
        </w:tc>
        <w:tc>
          <w:tcPr>
            <w:tcW w:w="1240" w:type="dxa"/>
            <w:vAlign w:val="bottom"/>
            <w:tcBorders>
              <w:right w:val="single" w:sz="8" w:color="auto"/>
            </w:tcBorders>
            <w:gridSpan w:val="2"/>
          </w:tcPr>
          <w:p>
            <w:pPr>
              <w:spacing w:after="0" w:line="210" w:lineRule="exact"/>
              <w:rPr>
                <w:sz w:val="20"/>
                <w:szCs w:val="20"/>
                <w:color w:val="auto"/>
              </w:rPr>
            </w:pPr>
            <w:r>
              <w:rPr>
                <w:rFonts w:ascii="Times New Roman" w:cs="Times New Roman" w:eastAsia="Times New Roman" w:hAnsi="Times New Roman"/>
                <w:sz w:val="19"/>
                <w:szCs w:val="19"/>
                <w:color w:val="auto"/>
              </w:rPr>
              <w:t>Assignor</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24"/>
                <w:szCs w:val="24"/>
                <w:color w:val="auto"/>
                <w:vertAlign w:val="superscript"/>
              </w:rPr>
              <w:t>16</w:t>
            </w:r>
          </w:p>
        </w:tc>
        <w:tc>
          <w:tcPr>
            <w:tcW w:w="60" w:type="dxa"/>
            <w:vAlign w:val="bottom"/>
          </w:tcPr>
          <w:p>
            <w:pPr>
              <w:spacing w:after="0"/>
              <w:rPr>
                <w:sz w:val="22"/>
                <w:szCs w:val="22"/>
                <w:color w:val="auto"/>
              </w:rPr>
            </w:pPr>
          </w:p>
        </w:tc>
        <w:tc>
          <w:tcPr>
            <w:tcW w:w="1280" w:type="dxa"/>
            <w:vAlign w:val="bottom"/>
            <w:tcBorders>
              <w:right w:val="single" w:sz="8" w:color="auto"/>
            </w:tcBorders>
            <w:gridSpan w:val="2"/>
          </w:tcPr>
          <w:p>
            <w:pPr>
              <w:spacing w:after="0" w:line="210" w:lineRule="exact"/>
              <w:rPr>
                <w:sz w:val="20"/>
                <w:szCs w:val="20"/>
                <w:color w:val="auto"/>
              </w:rPr>
            </w:pPr>
            <w:r>
              <w:rPr>
                <w:rFonts w:ascii="Times New Roman" w:cs="Times New Roman" w:eastAsia="Times New Roman" w:hAnsi="Times New Roman"/>
                <w:sz w:val="19"/>
                <w:szCs w:val="19"/>
                <w:color w:val="auto"/>
              </w:rPr>
              <w:t>Assignee</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24"/>
                <w:szCs w:val="24"/>
                <w:color w:val="auto"/>
                <w:vertAlign w:val="superscript"/>
              </w:rPr>
              <w:t>17</w:t>
            </w:r>
          </w:p>
        </w:tc>
        <w:tc>
          <w:tcPr>
            <w:tcW w:w="1120" w:type="dxa"/>
            <w:vAlign w:val="bottom"/>
            <w:tcBorders>
              <w:right w:val="single" w:sz="8" w:color="auto"/>
            </w:tcBorders>
            <w:gridSpan w:val="3"/>
          </w:tcPr>
          <w:p>
            <w:pPr>
              <w:jc w:val="center"/>
              <w:ind w:right="140"/>
              <w:spacing w:after="0" w:line="210" w:lineRule="exact"/>
              <w:rPr>
                <w:sz w:val="20"/>
                <w:szCs w:val="20"/>
                <w:color w:val="auto"/>
              </w:rPr>
            </w:pPr>
            <w:r>
              <w:rPr>
                <w:rFonts w:ascii="Times New Roman" w:cs="Times New Roman" w:eastAsia="Times New Roman" w:hAnsi="Times New Roman"/>
                <w:sz w:val="19"/>
                <w:szCs w:val="19"/>
                <w:color w:val="auto"/>
                <w:w w:val="99"/>
              </w:rPr>
              <w:t>Assigned</w:t>
            </w:r>
            <w:r>
              <w:rPr>
                <w:rFonts w:ascii="Times New Roman" w:cs="Times New Roman" w:eastAsia="Times New Roman" w:hAnsi="Times New Roman"/>
                <w:sz w:val="24"/>
                <w:szCs w:val="24"/>
                <w:color w:val="auto"/>
                <w:w w:val="99"/>
                <w:vertAlign w:val="superscript"/>
              </w:rPr>
              <w:t>18</w:t>
            </w:r>
          </w:p>
        </w:tc>
        <w:tc>
          <w:tcPr>
            <w:tcW w:w="1540" w:type="dxa"/>
            <w:vAlign w:val="bottom"/>
            <w:tcBorders>
              <w:right w:val="single" w:sz="8" w:color="auto"/>
            </w:tcBorders>
            <w:gridSpan w:val="3"/>
          </w:tcPr>
          <w:p>
            <w:pPr>
              <w:jc w:val="center"/>
              <w:ind w:right="20"/>
              <w:spacing w:after="0" w:line="210" w:lineRule="exact"/>
              <w:rPr>
                <w:sz w:val="20"/>
                <w:szCs w:val="20"/>
                <w:color w:val="auto"/>
              </w:rPr>
            </w:pPr>
            <w:r>
              <w:rPr>
                <w:rFonts w:ascii="Times New Roman" w:cs="Times New Roman" w:eastAsia="Times New Roman" w:hAnsi="Times New Roman"/>
                <w:sz w:val="19"/>
                <w:szCs w:val="19"/>
                <w:color w:val="auto"/>
              </w:rPr>
              <w:t>for all Lenders</w:t>
            </w:r>
            <w:r>
              <w:rPr>
                <w:rFonts w:ascii="Times New Roman" w:cs="Times New Roman" w:eastAsia="Times New Roman" w:hAnsi="Times New Roman"/>
                <w:sz w:val="24"/>
                <w:szCs w:val="24"/>
                <w:color w:val="auto"/>
                <w:vertAlign w:val="superscript"/>
              </w:rPr>
              <w:t>19</w:t>
            </w:r>
          </w:p>
        </w:tc>
        <w:tc>
          <w:tcPr>
            <w:tcW w:w="280" w:type="dxa"/>
            <w:vAlign w:val="bottom"/>
          </w:tcPr>
          <w:p>
            <w:pPr>
              <w:spacing w:after="0"/>
              <w:rPr>
                <w:sz w:val="22"/>
                <w:szCs w:val="22"/>
                <w:color w:val="auto"/>
              </w:rPr>
            </w:pPr>
          </w:p>
        </w:tc>
        <w:tc>
          <w:tcPr>
            <w:tcW w:w="7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Assigned</w:t>
            </w:r>
          </w:p>
        </w:tc>
        <w:tc>
          <w:tcPr>
            <w:tcW w:w="30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0"/>
                <w:szCs w:val="20"/>
                <w:color w:val="auto"/>
                <w:w w:val="94"/>
              </w:rPr>
              <w:t>Loans</w:t>
            </w:r>
          </w:p>
        </w:tc>
        <w:tc>
          <w:tcPr>
            <w:tcW w:w="500" w:type="dxa"/>
            <w:vAlign w:val="bottom"/>
            <w:tcBorders>
              <w:right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20</w:t>
            </w:r>
          </w:p>
        </w:tc>
        <w:tc>
          <w:tcPr>
            <w:tcW w:w="1100" w:type="dxa"/>
            <w:vAlign w:val="bottom"/>
            <w:tcBorders>
              <w:right w:val="single" w:sz="8" w:color="auto"/>
            </w:tcBorders>
            <w:gridSpan w:val="3"/>
          </w:tcPr>
          <w:p>
            <w:pPr>
              <w:ind w:left="240"/>
              <w:spacing w:after="0" w:line="209" w:lineRule="exact"/>
              <w:rPr>
                <w:sz w:val="20"/>
                <w:szCs w:val="20"/>
                <w:color w:val="auto"/>
              </w:rPr>
            </w:pPr>
            <w:r>
              <w:rPr>
                <w:rFonts w:ascii="Times New Roman" w:cs="Times New Roman" w:eastAsia="Times New Roman" w:hAnsi="Times New Roman"/>
                <w:sz w:val="20"/>
                <w:szCs w:val="20"/>
                <w:color w:val="auto"/>
              </w:rPr>
              <w:t>Number</w:t>
            </w:r>
          </w:p>
        </w:tc>
        <w:tc>
          <w:tcPr>
            <w:tcW w:w="0" w:type="dxa"/>
            <w:vAlign w:val="bottom"/>
          </w:tcPr>
          <w:p>
            <w:pPr>
              <w:spacing w:after="0"/>
              <w:rPr>
                <w:sz w:val="1"/>
                <w:szCs w:val="1"/>
                <w:color w:val="auto"/>
              </w:rPr>
            </w:pPr>
          </w:p>
        </w:tc>
      </w:tr>
      <w:tr>
        <w:trPr>
          <w:trHeight w:val="48"/>
        </w:trPr>
        <w:tc>
          <w:tcPr>
            <w:tcW w:w="60" w:type="dxa"/>
            <w:vAlign w:val="bottom"/>
            <w:tcBorders>
              <w:left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auto"/>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0" w:type="dxa"/>
            <w:vAlign w:val="bottom"/>
            <w:tcBorders>
              <w:left w:val="single" w:sz="8" w:color="auto"/>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 w:type="dxa"/>
            <w:vAlign w:val="bottom"/>
            <w:tcBorders>
              <w:left w:val="single" w:sz="8" w:color="auto"/>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59"/>
        </w:trPr>
        <w:tc>
          <w:tcPr>
            <w:tcW w:w="13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w w:val="96"/>
              </w:rPr>
              <w:t>[7. Trade Date:</w:t>
            </w:r>
          </w:p>
        </w:tc>
        <w:tc>
          <w:tcPr>
            <w:tcW w:w="1000" w:type="dxa"/>
            <w:vAlign w:val="bottom"/>
            <w:gridSpan w:val="2"/>
          </w:tcPr>
          <w:p>
            <w:pPr>
              <w:jc w:val="right"/>
              <w:ind w:right="525"/>
              <w:spacing w:after="0"/>
              <w:rPr>
                <w:sz w:val="20"/>
                <w:szCs w:val="20"/>
                <w:color w:val="auto"/>
              </w:rPr>
            </w:pPr>
            <w:r>
              <w:rPr>
                <w:rFonts w:ascii="Times New Roman" w:cs="Times New Roman" w:eastAsia="Times New Roman" w:hAnsi="Times New Roman"/>
                <w:sz w:val="39"/>
                <w:szCs w:val="39"/>
                <w:b w:val="1"/>
                <w:bCs w:val="1"/>
                <w:color w:val="auto"/>
                <w:vertAlign w:val="subscript"/>
              </w:rPr>
              <w:t>]</w:t>
            </w:r>
            <w:r>
              <w:rPr>
                <w:rFonts w:ascii="Times New Roman" w:cs="Times New Roman" w:eastAsia="Times New Roman" w:hAnsi="Times New Roman"/>
                <w:sz w:val="13"/>
                <w:szCs w:val="13"/>
                <w:color w:val="auto"/>
              </w:rPr>
              <w:t>21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99"/>
        <w:spacing w:after="0" w:line="273" w:lineRule="auto"/>
        <w:rPr>
          <w:sz w:val="20"/>
          <w:szCs w:val="20"/>
          <w:color w:val="auto"/>
        </w:rPr>
      </w:pPr>
      <w:r>
        <w:rPr>
          <w:rFonts w:ascii="Times New Roman" w:cs="Times New Roman" w:eastAsia="Times New Roman" w:hAnsi="Times New Roman"/>
          <w:sz w:val="20"/>
          <w:szCs w:val="20"/>
          <w:color w:val="auto"/>
        </w:rPr>
        <w:t xml:space="preserve">Effective Date: , 20 </w:t>
      </w:r>
      <w:r>
        <w:rPr>
          <w:rFonts w:ascii="Times New Roman" w:cs="Times New Roman" w:eastAsia="Times New Roman" w:hAnsi="Times New Roman"/>
          <w:sz w:val="20"/>
          <w:szCs w:val="20"/>
          <w:b w:val="1"/>
          <w:bCs w:val="1"/>
          <w:color w:val="auto"/>
        </w:rPr>
        <w:t>[TO BE INSERTED BY ADMINISTRATIVE AGENT AND WHICH SHALL BE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EFFECTIVE DATE 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-194310</wp:posOffset>
            </wp:positionV>
            <wp:extent cx="1771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7165" cy="8890"/>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-194310</wp:posOffset>
            </wp:positionV>
            <wp:extent cx="400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14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hanging="138"/>
        <w:spacing w:after="0"/>
        <w:tabs>
          <w:tab w:leader="none" w:pos="140" w:val="left"/>
        </w:tabs>
        <w:numPr>
          <w:ilvl w:val="0"/>
          <w:numId w:val="2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List each Assignor, as appropriate.</w:t>
      </w:r>
    </w:p>
    <w:p>
      <w:pPr>
        <w:spacing w:after="0" w:line="3" w:lineRule="exact"/>
        <w:rPr>
          <w:rFonts w:ascii="Times New Roman" w:cs="Times New Roman" w:eastAsia="Times New Roman" w:hAnsi="Times New Roman"/>
          <w:sz w:val="19"/>
          <w:szCs w:val="19"/>
          <w:color w:val="auto"/>
          <w:vertAlign w:val="superscript"/>
        </w:rPr>
      </w:pPr>
    </w:p>
    <w:p>
      <w:pPr>
        <w:ind w:left="140" w:hanging="138"/>
        <w:spacing w:after="0" w:line="189" w:lineRule="auto"/>
        <w:tabs>
          <w:tab w:leader="none" w:pos="140" w:val="left"/>
        </w:tabs>
        <w:numPr>
          <w:ilvl w:val="0"/>
          <w:numId w:val="2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List each Assignee, as appropriate.</w:t>
      </w:r>
    </w:p>
    <w:p>
      <w:pPr>
        <w:spacing w:after="0" w:line="1" w:lineRule="exact"/>
        <w:rPr>
          <w:rFonts w:ascii="Times New Roman" w:cs="Times New Roman" w:eastAsia="Times New Roman" w:hAnsi="Times New Roman"/>
          <w:sz w:val="19"/>
          <w:szCs w:val="19"/>
          <w:color w:val="auto"/>
          <w:vertAlign w:val="superscript"/>
        </w:rPr>
      </w:pPr>
    </w:p>
    <w:p>
      <w:pPr>
        <w:ind w:left="140" w:hanging="138"/>
        <w:spacing w:after="0" w:line="191" w:lineRule="auto"/>
        <w:tabs>
          <w:tab w:leader="none" w:pos="140" w:val="left"/>
        </w:tabs>
        <w:numPr>
          <w:ilvl w:val="0"/>
          <w:numId w:val="2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Fill in the appropriate terminology for the types of facilities under the Credit Agreement that are being assigned under this Assignment (e.g. “Revolving Facility”).</w:t>
      </w:r>
    </w:p>
    <w:p>
      <w:pPr>
        <w:spacing w:after="0" w:line="1" w:lineRule="exact"/>
        <w:rPr>
          <w:rFonts w:ascii="Times New Roman" w:cs="Times New Roman" w:eastAsia="Times New Roman" w:hAnsi="Times New Roman"/>
          <w:sz w:val="19"/>
          <w:szCs w:val="19"/>
          <w:color w:val="auto"/>
          <w:vertAlign w:val="superscript"/>
        </w:rPr>
      </w:pPr>
    </w:p>
    <w:p>
      <w:pPr>
        <w:ind w:right="359" w:firstLine="2"/>
        <w:spacing w:after="0" w:line="212" w:lineRule="auto"/>
        <w:tabs>
          <w:tab w:leader="none" w:pos="129" w:val="left"/>
        </w:tabs>
        <w:numPr>
          <w:ilvl w:val="0"/>
          <w:numId w:val="2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in this column and in the column immediately to the right to be adjusted by the counterparties to take into account any payments or prepayments made between the Trade Date and the Effective Date.</w:t>
      </w:r>
    </w:p>
    <w:p>
      <w:pPr>
        <w:spacing w:after="0" w:line="1" w:lineRule="exact"/>
        <w:rPr>
          <w:rFonts w:ascii="Times New Roman" w:cs="Times New Roman" w:eastAsia="Times New Roman" w:hAnsi="Times New Roman"/>
          <w:sz w:val="19"/>
          <w:szCs w:val="19"/>
          <w:color w:val="auto"/>
          <w:vertAlign w:val="superscript"/>
        </w:rPr>
      </w:pPr>
    </w:p>
    <w:p>
      <w:pPr>
        <w:ind w:left="140" w:hanging="138"/>
        <w:spacing w:after="0" w:line="192" w:lineRule="auto"/>
        <w:tabs>
          <w:tab w:leader="none" w:pos="140" w:val="left"/>
        </w:tabs>
        <w:numPr>
          <w:ilvl w:val="0"/>
          <w:numId w:val="2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Set forth, to at least 9 decimals, as a percentage of the Commitment/Loans of all Lenders thereunder.</w:t>
      </w:r>
    </w:p>
    <w:p>
      <w:pPr>
        <w:spacing w:after="0" w:line="3" w:lineRule="exact"/>
        <w:rPr>
          <w:rFonts w:ascii="Times New Roman" w:cs="Times New Roman" w:eastAsia="Times New Roman" w:hAnsi="Times New Roman"/>
          <w:sz w:val="19"/>
          <w:szCs w:val="19"/>
          <w:color w:val="auto"/>
          <w:vertAlign w:val="superscript"/>
        </w:rPr>
      </w:pPr>
    </w:p>
    <w:p>
      <w:pPr>
        <w:ind w:left="140" w:hanging="138"/>
        <w:spacing w:after="0" w:line="189" w:lineRule="auto"/>
        <w:tabs>
          <w:tab w:leader="none" w:pos="140" w:val="left"/>
        </w:tabs>
        <w:numPr>
          <w:ilvl w:val="0"/>
          <w:numId w:val="2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 be completed if the Assignor and the Assignee intend that the minimum assignment amount is to be determined as of the Trade Date.</w:t>
      </w:r>
    </w:p>
    <w:p>
      <w:pPr>
        <w:sectPr>
          <w:pgSz w:w="11900" w:h="16838" w:orient="portrait"/>
          <w:cols w:equalWidth="0" w:num="1">
            <w:col w:w="9719"/>
          </w:cols>
          <w:pgMar w:left="740" w:top="1413" w:right="1440" w:bottom="1440" w:gutter="0" w:footer="0" w:header="0"/>
        </w:sectPr>
      </w:pPr>
    </w:p>
    <w:bookmarkStart w:id="175" w:name="page176"/>
    <w:bookmarkEnd w:id="175"/>
    <w:p>
      <w:pPr>
        <w:ind w:left="640"/>
        <w:spacing w:after="0"/>
        <w:rPr>
          <w:sz w:val="20"/>
          <w:szCs w:val="20"/>
          <w:color w:val="auto"/>
        </w:rPr>
      </w:pPr>
      <w:r>
        <w:rPr>
          <w:rFonts w:ascii="Times New Roman" w:cs="Times New Roman" w:eastAsia="Times New Roman" w:hAnsi="Times New Roman"/>
          <w:sz w:val="20"/>
          <w:szCs w:val="20"/>
          <w:color w:val="auto"/>
        </w:rPr>
        <w:t>The terms set forth in this Assignment and Assumption are hereby agreed to:</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u w:val="single" w:color="auto"/>
          <w:color w:val="auto"/>
        </w:rPr>
        <w:t>ASSIGNOR</w:t>
      </w:r>
    </w:p>
    <w:p>
      <w:pPr>
        <w:spacing w:after="0" w:line="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[NAME OF ASSIGNOR]</w:t>
      </w:r>
    </w:p>
    <w:p>
      <w:pPr>
        <w:spacing w:after="0" w:line="200" w:lineRule="exact"/>
        <w:rPr>
          <w:sz w:val="20"/>
          <w:szCs w:val="20"/>
          <w:color w:val="auto"/>
        </w:rPr>
      </w:pPr>
    </w:p>
    <w:p>
      <w:pPr>
        <w:spacing w:after="0" w:line="250" w:lineRule="exact"/>
        <w:rPr>
          <w:sz w:val="20"/>
          <w:szCs w:val="20"/>
          <w:color w:val="auto"/>
        </w:rPr>
      </w:pPr>
    </w:p>
    <w:p>
      <w:pPr>
        <w:ind w:left="4220"/>
        <w:spacing w:after="0"/>
        <w:tabs>
          <w:tab w:leader="none" w:pos="4720" w:val="left"/>
          <w:tab w:leader="none" w:pos="550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-10795</wp:posOffset>
            </wp:positionV>
            <wp:extent cx="1257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-10795</wp:posOffset>
            </wp:positionV>
            <wp:extent cx="1257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-10795</wp:posOffset>
            </wp:positionV>
            <wp:extent cx="1257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u w:val="single" w:color="auto"/>
          <w:color w:val="auto"/>
        </w:rPr>
        <w:t>ASSIGNEE</w:t>
      </w:r>
    </w:p>
    <w:p>
      <w:pPr>
        <w:spacing w:after="0" w:line="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[NAME OF ASSIGNEE]</w:t>
      </w:r>
    </w:p>
    <w:p>
      <w:pPr>
        <w:spacing w:after="0" w:line="200" w:lineRule="exact"/>
        <w:rPr>
          <w:sz w:val="20"/>
          <w:szCs w:val="20"/>
          <w:color w:val="auto"/>
        </w:rPr>
      </w:pPr>
    </w:p>
    <w:p>
      <w:pPr>
        <w:spacing w:after="0" w:line="250" w:lineRule="exact"/>
        <w:rPr>
          <w:sz w:val="20"/>
          <w:szCs w:val="20"/>
          <w:color w:val="auto"/>
        </w:rPr>
      </w:pPr>
    </w:p>
    <w:p>
      <w:pPr>
        <w:ind w:left="4220"/>
        <w:spacing w:after="0"/>
        <w:tabs>
          <w:tab w:leader="none" w:pos="4720" w:val="left"/>
          <w:tab w:leader="none" w:pos="5500" w:val="left"/>
        </w:tabs>
        <w:rPr>
          <w:sz w:val="20"/>
          <w:szCs w:val="20"/>
          <w:color w:val="auto"/>
        </w:rPr>
      </w:pPr>
      <w:r>
        <w:rPr>
          <w:rFonts w:ascii="Times New Roman" w:cs="Times New Roman" w:eastAsia="Times New Roman" w:hAnsi="Times New Roman"/>
          <w:sz w:val="20"/>
          <w:szCs w:val="20"/>
          <w:color w:val="auto"/>
        </w:rPr>
        <w:t>By:</w:t>
        <w:tab/>
        <w:t>Name:</w:t>
      </w:r>
      <w:r>
        <w:rPr>
          <w:sz w:val="20"/>
          <w:szCs w:val="20"/>
          <w:color w:val="auto"/>
        </w:rPr>
        <w:tab/>
      </w: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-10795</wp:posOffset>
            </wp:positionV>
            <wp:extent cx="1257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-10795</wp:posOffset>
            </wp:positionV>
            <wp:extent cx="1257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-10795</wp:posOffset>
            </wp:positionV>
            <wp:extent cx="1257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[Consented to and]</w:t>
      </w:r>
      <w:r>
        <w:rPr>
          <w:rFonts w:ascii="Times New Roman" w:cs="Times New Roman" w:eastAsia="Times New Roman" w:hAnsi="Times New Roman"/>
          <w:sz w:val="25"/>
          <w:szCs w:val="25"/>
          <w:color w:val="auto"/>
          <w:vertAlign w:val="superscript"/>
        </w:rPr>
        <w:t>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AMERICA, N.A., as</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tabs>
          <w:tab w:leader="none" w:pos="520" w:val="left"/>
          <w:tab w:leader="none" w:pos="1280" w:val="left"/>
        </w:tabs>
        <w:rPr>
          <w:sz w:val="20"/>
          <w:szCs w:val="20"/>
          <w:color w:val="auto"/>
        </w:rPr>
      </w:pPr>
      <w:r>
        <w:rPr>
          <w:rFonts w:ascii="Times New Roman" w:cs="Times New Roman" w:eastAsia="Times New Roman" w:hAnsi="Times New Roman"/>
          <w:sz w:val="20"/>
          <w:szCs w:val="20"/>
          <w:color w:val="auto"/>
        </w:rPr>
        <w:t>By:</w:t>
        <w:tab/>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-24765</wp:posOffset>
            </wp:positionV>
            <wp:extent cx="1257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-24765</wp:posOffset>
            </wp:positionV>
            <wp:extent cx="1257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-24765</wp:posOffset>
            </wp:positionV>
            <wp:extent cx="1257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[Consented to:]</w:t>
      </w:r>
      <w:r>
        <w:rPr>
          <w:rFonts w:ascii="Times New Roman" w:cs="Times New Roman" w:eastAsia="Times New Roman" w:hAnsi="Times New Roman"/>
          <w:sz w:val="25"/>
          <w:szCs w:val="25"/>
          <w:color w:val="auto"/>
          <w:vertAlign w:val="superscript"/>
        </w:rPr>
        <w:t>23</w:t>
      </w:r>
    </w:p>
    <w:p>
      <w:pPr>
        <w:spacing w:after="0" w:line="200" w:lineRule="exact"/>
        <w:rPr>
          <w:sz w:val="20"/>
          <w:szCs w:val="20"/>
          <w:color w:val="auto"/>
        </w:rPr>
      </w:pPr>
    </w:p>
    <w:p>
      <w:pPr>
        <w:spacing w:after="0" w:line="280" w:lineRule="exact"/>
        <w:rPr>
          <w:sz w:val="20"/>
          <w:szCs w:val="20"/>
          <w:color w:val="auto"/>
        </w:rPr>
      </w:pPr>
    </w:p>
    <w:p>
      <w:pPr>
        <w:spacing w:after="0"/>
        <w:tabs>
          <w:tab w:leader="none" w:pos="520" w:val="left"/>
          <w:tab w:leader="none" w:pos="1280" w:val="left"/>
        </w:tabs>
        <w:rPr>
          <w:sz w:val="20"/>
          <w:szCs w:val="20"/>
          <w:color w:val="auto"/>
        </w:rPr>
      </w:pPr>
      <w:r>
        <w:rPr>
          <w:rFonts w:ascii="Times New Roman" w:cs="Times New Roman" w:eastAsia="Times New Roman" w:hAnsi="Times New Roman"/>
          <w:sz w:val="20"/>
          <w:szCs w:val="20"/>
          <w:color w:val="auto"/>
        </w:rPr>
        <w:t>By:</w:t>
        <w:tab/>
        <w:t>Name:</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-10795</wp:posOffset>
            </wp:positionV>
            <wp:extent cx="1257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wp:posOffset>
            </wp:positionH>
            <wp:positionV relativeFrom="paragraph">
              <wp:posOffset>-10795</wp:posOffset>
            </wp:positionV>
            <wp:extent cx="1257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-10795</wp:posOffset>
            </wp:positionV>
            <wp:extent cx="1257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40" w:hanging="138"/>
        <w:spacing w:after="0"/>
        <w:tabs>
          <w:tab w:leader="none" w:pos="140" w:val="left"/>
        </w:tabs>
        <w:numPr>
          <w:ilvl w:val="0"/>
          <w:numId w:val="2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 be added only if the consent of the Administrative Agent is required by the terms of the Credit Agreement.</w:t>
      </w:r>
    </w:p>
    <w:p>
      <w:pPr>
        <w:spacing w:after="0" w:line="3" w:lineRule="exact"/>
        <w:rPr>
          <w:rFonts w:ascii="Times New Roman" w:cs="Times New Roman" w:eastAsia="Times New Roman" w:hAnsi="Times New Roman"/>
          <w:sz w:val="19"/>
          <w:szCs w:val="19"/>
          <w:color w:val="auto"/>
          <w:vertAlign w:val="superscript"/>
        </w:rPr>
      </w:pPr>
    </w:p>
    <w:p>
      <w:pPr>
        <w:ind w:left="140" w:hanging="138"/>
        <w:spacing w:after="0" w:line="189" w:lineRule="auto"/>
        <w:tabs>
          <w:tab w:leader="none" w:pos="140" w:val="left"/>
        </w:tabs>
        <w:numPr>
          <w:ilvl w:val="0"/>
          <w:numId w:val="2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 be added only if the consent of the Borrower and/or other parties (</w:t>
      </w:r>
      <w:r>
        <w:rPr>
          <w:rFonts w:ascii="Times New Roman" w:cs="Times New Roman" w:eastAsia="Times New Roman" w:hAnsi="Times New Roman"/>
          <w:sz w:val="14"/>
          <w:szCs w:val="14"/>
          <w:u w:val="single" w:color="auto"/>
          <w:color w:val="auto"/>
        </w:rPr>
        <w:t>e.g.</w:t>
      </w:r>
      <w:r>
        <w:rPr>
          <w:rFonts w:ascii="Times New Roman" w:cs="Times New Roman" w:eastAsia="Times New Roman" w:hAnsi="Times New Roman"/>
          <w:sz w:val="14"/>
          <w:szCs w:val="14"/>
          <w:color w:val="auto"/>
        </w:rPr>
        <w:t xml:space="preserve"> Swingline Lender(s), L/C Issuer(s)) is required by the terms of the Credit Agreement.</w:t>
      </w:r>
    </w:p>
    <w:p>
      <w:pPr>
        <w:sectPr>
          <w:pgSz w:w="11900" w:h="16838" w:orient="portrait"/>
          <w:cols w:equalWidth="0" w:num="1">
            <w:col w:w="9719"/>
          </w:cols>
          <w:pgMar w:left="740" w:top="1413" w:right="1440" w:bottom="1440" w:gutter="0" w:footer="0" w:header="0"/>
        </w:sectPr>
      </w:pPr>
    </w:p>
    <w:bookmarkStart w:id="176" w:name="page177"/>
    <w:bookmarkEnd w:id="176"/>
    <w:p>
      <w:pPr>
        <w:jc w:val="center"/>
        <w:ind w:right="1299"/>
        <w:spacing w:after="0"/>
        <w:rPr>
          <w:sz w:val="20"/>
          <w:szCs w:val="20"/>
          <w:color w:val="auto"/>
        </w:rPr>
      </w:pPr>
      <w:r>
        <w:rPr>
          <w:rFonts w:ascii="Times New Roman" w:cs="Times New Roman" w:eastAsia="Times New Roman" w:hAnsi="Times New Roman"/>
          <w:sz w:val="20"/>
          <w:szCs w:val="20"/>
          <w:b w:val="1"/>
          <w:bCs w:val="1"/>
          <w:u w:val="single" w:color="auto"/>
          <w:color w:val="auto"/>
        </w:rPr>
        <w:t>ANNEX 1 TO ASSIGNMENT AND ASSUMPTION</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b w:val="1"/>
          <w:bCs w:val="1"/>
          <w:color w:val="auto"/>
        </w:rPr>
        <w:t>Standard Terms and Conditions for Assignment and Assumption</w:t>
      </w:r>
    </w:p>
    <w:p>
      <w:pPr>
        <w:spacing w:after="0" w:line="220" w:lineRule="exact"/>
        <w:rPr>
          <w:sz w:val="20"/>
          <w:szCs w:val="20"/>
          <w:color w:val="auto"/>
        </w:rPr>
      </w:pPr>
    </w:p>
    <w:p>
      <w:pPr>
        <w:ind w:left="1280" w:hanging="630"/>
        <w:spacing w:after="0"/>
        <w:tabs>
          <w:tab w:leader="none" w:pos="128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right="239" w:firstLine="648"/>
        <w:spacing w:after="0" w:line="25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[The][Each]</w:t>
      </w:r>
      <w:r>
        <w:rPr>
          <w:rFonts w:ascii="Times New Roman" w:cs="Times New Roman" w:eastAsia="Times New Roman" w:hAnsi="Times New Roman"/>
          <w:sz w:val="20"/>
          <w:szCs w:val="20"/>
          <w:color w:val="auto"/>
        </w:rPr>
        <w:t xml:space="preserve"> Assignor (a) represents and warrants that (i) it is the legal and beneficial owner of </w:t>
      </w:r>
      <w:r>
        <w:rPr>
          <w:rFonts w:ascii="Times New Roman" w:cs="Times New Roman" w:eastAsia="Times New Roman" w:hAnsi="Times New Roman"/>
          <w:sz w:val="20"/>
          <w:szCs w:val="20"/>
          <w:b w:val="1"/>
          <w:bCs w:val="1"/>
          <w:color w:val="auto"/>
        </w:rPr>
        <w:t>[the][the relevant]</w:t>
      </w:r>
      <w:r>
        <w:rPr>
          <w:rFonts w:ascii="Times New Roman" w:cs="Times New Roman" w:eastAsia="Times New Roman" w:hAnsi="Times New Roman"/>
          <w:sz w:val="20"/>
          <w:szCs w:val="20"/>
          <w:color w:val="auto"/>
        </w:rPr>
        <w:t xml:space="preserve"> Assigned Interest, (ii) </w:t>
      </w:r>
      <w:r>
        <w:rPr>
          <w:rFonts w:ascii="Times New Roman" w:cs="Times New Roman" w:eastAsia="Times New Roman" w:hAnsi="Times New Roman"/>
          <w:sz w:val="20"/>
          <w:szCs w:val="20"/>
          <w:b w:val="1"/>
          <w:bCs w:val="1"/>
          <w:color w:val="auto"/>
        </w:rPr>
        <w:t>[the][such]</w:t>
      </w:r>
      <w:r>
        <w:rPr>
          <w:rFonts w:ascii="Times New Roman" w:cs="Times New Roman" w:eastAsia="Times New Roman" w:hAnsi="Times New Roman"/>
          <w:sz w:val="20"/>
          <w:szCs w:val="20"/>
          <w:color w:val="auto"/>
        </w:rPr>
        <w:t xml:space="preserve"> Assigned Interest is free and clear of any lien, encumbrance or other adverse claim, (iii) it has full power and authority, and has taken all action necessary, to execute and deliver this Assignment and Assumption and to consummate the transactions contemplated hereby, and (iv) it has examined the list of Disqualified Institutions and the Assignee is not a Disqualified Institution;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76" w:lineRule="exact"/>
        <w:rPr>
          <w:sz w:val="20"/>
          <w:szCs w:val="20"/>
          <w:color w:val="auto"/>
        </w:rPr>
      </w:pPr>
    </w:p>
    <w:p>
      <w:pPr>
        <w:ind w:right="199" w:firstLine="648"/>
        <w:spacing w:after="0" w:line="262"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[The][Each]</w:t>
      </w:r>
      <w:r>
        <w:rPr>
          <w:rFonts w:ascii="Times New Roman" w:cs="Times New Roman" w:eastAsia="Times New Roman" w:hAnsi="Times New Roman"/>
          <w:sz w:val="19"/>
          <w:szCs w:val="19"/>
          <w:color w:val="auto"/>
        </w:rPr>
        <w:t xml:space="preserv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the terms of the Credit Agreement (subject to such consents, if any, as may be required under the terms of the Credit Agreement), (iii) from and after the Effective Date, it shall be bound by the provisions of the Credit Agreement and the other Loan Documents as a Lender thereunder and, to the extent of </w:t>
      </w:r>
      <w:r>
        <w:rPr>
          <w:rFonts w:ascii="Times New Roman" w:cs="Times New Roman" w:eastAsia="Times New Roman" w:hAnsi="Times New Roman"/>
          <w:sz w:val="19"/>
          <w:szCs w:val="19"/>
          <w:b w:val="1"/>
          <w:bCs w:val="1"/>
          <w:color w:val="auto"/>
        </w:rPr>
        <w:t>[the][the relevant]</w:t>
      </w:r>
      <w:r>
        <w:rPr>
          <w:rFonts w:ascii="Times New Roman" w:cs="Times New Roman" w:eastAsia="Times New Roman" w:hAnsi="Times New Roman"/>
          <w:sz w:val="19"/>
          <w:szCs w:val="19"/>
          <w:color w:val="auto"/>
        </w:rPr>
        <w:t xml:space="preserve"> Assigned Interest, shall have the obligations of a Lender thereunder, (iv) it is sophisticated with respect to decisions to acquire assets of the type represented by </w:t>
      </w:r>
      <w:r>
        <w:rPr>
          <w:rFonts w:ascii="Times New Roman" w:cs="Times New Roman" w:eastAsia="Times New Roman" w:hAnsi="Times New Roman"/>
          <w:sz w:val="19"/>
          <w:szCs w:val="19"/>
          <w:b w:val="1"/>
          <w:bCs w:val="1"/>
          <w:color w:val="auto"/>
        </w:rPr>
        <w:t>[the][such]</w:t>
      </w:r>
      <w:r>
        <w:rPr>
          <w:rFonts w:ascii="Times New Roman" w:cs="Times New Roman" w:eastAsia="Times New Roman" w:hAnsi="Times New Roman"/>
          <w:sz w:val="19"/>
          <w:szCs w:val="19"/>
          <w:color w:val="auto"/>
        </w:rPr>
        <w:t xml:space="preserve"> Assigned Interest and either it, or the Person exercising discretion in making its decision to acquire </w:t>
      </w:r>
      <w:r>
        <w:rPr>
          <w:rFonts w:ascii="Times New Roman" w:cs="Times New Roman" w:eastAsia="Times New Roman" w:hAnsi="Times New Roman"/>
          <w:sz w:val="19"/>
          <w:szCs w:val="19"/>
          <w:b w:val="1"/>
          <w:bCs w:val="1"/>
          <w:color w:val="auto"/>
        </w:rPr>
        <w:t>[the][such]</w:t>
      </w:r>
      <w:r>
        <w:rPr>
          <w:rFonts w:ascii="Times New Roman" w:cs="Times New Roman" w:eastAsia="Times New Roman" w:hAnsi="Times New Roman"/>
          <w:sz w:val="19"/>
          <w:szCs w:val="19"/>
          <w:color w:val="auto"/>
        </w:rPr>
        <w:t xml:space="preserve"> Assigned Interest, is experienced in acquiring assets of such type, (v) it has received a copy of the Credit Agreement, and has received or has been accorded the opportunity to receive copies of the most recent financial statements delivered pursuant to the terms of the Credit Agreement, and such other documents and information as it deems appropriate to make its own credit analysis and decision to enter into this Assignment and Assumption and to purchase </w:t>
      </w:r>
      <w:r>
        <w:rPr>
          <w:rFonts w:ascii="Times New Roman" w:cs="Times New Roman" w:eastAsia="Times New Roman" w:hAnsi="Times New Roman"/>
          <w:sz w:val="19"/>
          <w:szCs w:val="19"/>
          <w:b w:val="1"/>
          <w:bCs w:val="1"/>
          <w:color w:val="auto"/>
        </w:rPr>
        <w:t>[the][such]</w:t>
      </w:r>
      <w:r>
        <w:rPr>
          <w:rFonts w:ascii="Times New Roman" w:cs="Times New Roman" w:eastAsia="Times New Roman" w:hAnsi="Times New Roman"/>
          <w:sz w:val="19"/>
          <w:szCs w:val="19"/>
          <w:color w:val="auto"/>
        </w:rPr>
        <w:t xml:space="preserv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w:t>
      </w:r>
      <w:r>
        <w:rPr>
          <w:rFonts w:ascii="Times New Roman" w:cs="Times New Roman" w:eastAsia="Times New Roman" w:hAnsi="Times New Roman"/>
          <w:sz w:val="19"/>
          <w:szCs w:val="19"/>
          <w:b w:val="1"/>
          <w:bCs w:val="1"/>
          <w:color w:val="auto"/>
        </w:rPr>
        <w:t>[the][such]</w:t>
      </w:r>
      <w:r>
        <w:rPr>
          <w:rFonts w:ascii="Times New Roman" w:cs="Times New Roman" w:eastAsia="Times New Roman" w:hAnsi="Times New Roman"/>
          <w:sz w:val="19"/>
          <w:szCs w:val="19"/>
          <w:color w:val="auto"/>
        </w:rPr>
        <w:t xml:space="preserve"> Assigned Interest, (vii) if it is a Foreign Lender, attached hereto is any documentation required to be delivered by it pursuant to the terms of the Credit Agreement, duly completed and executed by </w:t>
      </w:r>
      <w:r>
        <w:rPr>
          <w:rFonts w:ascii="Times New Roman" w:cs="Times New Roman" w:eastAsia="Times New Roman" w:hAnsi="Times New Roman"/>
          <w:sz w:val="19"/>
          <w:szCs w:val="19"/>
          <w:b w:val="1"/>
          <w:bCs w:val="1"/>
          <w:color w:val="auto"/>
        </w:rPr>
        <w:t>[the][such]</w:t>
      </w:r>
      <w:r>
        <w:rPr>
          <w:rFonts w:ascii="Times New Roman" w:cs="Times New Roman" w:eastAsia="Times New Roman" w:hAnsi="Times New Roman"/>
          <w:sz w:val="19"/>
          <w:szCs w:val="19"/>
          <w:color w:val="auto"/>
        </w:rPr>
        <w:t xml:space="preserve"> Assignee, and (viii) it has examined the list of Disqualified Institutions and it is not a Disqualified Institution; and (b) agrees that</w:t>
      </w:r>
    </w:p>
    <w:p>
      <w:pPr>
        <w:spacing w:after="0" w:line="6" w:lineRule="exact"/>
        <w:rPr>
          <w:sz w:val="20"/>
          <w:szCs w:val="20"/>
          <w:color w:val="auto"/>
        </w:rPr>
      </w:pPr>
    </w:p>
    <w:p>
      <w:pPr>
        <w:ind w:right="259" w:firstLine="2"/>
        <w:spacing w:after="0" w:line="270" w:lineRule="auto"/>
        <w:tabs>
          <w:tab w:leader="none" w:pos="236"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it will, independently and without reliance upon the Administrative Agent, </w:t>
      </w:r>
      <w:r>
        <w:rPr>
          <w:rFonts w:ascii="Times New Roman" w:cs="Times New Roman" w:eastAsia="Times New Roman" w:hAnsi="Times New Roman"/>
          <w:sz w:val="19"/>
          <w:szCs w:val="19"/>
          <w:b w:val="1"/>
          <w:bCs w:val="1"/>
          <w:color w:val="auto"/>
        </w:rPr>
        <w:t>[the][any]</w:t>
      </w:r>
      <w:r>
        <w:rPr>
          <w:rFonts w:ascii="Times New Roman" w:cs="Times New Roman" w:eastAsia="Times New Roman" w:hAnsi="Times New Roman"/>
          <w:sz w:val="19"/>
          <w:szCs w:val="19"/>
          <w:color w:val="auto"/>
        </w:rPr>
        <w:t xml:space="preserv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62" w:lineRule="exact"/>
        <w:rPr>
          <w:rFonts w:ascii="Times New Roman" w:cs="Times New Roman" w:eastAsia="Times New Roman" w:hAnsi="Times New Roman"/>
          <w:sz w:val="19"/>
          <w:szCs w:val="19"/>
          <w:color w:val="auto"/>
        </w:rPr>
      </w:pPr>
    </w:p>
    <w:p>
      <w:pPr>
        <w:ind w:right="439" w:firstLine="650"/>
        <w:spacing w:after="0" w:line="258" w:lineRule="auto"/>
        <w:tabs>
          <w:tab w:leader="none" w:pos="877"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From and after the Effective Date, the Administrative Agent shall make all payments in respect of </w:t>
      </w:r>
      <w:r>
        <w:rPr>
          <w:rFonts w:ascii="Times New Roman" w:cs="Times New Roman" w:eastAsia="Times New Roman" w:hAnsi="Times New Roman"/>
          <w:sz w:val="20"/>
          <w:szCs w:val="20"/>
          <w:b w:val="1"/>
          <w:bCs w:val="1"/>
          <w:color w:val="auto"/>
        </w:rPr>
        <w:t>[the][each]</w:t>
      </w:r>
      <w:r>
        <w:rPr>
          <w:rFonts w:ascii="Times New Roman" w:cs="Times New Roman" w:eastAsia="Times New Roman" w:hAnsi="Times New Roman"/>
          <w:sz w:val="20"/>
          <w:szCs w:val="20"/>
          <w:color w:val="auto"/>
        </w:rPr>
        <w:t xml:space="preserve"> Assigned Interest (including payments of principal, interest, fees and other amounts) to </w:t>
      </w:r>
      <w:r>
        <w:rPr>
          <w:rFonts w:ascii="Times New Roman" w:cs="Times New Roman" w:eastAsia="Times New Roman" w:hAnsi="Times New Roman"/>
          <w:sz w:val="20"/>
          <w:szCs w:val="20"/>
          <w:b w:val="1"/>
          <w:bCs w:val="1"/>
          <w:color w:val="auto"/>
        </w:rPr>
        <w:t>[the][the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relevant] </w:t>
      </w:r>
      <w:r>
        <w:rPr>
          <w:rFonts w:ascii="Times New Roman" w:cs="Times New Roman" w:eastAsia="Times New Roman" w:hAnsi="Times New Roman"/>
          <w:sz w:val="20"/>
          <w:szCs w:val="20"/>
          <w:color w:val="auto"/>
        </w:rPr>
        <w:t>Assignor for amounts which have accrued to but excluding the Effective Date and to</w:t>
      </w:r>
      <w:r>
        <w:rPr>
          <w:rFonts w:ascii="Times New Roman" w:cs="Times New Roman" w:eastAsia="Times New Roman" w:hAnsi="Times New Roman"/>
          <w:sz w:val="20"/>
          <w:szCs w:val="20"/>
          <w:b w:val="1"/>
          <w:bCs w:val="1"/>
          <w:color w:val="auto"/>
        </w:rPr>
        <w:t xml:space="preserve"> [the][the relevant] </w:t>
      </w:r>
      <w:r>
        <w:rPr>
          <w:rFonts w:ascii="Times New Roman" w:cs="Times New Roman" w:eastAsia="Times New Roman" w:hAnsi="Times New Roman"/>
          <w:sz w:val="20"/>
          <w:szCs w:val="20"/>
          <w:color w:val="auto"/>
        </w:rPr>
        <w:t>Assignee for amounts which have accrued from and after the Effective Date.</w:t>
      </w:r>
    </w:p>
    <w:p>
      <w:pPr>
        <w:sectPr>
          <w:pgSz w:w="11900" w:h="16838" w:orient="portrait"/>
          <w:cols w:equalWidth="0" w:num="1">
            <w:col w:w="9719"/>
          </w:cols>
          <w:pgMar w:left="740" w:top="1409" w:right="1440" w:bottom="1440" w:gutter="0" w:footer="0" w:header="0"/>
        </w:sectPr>
      </w:pPr>
    </w:p>
    <w:bookmarkStart w:id="177" w:name="page178"/>
    <w:bookmarkEnd w:id="177"/>
    <w:p>
      <w:pPr>
        <w:ind w:left="-650" w:right="239" w:firstLine="650"/>
        <w:spacing w:after="0" w:line="269" w:lineRule="auto"/>
        <w:tabs>
          <w:tab w:leader="none" w:pos="228"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Provisions</w:t>
      </w:r>
      <w:r>
        <w:rPr>
          <w:rFonts w:ascii="Times New Roman" w:cs="Times New Roman" w:eastAsia="Times New Roman" w:hAnsi="Times New Roman"/>
          <w:sz w:val="19"/>
          <w:szCs w:val="19"/>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fax transmission or other electronic mail transmission (e.g. “pdf” or “tif”)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9069"/>
          </w:cols>
          <w:pgMar w:left="1390" w:top="1399" w:right="1440" w:bottom="1440" w:gutter="0" w:footer="0" w:header="0"/>
        </w:sectPr>
      </w:pPr>
    </w:p>
    <w:bookmarkStart w:id="178" w:name="page179"/>
    <w:bookmarkEnd w:id="178"/>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11.06(b)(iv)</w:t>
      </w:r>
    </w:p>
    <w:p>
      <w:pPr>
        <w:spacing w:after="0" w:line="22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b w:val="1"/>
          <w:bCs w:val="1"/>
          <w:color w:val="auto"/>
        </w:rPr>
        <w:t>[Form of]</w:t>
      </w:r>
    </w:p>
    <w:p>
      <w:pPr>
        <w:spacing w:after="0" w:line="3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9"/>
          <w:szCs w:val="19"/>
          <w:b w:val="1"/>
          <w:bCs w:val="1"/>
          <w:color w:val="auto"/>
        </w:rPr>
        <w:t>Administrative Questionnaire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9019"/>
          </w:cols>
          <w:pgMar w:left="1440" w:top="1440" w:right="1440"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32"/>
          <w:szCs w:val="32"/>
          <w:b w:val="1"/>
          <w:bCs w:val="1"/>
          <w:color w:val="auto"/>
        </w:rPr>
        <w:t>LMA / LSTA Standard Administrative Details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3131185</wp:posOffset>
            </wp:positionV>
            <wp:extent cx="7140575" cy="539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color w:val="auto"/>
        </w:rPr>
        <w:t>The Loan Market Association ("LMA") and Loan Syndications &amp; Trading Association ("LSTA") consent to the use and reproduction of this document for the preparation and documentation of agreements relating to transactions or potential transactions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markets.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Loan Market Association, Loan Syndications &amp; Trading Association. All rights reserved.</w:t>
      </w:r>
    </w:p>
    <w:p>
      <w:pPr>
        <w:sectPr>
          <w:pgSz w:w="11900" w:h="16838" w:orient="portrait"/>
          <w:cols w:equalWidth="0" w:num="1">
            <w:col w:w="11160"/>
          </w:cols>
          <w:pgMar w:left="360" w:top="1440" w:right="379" w:bottom="1440" w:gutter="0" w:footer="0" w:header="0"/>
        </w:sectPr>
      </w:pPr>
    </w:p>
    <w:bookmarkStart w:id="180" w:name="page181"/>
    <w:bookmarkEnd w:id="180"/>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LSTA/LMA Standard Administrative Details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265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FFFFFF"/>
        </w:rPr>
        <w:t>BORROWER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057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205740"/>
                    </a:xfrm>
                    <a:prstGeom prst="rect">
                      <a:avLst/>
                    </a:prstGeom>
                    <a:noFill/>
                  </pic:spPr>
                </pic:pic>
              </a:graphicData>
            </a:graphic>
          </wp:anchor>
        </w:drawing>
      </w:r>
    </w:p>
    <w:p>
      <w:pPr>
        <w:spacing w:after="0" w:line="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Borrower Name</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5700" w:type="dxa"/>
            <w:vAlign w:val="bottom"/>
            <w:tcBorders>
              <w:left w:val="single" w:sz="8" w:color="252525"/>
              <w:right w:val="single" w:sz="8" w:color="auto"/>
            </w:tcBorders>
            <w:gridSpan w:val="3"/>
            <w:shd w:val="clear" w:color="auto" w:fill="000000"/>
          </w:tcPr>
          <w:p>
            <w:pPr>
              <w:ind w:left="80"/>
              <w:spacing w:after="0"/>
              <w:rPr>
                <w:sz w:val="20"/>
                <w:szCs w:val="20"/>
                <w:color w:val="auto"/>
              </w:rPr>
            </w:pPr>
            <w:r>
              <w:rPr>
                <w:rFonts w:ascii="Times New Roman" w:cs="Times New Roman" w:eastAsia="Times New Roman" w:hAnsi="Times New Roman"/>
                <w:sz w:val="22"/>
                <w:szCs w:val="22"/>
                <w:b w:val="1"/>
                <w:bCs w:val="1"/>
                <w:color w:val="FFFFFF"/>
              </w:rPr>
              <w:t>ENTITY DETAIL</w:t>
            </w:r>
          </w:p>
        </w:tc>
        <w:tc>
          <w:tcPr>
            <w:tcW w:w="1020" w:type="dxa"/>
            <w:vAlign w:val="bottom"/>
            <w:tcBorders>
              <w:right w:val="single" w:sz="8" w:color="auto"/>
            </w:tcBorders>
            <w:shd w:val="clear" w:color="auto" w:fill="000000"/>
          </w:tcPr>
          <w:p>
            <w:pPr>
              <w:spacing w:after="0"/>
              <w:rPr>
                <w:sz w:val="24"/>
                <w:szCs w:val="24"/>
                <w:color w:val="auto"/>
              </w:rPr>
            </w:pPr>
          </w:p>
        </w:tc>
        <w:tc>
          <w:tcPr>
            <w:tcW w:w="1020" w:type="dxa"/>
            <w:vAlign w:val="bottom"/>
            <w:tcBorders>
              <w:right w:val="single" w:sz="8" w:color="auto"/>
            </w:tcBorders>
            <w:shd w:val="clear" w:color="auto" w:fill="000000"/>
          </w:tcPr>
          <w:p>
            <w:pPr>
              <w:spacing w:after="0"/>
              <w:rPr>
                <w:sz w:val="24"/>
                <w:szCs w:val="24"/>
                <w:color w:val="auto"/>
              </w:rPr>
            </w:pPr>
          </w:p>
        </w:tc>
        <w:tc>
          <w:tcPr>
            <w:tcW w:w="1040" w:type="dxa"/>
            <w:vAlign w:val="bottom"/>
            <w:tcBorders>
              <w:right w:val="single" w:sz="8" w:color="auto"/>
            </w:tcBorders>
            <w:shd w:val="clear" w:color="auto" w:fill="000000"/>
          </w:tcPr>
          <w:p>
            <w:pPr>
              <w:spacing w:after="0"/>
              <w:rPr>
                <w:sz w:val="24"/>
                <w:szCs w:val="24"/>
                <w:color w:val="auto"/>
              </w:rPr>
            </w:pPr>
          </w:p>
        </w:tc>
        <w:tc>
          <w:tcPr>
            <w:tcW w:w="880" w:type="dxa"/>
            <w:vAlign w:val="bottom"/>
            <w:tcBorders>
              <w:right w:val="single" w:sz="8" w:color="252525"/>
            </w:tcBorders>
            <w:shd w:val="clear" w:color="auto" w:fill="000000"/>
          </w:tcPr>
          <w:p>
            <w:pPr>
              <w:spacing w:after="0"/>
              <w:rPr>
                <w:sz w:val="24"/>
                <w:szCs w:val="24"/>
                <w:color w:val="auto"/>
              </w:rPr>
            </w:pPr>
          </w:p>
        </w:tc>
        <w:tc>
          <w:tcPr>
            <w:tcW w:w="1600" w:type="dxa"/>
            <w:vAlign w:val="bottom"/>
            <w:tcBorders>
              <w:right w:val="single" w:sz="8" w:color="252525"/>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40" w:type="dxa"/>
            <w:vAlign w:val="bottom"/>
            <w:tcBorders>
              <w:left w:val="single" w:sz="8" w:color="252525"/>
            </w:tcBorders>
            <w:shd w:val="clear" w:color="auto" w:fill="000000"/>
          </w:tcPr>
          <w:p>
            <w:pPr>
              <w:spacing w:after="0"/>
              <w:rPr>
                <w:sz w:val="9"/>
                <w:szCs w:val="9"/>
                <w:color w:val="auto"/>
              </w:rPr>
            </w:pPr>
          </w:p>
        </w:tc>
        <w:tc>
          <w:tcPr>
            <w:tcW w:w="40" w:type="dxa"/>
            <w:vAlign w:val="bottom"/>
            <w:tcBorders>
              <w:right w:val="single" w:sz="8" w:color="auto"/>
            </w:tcBorders>
            <w:shd w:val="clear" w:color="auto" w:fill="000000"/>
          </w:tcPr>
          <w:p>
            <w:pPr>
              <w:spacing w:after="0"/>
              <w:rPr>
                <w:sz w:val="9"/>
                <w:szCs w:val="9"/>
                <w:color w:val="auto"/>
              </w:rPr>
            </w:pPr>
          </w:p>
        </w:tc>
        <w:tc>
          <w:tcPr>
            <w:tcW w:w="2820" w:type="dxa"/>
            <w:vAlign w:val="bottom"/>
            <w:tcBorders>
              <w:right w:val="single" w:sz="8" w:color="auto"/>
            </w:tcBorders>
            <w:shd w:val="clear" w:color="auto" w:fill="000000"/>
          </w:tcPr>
          <w:p>
            <w:pPr>
              <w:spacing w:after="0"/>
              <w:rPr>
                <w:sz w:val="9"/>
                <w:szCs w:val="9"/>
                <w:color w:val="auto"/>
              </w:rPr>
            </w:pPr>
          </w:p>
        </w:tc>
        <w:tc>
          <w:tcPr>
            <w:tcW w:w="1020" w:type="dxa"/>
            <w:vAlign w:val="bottom"/>
            <w:tcBorders>
              <w:right w:val="single" w:sz="8" w:color="auto"/>
            </w:tcBorders>
            <w:shd w:val="clear" w:color="auto" w:fill="000000"/>
          </w:tcPr>
          <w:p>
            <w:pPr>
              <w:spacing w:after="0"/>
              <w:rPr>
                <w:sz w:val="9"/>
                <w:szCs w:val="9"/>
                <w:color w:val="auto"/>
              </w:rPr>
            </w:pPr>
          </w:p>
        </w:tc>
        <w:tc>
          <w:tcPr>
            <w:tcW w:w="1020" w:type="dxa"/>
            <w:vAlign w:val="bottom"/>
            <w:tcBorders>
              <w:right w:val="single" w:sz="8" w:color="auto"/>
            </w:tcBorders>
            <w:shd w:val="clear" w:color="auto" w:fill="000000"/>
          </w:tcPr>
          <w:p>
            <w:pPr>
              <w:spacing w:after="0"/>
              <w:rPr>
                <w:sz w:val="9"/>
                <w:szCs w:val="9"/>
                <w:color w:val="auto"/>
              </w:rPr>
            </w:pPr>
          </w:p>
        </w:tc>
        <w:tc>
          <w:tcPr>
            <w:tcW w:w="1040" w:type="dxa"/>
            <w:vAlign w:val="bottom"/>
            <w:tcBorders>
              <w:right w:val="single" w:sz="8" w:color="auto"/>
            </w:tcBorders>
            <w:shd w:val="clear" w:color="auto" w:fill="000000"/>
          </w:tcPr>
          <w:p>
            <w:pPr>
              <w:spacing w:after="0"/>
              <w:rPr>
                <w:sz w:val="9"/>
                <w:szCs w:val="9"/>
                <w:color w:val="auto"/>
              </w:rPr>
            </w:pPr>
          </w:p>
        </w:tc>
        <w:tc>
          <w:tcPr>
            <w:tcW w:w="880" w:type="dxa"/>
            <w:vAlign w:val="bottom"/>
            <w:tcBorders>
              <w:right w:val="single" w:sz="8" w:color="252525"/>
            </w:tcBorders>
            <w:shd w:val="clear" w:color="auto" w:fill="000000"/>
          </w:tcPr>
          <w:p>
            <w:pPr>
              <w:spacing w:after="0"/>
              <w:rPr>
                <w:sz w:val="9"/>
                <w:szCs w:val="9"/>
                <w:color w:val="auto"/>
              </w:rPr>
            </w:pPr>
          </w:p>
        </w:tc>
        <w:tc>
          <w:tcPr>
            <w:tcW w:w="1600" w:type="dxa"/>
            <w:vAlign w:val="bottom"/>
            <w:tcBorders>
              <w:right w:val="single" w:sz="8" w:color="252525"/>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840" w:type="dxa"/>
            <w:vAlign w:val="bottom"/>
            <w:tcBorders>
              <w:left w:val="single" w:sz="8" w:color="252525"/>
              <w:bottom w:val="single" w:sz="8" w:color="D2D2D2"/>
            </w:tcBorders>
            <w:shd w:val="clear" w:color="auto" w:fill="D2D2D2"/>
          </w:tcPr>
          <w:p>
            <w:pPr>
              <w:jc w:val="right"/>
              <w:spacing w:after="0"/>
              <w:rPr>
                <w:sz w:val="20"/>
                <w:szCs w:val="20"/>
                <w:color w:val="auto"/>
              </w:rPr>
            </w:pPr>
            <w:r>
              <w:rPr>
                <w:rFonts w:ascii="Times New Roman" w:cs="Times New Roman" w:eastAsia="Times New Roman" w:hAnsi="Times New Roman"/>
                <w:sz w:val="22"/>
                <w:szCs w:val="22"/>
                <w:b w:val="1"/>
                <w:bCs w:val="1"/>
                <w:color w:val="auto"/>
              </w:rPr>
              <w:t>Name</w:t>
            </w:r>
          </w:p>
        </w:tc>
        <w:tc>
          <w:tcPr>
            <w:tcW w:w="40" w:type="dxa"/>
            <w:vAlign w:val="bottom"/>
            <w:tcBorders>
              <w:bottom w:val="single" w:sz="8" w:color="252525"/>
              <w:right w:val="single" w:sz="8" w:color="252525"/>
            </w:tcBorders>
            <w:shd w:val="clear" w:color="auto" w:fill="252525"/>
          </w:tcPr>
          <w:p>
            <w:pPr>
              <w:spacing w:after="0"/>
              <w:rPr>
                <w:sz w:val="24"/>
                <w:szCs w:val="24"/>
                <w:color w:val="auto"/>
              </w:rPr>
            </w:pPr>
          </w:p>
        </w:tc>
        <w:tc>
          <w:tcPr>
            <w:tcW w:w="5900" w:type="dxa"/>
            <w:vAlign w:val="bottom"/>
            <w:tcBorders>
              <w:right w:val="single" w:sz="8" w:color="252525"/>
            </w:tcBorders>
            <w:gridSpan w:val="4"/>
          </w:tcPr>
          <w:p>
            <w:pPr>
              <w:ind w:left="60"/>
              <w:spacing w:after="0"/>
              <w:rPr>
                <w:sz w:val="20"/>
                <w:szCs w:val="20"/>
                <w:color w:val="auto"/>
              </w:rPr>
            </w:pPr>
            <w:r>
              <w:rPr>
                <w:rFonts w:ascii="Times New Roman" w:cs="Times New Roman" w:eastAsia="Times New Roman" w:hAnsi="Times New Roman"/>
                <w:sz w:val="22"/>
                <w:szCs w:val="22"/>
                <w:i w:val="1"/>
                <w:iCs w:val="1"/>
                <w:color w:val="808080"/>
              </w:rPr>
              <w:t>Lender’s name as it appears on tax/registration documentation.</w:t>
            </w:r>
          </w:p>
        </w:tc>
        <w:tc>
          <w:tcPr>
            <w:tcW w:w="880" w:type="dxa"/>
            <w:vAlign w:val="bottom"/>
            <w:tcBorders>
              <w:bottom w:val="single" w:sz="8" w:color="D2D2D2"/>
              <w:right w:val="single" w:sz="8" w:color="252525"/>
            </w:tcBorders>
            <w:shd w:val="clear" w:color="auto" w:fill="D2D2D2"/>
          </w:tcPr>
          <w:p>
            <w:pPr>
              <w:ind w:left="80"/>
              <w:spacing w:after="0"/>
              <w:rPr>
                <w:sz w:val="20"/>
                <w:szCs w:val="20"/>
                <w:color w:val="auto"/>
              </w:rPr>
            </w:pPr>
            <w:r>
              <w:rPr>
                <w:rFonts w:ascii="Times New Roman" w:cs="Times New Roman" w:eastAsia="Times New Roman" w:hAnsi="Times New Roman"/>
                <w:sz w:val="22"/>
                <w:szCs w:val="22"/>
                <w:color w:val="auto"/>
              </w:rPr>
              <w:t>MEI</w:t>
            </w:r>
          </w:p>
        </w:tc>
        <w:tc>
          <w:tcPr>
            <w:tcW w:w="1600" w:type="dxa"/>
            <w:vAlign w:val="bottom"/>
            <w:tcBorders>
              <w:right w:val="single" w:sz="8" w:color="252525"/>
            </w:tcBorders>
          </w:tcPr>
          <w:p>
            <w:pPr>
              <w:jc w:val="center"/>
              <w:spacing w:after="0"/>
              <w:rPr>
                <w:sz w:val="20"/>
                <w:szCs w:val="20"/>
                <w:color w:val="auto"/>
              </w:rPr>
            </w:pPr>
            <w:r>
              <w:rPr>
                <w:rFonts w:ascii="Times New Roman" w:cs="Times New Roman" w:eastAsia="Times New Roman" w:hAnsi="Times New Roman"/>
                <w:sz w:val="22"/>
                <w:szCs w:val="22"/>
                <w:i w:val="1"/>
                <w:iCs w:val="1"/>
                <w:color w:val="808080"/>
                <w:w w:val="98"/>
              </w:rPr>
              <w:t>Markit Entity ID</w:t>
            </w:r>
          </w:p>
        </w:tc>
        <w:tc>
          <w:tcPr>
            <w:tcW w:w="0" w:type="dxa"/>
            <w:vAlign w:val="bottom"/>
          </w:tcPr>
          <w:p>
            <w:pPr>
              <w:spacing w:after="0"/>
              <w:rPr>
                <w:sz w:val="1"/>
                <w:szCs w:val="1"/>
                <w:color w:val="auto"/>
              </w:rPr>
            </w:pPr>
          </w:p>
        </w:tc>
      </w:tr>
      <w:tr>
        <w:trPr>
          <w:trHeight w:val="20"/>
        </w:trPr>
        <w:tc>
          <w:tcPr>
            <w:tcW w:w="2840" w:type="dxa"/>
            <w:vAlign w:val="bottom"/>
            <w:tcBorders>
              <w:left w:val="single" w:sz="8" w:color="252525"/>
            </w:tcBorders>
            <w:shd w:val="clear" w:color="auto" w:fill="000000"/>
          </w:tcPr>
          <w:p>
            <w:pPr>
              <w:spacing w:after="0" w:line="20" w:lineRule="exact"/>
              <w:rPr>
                <w:sz w:val="1"/>
                <w:szCs w:val="1"/>
                <w:color w:val="auto"/>
              </w:rPr>
            </w:pPr>
          </w:p>
        </w:tc>
        <w:tc>
          <w:tcPr>
            <w:tcW w:w="40" w:type="dxa"/>
            <w:vAlign w:val="bottom"/>
            <w:tcBorders>
              <w:right w:val="single" w:sz="8" w:color="252525"/>
            </w:tcBorders>
            <w:shd w:val="clear" w:color="auto" w:fill="252525"/>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tcBorders>
              <w:right w:val="single" w:sz="8" w:color="252525"/>
            </w:tcBorders>
            <w:gridSpan w:val="3"/>
            <w:shd w:val="clear" w:color="auto" w:fill="252525"/>
          </w:tcPr>
          <w:p>
            <w:pPr>
              <w:spacing w:after="0" w:line="20" w:lineRule="exact"/>
              <w:rPr>
                <w:sz w:val="1"/>
                <w:szCs w:val="1"/>
                <w:color w:val="auto"/>
              </w:rPr>
            </w:pPr>
          </w:p>
        </w:tc>
        <w:tc>
          <w:tcPr>
            <w:tcW w:w="880" w:type="dxa"/>
            <w:vAlign w:val="bottom"/>
            <w:tcBorders>
              <w:right w:val="single" w:sz="8" w:color="252525"/>
            </w:tcBorders>
            <w:shd w:val="clear" w:color="auto" w:fill="252525"/>
          </w:tcPr>
          <w:p>
            <w:pPr>
              <w:spacing w:after="0" w:line="20" w:lineRule="exact"/>
              <w:rPr>
                <w:sz w:val="1"/>
                <w:szCs w:val="1"/>
                <w:color w:val="auto"/>
              </w:rPr>
            </w:pPr>
          </w:p>
        </w:tc>
        <w:tc>
          <w:tcPr>
            <w:tcW w:w="1600" w:type="dxa"/>
            <w:vAlign w:val="bottom"/>
            <w:tcBorders>
              <w:right w:val="single" w:sz="8" w:color="252525"/>
            </w:tcBorders>
            <w:shd w:val="clear" w:color="auto" w:fill="2525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700" w:type="dxa"/>
            <w:vAlign w:val="bottom"/>
            <w:tcBorders>
              <w:left w:val="single" w:sz="8" w:color="auto"/>
              <w:bottom w:val="single" w:sz="8" w:color="B6B6B6"/>
              <w:right w:val="single" w:sz="8" w:color="auto"/>
            </w:tcBorders>
            <w:gridSpan w:val="3"/>
            <w:shd w:val="clear" w:color="auto" w:fill="B6B6B6"/>
          </w:tcPr>
          <w:p>
            <w:pPr>
              <w:ind w:left="40"/>
              <w:spacing w:after="0"/>
              <w:rPr>
                <w:sz w:val="20"/>
                <w:szCs w:val="20"/>
                <w:color w:val="auto"/>
              </w:rPr>
            </w:pPr>
            <w:r>
              <w:rPr>
                <w:rFonts w:ascii="Arial" w:cs="Arial" w:eastAsia="Arial" w:hAnsi="Arial"/>
                <w:sz w:val="18"/>
                <w:szCs w:val="18"/>
                <w:b w:val="1"/>
                <w:bCs w:val="1"/>
                <w:color w:val="auto"/>
              </w:rPr>
              <w:t>Financial or non-financial information</w:t>
            </w:r>
          </w:p>
        </w:tc>
        <w:tc>
          <w:tcPr>
            <w:tcW w:w="3080" w:type="dxa"/>
            <w:vAlign w:val="bottom"/>
            <w:tcBorders>
              <w:bottom w:val="single" w:sz="8" w:color="DBDBDB"/>
              <w:right w:val="single" w:sz="8" w:color="DBDBDB"/>
            </w:tcBorders>
            <w:gridSpan w:val="3"/>
            <w:shd w:val="clear" w:color="auto" w:fill="DBDBDB"/>
          </w:tcPr>
          <w:p>
            <w:pPr>
              <w:ind w:left="80"/>
              <w:spacing w:after="0"/>
              <w:rPr>
                <w:sz w:val="20"/>
                <w:szCs w:val="20"/>
                <w:color w:val="auto"/>
              </w:rPr>
            </w:pPr>
            <w:r>
              <w:rPr>
                <w:rFonts w:ascii="Times New Roman" w:cs="Times New Roman" w:eastAsia="Times New Roman" w:hAnsi="Times New Roman"/>
                <w:sz w:val="22"/>
                <w:szCs w:val="22"/>
                <w:i w:val="1"/>
                <w:iCs w:val="1"/>
                <w:color w:val="auto"/>
              </w:rPr>
              <w:t>Institution type</w:t>
            </w:r>
          </w:p>
        </w:tc>
        <w:tc>
          <w:tcPr>
            <w:tcW w:w="880" w:type="dxa"/>
            <w:vAlign w:val="bottom"/>
            <w:tcBorders>
              <w:bottom w:val="single" w:sz="8" w:color="DBDBDB"/>
              <w:right w:val="single" w:sz="8" w:color="252525"/>
            </w:tcBorders>
            <w:shd w:val="clear" w:color="auto" w:fill="DBDBDB"/>
          </w:tcPr>
          <w:p>
            <w:pPr>
              <w:spacing w:after="0"/>
              <w:rPr>
                <w:sz w:val="24"/>
                <w:szCs w:val="24"/>
                <w:color w:val="auto"/>
              </w:rPr>
            </w:pPr>
          </w:p>
        </w:tc>
        <w:tc>
          <w:tcPr>
            <w:tcW w:w="1600" w:type="dxa"/>
            <w:vAlign w:val="bottom"/>
            <w:tcBorders>
              <w:bottom w:val="single" w:sz="8" w:color="D2D2D2"/>
              <w:right w:val="single" w:sz="8" w:color="252525"/>
            </w:tcBorders>
            <w:shd w:val="clear" w:color="auto" w:fill="D2D2D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840" w:type="dxa"/>
            <w:vAlign w:val="bottom"/>
            <w:tcBorders>
              <w:top w:val="single" w:sz="8" w:color="auto"/>
              <w:left w:val="single" w:sz="8" w:color="252525"/>
            </w:tcBorders>
            <w:vMerge w:val="restart"/>
            <w:shd w:val="clear" w:color="auto" w:fill="D2D2D2"/>
          </w:tcPr>
          <w:p>
            <w:pPr>
              <w:jc w:val="right"/>
              <w:spacing w:after="0"/>
              <w:rPr>
                <w:sz w:val="20"/>
                <w:szCs w:val="20"/>
                <w:color w:val="auto"/>
              </w:rPr>
            </w:pPr>
            <w:r>
              <w:rPr>
                <w:rFonts w:ascii="Times New Roman" w:cs="Times New Roman" w:eastAsia="Times New Roman" w:hAnsi="Times New Roman"/>
                <w:sz w:val="22"/>
                <w:szCs w:val="22"/>
                <w:b w:val="1"/>
                <w:bCs w:val="1"/>
                <w:color w:val="auto"/>
              </w:rPr>
              <w:t>GIIN</w:t>
            </w:r>
          </w:p>
        </w:tc>
        <w:tc>
          <w:tcPr>
            <w:tcW w:w="40" w:type="dxa"/>
            <w:vAlign w:val="bottom"/>
            <w:tcBorders>
              <w:top w:val="single" w:sz="8" w:color="auto"/>
              <w:right w:val="single" w:sz="8" w:color="auto"/>
            </w:tcBorders>
            <w:shd w:val="clear" w:color="auto" w:fill="000000"/>
          </w:tcPr>
          <w:p>
            <w:pPr>
              <w:spacing w:after="0"/>
              <w:rPr>
                <w:sz w:val="22"/>
                <w:szCs w:val="22"/>
                <w:color w:val="auto"/>
              </w:rPr>
            </w:pPr>
          </w:p>
        </w:tc>
        <w:tc>
          <w:tcPr>
            <w:tcW w:w="2820" w:type="dxa"/>
            <w:vAlign w:val="bottom"/>
            <w:tcBorders>
              <w:top w:val="single" w:sz="8" w:color="auto"/>
              <w:right w:val="single" w:sz="8" w:color="auto"/>
            </w:tcBorders>
          </w:tcPr>
          <w:p>
            <w:pPr>
              <w:spacing w:after="0"/>
              <w:rPr>
                <w:sz w:val="22"/>
                <w:szCs w:val="22"/>
                <w:color w:val="auto"/>
              </w:rPr>
            </w:pPr>
          </w:p>
        </w:tc>
        <w:tc>
          <w:tcPr>
            <w:tcW w:w="1020" w:type="dxa"/>
            <w:vAlign w:val="bottom"/>
            <w:tcBorders>
              <w:top w:val="single" w:sz="8" w:color="252525"/>
              <w:right w:val="single" w:sz="8" w:color="auto"/>
            </w:tcBorders>
            <w:vMerge w:val="restart"/>
            <w:shd w:val="clear" w:color="auto" w:fill="D2D2D2"/>
          </w:tcPr>
          <w:p>
            <w:pPr>
              <w:ind w:left="100"/>
              <w:spacing w:after="0"/>
              <w:rPr>
                <w:sz w:val="20"/>
                <w:szCs w:val="20"/>
                <w:color w:val="auto"/>
              </w:rPr>
            </w:pPr>
            <w:r>
              <w:rPr>
                <w:rFonts w:ascii="Times New Roman" w:cs="Times New Roman" w:eastAsia="Times New Roman" w:hAnsi="Times New Roman"/>
                <w:sz w:val="22"/>
                <w:szCs w:val="22"/>
                <w:color w:val="auto"/>
              </w:rPr>
              <w:t>CRN</w:t>
            </w:r>
          </w:p>
        </w:tc>
        <w:tc>
          <w:tcPr>
            <w:tcW w:w="1020" w:type="dxa"/>
            <w:vAlign w:val="bottom"/>
            <w:tcBorders>
              <w:top w:val="single" w:sz="8" w:color="252525"/>
              <w:right w:val="single" w:sz="8" w:color="auto"/>
            </w:tcBorders>
          </w:tcPr>
          <w:p>
            <w:pPr>
              <w:spacing w:after="0"/>
              <w:rPr>
                <w:sz w:val="22"/>
                <w:szCs w:val="22"/>
                <w:color w:val="auto"/>
              </w:rPr>
            </w:pPr>
          </w:p>
        </w:tc>
        <w:tc>
          <w:tcPr>
            <w:tcW w:w="1040" w:type="dxa"/>
            <w:vAlign w:val="bottom"/>
            <w:tcBorders>
              <w:top w:val="single" w:sz="8" w:color="252525"/>
              <w:right w:val="single" w:sz="8" w:color="DBDBDB"/>
            </w:tcBorders>
            <w:vMerge w:val="restart"/>
            <w:shd w:val="clear" w:color="auto" w:fill="DBDBDB"/>
          </w:tcPr>
          <w:p>
            <w:pPr>
              <w:ind w:left="120"/>
              <w:spacing w:after="0"/>
              <w:rPr>
                <w:sz w:val="20"/>
                <w:szCs w:val="20"/>
                <w:color w:val="auto"/>
              </w:rPr>
            </w:pPr>
            <w:r>
              <w:rPr>
                <w:rFonts w:ascii="Times New Roman" w:cs="Times New Roman" w:eastAsia="Times New Roman" w:hAnsi="Times New Roman"/>
                <w:sz w:val="22"/>
                <w:szCs w:val="22"/>
                <w:color w:val="auto"/>
              </w:rPr>
              <w:t>LEI</w:t>
            </w:r>
          </w:p>
        </w:tc>
        <w:tc>
          <w:tcPr>
            <w:tcW w:w="880" w:type="dxa"/>
            <w:vAlign w:val="bottom"/>
            <w:tcBorders>
              <w:top w:val="single" w:sz="8" w:color="252525"/>
              <w:right w:val="single" w:sz="8" w:color="252525"/>
            </w:tcBorders>
            <w:shd w:val="clear" w:color="auto" w:fill="DBDBDB"/>
          </w:tcPr>
          <w:p>
            <w:pPr>
              <w:spacing w:after="0"/>
              <w:rPr>
                <w:sz w:val="22"/>
                <w:szCs w:val="22"/>
                <w:color w:val="auto"/>
              </w:rPr>
            </w:pPr>
          </w:p>
        </w:tc>
        <w:tc>
          <w:tcPr>
            <w:tcW w:w="1600" w:type="dxa"/>
            <w:vAlign w:val="bottom"/>
            <w:tcBorders>
              <w:top w:val="single" w:sz="8" w:color="252525"/>
              <w:right w:val="single" w:sz="8" w:color="252525"/>
            </w:tcBorders>
          </w:tcPr>
          <w:p>
            <w:pPr>
              <w:jc w:val="center"/>
              <w:spacing w:after="0"/>
              <w:rPr>
                <w:sz w:val="20"/>
                <w:szCs w:val="20"/>
                <w:color w:val="auto"/>
              </w:rPr>
            </w:pPr>
            <w:r>
              <w:rPr>
                <w:rFonts w:ascii="Arial" w:cs="Arial" w:eastAsia="Arial" w:hAnsi="Arial"/>
                <w:sz w:val="18"/>
                <w:szCs w:val="18"/>
                <w:i w:val="1"/>
                <w:iCs w:val="1"/>
                <w:color w:val="808080"/>
                <w:w w:val="99"/>
              </w:rPr>
              <w:t>Legal Entity ID</w:t>
            </w:r>
          </w:p>
        </w:tc>
        <w:tc>
          <w:tcPr>
            <w:tcW w:w="0" w:type="dxa"/>
            <w:vAlign w:val="bottom"/>
          </w:tcPr>
          <w:p>
            <w:pPr>
              <w:spacing w:after="0"/>
              <w:rPr>
                <w:sz w:val="1"/>
                <w:szCs w:val="1"/>
                <w:color w:val="auto"/>
              </w:rPr>
            </w:pPr>
          </w:p>
        </w:tc>
      </w:tr>
      <w:tr>
        <w:trPr>
          <w:trHeight w:val="129"/>
        </w:trPr>
        <w:tc>
          <w:tcPr>
            <w:tcW w:w="2840" w:type="dxa"/>
            <w:vAlign w:val="bottom"/>
            <w:tcBorders>
              <w:left w:val="single" w:sz="8" w:color="252525"/>
            </w:tcBorders>
            <w:vMerge w:val="continue"/>
            <w:shd w:val="clear" w:color="auto" w:fill="D2D2D2"/>
          </w:tcPr>
          <w:p>
            <w:pPr>
              <w:spacing w:after="0"/>
              <w:rPr>
                <w:sz w:val="11"/>
                <w:szCs w:val="11"/>
                <w:color w:val="auto"/>
              </w:rPr>
            </w:pPr>
          </w:p>
        </w:tc>
        <w:tc>
          <w:tcPr>
            <w:tcW w:w="40" w:type="dxa"/>
            <w:vAlign w:val="bottom"/>
            <w:tcBorders>
              <w:right w:val="single" w:sz="8" w:color="auto"/>
            </w:tcBorders>
            <w:shd w:val="clear" w:color="auto" w:fill="000000"/>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shd w:val="clear" w:color="auto" w:fill="D2D2D2"/>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40" w:type="dxa"/>
            <w:vAlign w:val="bottom"/>
            <w:tcBorders>
              <w:right w:val="single" w:sz="8" w:color="DBDBDB"/>
            </w:tcBorders>
            <w:vMerge w:val="continue"/>
            <w:shd w:val="clear" w:color="auto" w:fill="DBDBDB"/>
          </w:tcPr>
          <w:p>
            <w:pPr>
              <w:spacing w:after="0"/>
              <w:rPr>
                <w:sz w:val="11"/>
                <w:szCs w:val="11"/>
                <w:color w:val="auto"/>
              </w:rPr>
            </w:pPr>
          </w:p>
        </w:tc>
        <w:tc>
          <w:tcPr>
            <w:tcW w:w="880" w:type="dxa"/>
            <w:vAlign w:val="bottom"/>
            <w:tcBorders>
              <w:right w:val="single" w:sz="8" w:color="252525"/>
            </w:tcBorders>
            <w:shd w:val="clear" w:color="auto" w:fill="DBDBDB"/>
          </w:tcPr>
          <w:p>
            <w:pPr>
              <w:spacing w:after="0"/>
              <w:rPr>
                <w:sz w:val="11"/>
                <w:szCs w:val="11"/>
                <w:color w:val="auto"/>
              </w:rPr>
            </w:pPr>
          </w:p>
        </w:tc>
        <w:tc>
          <w:tcPr>
            <w:tcW w:w="1600" w:type="dxa"/>
            <w:vAlign w:val="bottom"/>
            <w:tcBorders>
              <w:right w:val="single" w:sz="8" w:color="252525"/>
            </w:tcBorders>
            <w:vMerge w:val="restart"/>
          </w:tcPr>
          <w:p>
            <w:pPr>
              <w:ind w:left="400"/>
              <w:spacing w:after="0"/>
              <w:rPr>
                <w:sz w:val="20"/>
                <w:szCs w:val="20"/>
                <w:color w:val="auto"/>
              </w:rPr>
            </w:pPr>
            <w:r>
              <w:rPr>
                <w:rFonts w:ascii="Arial" w:cs="Arial" w:eastAsia="Arial" w:hAnsi="Arial"/>
                <w:sz w:val="18"/>
                <w:szCs w:val="18"/>
                <w:i w:val="1"/>
                <w:iCs w:val="1"/>
                <w:color w:val="808080"/>
              </w:rPr>
              <w:t>(Optional)</w:t>
            </w:r>
          </w:p>
        </w:tc>
        <w:tc>
          <w:tcPr>
            <w:tcW w:w="0" w:type="dxa"/>
            <w:vAlign w:val="bottom"/>
          </w:tcPr>
          <w:p>
            <w:pPr>
              <w:spacing w:after="0"/>
              <w:rPr>
                <w:sz w:val="1"/>
                <w:szCs w:val="1"/>
                <w:color w:val="auto"/>
              </w:rPr>
            </w:pPr>
          </w:p>
        </w:tc>
      </w:tr>
      <w:tr>
        <w:trPr>
          <w:trHeight w:val="117"/>
        </w:trPr>
        <w:tc>
          <w:tcPr>
            <w:tcW w:w="2840" w:type="dxa"/>
            <w:vAlign w:val="bottom"/>
            <w:tcBorders>
              <w:left w:val="single" w:sz="8" w:color="252525"/>
              <w:bottom w:val="single" w:sz="8" w:color="D2D2D2"/>
            </w:tcBorders>
            <w:shd w:val="clear" w:color="auto" w:fill="D2D2D2"/>
          </w:tcPr>
          <w:p>
            <w:pPr>
              <w:spacing w:after="0"/>
              <w:rPr>
                <w:sz w:val="10"/>
                <w:szCs w:val="10"/>
                <w:color w:val="auto"/>
              </w:rPr>
            </w:pPr>
          </w:p>
        </w:tc>
        <w:tc>
          <w:tcPr>
            <w:tcW w:w="40" w:type="dxa"/>
            <w:vAlign w:val="bottom"/>
            <w:tcBorders>
              <w:bottom w:val="single" w:sz="8" w:color="auto"/>
              <w:right w:val="single" w:sz="8" w:color="auto"/>
            </w:tcBorders>
            <w:shd w:val="clear" w:color="auto" w:fill="000000"/>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1020" w:type="dxa"/>
            <w:vAlign w:val="bottom"/>
            <w:tcBorders>
              <w:bottom w:val="single" w:sz="8" w:color="D2D2D2"/>
              <w:right w:val="single" w:sz="8" w:color="auto"/>
            </w:tcBorders>
            <w:shd w:val="clear" w:color="auto" w:fill="D2D2D2"/>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40" w:type="dxa"/>
            <w:vAlign w:val="bottom"/>
            <w:tcBorders>
              <w:bottom w:val="single" w:sz="8" w:color="DBDBDB"/>
              <w:right w:val="single" w:sz="8" w:color="DBDBDB"/>
            </w:tcBorders>
            <w:shd w:val="clear" w:color="auto" w:fill="DBDBDB"/>
          </w:tcPr>
          <w:p>
            <w:pPr>
              <w:spacing w:after="0"/>
              <w:rPr>
                <w:sz w:val="10"/>
                <w:szCs w:val="10"/>
                <w:color w:val="auto"/>
              </w:rPr>
            </w:pPr>
          </w:p>
        </w:tc>
        <w:tc>
          <w:tcPr>
            <w:tcW w:w="880" w:type="dxa"/>
            <w:vAlign w:val="bottom"/>
            <w:tcBorders>
              <w:bottom w:val="single" w:sz="8" w:color="DBDBDB"/>
              <w:right w:val="single" w:sz="8" w:color="252525"/>
            </w:tcBorders>
            <w:shd w:val="clear" w:color="auto" w:fill="DBDBDB"/>
          </w:tcPr>
          <w:p>
            <w:pPr>
              <w:spacing w:after="0"/>
              <w:rPr>
                <w:sz w:val="10"/>
                <w:szCs w:val="10"/>
                <w:color w:val="auto"/>
              </w:rPr>
            </w:pPr>
          </w:p>
        </w:tc>
        <w:tc>
          <w:tcPr>
            <w:tcW w:w="1600" w:type="dxa"/>
            <w:vAlign w:val="bottom"/>
            <w:tcBorders>
              <w:right w:val="single" w:sz="8" w:color="25252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40" w:type="dxa"/>
            <w:vAlign w:val="bottom"/>
            <w:tcBorders>
              <w:left w:val="single" w:sz="8" w:color="252525"/>
            </w:tcBorders>
            <w:shd w:val="clear" w:color="auto" w:fill="252525"/>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820" w:type="dxa"/>
            <w:vAlign w:val="bottom"/>
            <w:tcBorders>
              <w:right w:val="single" w:sz="8" w:color="auto"/>
            </w:tcBorders>
            <w:shd w:val="clear" w:color="auto" w:fill="252525"/>
          </w:tcPr>
          <w:p>
            <w:pPr>
              <w:spacing w:after="0" w:line="20" w:lineRule="exact"/>
              <w:rPr>
                <w:sz w:val="1"/>
                <w:szCs w:val="1"/>
                <w:color w:val="auto"/>
              </w:rPr>
            </w:pPr>
          </w:p>
        </w:tc>
        <w:tc>
          <w:tcPr>
            <w:tcW w:w="1020" w:type="dxa"/>
            <w:vAlign w:val="bottom"/>
            <w:tcBorders>
              <w:right w:val="single" w:sz="8" w:color="auto"/>
            </w:tcBorders>
            <w:shd w:val="clear" w:color="auto" w:fill="252525"/>
          </w:tcPr>
          <w:p>
            <w:pPr>
              <w:spacing w:after="0" w:line="20" w:lineRule="exact"/>
              <w:rPr>
                <w:sz w:val="1"/>
                <w:szCs w:val="1"/>
                <w:color w:val="auto"/>
              </w:rPr>
            </w:pPr>
          </w:p>
        </w:tc>
        <w:tc>
          <w:tcPr>
            <w:tcW w:w="1020" w:type="dxa"/>
            <w:vAlign w:val="bottom"/>
            <w:tcBorders>
              <w:right w:val="single" w:sz="8" w:color="auto"/>
            </w:tcBorders>
            <w:shd w:val="clear" w:color="auto" w:fill="252525"/>
          </w:tcPr>
          <w:p>
            <w:pPr>
              <w:spacing w:after="0" w:line="20" w:lineRule="exact"/>
              <w:rPr>
                <w:sz w:val="1"/>
                <w:szCs w:val="1"/>
                <w:color w:val="auto"/>
              </w:rPr>
            </w:pPr>
          </w:p>
        </w:tc>
        <w:tc>
          <w:tcPr>
            <w:tcW w:w="1920" w:type="dxa"/>
            <w:vAlign w:val="bottom"/>
            <w:tcBorders>
              <w:right w:val="single" w:sz="8" w:color="252525"/>
            </w:tcBorders>
            <w:gridSpan w:val="2"/>
            <w:shd w:val="clear" w:color="auto" w:fill="252525"/>
          </w:tcPr>
          <w:p>
            <w:pPr>
              <w:spacing w:after="0" w:line="20" w:lineRule="exact"/>
              <w:rPr>
                <w:sz w:val="1"/>
                <w:szCs w:val="1"/>
                <w:color w:val="auto"/>
              </w:rPr>
            </w:pPr>
          </w:p>
        </w:tc>
        <w:tc>
          <w:tcPr>
            <w:tcW w:w="1600" w:type="dxa"/>
            <w:vAlign w:val="bottom"/>
            <w:tcBorders>
              <w:right w:val="single" w:sz="8" w:color="252525"/>
            </w:tcBorders>
            <w:shd w:val="clear" w:color="auto" w:fill="2525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840" w:type="dxa"/>
            <w:vAlign w:val="bottom"/>
            <w:tcBorders>
              <w:left w:val="single" w:sz="8" w:color="252525"/>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40" w:type="dxa"/>
            <w:vAlign w:val="bottom"/>
            <w:tcBorders>
              <w:right w:val="single" w:sz="8" w:color="252525"/>
            </w:tcBorders>
            <w:shd w:val="clear" w:color="auto" w:fill="252525"/>
          </w:tcPr>
          <w:p>
            <w:pPr>
              <w:spacing w:after="0"/>
              <w:rPr>
                <w:sz w:val="24"/>
                <w:szCs w:val="24"/>
                <w:color w:val="auto"/>
              </w:rPr>
            </w:pPr>
          </w:p>
        </w:tc>
        <w:tc>
          <w:tcPr>
            <w:tcW w:w="8380" w:type="dxa"/>
            <w:vAlign w:val="bottom"/>
            <w:tcBorders>
              <w:right w:val="single" w:sz="8" w:color="252525"/>
            </w:tcBorders>
            <w:gridSpan w:val="6"/>
          </w:tcPr>
          <w:p>
            <w:pPr>
              <w:ind w:left="60"/>
              <w:spacing w:after="0"/>
              <w:rPr>
                <w:sz w:val="20"/>
                <w:szCs w:val="20"/>
                <w:color w:val="auto"/>
              </w:rPr>
            </w:pPr>
            <w:r>
              <w:rPr>
                <w:rFonts w:ascii="Arial" w:cs="Arial" w:eastAsia="Arial" w:hAnsi="Arial"/>
                <w:sz w:val="18"/>
                <w:szCs w:val="18"/>
                <w:i w:val="1"/>
                <w:iCs w:val="1"/>
                <w:color w:val="808080"/>
              </w:rPr>
              <w:t>Type of lender. If lender/entity type does not appear in list, you may provide your own value.</w:t>
            </w:r>
          </w:p>
        </w:tc>
        <w:tc>
          <w:tcPr>
            <w:tcW w:w="0" w:type="dxa"/>
            <w:vAlign w:val="bottom"/>
          </w:tcPr>
          <w:p>
            <w:pPr>
              <w:spacing w:after="0"/>
              <w:rPr>
                <w:sz w:val="1"/>
                <w:szCs w:val="1"/>
                <w:color w:val="auto"/>
              </w:rPr>
            </w:pPr>
          </w:p>
        </w:tc>
      </w:tr>
      <w:tr>
        <w:trPr>
          <w:trHeight w:val="42"/>
        </w:trPr>
        <w:tc>
          <w:tcPr>
            <w:tcW w:w="2840" w:type="dxa"/>
            <w:vAlign w:val="bottom"/>
            <w:tcBorders>
              <w:left w:val="single" w:sz="8" w:color="252525"/>
              <w:bottom w:val="single" w:sz="8" w:color="252525"/>
            </w:tcBorders>
          </w:tcPr>
          <w:p>
            <w:pPr>
              <w:spacing w:after="0"/>
              <w:rPr>
                <w:sz w:val="3"/>
                <w:szCs w:val="3"/>
                <w:color w:val="auto"/>
              </w:rPr>
            </w:pPr>
          </w:p>
        </w:tc>
        <w:tc>
          <w:tcPr>
            <w:tcW w:w="40" w:type="dxa"/>
            <w:vAlign w:val="bottom"/>
            <w:tcBorders>
              <w:bottom w:val="single" w:sz="8" w:color="252525"/>
              <w:right w:val="single" w:sz="8" w:color="252525"/>
            </w:tcBorders>
            <w:shd w:val="clear" w:color="auto" w:fill="252525"/>
          </w:tcPr>
          <w:p>
            <w:pPr>
              <w:spacing w:after="0"/>
              <w:rPr>
                <w:sz w:val="3"/>
                <w:szCs w:val="3"/>
                <w:color w:val="auto"/>
              </w:rPr>
            </w:pPr>
          </w:p>
        </w:tc>
        <w:tc>
          <w:tcPr>
            <w:tcW w:w="2820" w:type="dxa"/>
            <w:vAlign w:val="bottom"/>
            <w:tcBorders>
              <w:bottom w:val="single" w:sz="8" w:color="252525"/>
            </w:tcBorders>
          </w:tcPr>
          <w:p>
            <w:pPr>
              <w:spacing w:after="0"/>
              <w:rPr>
                <w:sz w:val="3"/>
                <w:szCs w:val="3"/>
                <w:color w:val="auto"/>
              </w:rPr>
            </w:pPr>
          </w:p>
        </w:tc>
        <w:tc>
          <w:tcPr>
            <w:tcW w:w="1020" w:type="dxa"/>
            <w:vAlign w:val="bottom"/>
            <w:tcBorders>
              <w:bottom w:val="single" w:sz="8" w:color="252525"/>
            </w:tcBorders>
          </w:tcPr>
          <w:p>
            <w:pPr>
              <w:spacing w:after="0"/>
              <w:rPr>
                <w:sz w:val="3"/>
                <w:szCs w:val="3"/>
                <w:color w:val="auto"/>
              </w:rPr>
            </w:pPr>
          </w:p>
        </w:tc>
        <w:tc>
          <w:tcPr>
            <w:tcW w:w="1020" w:type="dxa"/>
            <w:vAlign w:val="bottom"/>
            <w:tcBorders>
              <w:bottom w:val="single" w:sz="8" w:color="252525"/>
            </w:tcBorders>
          </w:tcPr>
          <w:p>
            <w:pPr>
              <w:spacing w:after="0"/>
              <w:rPr>
                <w:sz w:val="3"/>
                <w:szCs w:val="3"/>
                <w:color w:val="auto"/>
              </w:rPr>
            </w:pPr>
          </w:p>
        </w:tc>
        <w:tc>
          <w:tcPr>
            <w:tcW w:w="1040" w:type="dxa"/>
            <w:vAlign w:val="bottom"/>
            <w:tcBorders>
              <w:bottom w:val="single" w:sz="8" w:color="252525"/>
            </w:tcBorders>
          </w:tcPr>
          <w:p>
            <w:pPr>
              <w:spacing w:after="0"/>
              <w:rPr>
                <w:sz w:val="3"/>
                <w:szCs w:val="3"/>
                <w:color w:val="auto"/>
              </w:rPr>
            </w:pPr>
          </w:p>
        </w:tc>
        <w:tc>
          <w:tcPr>
            <w:tcW w:w="880" w:type="dxa"/>
            <w:vAlign w:val="bottom"/>
            <w:tcBorders>
              <w:bottom w:val="single" w:sz="8" w:color="252525"/>
            </w:tcBorders>
          </w:tcPr>
          <w:p>
            <w:pPr>
              <w:spacing w:after="0"/>
              <w:rPr>
                <w:sz w:val="3"/>
                <w:szCs w:val="3"/>
                <w:color w:val="auto"/>
              </w:rPr>
            </w:pPr>
          </w:p>
        </w:tc>
        <w:tc>
          <w:tcPr>
            <w:tcW w:w="1600" w:type="dxa"/>
            <w:vAlign w:val="bottom"/>
            <w:tcBorders>
              <w:bottom w:val="single" w:sz="8" w:color="252525"/>
              <w:right w:val="single" w:sz="8" w:color="252525"/>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700" w:type="dxa"/>
            <w:vAlign w:val="bottom"/>
            <w:tcBorders>
              <w:left w:val="single" w:sz="8" w:color="252525"/>
            </w:tcBorders>
            <w:gridSpan w:val="3"/>
          </w:tcPr>
          <w:p>
            <w:pPr>
              <w:ind w:left="140"/>
              <w:spacing w:after="0" w:line="169" w:lineRule="exact"/>
              <w:rPr>
                <w:sz w:val="20"/>
                <w:szCs w:val="20"/>
                <w:color w:val="auto"/>
              </w:rPr>
            </w:pPr>
            <w:r>
              <w:rPr>
                <w:rFonts w:ascii="Arial" w:cs="Arial" w:eastAsia="Arial" w:hAnsi="Arial"/>
                <w:sz w:val="18"/>
                <w:szCs w:val="18"/>
                <w:b w:val="1"/>
                <w:bCs w:val="1"/>
                <w:color w:val="auto"/>
              </w:rPr>
              <w:t>Address (of Lending Office):</w:t>
            </w:r>
          </w:p>
        </w:tc>
        <w:tc>
          <w:tcPr>
            <w:tcW w:w="1020" w:type="dxa"/>
            <w:vAlign w:val="bottom"/>
            <w:tcBorders>
              <w:right w:val="single" w:sz="8" w:color="252525"/>
            </w:tcBorders>
          </w:tcPr>
          <w:p>
            <w:pPr>
              <w:spacing w:after="0"/>
              <w:rPr>
                <w:sz w:val="14"/>
                <w:szCs w:val="14"/>
                <w:color w:val="auto"/>
              </w:rPr>
            </w:pPr>
          </w:p>
        </w:tc>
        <w:tc>
          <w:tcPr>
            <w:tcW w:w="206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Signature Block:</w:t>
            </w:r>
          </w:p>
        </w:tc>
        <w:tc>
          <w:tcPr>
            <w:tcW w:w="880" w:type="dxa"/>
            <w:vAlign w:val="bottom"/>
          </w:tcPr>
          <w:p>
            <w:pPr>
              <w:spacing w:after="0"/>
              <w:rPr>
                <w:sz w:val="14"/>
                <w:szCs w:val="14"/>
                <w:color w:val="auto"/>
              </w:rPr>
            </w:pPr>
          </w:p>
        </w:tc>
        <w:tc>
          <w:tcPr>
            <w:tcW w:w="1600" w:type="dxa"/>
            <w:vAlign w:val="bottom"/>
            <w:tcBorders>
              <w:right w:val="single" w:sz="8" w:color="252525"/>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tcBorders>
              <w:left w:val="single" w:sz="8" w:color="252525"/>
            </w:tcBorders>
            <w:gridSpan w:val="3"/>
          </w:tcPr>
          <w:p>
            <w:pPr>
              <w:ind w:left="140"/>
              <w:spacing w:after="0" w:line="189" w:lineRule="exact"/>
              <w:rPr>
                <w:sz w:val="20"/>
                <w:szCs w:val="20"/>
                <w:color w:val="auto"/>
              </w:rPr>
            </w:pPr>
            <w:r>
              <w:rPr>
                <w:rFonts w:ascii="Arial" w:cs="Arial" w:eastAsia="Arial" w:hAnsi="Arial"/>
                <w:sz w:val="18"/>
                <w:szCs w:val="18"/>
                <w:i w:val="1"/>
                <w:iCs w:val="1"/>
                <w:color w:val="929292"/>
              </w:rPr>
              <w:t>Registered address of lending office, including country of domicile.</w:t>
            </w:r>
          </w:p>
        </w:tc>
        <w:tc>
          <w:tcPr>
            <w:tcW w:w="1020" w:type="dxa"/>
            <w:vAlign w:val="bottom"/>
            <w:tcBorders>
              <w:right w:val="single" w:sz="8" w:color="252525"/>
            </w:tcBorders>
          </w:tcPr>
          <w:p>
            <w:pPr>
              <w:spacing w:after="0"/>
              <w:rPr>
                <w:sz w:val="16"/>
                <w:szCs w:val="16"/>
                <w:color w:val="auto"/>
              </w:rPr>
            </w:pPr>
          </w:p>
        </w:tc>
        <w:tc>
          <w:tcPr>
            <w:tcW w:w="4540" w:type="dxa"/>
            <w:vAlign w:val="bottom"/>
            <w:tcBorders>
              <w:right w:val="single" w:sz="8" w:color="252525"/>
            </w:tcBorders>
            <w:gridSpan w:val="4"/>
          </w:tcPr>
          <w:p>
            <w:pPr>
              <w:ind w:left="20"/>
              <w:spacing w:after="0" w:line="189" w:lineRule="exact"/>
              <w:rPr>
                <w:sz w:val="20"/>
                <w:szCs w:val="20"/>
                <w:color w:val="auto"/>
              </w:rPr>
            </w:pPr>
            <w:r>
              <w:rPr>
                <w:rFonts w:ascii="Arial" w:cs="Arial" w:eastAsia="Arial" w:hAnsi="Arial"/>
                <w:sz w:val="18"/>
                <w:szCs w:val="18"/>
                <w:i w:val="1"/>
                <w:iCs w:val="1"/>
                <w:color w:val="929292"/>
              </w:rPr>
              <w:t>Signature Block as it would appear on settlement</w:t>
            </w:r>
          </w:p>
        </w:tc>
        <w:tc>
          <w:tcPr>
            <w:tcW w:w="0" w:type="dxa"/>
            <w:vAlign w:val="bottom"/>
          </w:tcPr>
          <w:p>
            <w:pPr>
              <w:spacing w:after="0"/>
              <w:rPr>
                <w:sz w:val="1"/>
                <w:szCs w:val="1"/>
                <w:color w:val="auto"/>
              </w:rPr>
            </w:pPr>
          </w:p>
        </w:tc>
      </w:tr>
      <w:tr>
        <w:trPr>
          <w:trHeight w:val="176"/>
        </w:trPr>
        <w:tc>
          <w:tcPr>
            <w:tcW w:w="2840" w:type="dxa"/>
            <w:vAlign w:val="bottom"/>
            <w:tcBorders>
              <w:left w:val="single" w:sz="8" w:color="252525"/>
            </w:tcBorders>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20" w:type="dxa"/>
            <w:vAlign w:val="bottom"/>
            <w:tcBorders>
              <w:right w:val="single" w:sz="8" w:color="252525"/>
            </w:tcBorders>
          </w:tcPr>
          <w:p>
            <w:pPr>
              <w:spacing w:after="0"/>
              <w:rPr>
                <w:sz w:val="15"/>
                <w:szCs w:val="15"/>
                <w:color w:val="auto"/>
              </w:rPr>
            </w:pPr>
          </w:p>
        </w:tc>
        <w:tc>
          <w:tcPr>
            <w:tcW w:w="4540" w:type="dxa"/>
            <w:vAlign w:val="bottom"/>
            <w:tcBorders>
              <w:right w:val="single" w:sz="8" w:color="252525"/>
            </w:tcBorders>
            <w:gridSpan w:val="4"/>
          </w:tcPr>
          <w:p>
            <w:pPr>
              <w:ind w:left="20"/>
              <w:spacing w:after="0" w:line="176" w:lineRule="exact"/>
              <w:rPr>
                <w:sz w:val="20"/>
                <w:szCs w:val="20"/>
                <w:color w:val="auto"/>
              </w:rPr>
            </w:pPr>
            <w:r>
              <w:rPr>
                <w:rFonts w:ascii="Arial" w:cs="Arial" w:eastAsia="Arial" w:hAnsi="Arial"/>
                <w:sz w:val="18"/>
                <w:szCs w:val="18"/>
                <w:i w:val="1"/>
                <w:iCs w:val="1"/>
                <w:color w:val="929292"/>
              </w:rPr>
              <w:t>documentation. E.g. (for separately managed account):</w:t>
            </w:r>
          </w:p>
        </w:tc>
        <w:tc>
          <w:tcPr>
            <w:tcW w:w="0" w:type="dxa"/>
            <w:vAlign w:val="bottom"/>
          </w:tcPr>
          <w:p>
            <w:pPr>
              <w:spacing w:after="0"/>
              <w:rPr>
                <w:sz w:val="1"/>
                <w:szCs w:val="1"/>
                <w:color w:val="auto"/>
              </w:rPr>
            </w:pPr>
          </w:p>
        </w:tc>
      </w:tr>
      <w:tr>
        <w:trPr>
          <w:trHeight w:val="186"/>
        </w:trPr>
        <w:tc>
          <w:tcPr>
            <w:tcW w:w="2840" w:type="dxa"/>
            <w:vAlign w:val="bottom"/>
            <w:tcBorders>
              <w:left w:val="single" w:sz="8" w:color="252525"/>
            </w:tcBorders>
          </w:tcPr>
          <w:p>
            <w:pPr>
              <w:spacing w:after="0"/>
              <w:rPr>
                <w:sz w:val="16"/>
                <w:szCs w:val="16"/>
                <w:color w:val="auto"/>
              </w:rPr>
            </w:pPr>
          </w:p>
        </w:tc>
        <w:tc>
          <w:tcPr>
            <w:tcW w:w="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20" w:type="dxa"/>
            <w:vAlign w:val="bottom"/>
            <w:tcBorders>
              <w:right w:val="single" w:sz="8" w:color="252525"/>
            </w:tcBorders>
          </w:tcPr>
          <w:p>
            <w:pPr>
              <w:spacing w:after="0"/>
              <w:rPr>
                <w:sz w:val="16"/>
                <w:szCs w:val="16"/>
                <w:color w:val="auto"/>
              </w:rPr>
            </w:pPr>
          </w:p>
        </w:tc>
        <w:tc>
          <w:tcPr>
            <w:tcW w:w="2060" w:type="dxa"/>
            <w:vAlign w:val="bottom"/>
            <w:gridSpan w:val="2"/>
          </w:tcPr>
          <w:p>
            <w:pPr>
              <w:ind w:left="20"/>
              <w:spacing w:after="0" w:line="186" w:lineRule="exact"/>
              <w:rPr>
                <w:sz w:val="20"/>
                <w:szCs w:val="20"/>
                <w:color w:val="auto"/>
              </w:rPr>
            </w:pPr>
            <w:r>
              <w:rPr>
                <w:rFonts w:ascii="Arial" w:cs="Arial" w:eastAsia="Arial" w:hAnsi="Arial"/>
                <w:sz w:val="18"/>
                <w:szCs w:val="18"/>
                <w:i w:val="1"/>
                <w:iCs w:val="1"/>
                <w:color w:val="929292"/>
              </w:rPr>
              <w:t>ABC Fund</w:t>
            </w:r>
          </w:p>
        </w:tc>
        <w:tc>
          <w:tcPr>
            <w:tcW w:w="880" w:type="dxa"/>
            <w:vAlign w:val="bottom"/>
          </w:tcPr>
          <w:p>
            <w:pPr>
              <w:spacing w:after="0"/>
              <w:rPr>
                <w:sz w:val="16"/>
                <w:szCs w:val="16"/>
                <w:color w:val="auto"/>
              </w:rPr>
            </w:pPr>
          </w:p>
        </w:tc>
        <w:tc>
          <w:tcPr>
            <w:tcW w:w="1600" w:type="dxa"/>
            <w:vAlign w:val="bottom"/>
            <w:tcBorders>
              <w:right w:val="single" w:sz="8" w:color="252525"/>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40" w:type="dxa"/>
            <w:vAlign w:val="bottom"/>
            <w:tcBorders>
              <w:left w:val="single" w:sz="8" w:color="252525"/>
              <w:bottom w:val="single" w:sz="8" w:color="252525"/>
            </w:tcBorders>
          </w:tcPr>
          <w:p>
            <w:pPr>
              <w:spacing w:after="0"/>
              <w:rPr>
                <w:sz w:val="20"/>
                <w:szCs w:val="20"/>
                <w:color w:val="auto"/>
              </w:rPr>
            </w:pPr>
          </w:p>
        </w:tc>
        <w:tc>
          <w:tcPr>
            <w:tcW w:w="40" w:type="dxa"/>
            <w:vAlign w:val="bottom"/>
            <w:tcBorders>
              <w:bottom w:val="single" w:sz="8" w:color="252525"/>
            </w:tcBorders>
          </w:tcPr>
          <w:p>
            <w:pPr>
              <w:spacing w:after="0"/>
              <w:rPr>
                <w:sz w:val="20"/>
                <w:szCs w:val="20"/>
                <w:color w:val="auto"/>
              </w:rPr>
            </w:pPr>
          </w:p>
        </w:tc>
        <w:tc>
          <w:tcPr>
            <w:tcW w:w="2820" w:type="dxa"/>
            <w:vAlign w:val="bottom"/>
            <w:tcBorders>
              <w:bottom w:val="single" w:sz="8" w:color="252525"/>
            </w:tcBorders>
          </w:tcPr>
          <w:p>
            <w:pPr>
              <w:spacing w:after="0"/>
              <w:rPr>
                <w:sz w:val="20"/>
                <w:szCs w:val="20"/>
                <w:color w:val="auto"/>
              </w:rPr>
            </w:pPr>
          </w:p>
        </w:tc>
        <w:tc>
          <w:tcPr>
            <w:tcW w:w="1020" w:type="dxa"/>
            <w:vAlign w:val="bottom"/>
            <w:tcBorders>
              <w:bottom w:val="single" w:sz="8" w:color="252525"/>
              <w:right w:val="single" w:sz="8" w:color="252525"/>
            </w:tcBorders>
          </w:tcPr>
          <w:p>
            <w:pPr>
              <w:spacing w:after="0"/>
              <w:rPr>
                <w:sz w:val="20"/>
                <w:szCs w:val="20"/>
                <w:color w:val="auto"/>
              </w:rPr>
            </w:pPr>
          </w:p>
        </w:tc>
        <w:tc>
          <w:tcPr>
            <w:tcW w:w="4540" w:type="dxa"/>
            <w:vAlign w:val="bottom"/>
            <w:tcBorders>
              <w:bottom w:val="single" w:sz="8" w:color="252525"/>
              <w:right w:val="single" w:sz="8" w:color="252525"/>
            </w:tcBorders>
            <w:gridSpan w:val="4"/>
          </w:tcPr>
          <w:p>
            <w:pPr>
              <w:ind w:left="20"/>
              <w:spacing w:after="0"/>
              <w:rPr>
                <w:sz w:val="20"/>
                <w:szCs w:val="20"/>
                <w:color w:val="auto"/>
              </w:rPr>
            </w:pPr>
            <w:r>
              <w:rPr>
                <w:rFonts w:ascii="Arial" w:cs="Arial" w:eastAsia="Arial" w:hAnsi="Arial"/>
                <w:sz w:val="18"/>
                <w:szCs w:val="18"/>
                <w:i w:val="1"/>
                <w:iCs w:val="1"/>
                <w:color w:val="929292"/>
              </w:rPr>
              <w:t>by 123 Asset Management as Advisor.</w:t>
            </w:r>
          </w:p>
        </w:tc>
        <w:tc>
          <w:tcPr>
            <w:tcW w:w="0" w:type="dxa"/>
            <w:vAlign w:val="bottom"/>
          </w:tcPr>
          <w:p>
            <w:pPr>
              <w:spacing w:after="0"/>
              <w:rPr>
                <w:sz w:val="1"/>
                <w:szCs w:val="1"/>
                <w:color w:val="auto"/>
              </w:rPr>
            </w:pPr>
          </w:p>
        </w:tc>
      </w:tr>
      <w:tr>
        <w:trPr>
          <w:trHeight w:val="286"/>
        </w:trPr>
        <w:tc>
          <w:tcPr>
            <w:tcW w:w="2880" w:type="dxa"/>
            <w:vAlign w:val="bottom"/>
            <w:tcBorders>
              <w:left w:val="single" w:sz="8" w:color="252525"/>
              <w:right w:val="single" w:sz="8" w:color="252525"/>
            </w:tcBorders>
            <w:gridSpan w:val="2"/>
          </w:tcPr>
          <w:p>
            <w:pPr>
              <w:jc w:val="right"/>
              <w:ind w:right="60"/>
              <w:spacing w:after="0"/>
              <w:rPr>
                <w:sz w:val="20"/>
                <w:szCs w:val="20"/>
                <w:color w:val="auto"/>
              </w:rPr>
            </w:pPr>
            <w:r>
              <w:rPr>
                <w:rFonts w:ascii="Times New Roman" w:cs="Times New Roman" w:eastAsia="Times New Roman" w:hAnsi="Times New Roman"/>
                <w:sz w:val="22"/>
                <w:szCs w:val="22"/>
                <w:b w:val="1"/>
                <w:bCs w:val="1"/>
                <w:color w:val="auto"/>
              </w:rPr>
              <w:t>Fund Manager</w:t>
            </w:r>
          </w:p>
        </w:tc>
        <w:tc>
          <w:tcPr>
            <w:tcW w:w="5900" w:type="dxa"/>
            <w:vAlign w:val="bottom"/>
            <w:tcBorders>
              <w:right w:val="single" w:sz="8" w:color="252525"/>
            </w:tcBorders>
            <w:gridSpan w:val="4"/>
          </w:tcPr>
          <w:p>
            <w:pPr>
              <w:ind w:left="60"/>
              <w:spacing w:after="0"/>
              <w:rPr>
                <w:sz w:val="20"/>
                <w:szCs w:val="20"/>
                <w:color w:val="auto"/>
              </w:rPr>
            </w:pPr>
            <w:r>
              <w:rPr>
                <w:rFonts w:ascii="Times New Roman" w:cs="Times New Roman" w:eastAsia="Times New Roman" w:hAnsi="Times New Roman"/>
                <w:sz w:val="22"/>
                <w:szCs w:val="22"/>
                <w:i w:val="1"/>
                <w:iCs w:val="1"/>
                <w:color w:val="808080"/>
              </w:rPr>
              <w:t>Name of fund/asset manager, as would be referenced in the sig.</w:t>
            </w:r>
          </w:p>
        </w:tc>
        <w:tc>
          <w:tcPr>
            <w:tcW w:w="880" w:type="dxa"/>
            <w:vAlign w:val="bottom"/>
            <w:tcBorders>
              <w:right w:val="single" w:sz="8" w:color="252525"/>
            </w:tcBorders>
          </w:tcPr>
          <w:p>
            <w:pPr>
              <w:ind w:left="80"/>
              <w:spacing w:after="0"/>
              <w:rPr>
                <w:sz w:val="20"/>
                <w:szCs w:val="20"/>
                <w:color w:val="auto"/>
              </w:rPr>
            </w:pPr>
            <w:r>
              <w:rPr>
                <w:rFonts w:ascii="Times New Roman" w:cs="Times New Roman" w:eastAsia="Times New Roman" w:hAnsi="Times New Roman"/>
                <w:sz w:val="22"/>
                <w:szCs w:val="22"/>
                <w:color w:val="auto"/>
              </w:rPr>
              <w:t>MEI</w:t>
            </w:r>
          </w:p>
        </w:tc>
        <w:tc>
          <w:tcPr>
            <w:tcW w:w="1600" w:type="dxa"/>
            <w:vAlign w:val="bottom"/>
            <w:tcBorders>
              <w:right w:val="single" w:sz="8" w:color="252525"/>
            </w:tcBorders>
          </w:tcPr>
          <w:p>
            <w:pPr>
              <w:jc w:val="center"/>
              <w:spacing w:after="0"/>
              <w:rPr>
                <w:sz w:val="20"/>
                <w:szCs w:val="20"/>
                <w:color w:val="auto"/>
              </w:rPr>
            </w:pPr>
            <w:r>
              <w:rPr>
                <w:rFonts w:ascii="Times New Roman" w:cs="Times New Roman" w:eastAsia="Times New Roman" w:hAnsi="Times New Roman"/>
                <w:sz w:val="22"/>
                <w:szCs w:val="22"/>
                <w:i w:val="1"/>
                <w:iCs w:val="1"/>
                <w:color w:val="808080"/>
                <w:w w:val="98"/>
              </w:rPr>
              <w:t>Markit Entity</w:t>
            </w:r>
          </w:p>
        </w:tc>
        <w:tc>
          <w:tcPr>
            <w:tcW w:w="0" w:type="dxa"/>
            <w:vAlign w:val="bottom"/>
          </w:tcPr>
          <w:p>
            <w:pPr>
              <w:spacing w:after="0"/>
              <w:rPr>
                <w:sz w:val="1"/>
                <w:szCs w:val="1"/>
                <w:color w:val="auto"/>
              </w:rPr>
            </w:pPr>
          </w:p>
        </w:tc>
      </w:tr>
      <w:tr>
        <w:trPr>
          <w:trHeight w:val="286"/>
        </w:trPr>
        <w:tc>
          <w:tcPr>
            <w:tcW w:w="2840" w:type="dxa"/>
            <w:vAlign w:val="bottom"/>
            <w:tcBorders>
              <w:left w:val="single" w:sz="8" w:color="252525"/>
            </w:tcBorders>
          </w:tcPr>
          <w:p>
            <w:pPr>
              <w:spacing w:after="0"/>
              <w:rPr>
                <w:sz w:val="24"/>
                <w:szCs w:val="24"/>
                <w:color w:val="auto"/>
              </w:rPr>
            </w:pPr>
          </w:p>
        </w:tc>
        <w:tc>
          <w:tcPr>
            <w:tcW w:w="40" w:type="dxa"/>
            <w:vAlign w:val="bottom"/>
            <w:tcBorders>
              <w:right w:val="single" w:sz="8" w:color="252525"/>
            </w:tcBorders>
          </w:tcPr>
          <w:p>
            <w:pPr>
              <w:spacing w:after="0"/>
              <w:rPr>
                <w:sz w:val="24"/>
                <w:szCs w:val="2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22"/>
                <w:szCs w:val="22"/>
                <w:i w:val="1"/>
                <w:iCs w:val="1"/>
                <w:color w:val="808080"/>
              </w:rPr>
              <w:t>block.</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Borders>
              <w:right w:val="single" w:sz="8" w:color="252525"/>
            </w:tcBorders>
          </w:tcPr>
          <w:p>
            <w:pPr>
              <w:spacing w:after="0"/>
              <w:rPr>
                <w:sz w:val="24"/>
                <w:szCs w:val="24"/>
                <w:color w:val="auto"/>
              </w:rPr>
            </w:pPr>
          </w:p>
        </w:tc>
        <w:tc>
          <w:tcPr>
            <w:tcW w:w="880" w:type="dxa"/>
            <w:vAlign w:val="bottom"/>
            <w:tcBorders>
              <w:right w:val="single" w:sz="8" w:color="252525"/>
            </w:tcBorders>
          </w:tcPr>
          <w:p>
            <w:pPr>
              <w:spacing w:after="0"/>
              <w:rPr>
                <w:sz w:val="24"/>
                <w:szCs w:val="24"/>
                <w:color w:val="auto"/>
              </w:rPr>
            </w:pPr>
          </w:p>
        </w:tc>
        <w:tc>
          <w:tcPr>
            <w:tcW w:w="1600" w:type="dxa"/>
            <w:vAlign w:val="bottom"/>
            <w:tcBorders>
              <w:right w:val="single" w:sz="8" w:color="252525"/>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880" w:type="dxa"/>
            <w:vAlign w:val="bottom"/>
            <w:tcBorders>
              <w:left w:val="single" w:sz="8" w:color="252525"/>
              <w:bottom w:val="single" w:sz="8" w:color="252525"/>
              <w:right w:val="single" w:sz="8" w:color="252525"/>
            </w:tcBorders>
            <w:gridSpan w:val="2"/>
          </w:tcPr>
          <w:p>
            <w:pPr>
              <w:spacing w:after="0"/>
              <w:rPr>
                <w:sz w:val="2"/>
                <w:szCs w:val="2"/>
                <w:color w:val="auto"/>
              </w:rPr>
            </w:pPr>
          </w:p>
        </w:tc>
        <w:tc>
          <w:tcPr>
            <w:tcW w:w="2820" w:type="dxa"/>
            <w:vAlign w:val="bottom"/>
            <w:tcBorders>
              <w:bottom w:val="single" w:sz="8" w:color="252525"/>
            </w:tcBorders>
          </w:tcPr>
          <w:p>
            <w:pPr>
              <w:spacing w:after="0"/>
              <w:rPr>
                <w:sz w:val="2"/>
                <w:szCs w:val="2"/>
                <w:color w:val="auto"/>
              </w:rPr>
            </w:pPr>
          </w:p>
        </w:tc>
        <w:tc>
          <w:tcPr>
            <w:tcW w:w="1020" w:type="dxa"/>
            <w:vAlign w:val="bottom"/>
            <w:tcBorders>
              <w:bottom w:val="single" w:sz="8" w:color="252525"/>
            </w:tcBorders>
          </w:tcPr>
          <w:p>
            <w:pPr>
              <w:spacing w:after="0"/>
              <w:rPr>
                <w:sz w:val="2"/>
                <w:szCs w:val="2"/>
                <w:color w:val="auto"/>
              </w:rPr>
            </w:pPr>
          </w:p>
        </w:tc>
        <w:tc>
          <w:tcPr>
            <w:tcW w:w="1020" w:type="dxa"/>
            <w:vAlign w:val="bottom"/>
            <w:tcBorders>
              <w:bottom w:val="single" w:sz="8" w:color="252525"/>
            </w:tcBorders>
          </w:tcPr>
          <w:p>
            <w:pPr>
              <w:spacing w:after="0"/>
              <w:rPr>
                <w:sz w:val="2"/>
                <w:szCs w:val="2"/>
                <w:color w:val="auto"/>
              </w:rPr>
            </w:pPr>
          </w:p>
        </w:tc>
        <w:tc>
          <w:tcPr>
            <w:tcW w:w="1040" w:type="dxa"/>
            <w:vAlign w:val="bottom"/>
            <w:tcBorders>
              <w:bottom w:val="single" w:sz="8" w:color="252525"/>
              <w:right w:val="single" w:sz="8" w:color="252525"/>
            </w:tcBorders>
          </w:tcPr>
          <w:p>
            <w:pPr>
              <w:spacing w:after="0"/>
              <w:rPr>
                <w:sz w:val="2"/>
                <w:szCs w:val="2"/>
                <w:color w:val="auto"/>
              </w:rPr>
            </w:pPr>
          </w:p>
        </w:tc>
        <w:tc>
          <w:tcPr>
            <w:tcW w:w="880" w:type="dxa"/>
            <w:vAlign w:val="bottom"/>
            <w:tcBorders>
              <w:bottom w:val="single" w:sz="8" w:color="252525"/>
              <w:right w:val="single" w:sz="8" w:color="252525"/>
            </w:tcBorders>
          </w:tcPr>
          <w:p>
            <w:pPr>
              <w:spacing w:after="0"/>
              <w:rPr>
                <w:sz w:val="2"/>
                <w:szCs w:val="2"/>
                <w:color w:val="auto"/>
              </w:rPr>
            </w:pPr>
          </w:p>
        </w:tc>
        <w:tc>
          <w:tcPr>
            <w:tcW w:w="1600" w:type="dxa"/>
            <w:vAlign w:val="bottom"/>
            <w:tcBorders>
              <w:bottom w:val="single" w:sz="8" w:color="252525"/>
              <w:right w:val="single" w:sz="8" w:color="252525"/>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2840" w:type="dxa"/>
            <w:vAlign w:val="bottom"/>
            <w:tcBorders>
              <w:left w:val="single" w:sz="8" w:color="252525"/>
              <w:bottom w:val="single" w:sz="8" w:color="D2D2D2"/>
            </w:tcBorders>
            <w:shd w:val="clear" w:color="auto" w:fill="D2D2D2"/>
          </w:tcPr>
          <w:p>
            <w:pPr>
              <w:jc w:val="right"/>
              <w:spacing w:after="0"/>
              <w:rPr>
                <w:sz w:val="20"/>
                <w:szCs w:val="20"/>
                <w:color w:val="auto"/>
              </w:rPr>
            </w:pPr>
            <w:r>
              <w:rPr>
                <w:rFonts w:ascii="Times New Roman" w:cs="Times New Roman" w:eastAsia="Times New Roman" w:hAnsi="Times New Roman"/>
                <w:sz w:val="22"/>
                <w:szCs w:val="22"/>
                <w:b w:val="1"/>
                <w:bCs w:val="1"/>
                <w:color w:val="auto"/>
              </w:rPr>
              <w:t>Lender Parent</w:t>
            </w:r>
          </w:p>
        </w:tc>
        <w:tc>
          <w:tcPr>
            <w:tcW w:w="40" w:type="dxa"/>
            <w:vAlign w:val="bottom"/>
            <w:tcBorders>
              <w:right w:val="single" w:sz="8" w:color="252525"/>
            </w:tcBorders>
          </w:tcPr>
          <w:p>
            <w:pPr>
              <w:spacing w:after="0"/>
              <w:rPr>
                <w:sz w:val="24"/>
                <w:szCs w:val="24"/>
                <w:color w:val="auto"/>
              </w:rPr>
            </w:pPr>
          </w:p>
        </w:tc>
        <w:tc>
          <w:tcPr>
            <w:tcW w:w="5900" w:type="dxa"/>
            <w:vAlign w:val="bottom"/>
            <w:tcBorders>
              <w:right w:val="single" w:sz="8" w:color="252525"/>
            </w:tcBorders>
            <w:gridSpan w:val="4"/>
          </w:tcPr>
          <w:p>
            <w:pPr>
              <w:ind w:left="60"/>
              <w:spacing w:after="0"/>
              <w:rPr>
                <w:sz w:val="20"/>
                <w:szCs w:val="20"/>
                <w:color w:val="auto"/>
              </w:rPr>
            </w:pPr>
            <w:r>
              <w:rPr>
                <w:rFonts w:ascii="Times New Roman" w:cs="Times New Roman" w:eastAsia="Times New Roman" w:hAnsi="Times New Roman"/>
                <w:sz w:val="22"/>
                <w:szCs w:val="22"/>
                <w:i w:val="1"/>
                <w:iCs w:val="1"/>
                <w:color w:val="808080"/>
              </w:rPr>
              <w:t>Name of legal parent if different from lender entity. (Optional)</w:t>
            </w:r>
          </w:p>
        </w:tc>
        <w:tc>
          <w:tcPr>
            <w:tcW w:w="880" w:type="dxa"/>
            <w:vAlign w:val="bottom"/>
            <w:tcBorders>
              <w:bottom w:val="single" w:sz="8" w:color="D2D2D2"/>
              <w:right w:val="single" w:sz="8" w:color="252525"/>
            </w:tcBorders>
            <w:shd w:val="clear" w:color="auto" w:fill="D2D2D2"/>
          </w:tcPr>
          <w:p>
            <w:pPr>
              <w:ind w:left="80"/>
              <w:spacing w:after="0"/>
              <w:rPr>
                <w:sz w:val="20"/>
                <w:szCs w:val="20"/>
                <w:color w:val="auto"/>
              </w:rPr>
            </w:pPr>
            <w:r>
              <w:rPr>
                <w:rFonts w:ascii="Times New Roman" w:cs="Times New Roman" w:eastAsia="Times New Roman" w:hAnsi="Times New Roman"/>
                <w:sz w:val="22"/>
                <w:szCs w:val="22"/>
                <w:color w:val="auto"/>
              </w:rPr>
              <w:t>MEI</w:t>
            </w:r>
          </w:p>
        </w:tc>
        <w:tc>
          <w:tcPr>
            <w:tcW w:w="1600" w:type="dxa"/>
            <w:vAlign w:val="bottom"/>
            <w:tcBorders>
              <w:right w:val="single" w:sz="8" w:color="252525"/>
            </w:tcBorders>
          </w:tcPr>
          <w:p>
            <w:pPr>
              <w:jc w:val="center"/>
              <w:spacing w:after="0"/>
              <w:rPr>
                <w:sz w:val="20"/>
                <w:szCs w:val="20"/>
                <w:color w:val="auto"/>
              </w:rPr>
            </w:pPr>
            <w:r>
              <w:rPr>
                <w:rFonts w:ascii="Times New Roman" w:cs="Times New Roman" w:eastAsia="Times New Roman" w:hAnsi="Times New Roman"/>
                <w:sz w:val="22"/>
                <w:szCs w:val="22"/>
                <w:i w:val="1"/>
                <w:iCs w:val="1"/>
                <w:color w:val="808080"/>
                <w:w w:val="98"/>
              </w:rPr>
              <w:t>Markit Entity</w:t>
            </w:r>
          </w:p>
        </w:tc>
        <w:tc>
          <w:tcPr>
            <w:tcW w:w="0" w:type="dxa"/>
            <w:vAlign w:val="bottom"/>
          </w:tcPr>
          <w:p>
            <w:pPr>
              <w:spacing w:after="0"/>
              <w:rPr>
                <w:sz w:val="1"/>
                <w:szCs w:val="1"/>
                <w:color w:val="auto"/>
              </w:rPr>
            </w:pPr>
          </w:p>
        </w:tc>
      </w:tr>
      <w:tr>
        <w:trPr>
          <w:trHeight w:val="20"/>
        </w:trPr>
        <w:tc>
          <w:tcPr>
            <w:tcW w:w="2840" w:type="dxa"/>
            <w:vAlign w:val="bottom"/>
            <w:tcBorders>
              <w:left w:val="single" w:sz="8" w:color="252525"/>
            </w:tcBorders>
            <w:shd w:val="clear" w:color="auto" w:fill="252525"/>
          </w:tcPr>
          <w:p>
            <w:pPr>
              <w:spacing w:after="0" w:line="20" w:lineRule="exact"/>
              <w:rPr>
                <w:sz w:val="1"/>
                <w:szCs w:val="1"/>
                <w:color w:val="auto"/>
              </w:rPr>
            </w:pPr>
          </w:p>
        </w:tc>
        <w:tc>
          <w:tcPr>
            <w:tcW w:w="40" w:type="dxa"/>
            <w:vAlign w:val="bottom"/>
            <w:tcBorders>
              <w:right w:val="single" w:sz="8" w:color="252525"/>
            </w:tcBorders>
            <w:shd w:val="clear" w:color="auto" w:fill="252525"/>
          </w:tcPr>
          <w:p>
            <w:pPr>
              <w:spacing w:after="0" w:line="20" w:lineRule="exact"/>
              <w:rPr>
                <w:sz w:val="1"/>
                <w:szCs w:val="1"/>
                <w:color w:val="auto"/>
              </w:rPr>
            </w:pPr>
          </w:p>
        </w:tc>
        <w:tc>
          <w:tcPr>
            <w:tcW w:w="2820" w:type="dxa"/>
            <w:vAlign w:val="bottom"/>
            <w:tcBorders>
              <w:right w:val="single" w:sz="8" w:color="252525"/>
            </w:tcBorders>
            <w:shd w:val="clear" w:color="auto" w:fill="252525"/>
          </w:tcPr>
          <w:p>
            <w:pPr>
              <w:spacing w:after="0" w:line="20" w:lineRule="exact"/>
              <w:rPr>
                <w:sz w:val="1"/>
                <w:szCs w:val="1"/>
                <w:color w:val="auto"/>
              </w:rPr>
            </w:pPr>
          </w:p>
        </w:tc>
        <w:tc>
          <w:tcPr>
            <w:tcW w:w="1020" w:type="dxa"/>
            <w:vAlign w:val="bottom"/>
            <w:tcBorders>
              <w:right w:val="single" w:sz="8" w:color="252525"/>
            </w:tcBorders>
            <w:shd w:val="clear" w:color="auto" w:fill="252525"/>
          </w:tcPr>
          <w:p>
            <w:pPr>
              <w:spacing w:after="0" w:line="20" w:lineRule="exact"/>
              <w:rPr>
                <w:sz w:val="1"/>
                <w:szCs w:val="1"/>
                <w:color w:val="auto"/>
              </w:rPr>
            </w:pPr>
          </w:p>
        </w:tc>
        <w:tc>
          <w:tcPr>
            <w:tcW w:w="1020" w:type="dxa"/>
            <w:vAlign w:val="bottom"/>
            <w:tcBorders>
              <w:right w:val="single" w:sz="8" w:color="252525"/>
            </w:tcBorders>
            <w:shd w:val="clear" w:color="auto" w:fill="252525"/>
          </w:tcPr>
          <w:p>
            <w:pPr>
              <w:spacing w:after="0" w:line="20" w:lineRule="exact"/>
              <w:rPr>
                <w:sz w:val="1"/>
                <w:szCs w:val="1"/>
                <w:color w:val="auto"/>
              </w:rPr>
            </w:pPr>
          </w:p>
        </w:tc>
        <w:tc>
          <w:tcPr>
            <w:tcW w:w="1040" w:type="dxa"/>
            <w:vAlign w:val="bottom"/>
            <w:tcBorders>
              <w:right w:val="single" w:sz="8" w:color="252525"/>
            </w:tcBorders>
            <w:shd w:val="clear" w:color="auto" w:fill="252525"/>
          </w:tcPr>
          <w:p>
            <w:pPr>
              <w:spacing w:after="0" w:line="20" w:lineRule="exact"/>
              <w:rPr>
                <w:sz w:val="1"/>
                <w:szCs w:val="1"/>
                <w:color w:val="auto"/>
              </w:rPr>
            </w:pPr>
          </w:p>
        </w:tc>
        <w:tc>
          <w:tcPr>
            <w:tcW w:w="880" w:type="dxa"/>
            <w:vAlign w:val="bottom"/>
            <w:tcBorders>
              <w:right w:val="single" w:sz="8" w:color="252525"/>
            </w:tcBorders>
            <w:shd w:val="clear" w:color="auto" w:fill="252525"/>
          </w:tcPr>
          <w:p>
            <w:pPr>
              <w:spacing w:after="0" w:line="20" w:lineRule="exact"/>
              <w:rPr>
                <w:sz w:val="1"/>
                <w:szCs w:val="1"/>
                <w:color w:val="auto"/>
              </w:rPr>
            </w:pPr>
          </w:p>
        </w:tc>
        <w:tc>
          <w:tcPr>
            <w:tcW w:w="1600" w:type="dxa"/>
            <w:vAlign w:val="bottom"/>
            <w:tcBorders>
              <w:right w:val="single" w:sz="8" w:color="252525"/>
            </w:tcBorders>
            <w:shd w:val="clear" w:color="auto" w:fill="2525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40575" cy="9772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057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FFFFFF"/>
        </w:rPr>
        <w:t>NOTICE/SERVICING MESSAGE DELIVERY INSTRUCTIONS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30"/>
        </w:trPr>
        <w:tc>
          <w:tcPr>
            <w:tcW w:w="1600" w:type="dxa"/>
            <w:vAlign w:val="bottom"/>
            <w:tcBorders>
              <w:bottom w:val="single" w:sz="8" w:color="252525"/>
            </w:tcBorders>
          </w:tcPr>
          <w:p>
            <w:pPr>
              <w:spacing w:after="0"/>
              <w:rPr>
                <w:sz w:val="2"/>
                <w:szCs w:val="2"/>
                <w:color w:val="auto"/>
              </w:rPr>
            </w:pPr>
          </w:p>
        </w:tc>
        <w:tc>
          <w:tcPr>
            <w:tcW w:w="1580" w:type="dxa"/>
            <w:vAlign w:val="bottom"/>
            <w:tcBorders>
              <w:bottom w:val="single" w:sz="8" w:color="252525"/>
            </w:tcBorders>
          </w:tcPr>
          <w:p>
            <w:pPr>
              <w:spacing w:after="0"/>
              <w:rPr>
                <w:sz w:val="2"/>
                <w:szCs w:val="2"/>
                <w:color w:val="auto"/>
              </w:rPr>
            </w:pPr>
          </w:p>
        </w:tc>
        <w:tc>
          <w:tcPr>
            <w:tcW w:w="700" w:type="dxa"/>
            <w:vAlign w:val="bottom"/>
            <w:tcBorders>
              <w:bottom w:val="single" w:sz="8" w:color="252525"/>
            </w:tcBorders>
          </w:tcPr>
          <w:p>
            <w:pPr>
              <w:spacing w:after="0"/>
              <w:rPr>
                <w:sz w:val="2"/>
                <w:szCs w:val="2"/>
                <w:color w:val="auto"/>
              </w:rPr>
            </w:pPr>
          </w:p>
        </w:tc>
        <w:tc>
          <w:tcPr>
            <w:tcW w:w="1600" w:type="dxa"/>
            <w:vAlign w:val="bottom"/>
            <w:tcBorders>
              <w:bottom w:val="single" w:sz="8" w:color="252525"/>
            </w:tcBorders>
          </w:tcPr>
          <w:p>
            <w:pPr>
              <w:spacing w:after="0"/>
              <w:rPr>
                <w:sz w:val="2"/>
                <w:szCs w:val="2"/>
                <w:color w:val="auto"/>
              </w:rPr>
            </w:pPr>
          </w:p>
        </w:tc>
        <w:tc>
          <w:tcPr>
            <w:tcW w:w="860" w:type="dxa"/>
            <w:vAlign w:val="bottom"/>
            <w:tcBorders>
              <w:bottom w:val="single" w:sz="8" w:color="252525"/>
            </w:tcBorders>
          </w:tcPr>
          <w:p>
            <w:pPr>
              <w:spacing w:after="0"/>
              <w:rPr>
                <w:sz w:val="2"/>
                <w:szCs w:val="2"/>
                <w:color w:val="auto"/>
              </w:rPr>
            </w:pPr>
          </w:p>
        </w:tc>
        <w:tc>
          <w:tcPr>
            <w:tcW w:w="3320" w:type="dxa"/>
            <w:vAlign w:val="bottom"/>
            <w:tcBorders>
              <w:bottom w:val="single" w:sz="8" w:color="252525"/>
            </w:tcBorders>
          </w:tcPr>
          <w:p>
            <w:pPr>
              <w:spacing w:after="0"/>
              <w:rPr>
                <w:sz w:val="2"/>
                <w:szCs w:val="2"/>
                <w:color w:val="auto"/>
              </w:rPr>
            </w:pPr>
          </w:p>
        </w:tc>
        <w:tc>
          <w:tcPr>
            <w:tcW w:w="1600" w:type="dxa"/>
            <w:vAlign w:val="bottom"/>
            <w:tcBorders>
              <w:bottom w:val="single" w:sz="8" w:color="252525"/>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600" w:type="dxa"/>
            <w:vAlign w:val="bottom"/>
            <w:tcBorders>
              <w:right w:val="single" w:sz="8" w:color="auto"/>
            </w:tcBorders>
            <w:vMerge w:val="restart"/>
            <w:shd w:val="clear" w:color="auto" w:fill="D2D2D2"/>
          </w:tcPr>
          <w:p>
            <w:pPr>
              <w:ind w:left="600"/>
              <w:spacing w:after="0"/>
              <w:rPr>
                <w:sz w:val="20"/>
                <w:szCs w:val="20"/>
                <w:color w:val="auto"/>
              </w:rPr>
            </w:pPr>
            <w:r>
              <w:rPr>
                <w:rFonts w:ascii="Times New Roman" w:cs="Times New Roman" w:eastAsia="Times New Roman" w:hAnsi="Times New Roman"/>
                <w:sz w:val="22"/>
                <w:szCs w:val="22"/>
                <w:b w:val="1"/>
                <w:bCs w:val="1"/>
                <w:color w:val="auto"/>
              </w:rPr>
              <w:t>Firm</w:t>
            </w:r>
          </w:p>
        </w:tc>
        <w:tc>
          <w:tcPr>
            <w:tcW w:w="158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929292"/>
              </w:rPr>
              <w:t>Name of Company</w:t>
            </w:r>
          </w:p>
        </w:tc>
        <w:tc>
          <w:tcPr>
            <w:tcW w:w="700" w:type="dxa"/>
            <w:vAlign w:val="bottom"/>
            <w:tcBorders>
              <w:right w:val="single" w:sz="8" w:color="252525"/>
            </w:tcBorders>
            <w:vMerge w:val="restart"/>
            <w:shd w:val="clear" w:color="auto" w:fill="D2D2D2"/>
          </w:tcPr>
          <w:p>
            <w:pPr>
              <w:ind w:left="200"/>
              <w:spacing w:after="0"/>
              <w:rPr>
                <w:sz w:val="20"/>
                <w:szCs w:val="20"/>
                <w:color w:val="auto"/>
              </w:rPr>
            </w:pPr>
            <w:r>
              <w:rPr>
                <w:rFonts w:ascii="Times New Roman" w:cs="Times New Roman" w:eastAsia="Times New Roman" w:hAnsi="Times New Roman"/>
                <w:sz w:val="22"/>
                <w:szCs w:val="22"/>
                <w:color w:val="auto"/>
              </w:rPr>
              <w:t>Fax</w:t>
            </w:r>
          </w:p>
        </w:tc>
        <w:tc>
          <w:tcPr>
            <w:tcW w:w="1600" w:type="dxa"/>
            <w:vAlign w:val="bottom"/>
            <w:tcBorders>
              <w:right w:val="single" w:sz="8" w:color="252525"/>
            </w:tcBorders>
            <w:vMerge w:val="restart"/>
          </w:tcPr>
          <w:p>
            <w:pPr>
              <w:ind w:left="240"/>
              <w:spacing w:after="0"/>
              <w:rPr>
                <w:sz w:val="20"/>
                <w:szCs w:val="20"/>
                <w:color w:val="auto"/>
              </w:rPr>
            </w:pPr>
            <w:r>
              <w:rPr>
                <w:rFonts w:ascii="Times New Roman" w:cs="Times New Roman" w:eastAsia="Times New Roman" w:hAnsi="Times New Roman"/>
                <w:sz w:val="22"/>
                <w:szCs w:val="22"/>
                <w:i w:val="1"/>
                <w:iCs w:val="1"/>
                <w:color w:val="808080"/>
              </w:rPr>
              <w:t>Fax Number</w:t>
            </w:r>
          </w:p>
        </w:tc>
        <w:tc>
          <w:tcPr>
            <w:tcW w:w="860" w:type="dxa"/>
            <w:vAlign w:val="bottom"/>
            <w:tcBorders>
              <w:right w:val="single" w:sz="8" w:color="252525"/>
            </w:tcBorders>
            <w:vMerge w:val="restart"/>
            <w:shd w:val="clear" w:color="auto" w:fill="D2D2D2"/>
          </w:tcPr>
          <w:p>
            <w:pPr>
              <w:ind w:left="160"/>
              <w:spacing w:after="0"/>
              <w:rPr>
                <w:sz w:val="20"/>
                <w:szCs w:val="20"/>
                <w:color w:val="auto"/>
              </w:rPr>
            </w:pPr>
            <w:r>
              <w:rPr>
                <w:rFonts w:ascii="Times New Roman" w:cs="Times New Roman" w:eastAsia="Times New Roman" w:hAnsi="Times New Roman"/>
                <w:sz w:val="22"/>
                <w:szCs w:val="22"/>
                <w:color w:val="auto"/>
              </w:rPr>
              <w:t>Email</w:t>
            </w:r>
          </w:p>
        </w:tc>
        <w:tc>
          <w:tcPr>
            <w:tcW w:w="3320" w:type="dxa"/>
            <w:vAlign w:val="bottom"/>
            <w:tcBorders>
              <w:right w:val="single" w:sz="8" w:color="252525"/>
            </w:tcBorders>
            <w:vMerge w:val="restart"/>
          </w:tcPr>
          <w:p>
            <w:pPr>
              <w:ind w:left="60"/>
              <w:spacing w:after="0"/>
              <w:rPr>
                <w:sz w:val="20"/>
                <w:szCs w:val="20"/>
                <w:color w:val="auto"/>
              </w:rPr>
            </w:pPr>
            <w:r>
              <w:rPr>
                <w:rFonts w:ascii="Times New Roman" w:cs="Times New Roman" w:eastAsia="Times New Roman" w:hAnsi="Times New Roman"/>
                <w:sz w:val="22"/>
                <w:szCs w:val="22"/>
                <w:i w:val="1"/>
                <w:iCs w:val="1"/>
                <w:color w:val="808080"/>
              </w:rPr>
              <w:t>Email Address</w:t>
            </w:r>
          </w:p>
        </w:tc>
        <w:tc>
          <w:tcPr>
            <w:tcW w:w="1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Email Pfd.</w:t>
            </w:r>
          </w:p>
        </w:tc>
        <w:tc>
          <w:tcPr>
            <w:tcW w:w="0" w:type="dxa"/>
            <w:vAlign w:val="bottom"/>
          </w:tcPr>
          <w:p>
            <w:pPr>
              <w:spacing w:after="0"/>
              <w:rPr>
                <w:sz w:val="1"/>
                <w:szCs w:val="1"/>
                <w:color w:val="auto"/>
              </w:rPr>
            </w:pPr>
          </w:p>
        </w:tc>
      </w:tr>
      <w:tr>
        <w:trPr>
          <w:trHeight w:val="108"/>
        </w:trPr>
        <w:tc>
          <w:tcPr>
            <w:tcW w:w="1600" w:type="dxa"/>
            <w:vAlign w:val="bottom"/>
            <w:tcBorders>
              <w:right w:val="single" w:sz="8" w:color="auto"/>
            </w:tcBorders>
            <w:vMerge w:val="continue"/>
            <w:shd w:val="clear" w:color="auto" w:fill="D2D2D2"/>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700" w:type="dxa"/>
            <w:vAlign w:val="bottom"/>
            <w:tcBorders>
              <w:right w:val="single" w:sz="8" w:color="252525"/>
            </w:tcBorders>
            <w:vMerge w:val="continue"/>
            <w:shd w:val="clear" w:color="auto" w:fill="D2D2D2"/>
          </w:tcPr>
          <w:p>
            <w:pPr>
              <w:spacing w:after="0"/>
              <w:rPr>
                <w:sz w:val="9"/>
                <w:szCs w:val="9"/>
                <w:color w:val="auto"/>
              </w:rPr>
            </w:pPr>
          </w:p>
        </w:tc>
        <w:tc>
          <w:tcPr>
            <w:tcW w:w="1600" w:type="dxa"/>
            <w:vAlign w:val="bottom"/>
            <w:tcBorders>
              <w:right w:val="single" w:sz="8" w:color="252525"/>
            </w:tcBorders>
            <w:vMerge w:val="continue"/>
          </w:tcPr>
          <w:p>
            <w:pPr>
              <w:spacing w:after="0"/>
              <w:rPr>
                <w:sz w:val="9"/>
                <w:szCs w:val="9"/>
                <w:color w:val="auto"/>
              </w:rPr>
            </w:pPr>
          </w:p>
        </w:tc>
        <w:tc>
          <w:tcPr>
            <w:tcW w:w="860" w:type="dxa"/>
            <w:vAlign w:val="bottom"/>
            <w:tcBorders>
              <w:right w:val="single" w:sz="8" w:color="252525"/>
            </w:tcBorders>
            <w:vMerge w:val="continue"/>
            <w:shd w:val="clear" w:color="auto" w:fill="D2D2D2"/>
          </w:tcPr>
          <w:p>
            <w:pPr>
              <w:spacing w:after="0"/>
              <w:rPr>
                <w:sz w:val="9"/>
                <w:szCs w:val="9"/>
                <w:color w:val="auto"/>
              </w:rPr>
            </w:pPr>
          </w:p>
        </w:tc>
        <w:tc>
          <w:tcPr>
            <w:tcW w:w="3320" w:type="dxa"/>
            <w:vAlign w:val="bottom"/>
            <w:tcBorders>
              <w:right w:val="single" w:sz="8" w:color="252525"/>
            </w:tcBorders>
            <w:vMerge w:val="continue"/>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600" w:type="dxa"/>
            <w:vAlign w:val="bottom"/>
            <w:tcBorders>
              <w:bottom w:val="single" w:sz="8" w:color="252525"/>
              <w:right w:val="single" w:sz="8" w:color="auto"/>
            </w:tcBorders>
            <w:shd w:val="clear" w:color="auto" w:fill="D2D2D2"/>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252525"/>
              <w:right w:val="single" w:sz="8" w:color="252525"/>
            </w:tcBorders>
            <w:shd w:val="clear" w:color="auto" w:fill="D2D2D2"/>
          </w:tcPr>
          <w:p>
            <w:pPr>
              <w:spacing w:after="0"/>
              <w:rPr>
                <w:sz w:val="11"/>
                <w:szCs w:val="11"/>
                <w:color w:val="auto"/>
              </w:rPr>
            </w:pPr>
          </w:p>
        </w:tc>
        <w:tc>
          <w:tcPr>
            <w:tcW w:w="1600" w:type="dxa"/>
            <w:vAlign w:val="bottom"/>
            <w:tcBorders>
              <w:bottom w:val="single" w:sz="8" w:color="252525"/>
              <w:right w:val="single" w:sz="8" w:color="252525"/>
            </w:tcBorders>
          </w:tcPr>
          <w:p>
            <w:pPr>
              <w:spacing w:after="0"/>
              <w:rPr>
                <w:sz w:val="11"/>
                <w:szCs w:val="11"/>
                <w:color w:val="auto"/>
              </w:rPr>
            </w:pPr>
          </w:p>
        </w:tc>
        <w:tc>
          <w:tcPr>
            <w:tcW w:w="860" w:type="dxa"/>
            <w:vAlign w:val="bottom"/>
            <w:tcBorders>
              <w:bottom w:val="single" w:sz="8" w:color="252525"/>
              <w:right w:val="single" w:sz="8" w:color="252525"/>
            </w:tcBorders>
            <w:shd w:val="clear" w:color="auto" w:fill="D2D2D2"/>
          </w:tcPr>
          <w:p>
            <w:pPr>
              <w:spacing w:after="0"/>
              <w:rPr>
                <w:sz w:val="11"/>
                <w:szCs w:val="11"/>
                <w:color w:val="auto"/>
              </w:rPr>
            </w:pPr>
          </w:p>
        </w:tc>
        <w:tc>
          <w:tcPr>
            <w:tcW w:w="3320" w:type="dxa"/>
            <w:vAlign w:val="bottom"/>
            <w:tcBorders>
              <w:bottom w:val="single" w:sz="8" w:color="252525"/>
              <w:right w:val="single" w:sz="8" w:color="252525"/>
            </w:tcBorders>
          </w:tcPr>
          <w:p>
            <w:pPr>
              <w:spacing w:after="0"/>
              <w:rPr>
                <w:sz w:val="11"/>
                <w:szCs w:val="11"/>
                <w:color w:val="auto"/>
              </w:rPr>
            </w:pPr>
          </w:p>
        </w:tc>
        <w:tc>
          <w:tcPr>
            <w:tcW w:w="1600" w:type="dxa"/>
            <w:vAlign w:val="bottom"/>
            <w:tcBorders>
              <w:bottom w:val="single" w:sz="8" w:color="252525"/>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600" w:type="dxa"/>
            <w:vAlign w:val="bottom"/>
            <w:tcBorders>
              <w:right w:val="single" w:sz="8" w:color="auto"/>
            </w:tcBorders>
            <w:vMerge w:val="restart"/>
            <w:shd w:val="clear" w:color="auto" w:fill="D2D2D2"/>
          </w:tcPr>
          <w:p>
            <w:pPr>
              <w:ind w:left="600"/>
              <w:spacing w:after="0"/>
              <w:rPr>
                <w:sz w:val="20"/>
                <w:szCs w:val="20"/>
                <w:color w:val="auto"/>
              </w:rPr>
            </w:pPr>
            <w:r>
              <w:rPr>
                <w:rFonts w:ascii="Times New Roman" w:cs="Times New Roman" w:eastAsia="Times New Roman" w:hAnsi="Times New Roman"/>
                <w:sz w:val="22"/>
                <w:szCs w:val="22"/>
                <w:b w:val="1"/>
                <w:bCs w:val="1"/>
                <w:color w:val="auto"/>
              </w:rPr>
              <w:t>Firm</w:t>
            </w:r>
          </w:p>
        </w:tc>
        <w:tc>
          <w:tcPr>
            <w:tcW w:w="158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929292"/>
              </w:rPr>
              <w:t>Name of Company</w:t>
            </w:r>
          </w:p>
        </w:tc>
        <w:tc>
          <w:tcPr>
            <w:tcW w:w="700" w:type="dxa"/>
            <w:vAlign w:val="bottom"/>
            <w:tcBorders>
              <w:right w:val="single" w:sz="8" w:color="252525"/>
            </w:tcBorders>
            <w:vMerge w:val="restart"/>
            <w:shd w:val="clear" w:color="auto" w:fill="D2D2D2"/>
          </w:tcPr>
          <w:p>
            <w:pPr>
              <w:ind w:left="200"/>
              <w:spacing w:after="0"/>
              <w:rPr>
                <w:sz w:val="20"/>
                <w:szCs w:val="20"/>
                <w:color w:val="auto"/>
              </w:rPr>
            </w:pPr>
            <w:r>
              <w:rPr>
                <w:rFonts w:ascii="Times New Roman" w:cs="Times New Roman" w:eastAsia="Times New Roman" w:hAnsi="Times New Roman"/>
                <w:sz w:val="22"/>
                <w:szCs w:val="22"/>
                <w:color w:val="auto"/>
              </w:rPr>
              <w:t>Fax</w:t>
            </w:r>
          </w:p>
        </w:tc>
        <w:tc>
          <w:tcPr>
            <w:tcW w:w="1600" w:type="dxa"/>
            <w:vAlign w:val="bottom"/>
            <w:tcBorders>
              <w:right w:val="single" w:sz="8" w:color="252525"/>
            </w:tcBorders>
            <w:vMerge w:val="restart"/>
          </w:tcPr>
          <w:p>
            <w:pPr>
              <w:ind w:left="240"/>
              <w:spacing w:after="0"/>
              <w:rPr>
                <w:sz w:val="20"/>
                <w:szCs w:val="20"/>
                <w:color w:val="auto"/>
              </w:rPr>
            </w:pPr>
            <w:r>
              <w:rPr>
                <w:rFonts w:ascii="Times New Roman" w:cs="Times New Roman" w:eastAsia="Times New Roman" w:hAnsi="Times New Roman"/>
                <w:sz w:val="22"/>
                <w:szCs w:val="22"/>
                <w:i w:val="1"/>
                <w:iCs w:val="1"/>
                <w:color w:val="808080"/>
              </w:rPr>
              <w:t>Fax Number</w:t>
            </w:r>
          </w:p>
        </w:tc>
        <w:tc>
          <w:tcPr>
            <w:tcW w:w="860" w:type="dxa"/>
            <w:vAlign w:val="bottom"/>
            <w:tcBorders>
              <w:right w:val="single" w:sz="8" w:color="252525"/>
            </w:tcBorders>
            <w:vMerge w:val="restart"/>
            <w:shd w:val="clear" w:color="auto" w:fill="D2D2D2"/>
          </w:tcPr>
          <w:p>
            <w:pPr>
              <w:ind w:left="160"/>
              <w:spacing w:after="0"/>
              <w:rPr>
                <w:sz w:val="20"/>
                <w:szCs w:val="20"/>
                <w:color w:val="auto"/>
              </w:rPr>
            </w:pPr>
            <w:r>
              <w:rPr>
                <w:rFonts w:ascii="Times New Roman" w:cs="Times New Roman" w:eastAsia="Times New Roman" w:hAnsi="Times New Roman"/>
                <w:sz w:val="22"/>
                <w:szCs w:val="22"/>
                <w:color w:val="auto"/>
              </w:rPr>
              <w:t>Email</w:t>
            </w:r>
          </w:p>
        </w:tc>
        <w:tc>
          <w:tcPr>
            <w:tcW w:w="3320" w:type="dxa"/>
            <w:vAlign w:val="bottom"/>
            <w:tcBorders>
              <w:right w:val="single" w:sz="8" w:color="252525"/>
            </w:tcBorders>
            <w:vMerge w:val="restart"/>
          </w:tcPr>
          <w:p>
            <w:pPr>
              <w:ind w:left="60"/>
              <w:spacing w:after="0"/>
              <w:rPr>
                <w:sz w:val="20"/>
                <w:szCs w:val="20"/>
                <w:color w:val="auto"/>
              </w:rPr>
            </w:pPr>
            <w:r>
              <w:rPr>
                <w:rFonts w:ascii="Times New Roman" w:cs="Times New Roman" w:eastAsia="Times New Roman" w:hAnsi="Times New Roman"/>
                <w:sz w:val="22"/>
                <w:szCs w:val="22"/>
                <w:i w:val="1"/>
                <w:iCs w:val="1"/>
                <w:color w:val="808080"/>
              </w:rPr>
              <w:t>Email Address</w:t>
            </w:r>
          </w:p>
        </w:tc>
        <w:tc>
          <w:tcPr>
            <w:tcW w:w="1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Email Pfd.</w:t>
            </w:r>
          </w:p>
        </w:tc>
        <w:tc>
          <w:tcPr>
            <w:tcW w:w="0" w:type="dxa"/>
            <w:vAlign w:val="bottom"/>
          </w:tcPr>
          <w:p>
            <w:pPr>
              <w:spacing w:after="0"/>
              <w:rPr>
                <w:sz w:val="1"/>
                <w:szCs w:val="1"/>
                <w:color w:val="auto"/>
              </w:rPr>
            </w:pPr>
          </w:p>
        </w:tc>
      </w:tr>
      <w:tr>
        <w:trPr>
          <w:trHeight w:val="108"/>
        </w:trPr>
        <w:tc>
          <w:tcPr>
            <w:tcW w:w="1600" w:type="dxa"/>
            <w:vAlign w:val="bottom"/>
            <w:tcBorders>
              <w:right w:val="single" w:sz="8" w:color="auto"/>
            </w:tcBorders>
            <w:vMerge w:val="continue"/>
            <w:shd w:val="clear" w:color="auto" w:fill="D2D2D2"/>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700" w:type="dxa"/>
            <w:vAlign w:val="bottom"/>
            <w:tcBorders>
              <w:right w:val="single" w:sz="8" w:color="252525"/>
            </w:tcBorders>
            <w:vMerge w:val="continue"/>
            <w:shd w:val="clear" w:color="auto" w:fill="D2D2D2"/>
          </w:tcPr>
          <w:p>
            <w:pPr>
              <w:spacing w:after="0"/>
              <w:rPr>
                <w:sz w:val="9"/>
                <w:szCs w:val="9"/>
                <w:color w:val="auto"/>
              </w:rPr>
            </w:pPr>
          </w:p>
        </w:tc>
        <w:tc>
          <w:tcPr>
            <w:tcW w:w="1600" w:type="dxa"/>
            <w:vAlign w:val="bottom"/>
            <w:tcBorders>
              <w:right w:val="single" w:sz="8" w:color="252525"/>
            </w:tcBorders>
            <w:vMerge w:val="continue"/>
          </w:tcPr>
          <w:p>
            <w:pPr>
              <w:spacing w:after="0"/>
              <w:rPr>
                <w:sz w:val="9"/>
                <w:szCs w:val="9"/>
                <w:color w:val="auto"/>
              </w:rPr>
            </w:pPr>
          </w:p>
        </w:tc>
        <w:tc>
          <w:tcPr>
            <w:tcW w:w="860" w:type="dxa"/>
            <w:vAlign w:val="bottom"/>
            <w:tcBorders>
              <w:right w:val="single" w:sz="8" w:color="252525"/>
            </w:tcBorders>
            <w:vMerge w:val="continue"/>
            <w:shd w:val="clear" w:color="auto" w:fill="D2D2D2"/>
          </w:tcPr>
          <w:p>
            <w:pPr>
              <w:spacing w:after="0"/>
              <w:rPr>
                <w:sz w:val="9"/>
                <w:szCs w:val="9"/>
                <w:color w:val="auto"/>
              </w:rPr>
            </w:pPr>
          </w:p>
        </w:tc>
        <w:tc>
          <w:tcPr>
            <w:tcW w:w="3320" w:type="dxa"/>
            <w:vAlign w:val="bottom"/>
            <w:tcBorders>
              <w:right w:val="single" w:sz="8" w:color="252525"/>
            </w:tcBorders>
            <w:vMerge w:val="continue"/>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600" w:type="dxa"/>
            <w:vAlign w:val="bottom"/>
            <w:tcBorders>
              <w:bottom w:val="single" w:sz="8" w:color="252525"/>
              <w:right w:val="single" w:sz="8" w:color="auto"/>
            </w:tcBorders>
            <w:shd w:val="clear" w:color="auto" w:fill="D2D2D2"/>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252525"/>
              <w:right w:val="single" w:sz="8" w:color="252525"/>
            </w:tcBorders>
            <w:shd w:val="clear" w:color="auto" w:fill="D2D2D2"/>
          </w:tcPr>
          <w:p>
            <w:pPr>
              <w:spacing w:after="0"/>
              <w:rPr>
                <w:sz w:val="11"/>
                <w:szCs w:val="11"/>
                <w:color w:val="auto"/>
              </w:rPr>
            </w:pPr>
          </w:p>
        </w:tc>
        <w:tc>
          <w:tcPr>
            <w:tcW w:w="1600" w:type="dxa"/>
            <w:vAlign w:val="bottom"/>
            <w:tcBorders>
              <w:bottom w:val="single" w:sz="8" w:color="252525"/>
              <w:right w:val="single" w:sz="8" w:color="252525"/>
            </w:tcBorders>
          </w:tcPr>
          <w:p>
            <w:pPr>
              <w:spacing w:after="0"/>
              <w:rPr>
                <w:sz w:val="11"/>
                <w:szCs w:val="11"/>
                <w:color w:val="auto"/>
              </w:rPr>
            </w:pPr>
          </w:p>
        </w:tc>
        <w:tc>
          <w:tcPr>
            <w:tcW w:w="860" w:type="dxa"/>
            <w:vAlign w:val="bottom"/>
            <w:tcBorders>
              <w:bottom w:val="single" w:sz="8" w:color="252525"/>
              <w:right w:val="single" w:sz="8" w:color="252525"/>
            </w:tcBorders>
            <w:shd w:val="clear" w:color="auto" w:fill="D2D2D2"/>
          </w:tcPr>
          <w:p>
            <w:pPr>
              <w:spacing w:after="0"/>
              <w:rPr>
                <w:sz w:val="11"/>
                <w:szCs w:val="11"/>
                <w:color w:val="auto"/>
              </w:rPr>
            </w:pPr>
          </w:p>
        </w:tc>
        <w:tc>
          <w:tcPr>
            <w:tcW w:w="3320" w:type="dxa"/>
            <w:vAlign w:val="bottom"/>
            <w:tcBorders>
              <w:bottom w:val="single" w:sz="8" w:color="252525"/>
              <w:right w:val="single" w:sz="8" w:color="252525"/>
            </w:tcBorders>
          </w:tcPr>
          <w:p>
            <w:pPr>
              <w:spacing w:after="0"/>
              <w:rPr>
                <w:sz w:val="11"/>
                <w:szCs w:val="11"/>
                <w:color w:val="auto"/>
              </w:rPr>
            </w:pPr>
          </w:p>
        </w:tc>
        <w:tc>
          <w:tcPr>
            <w:tcW w:w="1600" w:type="dxa"/>
            <w:vAlign w:val="bottom"/>
            <w:tcBorders>
              <w:bottom w:val="single" w:sz="8" w:color="252525"/>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81" w:name="page182"/>
    <w:bookmarkEnd w:id="181"/>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40575" cy="10801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0575" cy="10801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2"/>
          <w:szCs w:val="22"/>
          <w:b w:val="1"/>
          <w:bCs w:val="1"/>
          <w:color w:val="FFFFFF"/>
        </w:rPr>
        <w:t>STANDARD SETTLEMENT INSTRUCTIONS / WIRING INSTRUCTIONS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2340" w:type="dxa"/>
            <w:vAlign w:val="bottom"/>
            <w:tcBorders>
              <w:top w:val="single" w:sz="8" w:color="252525"/>
              <w:left w:val="single" w:sz="8" w:color="7B7B7B"/>
              <w:bottom w:val="single" w:sz="8" w:color="7B7B7B"/>
              <w:right w:val="single" w:sz="8" w:color="252525"/>
            </w:tcBorders>
            <w:shd w:val="clear" w:color="auto" w:fill="7B7B7B"/>
          </w:tcPr>
          <w:p>
            <w:pPr>
              <w:jc w:val="right"/>
              <w:spacing w:after="0"/>
              <w:rPr>
                <w:sz w:val="20"/>
                <w:szCs w:val="20"/>
                <w:color w:val="auto"/>
              </w:rPr>
            </w:pPr>
            <w:r>
              <w:rPr>
                <w:rFonts w:ascii="Times New Roman" w:cs="Times New Roman" w:eastAsia="Times New Roman" w:hAnsi="Times New Roman"/>
                <w:sz w:val="22"/>
                <w:szCs w:val="22"/>
                <w:color w:val="auto"/>
              </w:rPr>
              <w:t>Payment Method</w:t>
            </w:r>
          </w:p>
        </w:tc>
        <w:tc>
          <w:tcPr>
            <w:tcW w:w="4880" w:type="dxa"/>
            <w:vAlign w:val="bottom"/>
            <w:tcBorders>
              <w:top w:val="single" w:sz="8" w:color="252525"/>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MT103 o</w:t>
            </w:r>
            <w:r>
              <w:rPr>
                <w:rFonts w:ascii="Times New Roman" w:cs="Times New Roman" w:eastAsia="Times New Roman" w:hAnsi="Times New Roman"/>
                <w:sz w:val="21"/>
                <w:szCs w:val="21"/>
                <w:i w:val="1"/>
                <w:iCs w:val="1"/>
                <w:color w:val="auto"/>
              </w:rPr>
              <w:t>r MT202</w:t>
            </w:r>
          </w:p>
        </w:tc>
        <w:tc>
          <w:tcPr>
            <w:tcW w:w="1060" w:type="dxa"/>
            <w:vAlign w:val="bottom"/>
            <w:tcBorders>
              <w:top w:val="single" w:sz="8" w:color="252525"/>
            </w:tcBorders>
          </w:tcPr>
          <w:p>
            <w:pPr>
              <w:spacing w:after="0"/>
              <w:rPr>
                <w:sz w:val="24"/>
                <w:szCs w:val="24"/>
                <w:color w:val="auto"/>
              </w:rPr>
            </w:pPr>
          </w:p>
        </w:tc>
        <w:tc>
          <w:tcPr>
            <w:tcW w:w="3000" w:type="dxa"/>
            <w:vAlign w:val="bottom"/>
            <w:tcBorders>
              <w:top w:val="single" w:sz="8" w:color="252525"/>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340" w:type="dxa"/>
            <w:vAlign w:val="bottom"/>
            <w:tcBorders>
              <w:top w:val="single" w:sz="8" w:color="252525"/>
              <w:left w:val="single" w:sz="8" w:color="7B7B7B"/>
              <w:bottom w:val="single" w:sz="8" w:color="7B7B7B"/>
              <w:right w:val="single" w:sz="8" w:color="252525"/>
            </w:tcBorders>
            <w:shd w:val="clear" w:color="auto" w:fill="7B7B7B"/>
          </w:tcPr>
          <w:p>
            <w:pPr>
              <w:jc w:val="right"/>
              <w:spacing w:after="0"/>
              <w:rPr>
                <w:sz w:val="20"/>
                <w:szCs w:val="20"/>
                <w:color w:val="auto"/>
              </w:rPr>
            </w:pPr>
            <w:r>
              <w:rPr>
                <w:rFonts w:ascii="Times New Roman" w:cs="Times New Roman" w:eastAsia="Times New Roman" w:hAnsi="Times New Roman"/>
                <w:sz w:val="22"/>
                <w:szCs w:val="22"/>
                <w:color w:val="auto"/>
              </w:rPr>
              <w:t>Currency</w:t>
            </w:r>
          </w:p>
        </w:tc>
        <w:tc>
          <w:tcPr>
            <w:tcW w:w="4880" w:type="dxa"/>
            <w:vAlign w:val="bottom"/>
            <w:tcBorders>
              <w:top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Applicable Currency</w:t>
            </w:r>
          </w:p>
        </w:tc>
        <w:tc>
          <w:tcPr>
            <w:tcW w:w="1060" w:type="dxa"/>
            <w:vAlign w:val="bottom"/>
            <w:tcBorders>
              <w:top w:val="single" w:sz="8" w:color="252525"/>
            </w:tcBorders>
          </w:tcPr>
          <w:p>
            <w:pPr>
              <w:spacing w:after="0"/>
              <w:rPr>
                <w:sz w:val="24"/>
                <w:szCs w:val="24"/>
                <w:color w:val="auto"/>
              </w:rPr>
            </w:pPr>
          </w:p>
        </w:tc>
        <w:tc>
          <w:tcPr>
            <w:tcW w:w="3000" w:type="dxa"/>
            <w:vAlign w:val="bottom"/>
            <w:tcBorders>
              <w:top w:val="single" w:sz="8" w:color="252525"/>
            </w:tcBorders>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340" w:type="dxa"/>
            <w:vAlign w:val="bottom"/>
            <w:tcBorders>
              <w:top w:val="single" w:sz="8" w:color="252525"/>
              <w:left w:val="single" w:sz="8" w:color="B6B6B6"/>
              <w:right w:val="single" w:sz="8" w:color="252525"/>
            </w:tcBorders>
            <w:shd w:val="clear" w:color="auto" w:fill="B6B6B6"/>
          </w:tcPr>
          <w:p>
            <w:pPr>
              <w:jc w:val="right"/>
              <w:spacing w:after="0"/>
              <w:rPr>
                <w:sz w:val="20"/>
                <w:szCs w:val="20"/>
                <w:color w:val="auto"/>
              </w:rPr>
            </w:pPr>
            <w:r>
              <w:rPr>
                <w:rFonts w:ascii="Arial" w:cs="Arial" w:eastAsia="Arial" w:hAnsi="Arial"/>
                <w:sz w:val="18"/>
                <w:szCs w:val="18"/>
                <w:color w:val="auto"/>
              </w:rPr>
              <w:t>Account with Institution</w:t>
            </w:r>
          </w:p>
        </w:tc>
        <w:tc>
          <w:tcPr>
            <w:tcW w:w="4880" w:type="dxa"/>
            <w:vAlign w:val="bottom"/>
            <w:tcBorders>
              <w:top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w w:val="97"/>
              </w:rPr>
              <w:t>Name of Beneficiary’s Bank (usually custodian/trustee)</w:t>
            </w:r>
          </w:p>
        </w:tc>
        <w:tc>
          <w:tcPr>
            <w:tcW w:w="1060" w:type="dxa"/>
            <w:vAlign w:val="bottom"/>
            <w:tcBorders>
              <w:top w:val="single" w:sz="8" w:color="252525"/>
            </w:tcBorders>
          </w:tcPr>
          <w:p>
            <w:pPr>
              <w:spacing w:after="0"/>
              <w:rPr>
                <w:sz w:val="24"/>
                <w:szCs w:val="24"/>
                <w:color w:val="auto"/>
              </w:rPr>
            </w:pPr>
          </w:p>
        </w:tc>
        <w:tc>
          <w:tcPr>
            <w:tcW w:w="3000" w:type="dxa"/>
            <w:vAlign w:val="bottom"/>
            <w:tcBorders>
              <w:top w:val="single" w:sz="8" w:color="252525"/>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340" w:type="dxa"/>
            <w:vAlign w:val="bottom"/>
            <w:tcBorders>
              <w:left w:val="single" w:sz="8" w:color="B6B6B6"/>
              <w:bottom w:val="single" w:sz="8" w:color="auto"/>
              <w:right w:val="single" w:sz="8" w:color="252525"/>
            </w:tcBorders>
            <w:shd w:val="clear" w:color="auto" w:fill="B6B6B6"/>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340" w:type="dxa"/>
            <w:vAlign w:val="bottom"/>
            <w:tcBorders>
              <w:left w:val="single" w:sz="8" w:color="auto"/>
              <w:right w:val="single" w:sz="8" w:color="auto"/>
            </w:tcBorders>
            <w:vMerge w:val="restart"/>
            <w:shd w:val="clear" w:color="auto" w:fill="D2D2D2"/>
          </w:tcPr>
          <w:p>
            <w:pPr>
              <w:jc w:val="right"/>
              <w:spacing w:after="0"/>
              <w:rPr>
                <w:sz w:val="20"/>
                <w:szCs w:val="20"/>
                <w:color w:val="auto"/>
              </w:rPr>
            </w:pPr>
            <w:r>
              <w:rPr>
                <w:rFonts w:ascii="Times New Roman" w:cs="Times New Roman" w:eastAsia="Times New Roman" w:hAnsi="Times New Roman"/>
                <w:sz w:val="22"/>
                <w:szCs w:val="22"/>
                <w:color w:val="808080"/>
              </w:rPr>
              <w:t>SWIFT BIC</w:t>
            </w:r>
          </w:p>
        </w:tc>
        <w:tc>
          <w:tcPr>
            <w:tcW w:w="4880" w:type="dxa"/>
            <w:vAlign w:val="bottom"/>
            <w:tcBorders>
              <w:right w:val="single" w:sz="8" w:color="auto"/>
            </w:tcBorders>
          </w:tcPr>
          <w:p>
            <w:pPr>
              <w:spacing w:after="0"/>
              <w:rPr>
                <w:sz w:val="22"/>
                <w:szCs w:val="22"/>
                <w:color w:val="auto"/>
              </w:rPr>
            </w:pPr>
          </w:p>
        </w:tc>
        <w:tc>
          <w:tcPr>
            <w:tcW w:w="1060" w:type="dxa"/>
            <w:vAlign w:val="bottom"/>
            <w:tcBorders>
              <w:right w:val="single" w:sz="8" w:color="auto"/>
            </w:tcBorders>
            <w:shd w:val="clear" w:color="auto" w:fill="D2D2D2"/>
          </w:tcPr>
          <w:p>
            <w:pPr>
              <w:ind w:left="80"/>
              <w:spacing w:after="0"/>
              <w:rPr>
                <w:sz w:val="20"/>
                <w:szCs w:val="20"/>
                <w:color w:val="auto"/>
              </w:rPr>
            </w:pPr>
            <w:r>
              <w:rPr>
                <w:rFonts w:ascii="Times New Roman" w:cs="Times New Roman" w:eastAsia="Times New Roman" w:hAnsi="Times New Roman"/>
                <w:sz w:val="22"/>
                <w:szCs w:val="22"/>
                <w:color w:val="auto"/>
              </w:rPr>
              <w:t>ABA #</w:t>
            </w:r>
          </w:p>
        </w:tc>
        <w:tc>
          <w:tcPr>
            <w:tcW w:w="300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6D6D6D"/>
              </w:rPr>
              <w:t>Routing # or UK Sort Code of</w:t>
            </w:r>
          </w:p>
        </w:tc>
        <w:tc>
          <w:tcPr>
            <w:tcW w:w="0" w:type="dxa"/>
            <w:vAlign w:val="bottom"/>
          </w:tcPr>
          <w:p>
            <w:pPr>
              <w:spacing w:after="0"/>
              <w:rPr>
                <w:sz w:val="1"/>
                <w:szCs w:val="1"/>
                <w:color w:val="auto"/>
              </w:rPr>
            </w:pPr>
          </w:p>
        </w:tc>
      </w:tr>
      <w:tr>
        <w:trPr>
          <w:trHeight w:val="243"/>
        </w:trPr>
        <w:tc>
          <w:tcPr>
            <w:tcW w:w="2340" w:type="dxa"/>
            <w:vAlign w:val="bottom"/>
            <w:tcBorders>
              <w:left w:val="single" w:sz="8" w:color="auto"/>
              <w:bottom w:val="single" w:sz="8" w:color="auto"/>
              <w:right w:val="single" w:sz="8" w:color="auto"/>
            </w:tcBorders>
            <w:vMerge w:val="continue"/>
            <w:shd w:val="clear" w:color="auto" w:fill="D2D2D2"/>
          </w:tcPr>
          <w:p>
            <w:pPr>
              <w:spacing w:after="0"/>
              <w:rPr>
                <w:sz w:val="21"/>
                <w:szCs w:val="21"/>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6D6D6D"/>
              </w:rPr>
              <w:t>8 / 11 -Character BIC of Beneficiary's Bank</w:t>
            </w:r>
          </w:p>
        </w:tc>
        <w:tc>
          <w:tcPr>
            <w:tcW w:w="1060" w:type="dxa"/>
            <w:vAlign w:val="bottom"/>
            <w:tcBorders>
              <w:bottom w:val="single" w:sz="8" w:color="auto"/>
              <w:right w:val="single" w:sz="8" w:color="auto"/>
            </w:tcBorders>
            <w:shd w:val="clear" w:color="auto" w:fill="D2D2D2"/>
          </w:tcPr>
          <w:p>
            <w:pPr>
              <w:spacing w:after="0"/>
              <w:rPr>
                <w:sz w:val="21"/>
                <w:szCs w:val="21"/>
                <w:color w:val="auto"/>
              </w:rPr>
            </w:pPr>
          </w:p>
        </w:tc>
        <w:tc>
          <w:tcPr>
            <w:tcW w:w="3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6D6D6D"/>
              </w:rPr>
              <w:t>Beneficiary's Bank (optional)</w:t>
            </w:r>
          </w:p>
        </w:tc>
        <w:tc>
          <w:tcPr>
            <w:tcW w:w="0" w:type="dxa"/>
            <w:vAlign w:val="bottom"/>
          </w:tcPr>
          <w:p>
            <w:pPr>
              <w:spacing w:after="0"/>
              <w:rPr>
                <w:sz w:val="1"/>
                <w:szCs w:val="1"/>
                <w:color w:val="auto"/>
              </w:rPr>
            </w:pPr>
          </w:p>
        </w:tc>
      </w:tr>
      <w:tr>
        <w:trPr>
          <w:trHeight w:val="331"/>
        </w:trPr>
        <w:tc>
          <w:tcPr>
            <w:tcW w:w="2340" w:type="dxa"/>
            <w:vAlign w:val="bottom"/>
            <w:tcBorders>
              <w:left w:val="single" w:sz="8" w:color="252525"/>
              <w:bottom w:val="single" w:sz="8" w:color="A8A8A8"/>
              <w:right w:val="single" w:sz="8" w:color="252525"/>
            </w:tcBorders>
            <w:shd w:val="clear" w:color="auto" w:fill="A8A8A8"/>
          </w:tcPr>
          <w:p>
            <w:pPr>
              <w:jc w:val="right"/>
              <w:spacing w:after="0"/>
              <w:rPr>
                <w:sz w:val="20"/>
                <w:szCs w:val="20"/>
                <w:color w:val="auto"/>
              </w:rPr>
            </w:pPr>
            <w:r>
              <w:rPr>
                <w:rFonts w:ascii="Times New Roman" w:cs="Times New Roman" w:eastAsia="Times New Roman" w:hAnsi="Times New Roman"/>
                <w:sz w:val="22"/>
                <w:szCs w:val="22"/>
                <w:color w:val="auto"/>
              </w:rPr>
              <w:t>Beneficiary Custome</w:t>
            </w:r>
          </w:p>
        </w:tc>
        <w:tc>
          <w:tcPr>
            <w:tcW w:w="4880" w:type="dxa"/>
            <w:vAlign w:val="bottom"/>
          </w:tcPr>
          <w:p>
            <w:pPr>
              <w:ind w:left="60"/>
              <w:spacing w:after="0"/>
              <w:rPr>
                <w:sz w:val="20"/>
                <w:szCs w:val="20"/>
                <w:color w:val="auto"/>
              </w:rPr>
            </w:pPr>
            <w:r>
              <w:rPr>
                <w:rFonts w:ascii="Arial" w:cs="Arial" w:eastAsia="Arial" w:hAnsi="Arial"/>
                <w:sz w:val="18"/>
                <w:szCs w:val="18"/>
                <w:i w:val="1"/>
                <w:iCs w:val="1"/>
                <w:color w:val="808080"/>
              </w:rPr>
              <w:t>Name of Ultimate Beneficiary (Lender)</w:t>
            </w:r>
          </w:p>
        </w:tc>
        <w:tc>
          <w:tcPr>
            <w:tcW w:w="1060" w:type="dxa"/>
            <w:vAlign w:val="bottom"/>
          </w:tcPr>
          <w:p>
            <w:pPr>
              <w:spacing w:after="0"/>
              <w:rPr>
                <w:sz w:val="24"/>
                <w:szCs w:val="24"/>
                <w:color w:val="auto"/>
              </w:rPr>
            </w:pPr>
          </w:p>
        </w:tc>
        <w:tc>
          <w:tcPr>
            <w:tcW w:w="3000" w:type="dxa"/>
            <w:vAlign w:val="bottom"/>
            <w:tcBorders>
              <w:right w:val="single" w:sz="8" w:color="252525"/>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340" w:type="dxa"/>
            <w:vAlign w:val="bottom"/>
            <w:tcBorders>
              <w:top w:val="single" w:sz="8" w:color="auto"/>
              <w:left w:val="single" w:sz="8" w:color="auto"/>
              <w:right w:val="single" w:sz="8" w:color="auto"/>
            </w:tcBorders>
            <w:shd w:val="clear" w:color="auto" w:fill="D2D2D2"/>
          </w:tcPr>
          <w:p>
            <w:pPr>
              <w:jc w:val="right"/>
              <w:spacing w:after="0"/>
              <w:rPr>
                <w:sz w:val="20"/>
                <w:szCs w:val="20"/>
                <w:color w:val="auto"/>
              </w:rPr>
            </w:pPr>
            <w:r>
              <w:rPr>
                <w:rFonts w:ascii="Arial" w:cs="Arial" w:eastAsia="Arial" w:hAnsi="Arial"/>
                <w:sz w:val="18"/>
                <w:szCs w:val="18"/>
                <w:color w:val="auto"/>
              </w:rPr>
              <w:t>Beneficiary Account #</w:t>
            </w:r>
          </w:p>
        </w:tc>
        <w:tc>
          <w:tcPr>
            <w:tcW w:w="488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right w:val="single" w:sz="8" w:color="252525"/>
            </w:tcBorders>
            <w:vMerge w:val="restart"/>
            <w:shd w:val="clear" w:color="auto" w:fill="D2D2D2"/>
          </w:tcPr>
          <w:p>
            <w:pPr>
              <w:ind w:left="80"/>
              <w:spacing w:after="0"/>
              <w:rPr>
                <w:sz w:val="20"/>
                <w:szCs w:val="20"/>
                <w:color w:val="auto"/>
              </w:rPr>
            </w:pPr>
            <w:r>
              <w:rPr>
                <w:rFonts w:ascii="Times New Roman" w:cs="Times New Roman" w:eastAsia="Times New Roman" w:hAnsi="Times New Roman"/>
                <w:sz w:val="22"/>
                <w:szCs w:val="22"/>
                <w:color w:val="auto"/>
              </w:rPr>
              <w:t>IBAN</w:t>
            </w:r>
          </w:p>
        </w:tc>
        <w:tc>
          <w:tcPr>
            <w:tcW w:w="3000" w:type="dxa"/>
            <w:vAlign w:val="bottom"/>
            <w:tcBorders>
              <w:top w:val="single" w:sz="8" w:color="auto"/>
              <w:right w:val="single" w:sz="8" w:color="252525"/>
            </w:tcBorders>
          </w:tcPr>
          <w:p>
            <w:pPr>
              <w:ind w:left="80"/>
              <w:spacing w:after="0"/>
              <w:rPr>
                <w:sz w:val="20"/>
                <w:szCs w:val="20"/>
                <w:color w:val="auto"/>
              </w:rPr>
            </w:pPr>
            <w:r>
              <w:rPr>
                <w:rFonts w:ascii="Times New Roman" w:cs="Times New Roman" w:eastAsia="Times New Roman" w:hAnsi="Times New Roman"/>
                <w:sz w:val="22"/>
                <w:szCs w:val="22"/>
                <w:i w:val="1"/>
                <w:iCs w:val="1"/>
                <w:color w:val="808080"/>
              </w:rPr>
              <w:t>IBAN of Ultimate</w:t>
            </w:r>
          </w:p>
        </w:tc>
        <w:tc>
          <w:tcPr>
            <w:tcW w:w="0" w:type="dxa"/>
            <w:vAlign w:val="bottom"/>
          </w:tcPr>
          <w:p>
            <w:pPr>
              <w:spacing w:after="0"/>
              <w:rPr>
                <w:sz w:val="1"/>
                <w:szCs w:val="1"/>
                <w:color w:val="auto"/>
              </w:rPr>
            </w:pPr>
          </w:p>
        </w:tc>
      </w:tr>
      <w:tr>
        <w:trPr>
          <w:trHeight w:val="104"/>
        </w:trPr>
        <w:tc>
          <w:tcPr>
            <w:tcW w:w="2340" w:type="dxa"/>
            <w:vAlign w:val="bottom"/>
            <w:tcBorders>
              <w:left w:val="single" w:sz="8" w:color="auto"/>
              <w:right w:val="single" w:sz="8" w:color="auto"/>
            </w:tcBorders>
            <w:shd w:val="clear" w:color="auto" w:fill="D2D2D2"/>
          </w:tcPr>
          <w:p>
            <w:pPr>
              <w:spacing w:after="0"/>
              <w:rPr>
                <w:sz w:val="9"/>
                <w:szCs w:val="9"/>
                <w:color w:val="auto"/>
              </w:rPr>
            </w:pPr>
          </w:p>
        </w:tc>
        <w:tc>
          <w:tcPr>
            <w:tcW w:w="4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i w:val="1"/>
                <w:iCs w:val="1"/>
                <w:color w:val="6D6D6D"/>
              </w:rPr>
              <w:t>Account # of Ultimate Beneficiary</w:t>
            </w:r>
          </w:p>
        </w:tc>
        <w:tc>
          <w:tcPr>
            <w:tcW w:w="1060" w:type="dxa"/>
            <w:vAlign w:val="bottom"/>
            <w:tcBorders>
              <w:right w:val="single" w:sz="8" w:color="252525"/>
            </w:tcBorders>
            <w:vMerge w:val="continue"/>
            <w:shd w:val="clear" w:color="auto" w:fill="D2D2D2"/>
          </w:tcPr>
          <w:p>
            <w:pPr>
              <w:spacing w:after="0"/>
              <w:rPr>
                <w:sz w:val="9"/>
                <w:szCs w:val="9"/>
                <w:color w:val="auto"/>
              </w:rPr>
            </w:pPr>
          </w:p>
        </w:tc>
        <w:tc>
          <w:tcPr>
            <w:tcW w:w="3000" w:type="dxa"/>
            <w:vAlign w:val="bottom"/>
            <w:tcBorders>
              <w:right w:val="single" w:sz="8" w:color="252525"/>
            </w:tcBorders>
            <w:vMerge w:val="restart"/>
          </w:tcPr>
          <w:p>
            <w:pPr>
              <w:ind w:left="80"/>
              <w:spacing w:after="0"/>
              <w:rPr>
                <w:sz w:val="20"/>
                <w:szCs w:val="20"/>
                <w:color w:val="auto"/>
              </w:rPr>
            </w:pPr>
            <w:r>
              <w:rPr>
                <w:rFonts w:ascii="Times New Roman" w:cs="Times New Roman" w:eastAsia="Times New Roman" w:hAnsi="Times New Roman"/>
                <w:sz w:val="22"/>
                <w:szCs w:val="22"/>
                <w:i w:val="1"/>
                <w:iCs w:val="1"/>
                <w:color w:val="808080"/>
              </w:rPr>
              <w:t>Beneficiary (optional)</w:t>
            </w:r>
          </w:p>
        </w:tc>
        <w:tc>
          <w:tcPr>
            <w:tcW w:w="0" w:type="dxa"/>
            <w:vAlign w:val="bottom"/>
          </w:tcPr>
          <w:p>
            <w:pPr>
              <w:spacing w:after="0"/>
              <w:rPr>
                <w:sz w:val="1"/>
                <w:szCs w:val="1"/>
                <w:color w:val="auto"/>
              </w:rPr>
            </w:pPr>
          </w:p>
        </w:tc>
      </w:tr>
      <w:tr>
        <w:trPr>
          <w:trHeight w:val="150"/>
        </w:trPr>
        <w:tc>
          <w:tcPr>
            <w:tcW w:w="2340" w:type="dxa"/>
            <w:vAlign w:val="bottom"/>
            <w:tcBorders>
              <w:left w:val="single" w:sz="8" w:color="auto"/>
              <w:bottom w:val="single" w:sz="8" w:color="auto"/>
              <w:right w:val="single" w:sz="8" w:color="auto"/>
            </w:tcBorders>
            <w:shd w:val="clear" w:color="auto" w:fill="D2D2D2"/>
          </w:tcPr>
          <w:p>
            <w:pPr>
              <w:spacing w:after="0"/>
              <w:rPr>
                <w:sz w:val="13"/>
                <w:szCs w:val="13"/>
                <w:color w:val="auto"/>
              </w:rPr>
            </w:pPr>
          </w:p>
        </w:tc>
        <w:tc>
          <w:tcPr>
            <w:tcW w:w="4880" w:type="dxa"/>
            <w:vAlign w:val="bottom"/>
            <w:tcBorders>
              <w:bottom w:val="single" w:sz="8" w:color="auto"/>
              <w:right w:val="single" w:sz="8" w:color="auto"/>
            </w:tcBorders>
            <w:vMerge w:val="continue"/>
          </w:tcPr>
          <w:p>
            <w:pPr>
              <w:spacing w:after="0"/>
              <w:rPr>
                <w:sz w:val="13"/>
                <w:szCs w:val="13"/>
                <w:color w:val="auto"/>
              </w:rPr>
            </w:pPr>
          </w:p>
        </w:tc>
        <w:tc>
          <w:tcPr>
            <w:tcW w:w="1060" w:type="dxa"/>
            <w:vAlign w:val="bottom"/>
            <w:tcBorders>
              <w:bottom w:val="single" w:sz="8" w:color="auto"/>
              <w:right w:val="single" w:sz="8" w:color="252525"/>
            </w:tcBorders>
            <w:shd w:val="clear" w:color="auto" w:fill="D2D2D2"/>
          </w:tcPr>
          <w:p>
            <w:pPr>
              <w:spacing w:after="0"/>
              <w:rPr>
                <w:sz w:val="13"/>
                <w:szCs w:val="13"/>
                <w:color w:val="auto"/>
              </w:rPr>
            </w:pPr>
          </w:p>
        </w:tc>
        <w:tc>
          <w:tcPr>
            <w:tcW w:w="3000" w:type="dxa"/>
            <w:vAlign w:val="bottom"/>
            <w:tcBorders>
              <w:bottom w:val="single" w:sz="8" w:color="auto"/>
              <w:right w:val="single" w:sz="8" w:color="252525"/>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40" w:type="dxa"/>
            <w:vAlign w:val="bottom"/>
            <w:tcBorders>
              <w:left w:val="single" w:sz="8" w:color="auto"/>
              <w:right w:val="single" w:sz="8" w:color="auto"/>
            </w:tcBorders>
            <w:vMerge w:val="restart"/>
            <w:shd w:val="clear" w:color="auto" w:fill="929292"/>
          </w:tcPr>
          <w:p>
            <w:pPr>
              <w:ind w:left="40"/>
              <w:spacing w:after="0"/>
              <w:rPr>
                <w:sz w:val="20"/>
                <w:szCs w:val="20"/>
                <w:color w:val="auto"/>
              </w:rPr>
            </w:pPr>
            <w:r>
              <w:rPr>
                <w:rFonts w:ascii="Arial" w:cs="Arial" w:eastAsia="Arial" w:hAnsi="Arial"/>
                <w:sz w:val="18"/>
                <w:szCs w:val="18"/>
                <w:color w:val="auto"/>
              </w:rPr>
              <w:t>Payment Reference</w:t>
            </w:r>
          </w:p>
        </w:tc>
        <w:tc>
          <w:tcPr>
            <w:tcW w:w="4880" w:type="dxa"/>
            <w:vAlign w:val="bottom"/>
          </w:tcPr>
          <w:p>
            <w:pPr>
              <w:spacing w:after="0" w:line="169" w:lineRule="exact"/>
              <w:rPr>
                <w:sz w:val="20"/>
                <w:szCs w:val="20"/>
                <w:color w:val="auto"/>
              </w:rPr>
            </w:pPr>
            <w:r>
              <w:rPr>
                <w:rFonts w:ascii="Arial" w:cs="Arial" w:eastAsia="Arial" w:hAnsi="Arial"/>
                <w:sz w:val="18"/>
                <w:szCs w:val="18"/>
                <w:i w:val="1"/>
                <w:iCs w:val="1"/>
                <w:color w:val="auto"/>
              </w:rPr>
              <w:t>Use Standard Wire Reference Format*:</w:t>
            </w:r>
          </w:p>
        </w:tc>
        <w:tc>
          <w:tcPr>
            <w:tcW w:w="106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40" w:type="dxa"/>
            <w:vAlign w:val="bottom"/>
            <w:tcBorders>
              <w:left w:val="single" w:sz="8" w:color="auto"/>
              <w:right w:val="single" w:sz="8" w:color="auto"/>
            </w:tcBorders>
            <w:vMerge w:val="continue"/>
            <w:shd w:val="clear" w:color="auto" w:fill="929292"/>
          </w:tcPr>
          <w:p>
            <w:pPr>
              <w:spacing w:after="0"/>
              <w:rPr>
                <w:sz w:val="15"/>
                <w:szCs w:val="15"/>
                <w:color w:val="auto"/>
              </w:rPr>
            </w:pPr>
          </w:p>
        </w:tc>
        <w:tc>
          <w:tcPr>
            <w:tcW w:w="4880" w:type="dxa"/>
            <w:vAlign w:val="bottom"/>
          </w:tcPr>
          <w:p>
            <w:pPr>
              <w:spacing w:after="0" w:line="176" w:lineRule="exact"/>
              <w:rPr>
                <w:sz w:val="20"/>
                <w:szCs w:val="20"/>
                <w:color w:val="auto"/>
              </w:rPr>
            </w:pPr>
            <w:r>
              <w:rPr>
                <w:rFonts w:ascii="Arial" w:cs="Arial" w:eastAsia="Arial" w:hAnsi="Arial"/>
                <w:sz w:val="18"/>
                <w:szCs w:val="18"/>
                <w:color w:val="auto"/>
              </w:rPr>
              <w:t>[Borrower Name]</w:t>
            </w:r>
          </w:p>
        </w:tc>
        <w:tc>
          <w:tcPr>
            <w:tcW w:w="1060" w:type="dxa"/>
            <w:vAlign w:val="bottom"/>
          </w:tcPr>
          <w:p>
            <w:pPr>
              <w:spacing w:after="0"/>
              <w:rPr>
                <w:sz w:val="15"/>
                <w:szCs w:val="15"/>
                <w:color w:val="auto"/>
              </w:rPr>
            </w:pPr>
          </w:p>
        </w:tc>
        <w:tc>
          <w:tcPr>
            <w:tcW w:w="3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40" w:type="dxa"/>
            <w:vAlign w:val="bottom"/>
            <w:tcBorders>
              <w:left w:val="single" w:sz="8" w:color="auto"/>
              <w:right w:val="single" w:sz="8" w:color="auto"/>
            </w:tcBorders>
            <w:shd w:val="clear" w:color="auto" w:fill="929292"/>
          </w:tcPr>
          <w:p>
            <w:pPr>
              <w:ind w:left="40"/>
              <w:spacing w:after="0" w:line="189" w:lineRule="exact"/>
              <w:rPr>
                <w:sz w:val="20"/>
                <w:szCs w:val="20"/>
                <w:color w:val="auto"/>
              </w:rPr>
            </w:pPr>
            <w:r>
              <w:rPr>
                <w:rFonts w:ascii="Arial" w:cs="Arial" w:eastAsia="Arial" w:hAnsi="Arial"/>
                <w:sz w:val="18"/>
                <w:szCs w:val="18"/>
                <w:color w:val="auto"/>
              </w:rPr>
              <w:t>(Remittance Info)</w:t>
            </w:r>
          </w:p>
        </w:tc>
        <w:tc>
          <w:tcPr>
            <w:tcW w:w="4880" w:type="dxa"/>
            <w:vAlign w:val="bottom"/>
          </w:tcPr>
          <w:p>
            <w:pPr>
              <w:spacing w:after="0" w:line="189" w:lineRule="exact"/>
              <w:rPr>
                <w:sz w:val="20"/>
                <w:szCs w:val="20"/>
                <w:color w:val="auto"/>
              </w:rPr>
            </w:pPr>
            <w:r>
              <w:rPr>
                <w:rFonts w:ascii="Arial" w:cs="Arial" w:eastAsia="Arial" w:hAnsi="Arial"/>
                <w:sz w:val="18"/>
                <w:szCs w:val="18"/>
                <w:color w:val="auto"/>
              </w:rPr>
              <w:t>[Facility Name/Abbr.] [Facility/Deal CUSIP/ISIN]</w:t>
            </w:r>
          </w:p>
        </w:tc>
        <w:tc>
          <w:tcPr>
            <w:tcW w:w="1060" w:type="dxa"/>
            <w:vAlign w:val="bottom"/>
          </w:tcPr>
          <w:p>
            <w:pPr>
              <w:spacing w:after="0"/>
              <w:rPr>
                <w:sz w:val="16"/>
                <w:szCs w:val="16"/>
                <w:color w:val="auto"/>
              </w:rPr>
            </w:pPr>
          </w:p>
        </w:tc>
        <w:tc>
          <w:tcPr>
            <w:tcW w:w="3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40" w:type="dxa"/>
            <w:vAlign w:val="bottom"/>
            <w:tcBorders>
              <w:left w:val="single" w:sz="8" w:color="auto"/>
              <w:bottom w:val="single" w:sz="8" w:color="auto"/>
              <w:right w:val="single" w:sz="8" w:color="auto"/>
            </w:tcBorders>
            <w:shd w:val="clear" w:color="auto" w:fill="929292"/>
          </w:tcPr>
          <w:p>
            <w:pPr>
              <w:spacing w:after="0"/>
              <w:rPr>
                <w:sz w:val="19"/>
                <w:szCs w:val="19"/>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 Purpose(s)] [Transaction Reference ID]</w:t>
            </w:r>
          </w:p>
        </w:tc>
        <w:tc>
          <w:tcPr>
            <w:tcW w:w="106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40575" cy="5829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21"/>
          <w:szCs w:val="21"/>
          <w:color w:val="auto"/>
        </w:rPr>
        <w:t>Special Instruction</w:t>
      </w:r>
    </w:p>
    <w:p>
      <w:pPr>
        <w:spacing w:after="0" w:line="41" w:lineRule="exact"/>
        <w:rPr>
          <w:sz w:val="20"/>
          <w:szCs w:val="20"/>
          <w:color w:val="auto"/>
        </w:rPr>
      </w:pPr>
    </w:p>
    <w:p>
      <w:pPr>
        <w:ind w:left="80" w:right="3440"/>
        <w:spacing w:after="0" w:line="333" w:lineRule="auto"/>
        <w:rPr>
          <w:sz w:val="20"/>
          <w:szCs w:val="20"/>
          <w:color w:val="auto"/>
        </w:rPr>
      </w:pPr>
      <w:r>
        <w:rPr>
          <w:rFonts w:ascii="Times New Roman" w:cs="Times New Roman" w:eastAsia="Times New Roman" w:hAnsi="Times New Roman"/>
          <w:sz w:val="21"/>
          <w:szCs w:val="21"/>
          <w:b w:val="1"/>
          <w:bCs w:val="1"/>
          <w:color w:val="auto"/>
        </w:rPr>
        <w:t>Template above can be used for wire instructions where receiving bank is custodian/ trustee, and lender has dedicated account. Additional templates provided a</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5" w:lineRule="exact"/>
        <w:rPr>
          <w:sz w:val="20"/>
          <w:szCs w:val="20"/>
          <w:color w:val="auto"/>
        </w:rPr>
      </w:pPr>
    </w:p>
    <w:p>
      <w:pPr>
        <w:ind w:left="80" w:right="4020"/>
        <w:spacing w:after="0" w:line="262" w:lineRule="auto"/>
        <w:rPr>
          <w:sz w:val="20"/>
          <w:szCs w:val="20"/>
          <w:color w:val="auto"/>
        </w:rPr>
      </w:pPr>
      <w:r>
        <w:rPr>
          <w:rFonts w:ascii="Times New Roman" w:cs="Times New Roman" w:eastAsia="Times New Roman" w:hAnsi="Times New Roman"/>
          <w:sz w:val="22"/>
          <w:szCs w:val="22"/>
          <w:b w:val="1"/>
          <w:bCs w:val="1"/>
          <w:color w:val="FFFFFF"/>
        </w:rPr>
        <w:t>STANDARD SETTLEMENT INSTRUCTIONS / WIRING INSTRUCTIONS FOLLOWING ISO20022 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06285"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342900"/>
                    </a:xfrm>
                    <a:prstGeom prst="rect">
                      <a:avLst/>
                    </a:prstGeom>
                    <a:noFill/>
                  </pic:spPr>
                </pic:pic>
              </a:graphicData>
            </a:graphic>
          </wp:anchor>
        </w:drawing>
      </w:r>
    </w:p>
    <w:p>
      <w:pPr>
        <w:jc w:val="both"/>
        <w:ind w:left="140" w:right="3140"/>
        <w:spacing w:after="0" w:line="348" w:lineRule="auto"/>
        <w:rPr>
          <w:sz w:val="20"/>
          <w:szCs w:val="20"/>
          <w:color w:val="auto"/>
        </w:rPr>
      </w:pPr>
      <w:r>
        <w:rPr>
          <w:rFonts w:ascii="Times New Roman" w:cs="Times New Roman" w:eastAsia="Times New Roman" w:hAnsi="Times New Roman"/>
          <w:sz w:val="22"/>
          <w:szCs w:val="22"/>
          <w:b w:val="1"/>
          <w:bCs w:val="1"/>
          <w:color w:val="auto"/>
        </w:rPr>
        <w:t>This alternate should be used for wire instructions where receiving bank is custodian/ trustee, and lender has dedicated account following updates to ISO20022. It will not be appropriate for those lenders for e.g. USD debit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-678815</wp:posOffset>
            </wp:positionV>
            <wp:extent cx="7115175" cy="13798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1379855"/>
                    </a:xfrm>
                    <a:prstGeom prst="rect">
                      <a:avLst/>
                    </a:prstGeom>
                    <a:noFill/>
                  </pic:spPr>
                </pic:pic>
              </a:graphicData>
            </a:graphic>
          </wp:anchor>
        </w:drawing>
      </w:r>
    </w:p>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Additional templates provided at Appendix A.</w:t>
      </w:r>
    </w:p>
    <w:p>
      <w:pPr>
        <w:sectPr>
          <w:pgSz w:w="11900" w:h="16838" w:orient="portrait"/>
          <w:cols w:equalWidth="0" w:num="1">
            <w:col w:w="11260"/>
          </w:cols>
          <w:pgMar w:left="320" w:top="1440" w:right="319" w:bottom="1440" w:gutter="0" w:footer="0" w:header="0"/>
        </w:sectPr>
      </w:pPr>
    </w:p>
    <w:bookmarkStart w:id="182" w:name="page183"/>
    <w:bookmarkEnd w:id="182"/>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STANDARD SETTLEMENT INSTRUCTIONS / WIRING INSTRUCTIONS FOLLOWING ISO20022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29063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8030" cy="2906395"/>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331"/>
        </w:trPr>
        <w:tc>
          <w:tcPr>
            <w:tcW w:w="740" w:type="dxa"/>
            <w:vAlign w:val="bottom"/>
            <w:tcBorders>
              <w:top w:val="single" w:sz="8" w:color="252525"/>
              <w:left w:val="single" w:sz="8" w:color="252525"/>
              <w:bottom w:val="single" w:sz="8" w:color="7B7B7B"/>
              <w:right w:val="single" w:sz="8" w:color="7B7B7B"/>
            </w:tcBorders>
            <w:shd w:val="clear" w:color="auto" w:fill="7B7B7B"/>
          </w:tcPr>
          <w:p>
            <w:pPr>
              <w:spacing w:after="0"/>
              <w:rPr>
                <w:sz w:val="24"/>
                <w:szCs w:val="24"/>
                <w:color w:val="auto"/>
              </w:rPr>
            </w:pPr>
          </w:p>
        </w:tc>
        <w:tc>
          <w:tcPr>
            <w:tcW w:w="1700" w:type="dxa"/>
            <w:vAlign w:val="bottom"/>
            <w:tcBorders>
              <w:top w:val="single" w:sz="8" w:color="252525"/>
              <w:bottom w:val="single" w:sz="8" w:color="7B7B7B"/>
            </w:tcBorders>
            <w:shd w:val="clear" w:color="auto" w:fill="7B7B7B"/>
          </w:tcPr>
          <w:p>
            <w:pPr>
              <w:jc w:val="right"/>
              <w:spacing w:after="0"/>
              <w:rPr>
                <w:sz w:val="20"/>
                <w:szCs w:val="20"/>
                <w:color w:val="auto"/>
              </w:rPr>
            </w:pPr>
            <w:r>
              <w:rPr>
                <w:rFonts w:ascii="Times New Roman" w:cs="Times New Roman" w:eastAsia="Times New Roman" w:hAnsi="Times New Roman"/>
                <w:sz w:val="22"/>
                <w:szCs w:val="22"/>
                <w:color w:val="auto"/>
              </w:rPr>
              <w:t>Payment Method</w:t>
            </w:r>
          </w:p>
        </w:tc>
        <w:tc>
          <w:tcPr>
            <w:tcW w:w="2480" w:type="dxa"/>
            <w:vAlign w:val="bottom"/>
            <w:tcBorders>
              <w:top w:val="single" w:sz="8" w:color="252525"/>
              <w:left w:val="single" w:sz="8" w:color="252525"/>
            </w:tcBorders>
            <w:gridSpan w:val="3"/>
          </w:tcPr>
          <w:p>
            <w:pPr>
              <w:ind w:left="100"/>
              <w:spacing w:after="0"/>
              <w:rPr>
                <w:sz w:val="20"/>
                <w:szCs w:val="20"/>
                <w:color w:val="auto"/>
              </w:rPr>
            </w:pPr>
            <w:r>
              <w:rPr>
                <w:rFonts w:ascii="Times New Roman" w:cs="Times New Roman" w:eastAsia="Times New Roman" w:hAnsi="Times New Roman"/>
                <w:sz w:val="22"/>
                <w:szCs w:val="22"/>
                <w:i w:val="1"/>
                <w:iCs w:val="1"/>
                <w:color w:val="808080"/>
              </w:rPr>
              <w:t>PACS.008 or PACS.009</w:t>
            </w:r>
          </w:p>
        </w:tc>
        <w:tc>
          <w:tcPr>
            <w:tcW w:w="900" w:type="dxa"/>
            <w:vAlign w:val="bottom"/>
            <w:tcBorders>
              <w:top w:val="single" w:sz="8" w:color="252525"/>
            </w:tcBorders>
          </w:tcPr>
          <w:p>
            <w:pPr>
              <w:spacing w:after="0"/>
              <w:rPr>
                <w:sz w:val="24"/>
                <w:szCs w:val="24"/>
                <w:color w:val="auto"/>
              </w:rPr>
            </w:pPr>
          </w:p>
        </w:tc>
        <w:tc>
          <w:tcPr>
            <w:tcW w:w="540" w:type="dxa"/>
            <w:vAlign w:val="bottom"/>
            <w:tcBorders>
              <w:top w:val="single" w:sz="8" w:color="252525"/>
            </w:tcBorders>
          </w:tcPr>
          <w:p>
            <w:pPr>
              <w:spacing w:after="0"/>
              <w:rPr>
                <w:sz w:val="24"/>
                <w:szCs w:val="24"/>
                <w:color w:val="auto"/>
              </w:rPr>
            </w:pPr>
          </w:p>
        </w:tc>
        <w:tc>
          <w:tcPr>
            <w:tcW w:w="680" w:type="dxa"/>
            <w:vAlign w:val="bottom"/>
            <w:tcBorders>
              <w:top w:val="single" w:sz="8" w:color="252525"/>
            </w:tcBorders>
          </w:tcPr>
          <w:p>
            <w:pPr>
              <w:spacing w:after="0"/>
              <w:rPr>
                <w:sz w:val="24"/>
                <w:szCs w:val="24"/>
                <w:color w:val="auto"/>
              </w:rPr>
            </w:pPr>
          </w:p>
        </w:tc>
        <w:tc>
          <w:tcPr>
            <w:tcW w:w="320" w:type="dxa"/>
            <w:vAlign w:val="bottom"/>
            <w:tcBorders>
              <w:top w:val="single" w:sz="8" w:color="252525"/>
            </w:tcBorders>
          </w:tcPr>
          <w:p>
            <w:pPr>
              <w:spacing w:after="0"/>
              <w:rPr>
                <w:sz w:val="24"/>
                <w:szCs w:val="24"/>
                <w:color w:val="auto"/>
              </w:rPr>
            </w:pPr>
          </w:p>
        </w:tc>
        <w:tc>
          <w:tcPr>
            <w:tcW w:w="1140" w:type="dxa"/>
            <w:vAlign w:val="bottom"/>
            <w:tcBorders>
              <w:top w:val="single" w:sz="8" w:color="252525"/>
            </w:tcBorders>
          </w:tcPr>
          <w:p>
            <w:pPr>
              <w:spacing w:after="0"/>
              <w:rPr>
                <w:sz w:val="24"/>
                <w:szCs w:val="24"/>
                <w:color w:val="auto"/>
              </w:rPr>
            </w:pPr>
          </w:p>
        </w:tc>
        <w:tc>
          <w:tcPr>
            <w:tcW w:w="1560" w:type="dxa"/>
            <w:vAlign w:val="bottom"/>
            <w:tcBorders>
              <w:top w:val="single" w:sz="8" w:color="252525"/>
            </w:tcBorders>
          </w:tcPr>
          <w:p>
            <w:pPr>
              <w:spacing w:after="0"/>
              <w:rPr>
                <w:sz w:val="24"/>
                <w:szCs w:val="24"/>
                <w:color w:val="auto"/>
              </w:rPr>
            </w:pPr>
          </w:p>
        </w:tc>
        <w:tc>
          <w:tcPr>
            <w:tcW w:w="1100" w:type="dxa"/>
            <w:vAlign w:val="bottom"/>
            <w:tcBorders>
              <w:top w:val="single" w:sz="8" w:color="252525"/>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40" w:type="dxa"/>
            <w:vAlign w:val="bottom"/>
            <w:tcBorders>
              <w:top w:val="single" w:sz="8" w:color="252525"/>
              <w:left w:val="single" w:sz="8" w:color="252525"/>
              <w:bottom w:val="single" w:sz="8" w:color="7B7B7B"/>
              <w:right w:val="single" w:sz="8" w:color="7B7B7B"/>
            </w:tcBorders>
            <w:shd w:val="clear" w:color="auto" w:fill="7B7B7B"/>
          </w:tcPr>
          <w:p>
            <w:pPr>
              <w:spacing w:after="0"/>
              <w:rPr>
                <w:sz w:val="24"/>
                <w:szCs w:val="24"/>
                <w:color w:val="auto"/>
              </w:rPr>
            </w:pPr>
          </w:p>
        </w:tc>
        <w:tc>
          <w:tcPr>
            <w:tcW w:w="1700" w:type="dxa"/>
            <w:vAlign w:val="bottom"/>
            <w:tcBorders>
              <w:top w:val="single" w:sz="8" w:color="252525"/>
              <w:bottom w:val="single" w:sz="8" w:color="7B7B7B"/>
            </w:tcBorders>
            <w:shd w:val="clear" w:color="auto" w:fill="7B7B7B"/>
          </w:tcPr>
          <w:p>
            <w:pPr>
              <w:jc w:val="right"/>
              <w:spacing w:after="0"/>
              <w:rPr>
                <w:sz w:val="20"/>
                <w:szCs w:val="20"/>
                <w:color w:val="auto"/>
              </w:rPr>
            </w:pPr>
            <w:r>
              <w:rPr>
                <w:rFonts w:ascii="Times New Roman" w:cs="Times New Roman" w:eastAsia="Times New Roman" w:hAnsi="Times New Roman"/>
                <w:sz w:val="22"/>
                <w:szCs w:val="22"/>
                <w:color w:val="auto"/>
              </w:rPr>
              <w:t>Currency</w:t>
            </w:r>
          </w:p>
        </w:tc>
        <w:tc>
          <w:tcPr>
            <w:tcW w:w="2480" w:type="dxa"/>
            <w:vAlign w:val="bottom"/>
            <w:tcBorders>
              <w:top w:val="single" w:sz="8" w:color="252525"/>
              <w:left w:val="single" w:sz="8" w:color="252525"/>
            </w:tcBorders>
            <w:gridSpan w:val="3"/>
          </w:tcPr>
          <w:p>
            <w:pPr>
              <w:ind w:left="100"/>
              <w:spacing w:after="0"/>
              <w:rPr>
                <w:sz w:val="20"/>
                <w:szCs w:val="20"/>
                <w:color w:val="auto"/>
              </w:rPr>
            </w:pPr>
            <w:r>
              <w:rPr>
                <w:rFonts w:ascii="Times New Roman" w:cs="Times New Roman" w:eastAsia="Times New Roman" w:hAnsi="Times New Roman"/>
                <w:sz w:val="22"/>
                <w:szCs w:val="22"/>
                <w:i w:val="1"/>
                <w:iCs w:val="1"/>
                <w:color w:val="808080"/>
              </w:rPr>
              <w:t>Applicable Currency.</w:t>
            </w:r>
          </w:p>
        </w:tc>
        <w:tc>
          <w:tcPr>
            <w:tcW w:w="900" w:type="dxa"/>
            <w:vAlign w:val="bottom"/>
            <w:tcBorders>
              <w:top w:val="single" w:sz="8" w:color="252525"/>
            </w:tcBorders>
          </w:tcPr>
          <w:p>
            <w:pPr>
              <w:spacing w:after="0"/>
              <w:rPr>
                <w:sz w:val="24"/>
                <w:szCs w:val="24"/>
                <w:color w:val="auto"/>
              </w:rPr>
            </w:pPr>
          </w:p>
        </w:tc>
        <w:tc>
          <w:tcPr>
            <w:tcW w:w="540" w:type="dxa"/>
            <w:vAlign w:val="bottom"/>
            <w:tcBorders>
              <w:top w:val="single" w:sz="8" w:color="252525"/>
            </w:tcBorders>
          </w:tcPr>
          <w:p>
            <w:pPr>
              <w:spacing w:after="0"/>
              <w:rPr>
                <w:sz w:val="24"/>
                <w:szCs w:val="24"/>
                <w:color w:val="auto"/>
              </w:rPr>
            </w:pPr>
          </w:p>
        </w:tc>
        <w:tc>
          <w:tcPr>
            <w:tcW w:w="680" w:type="dxa"/>
            <w:vAlign w:val="bottom"/>
            <w:tcBorders>
              <w:top w:val="single" w:sz="8" w:color="252525"/>
            </w:tcBorders>
          </w:tcPr>
          <w:p>
            <w:pPr>
              <w:spacing w:after="0"/>
              <w:rPr>
                <w:sz w:val="24"/>
                <w:szCs w:val="24"/>
                <w:color w:val="auto"/>
              </w:rPr>
            </w:pPr>
          </w:p>
        </w:tc>
        <w:tc>
          <w:tcPr>
            <w:tcW w:w="320" w:type="dxa"/>
            <w:vAlign w:val="bottom"/>
            <w:tcBorders>
              <w:top w:val="single" w:sz="8" w:color="252525"/>
            </w:tcBorders>
          </w:tcPr>
          <w:p>
            <w:pPr>
              <w:spacing w:after="0"/>
              <w:rPr>
                <w:sz w:val="24"/>
                <w:szCs w:val="24"/>
                <w:color w:val="auto"/>
              </w:rPr>
            </w:pPr>
          </w:p>
        </w:tc>
        <w:tc>
          <w:tcPr>
            <w:tcW w:w="1140" w:type="dxa"/>
            <w:vAlign w:val="bottom"/>
            <w:tcBorders>
              <w:top w:val="single" w:sz="8" w:color="252525"/>
            </w:tcBorders>
          </w:tcPr>
          <w:p>
            <w:pPr>
              <w:spacing w:after="0"/>
              <w:rPr>
                <w:sz w:val="24"/>
                <w:szCs w:val="24"/>
                <w:color w:val="auto"/>
              </w:rPr>
            </w:pPr>
          </w:p>
        </w:tc>
        <w:tc>
          <w:tcPr>
            <w:tcW w:w="1560" w:type="dxa"/>
            <w:vAlign w:val="bottom"/>
            <w:tcBorders>
              <w:top w:val="single" w:sz="8" w:color="252525"/>
            </w:tcBorders>
          </w:tcPr>
          <w:p>
            <w:pPr>
              <w:spacing w:after="0"/>
              <w:rPr>
                <w:sz w:val="24"/>
                <w:szCs w:val="24"/>
                <w:color w:val="auto"/>
              </w:rPr>
            </w:pPr>
          </w:p>
        </w:tc>
        <w:tc>
          <w:tcPr>
            <w:tcW w:w="1100" w:type="dxa"/>
            <w:vAlign w:val="bottom"/>
            <w:tcBorders>
              <w:top w:val="single" w:sz="8" w:color="252525"/>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40" w:type="dxa"/>
            <w:vAlign w:val="bottom"/>
            <w:tcBorders>
              <w:top w:val="single" w:sz="8" w:color="252525"/>
              <w:left w:val="single" w:sz="8" w:color="252525"/>
              <w:bottom w:val="single" w:sz="8" w:color="A8A8A8"/>
              <w:right w:val="single" w:sz="8" w:color="A8A8A8"/>
            </w:tcBorders>
            <w:shd w:val="clear" w:color="auto" w:fill="A8A8A8"/>
          </w:tcPr>
          <w:p>
            <w:pPr>
              <w:spacing w:after="0"/>
              <w:rPr>
                <w:sz w:val="24"/>
                <w:szCs w:val="24"/>
                <w:color w:val="auto"/>
              </w:rPr>
            </w:pPr>
          </w:p>
        </w:tc>
        <w:tc>
          <w:tcPr>
            <w:tcW w:w="1700" w:type="dxa"/>
            <w:vAlign w:val="bottom"/>
            <w:tcBorders>
              <w:top w:val="single" w:sz="8" w:color="252525"/>
              <w:bottom w:val="single" w:sz="8" w:color="A8A8A8"/>
            </w:tcBorders>
            <w:shd w:val="clear" w:color="auto" w:fill="A8A8A8"/>
          </w:tcPr>
          <w:p>
            <w:pPr>
              <w:jc w:val="right"/>
              <w:spacing w:after="0"/>
              <w:rPr>
                <w:sz w:val="20"/>
                <w:szCs w:val="20"/>
                <w:color w:val="auto"/>
              </w:rPr>
            </w:pPr>
            <w:r>
              <w:rPr>
                <w:rFonts w:ascii="Times New Roman" w:cs="Times New Roman" w:eastAsia="Times New Roman" w:hAnsi="Times New Roman"/>
                <w:sz w:val="22"/>
                <w:szCs w:val="22"/>
                <w:color w:val="auto"/>
              </w:rPr>
              <w:t>Receiver BIC</w:t>
            </w:r>
          </w:p>
        </w:tc>
        <w:tc>
          <w:tcPr>
            <w:tcW w:w="3380" w:type="dxa"/>
            <w:vAlign w:val="bottom"/>
            <w:tcBorders>
              <w:top w:val="single" w:sz="8" w:color="252525"/>
              <w:left w:val="single" w:sz="8" w:color="252525"/>
            </w:tcBorders>
            <w:gridSpan w:val="4"/>
          </w:tcPr>
          <w:p>
            <w:pPr>
              <w:ind w:left="100"/>
              <w:spacing w:after="0"/>
              <w:rPr>
                <w:sz w:val="20"/>
                <w:szCs w:val="20"/>
                <w:color w:val="auto"/>
              </w:rPr>
            </w:pPr>
            <w:r>
              <w:rPr>
                <w:rFonts w:ascii="Times New Roman" w:cs="Times New Roman" w:eastAsia="Times New Roman" w:hAnsi="Times New Roman"/>
                <w:sz w:val="22"/>
                <w:szCs w:val="22"/>
                <w:i w:val="1"/>
                <w:iCs w:val="1"/>
                <w:color w:val="808080"/>
              </w:rPr>
              <w:t>Name of Correspondent Bank</w:t>
            </w:r>
          </w:p>
        </w:tc>
        <w:tc>
          <w:tcPr>
            <w:tcW w:w="540" w:type="dxa"/>
            <w:vAlign w:val="bottom"/>
            <w:tcBorders>
              <w:top w:val="single" w:sz="8" w:color="252525"/>
            </w:tcBorders>
          </w:tcPr>
          <w:p>
            <w:pPr>
              <w:spacing w:after="0"/>
              <w:rPr>
                <w:sz w:val="24"/>
                <w:szCs w:val="24"/>
                <w:color w:val="auto"/>
              </w:rPr>
            </w:pPr>
          </w:p>
        </w:tc>
        <w:tc>
          <w:tcPr>
            <w:tcW w:w="680" w:type="dxa"/>
            <w:vAlign w:val="bottom"/>
            <w:tcBorders>
              <w:top w:val="single" w:sz="8" w:color="252525"/>
            </w:tcBorders>
          </w:tcPr>
          <w:p>
            <w:pPr>
              <w:spacing w:after="0"/>
              <w:rPr>
                <w:sz w:val="24"/>
                <w:szCs w:val="24"/>
                <w:color w:val="auto"/>
              </w:rPr>
            </w:pPr>
          </w:p>
        </w:tc>
        <w:tc>
          <w:tcPr>
            <w:tcW w:w="320" w:type="dxa"/>
            <w:vAlign w:val="bottom"/>
            <w:tcBorders>
              <w:top w:val="single" w:sz="8" w:color="252525"/>
            </w:tcBorders>
          </w:tcPr>
          <w:p>
            <w:pPr>
              <w:spacing w:after="0"/>
              <w:rPr>
                <w:sz w:val="24"/>
                <w:szCs w:val="24"/>
                <w:color w:val="auto"/>
              </w:rPr>
            </w:pPr>
          </w:p>
        </w:tc>
        <w:tc>
          <w:tcPr>
            <w:tcW w:w="1140" w:type="dxa"/>
            <w:vAlign w:val="bottom"/>
            <w:tcBorders>
              <w:top w:val="single" w:sz="8" w:color="252525"/>
            </w:tcBorders>
          </w:tcPr>
          <w:p>
            <w:pPr>
              <w:spacing w:after="0"/>
              <w:rPr>
                <w:sz w:val="24"/>
                <w:szCs w:val="24"/>
                <w:color w:val="auto"/>
              </w:rPr>
            </w:pPr>
          </w:p>
        </w:tc>
        <w:tc>
          <w:tcPr>
            <w:tcW w:w="1560" w:type="dxa"/>
            <w:vAlign w:val="bottom"/>
            <w:tcBorders>
              <w:top w:val="single" w:sz="8" w:color="252525"/>
            </w:tcBorders>
          </w:tcPr>
          <w:p>
            <w:pPr>
              <w:spacing w:after="0"/>
              <w:rPr>
                <w:sz w:val="24"/>
                <w:szCs w:val="24"/>
                <w:color w:val="auto"/>
              </w:rPr>
            </w:pPr>
          </w:p>
        </w:tc>
        <w:tc>
          <w:tcPr>
            <w:tcW w:w="1100" w:type="dxa"/>
            <w:vAlign w:val="bottom"/>
            <w:tcBorders>
              <w:top w:val="single" w:sz="8" w:color="252525"/>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40" w:type="dxa"/>
            <w:vAlign w:val="bottom"/>
            <w:tcBorders>
              <w:top w:val="single" w:sz="8" w:color="252525"/>
              <w:left w:val="single" w:sz="8" w:color="252525"/>
              <w:bottom w:val="single" w:sz="8" w:color="D2D2D2"/>
              <w:right w:val="single" w:sz="8" w:color="D2D2D2"/>
            </w:tcBorders>
            <w:shd w:val="clear" w:color="auto" w:fill="D2D2D2"/>
          </w:tcPr>
          <w:p>
            <w:pPr>
              <w:spacing w:after="0"/>
              <w:rPr>
                <w:sz w:val="24"/>
                <w:szCs w:val="24"/>
                <w:color w:val="auto"/>
              </w:rPr>
            </w:pPr>
          </w:p>
        </w:tc>
        <w:tc>
          <w:tcPr>
            <w:tcW w:w="1700" w:type="dxa"/>
            <w:vAlign w:val="bottom"/>
            <w:tcBorders>
              <w:top w:val="single" w:sz="8" w:color="252525"/>
              <w:bottom w:val="single" w:sz="8" w:color="D2D2D2"/>
            </w:tcBorders>
            <w:shd w:val="clear" w:color="auto" w:fill="D2D2D2"/>
          </w:tcPr>
          <w:p>
            <w:pPr>
              <w:jc w:val="right"/>
              <w:spacing w:after="0"/>
              <w:rPr>
                <w:sz w:val="20"/>
                <w:szCs w:val="20"/>
                <w:color w:val="auto"/>
              </w:rPr>
            </w:pPr>
            <w:r>
              <w:rPr>
                <w:rFonts w:ascii="Times New Roman" w:cs="Times New Roman" w:eastAsia="Times New Roman" w:hAnsi="Times New Roman"/>
                <w:sz w:val="22"/>
                <w:szCs w:val="22"/>
                <w:color w:val="808080"/>
              </w:rPr>
              <w:t>Creditor Agent</w:t>
            </w:r>
          </w:p>
        </w:tc>
        <w:tc>
          <w:tcPr>
            <w:tcW w:w="6060" w:type="dxa"/>
            <w:vAlign w:val="bottom"/>
            <w:tcBorders>
              <w:top w:val="single" w:sz="8" w:color="252525"/>
              <w:left w:val="single" w:sz="8" w:color="252525"/>
            </w:tcBorders>
            <w:gridSpan w:val="8"/>
          </w:tcPr>
          <w:p>
            <w:pPr>
              <w:ind w:left="100"/>
              <w:spacing w:after="0"/>
              <w:rPr>
                <w:sz w:val="20"/>
                <w:szCs w:val="20"/>
                <w:color w:val="auto"/>
              </w:rPr>
            </w:pPr>
            <w:r>
              <w:rPr>
                <w:rFonts w:ascii="Times New Roman" w:cs="Times New Roman" w:eastAsia="Times New Roman" w:hAnsi="Times New Roman"/>
                <w:sz w:val="22"/>
                <w:szCs w:val="22"/>
                <w:i w:val="1"/>
                <w:iCs w:val="1"/>
                <w:color w:val="808080"/>
              </w:rPr>
              <w:t>Name of Beneficiary’s Bank (usually custodian/trustee)</w:t>
            </w:r>
          </w:p>
        </w:tc>
        <w:tc>
          <w:tcPr>
            <w:tcW w:w="1560" w:type="dxa"/>
            <w:vAlign w:val="bottom"/>
            <w:tcBorders>
              <w:top w:val="single" w:sz="8" w:color="252525"/>
            </w:tcBorders>
          </w:tcPr>
          <w:p>
            <w:pPr>
              <w:spacing w:after="0"/>
              <w:rPr>
                <w:sz w:val="24"/>
                <w:szCs w:val="24"/>
                <w:color w:val="auto"/>
              </w:rPr>
            </w:pPr>
          </w:p>
        </w:tc>
        <w:tc>
          <w:tcPr>
            <w:tcW w:w="1100" w:type="dxa"/>
            <w:vAlign w:val="bottom"/>
            <w:tcBorders>
              <w:top w:val="single" w:sz="8" w:color="252525"/>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40" w:type="dxa"/>
            <w:vAlign w:val="bottom"/>
            <w:tcBorders>
              <w:top w:val="single" w:sz="8" w:color="252525"/>
              <w:left w:val="single" w:sz="8" w:color="252525"/>
              <w:bottom w:val="single" w:sz="8" w:color="A8A8A8"/>
              <w:right w:val="single" w:sz="8" w:color="A8A8A8"/>
            </w:tcBorders>
            <w:shd w:val="clear" w:color="auto" w:fill="A8A8A8"/>
          </w:tcPr>
          <w:p>
            <w:pPr>
              <w:spacing w:after="0"/>
              <w:rPr>
                <w:sz w:val="24"/>
                <w:szCs w:val="24"/>
                <w:color w:val="auto"/>
              </w:rPr>
            </w:pPr>
          </w:p>
        </w:tc>
        <w:tc>
          <w:tcPr>
            <w:tcW w:w="1700" w:type="dxa"/>
            <w:vAlign w:val="bottom"/>
            <w:tcBorders>
              <w:top w:val="single" w:sz="8" w:color="252525"/>
              <w:bottom w:val="single" w:sz="8" w:color="A8A8A8"/>
            </w:tcBorders>
            <w:shd w:val="clear" w:color="auto" w:fill="A8A8A8"/>
          </w:tcPr>
          <w:p>
            <w:pPr>
              <w:jc w:val="right"/>
              <w:spacing w:after="0"/>
              <w:rPr>
                <w:sz w:val="20"/>
                <w:szCs w:val="20"/>
                <w:color w:val="auto"/>
              </w:rPr>
            </w:pPr>
            <w:r>
              <w:rPr>
                <w:rFonts w:ascii="Times New Roman" w:cs="Times New Roman" w:eastAsia="Times New Roman" w:hAnsi="Times New Roman"/>
                <w:sz w:val="22"/>
                <w:szCs w:val="22"/>
                <w:color w:val="auto"/>
              </w:rPr>
              <w:t>Creditor Agent B</w:t>
            </w:r>
          </w:p>
        </w:tc>
        <w:tc>
          <w:tcPr>
            <w:tcW w:w="4600" w:type="dxa"/>
            <w:vAlign w:val="bottom"/>
            <w:tcBorders>
              <w:top w:val="single" w:sz="8" w:color="252525"/>
              <w:left w:val="single" w:sz="8" w:color="252525"/>
            </w:tcBorders>
            <w:gridSpan w:val="6"/>
          </w:tcPr>
          <w:p>
            <w:pPr>
              <w:ind w:left="100"/>
              <w:spacing w:after="0"/>
              <w:rPr>
                <w:sz w:val="20"/>
                <w:szCs w:val="20"/>
                <w:color w:val="auto"/>
              </w:rPr>
            </w:pPr>
            <w:r>
              <w:rPr>
                <w:rFonts w:ascii="Times New Roman" w:cs="Times New Roman" w:eastAsia="Times New Roman" w:hAnsi="Times New Roman"/>
                <w:sz w:val="22"/>
                <w:szCs w:val="22"/>
                <w:i w:val="1"/>
                <w:iCs w:val="1"/>
                <w:color w:val="808080"/>
              </w:rPr>
              <w:t>8/11-Character BIC of Beneficiary’s Bank</w:t>
            </w:r>
          </w:p>
        </w:tc>
        <w:tc>
          <w:tcPr>
            <w:tcW w:w="320" w:type="dxa"/>
            <w:vAlign w:val="bottom"/>
            <w:tcBorders>
              <w:top w:val="single" w:sz="8" w:color="252525"/>
            </w:tcBorders>
          </w:tcPr>
          <w:p>
            <w:pPr>
              <w:spacing w:after="0"/>
              <w:rPr>
                <w:sz w:val="24"/>
                <w:szCs w:val="24"/>
                <w:color w:val="auto"/>
              </w:rPr>
            </w:pPr>
          </w:p>
        </w:tc>
        <w:tc>
          <w:tcPr>
            <w:tcW w:w="1140" w:type="dxa"/>
            <w:vAlign w:val="bottom"/>
            <w:tcBorders>
              <w:top w:val="single" w:sz="8" w:color="252525"/>
            </w:tcBorders>
          </w:tcPr>
          <w:p>
            <w:pPr>
              <w:spacing w:after="0"/>
              <w:rPr>
                <w:sz w:val="24"/>
                <w:szCs w:val="24"/>
                <w:color w:val="auto"/>
              </w:rPr>
            </w:pPr>
          </w:p>
        </w:tc>
        <w:tc>
          <w:tcPr>
            <w:tcW w:w="1560" w:type="dxa"/>
            <w:vAlign w:val="bottom"/>
            <w:tcBorders>
              <w:top w:val="single" w:sz="8" w:color="252525"/>
            </w:tcBorders>
          </w:tcPr>
          <w:p>
            <w:pPr>
              <w:spacing w:after="0"/>
              <w:rPr>
                <w:sz w:val="24"/>
                <w:szCs w:val="24"/>
                <w:color w:val="auto"/>
              </w:rPr>
            </w:pPr>
          </w:p>
        </w:tc>
        <w:tc>
          <w:tcPr>
            <w:tcW w:w="1100" w:type="dxa"/>
            <w:vAlign w:val="bottom"/>
            <w:tcBorders>
              <w:top w:val="single" w:sz="8" w:color="252525"/>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40" w:type="dxa"/>
            <w:vAlign w:val="bottom"/>
            <w:tcBorders>
              <w:top w:val="single" w:sz="8" w:color="252525"/>
              <w:left w:val="single" w:sz="8" w:color="252525"/>
              <w:bottom w:val="single" w:sz="8" w:color="A8A8A8"/>
              <w:right w:val="single" w:sz="8" w:color="A8A8A8"/>
            </w:tcBorders>
            <w:shd w:val="clear" w:color="auto" w:fill="A8A8A8"/>
          </w:tcPr>
          <w:p>
            <w:pPr>
              <w:spacing w:after="0"/>
              <w:rPr>
                <w:sz w:val="24"/>
                <w:szCs w:val="24"/>
                <w:color w:val="auto"/>
              </w:rPr>
            </w:pPr>
          </w:p>
        </w:tc>
        <w:tc>
          <w:tcPr>
            <w:tcW w:w="1700" w:type="dxa"/>
            <w:vAlign w:val="bottom"/>
            <w:tcBorders>
              <w:top w:val="single" w:sz="8" w:color="252525"/>
              <w:bottom w:val="single" w:sz="8" w:color="A8A8A8"/>
            </w:tcBorders>
            <w:shd w:val="clear" w:color="auto" w:fill="A8A8A8"/>
          </w:tcPr>
          <w:p>
            <w:pPr>
              <w:jc w:val="right"/>
              <w:spacing w:after="0"/>
              <w:rPr>
                <w:sz w:val="20"/>
                <w:szCs w:val="20"/>
                <w:color w:val="auto"/>
              </w:rPr>
            </w:pPr>
            <w:r>
              <w:rPr>
                <w:rFonts w:ascii="Times New Roman" w:cs="Times New Roman" w:eastAsia="Times New Roman" w:hAnsi="Times New Roman"/>
                <w:sz w:val="22"/>
                <w:szCs w:val="22"/>
                <w:color w:val="auto"/>
              </w:rPr>
              <w:t>Creditor</w:t>
            </w:r>
          </w:p>
        </w:tc>
        <w:tc>
          <w:tcPr>
            <w:tcW w:w="4600" w:type="dxa"/>
            <w:vAlign w:val="bottom"/>
            <w:tcBorders>
              <w:top w:val="single" w:sz="8" w:color="252525"/>
              <w:left w:val="single" w:sz="8" w:color="252525"/>
            </w:tcBorders>
            <w:gridSpan w:val="6"/>
          </w:tcPr>
          <w:p>
            <w:pPr>
              <w:ind w:left="100"/>
              <w:spacing w:after="0"/>
              <w:rPr>
                <w:sz w:val="20"/>
                <w:szCs w:val="20"/>
                <w:color w:val="auto"/>
              </w:rPr>
            </w:pPr>
            <w:r>
              <w:rPr>
                <w:rFonts w:ascii="Times New Roman" w:cs="Times New Roman" w:eastAsia="Times New Roman" w:hAnsi="Times New Roman"/>
                <w:sz w:val="22"/>
                <w:szCs w:val="22"/>
                <w:i w:val="1"/>
                <w:iCs w:val="1"/>
                <w:color w:val="808080"/>
              </w:rPr>
              <w:t>Name of Ultimate Beneficiary (Lender)</w:t>
            </w:r>
          </w:p>
        </w:tc>
        <w:tc>
          <w:tcPr>
            <w:tcW w:w="320" w:type="dxa"/>
            <w:vAlign w:val="bottom"/>
            <w:tcBorders>
              <w:top w:val="single" w:sz="8" w:color="252525"/>
            </w:tcBorders>
          </w:tcPr>
          <w:p>
            <w:pPr>
              <w:spacing w:after="0"/>
              <w:rPr>
                <w:sz w:val="24"/>
                <w:szCs w:val="24"/>
                <w:color w:val="auto"/>
              </w:rPr>
            </w:pPr>
          </w:p>
        </w:tc>
        <w:tc>
          <w:tcPr>
            <w:tcW w:w="1140" w:type="dxa"/>
            <w:vAlign w:val="bottom"/>
            <w:tcBorders>
              <w:top w:val="single" w:sz="8" w:color="252525"/>
            </w:tcBorders>
          </w:tcPr>
          <w:p>
            <w:pPr>
              <w:spacing w:after="0"/>
              <w:rPr>
                <w:sz w:val="24"/>
                <w:szCs w:val="24"/>
                <w:color w:val="auto"/>
              </w:rPr>
            </w:pPr>
          </w:p>
        </w:tc>
        <w:tc>
          <w:tcPr>
            <w:tcW w:w="1560" w:type="dxa"/>
            <w:vAlign w:val="bottom"/>
            <w:tcBorders>
              <w:top w:val="single" w:sz="8" w:color="252525"/>
            </w:tcBorders>
          </w:tcPr>
          <w:p>
            <w:pPr>
              <w:spacing w:after="0"/>
              <w:rPr>
                <w:sz w:val="24"/>
                <w:szCs w:val="24"/>
                <w:color w:val="auto"/>
              </w:rPr>
            </w:pPr>
          </w:p>
        </w:tc>
        <w:tc>
          <w:tcPr>
            <w:tcW w:w="1100" w:type="dxa"/>
            <w:vAlign w:val="bottom"/>
            <w:tcBorders>
              <w:top w:val="single" w:sz="8" w:color="252525"/>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Borders>
              <w:top w:val="single" w:sz="8" w:color="252525"/>
              <w:left w:val="single" w:sz="8" w:color="252525"/>
              <w:right w:val="single" w:sz="8" w:color="D2D2D2"/>
            </w:tcBorders>
            <w:shd w:val="clear" w:color="auto" w:fill="D2D2D2"/>
          </w:tcPr>
          <w:p>
            <w:pPr>
              <w:spacing w:after="0"/>
              <w:rPr>
                <w:sz w:val="24"/>
                <w:szCs w:val="24"/>
                <w:color w:val="auto"/>
              </w:rPr>
            </w:pPr>
          </w:p>
        </w:tc>
        <w:tc>
          <w:tcPr>
            <w:tcW w:w="1700" w:type="dxa"/>
            <w:vAlign w:val="bottom"/>
            <w:tcBorders>
              <w:top w:val="single" w:sz="8" w:color="252525"/>
            </w:tcBorders>
            <w:shd w:val="clear" w:color="auto" w:fill="D2D2D2"/>
          </w:tcPr>
          <w:p>
            <w:pPr>
              <w:jc w:val="right"/>
              <w:spacing w:after="0"/>
              <w:rPr>
                <w:sz w:val="20"/>
                <w:szCs w:val="20"/>
                <w:color w:val="auto"/>
              </w:rPr>
            </w:pPr>
            <w:r>
              <w:rPr>
                <w:rFonts w:ascii="Times New Roman" w:cs="Times New Roman" w:eastAsia="Times New Roman" w:hAnsi="Times New Roman"/>
                <w:sz w:val="22"/>
                <w:szCs w:val="22"/>
                <w:color w:val="auto"/>
              </w:rPr>
              <w:t>Creditor Account</w:t>
            </w:r>
          </w:p>
        </w:tc>
        <w:tc>
          <w:tcPr>
            <w:tcW w:w="2480" w:type="dxa"/>
            <w:vAlign w:val="bottom"/>
            <w:tcBorders>
              <w:top w:val="single" w:sz="8" w:color="252525"/>
              <w:left w:val="single" w:sz="8" w:color="252525"/>
              <w:right w:val="single" w:sz="8" w:color="252525"/>
            </w:tcBorders>
            <w:gridSpan w:val="3"/>
          </w:tcPr>
          <w:p>
            <w:pPr>
              <w:ind w:left="100"/>
              <w:spacing w:after="0"/>
              <w:rPr>
                <w:sz w:val="20"/>
                <w:szCs w:val="20"/>
                <w:color w:val="auto"/>
              </w:rPr>
            </w:pPr>
            <w:r>
              <w:rPr>
                <w:rFonts w:ascii="Times New Roman" w:cs="Times New Roman" w:eastAsia="Times New Roman" w:hAnsi="Times New Roman"/>
                <w:sz w:val="22"/>
                <w:szCs w:val="22"/>
                <w:i w:val="1"/>
                <w:iCs w:val="1"/>
                <w:color w:val="808080"/>
              </w:rPr>
              <w:t>Account # of Ultimate</w:t>
            </w:r>
          </w:p>
        </w:tc>
        <w:tc>
          <w:tcPr>
            <w:tcW w:w="900" w:type="dxa"/>
            <w:vAlign w:val="bottom"/>
            <w:tcBorders>
              <w:top w:val="single" w:sz="8" w:color="252525"/>
            </w:tcBorders>
            <w:shd w:val="clear" w:color="auto" w:fill="D2D2D2"/>
          </w:tcPr>
          <w:p>
            <w:pPr>
              <w:ind w:left="60"/>
              <w:spacing w:after="0"/>
              <w:rPr>
                <w:sz w:val="20"/>
                <w:szCs w:val="20"/>
                <w:color w:val="auto"/>
              </w:rPr>
            </w:pPr>
            <w:r>
              <w:rPr>
                <w:rFonts w:ascii="Times New Roman" w:cs="Times New Roman" w:eastAsia="Times New Roman" w:hAnsi="Times New Roman"/>
                <w:sz w:val="22"/>
                <w:szCs w:val="22"/>
                <w:color w:val="auto"/>
              </w:rPr>
              <w:t>IBAN</w:t>
            </w:r>
            <w:r>
              <w:rPr>
                <w:rFonts w:ascii="Times New Roman" w:cs="Times New Roman" w:eastAsia="Times New Roman" w:hAnsi="Times New Roman"/>
                <w:sz w:val="12"/>
                <w:szCs w:val="12"/>
                <w:color w:val="auto"/>
              </w:rPr>
              <w:t>1</w:t>
            </w:r>
          </w:p>
        </w:tc>
        <w:tc>
          <w:tcPr>
            <w:tcW w:w="540" w:type="dxa"/>
            <w:vAlign w:val="bottom"/>
            <w:tcBorders>
              <w:top w:val="single" w:sz="8" w:color="252525"/>
              <w:right w:val="single" w:sz="8" w:color="D2D2D2"/>
            </w:tcBorders>
            <w:shd w:val="clear" w:color="auto" w:fill="D2D2D2"/>
          </w:tcPr>
          <w:p>
            <w:pPr>
              <w:spacing w:after="0"/>
              <w:rPr>
                <w:sz w:val="24"/>
                <w:szCs w:val="24"/>
                <w:color w:val="auto"/>
              </w:rPr>
            </w:pPr>
          </w:p>
        </w:tc>
        <w:tc>
          <w:tcPr>
            <w:tcW w:w="680" w:type="dxa"/>
            <w:vAlign w:val="bottom"/>
            <w:tcBorders>
              <w:top w:val="single" w:sz="8" w:color="252525"/>
              <w:right w:val="single" w:sz="8" w:color="D2D2D2"/>
            </w:tcBorders>
            <w:shd w:val="clear" w:color="auto" w:fill="D2D2D2"/>
          </w:tcPr>
          <w:p>
            <w:pPr>
              <w:spacing w:after="0"/>
              <w:rPr>
                <w:sz w:val="24"/>
                <w:szCs w:val="24"/>
                <w:color w:val="auto"/>
              </w:rPr>
            </w:pPr>
          </w:p>
        </w:tc>
        <w:tc>
          <w:tcPr>
            <w:tcW w:w="320" w:type="dxa"/>
            <w:vAlign w:val="bottom"/>
            <w:tcBorders>
              <w:top w:val="single" w:sz="8" w:color="252525"/>
              <w:right w:val="single" w:sz="8" w:color="252525"/>
            </w:tcBorders>
            <w:shd w:val="clear" w:color="auto" w:fill="D2D2D2"/>
          </w:tcPr>
          <w:p>
            <w:pPr>
              <w:spacing w:after="0"/>
              <w:rPr>
                <w:sz w:val="24"/>
                <w:szCs w:val="24"/>
                <w:color w:val="auto"/>
              </w:rPr>
            </w:pPr>
          </w:p>
        </w:tc>
        <w:tc>
          <w:tcPr>
            <w:tcW w:w="3800" w:type="dxa"/>
            <w:vAlign w:val="bottom"/>
            <w:tcBorders>
              <w:top w:val="single" w:sz="8" w:color="252525"/>
            </w:tcBorders>
            <w:gridSpan w:val="3"/>
          </w:tcPr>
          <w:p>
            <w:pPr>
              <w:ind w:left="80"/>
              <w:spacing w:after="0"/>
              <w:rPr>
                <w:sz w:val="20"/>
                <w:szCs w:val="20"/>
                <w:color w:val="auto"/>
              </w:rPr>
            </w:pPr>
            <w:r>
              <w:rPr>
                <w:rFonts w:ascii="Times New Roman" w:cs="Times New Roman" w:eastAsia="Times New Roman" w:hAnsi="Times New Roman"/>
                <w:sz w:val="22"/>
                <w:szCs w:val="22"/>
                <w:i w:val="1"/>
                <w:iCs w:val="1"/>
                <w:color w:val="808080"/>
              </w:rPr>
              <w:t>IBAN of Ultimate Beneficiary (optional)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40" w:type="dxa"/>
            <w:vAlign w:val="bottom"/>
            <w:tcBorders>
              <w:left w:val="single" w:sz="8" w:color="252525"/>
              <w:bottom w:val="single" w:sz="8" w:color="D2D2D2"/>
              <w:right w:val="single" w:sz="8" w:color="D2D2D2"/>
            </w:tcBorders>
            <w:shd w:val="clear" w:color="auto" w:fill="D2D2D2"/>
          </w:tcPr>
          <w:p>
            <w:pPr>
              <w:spacing w:after="0"/>
              <w:rPr>
                <w:sz w:val="24"/>
                <w:szCs w:val="24"/>
                <w:color w:val="auto"/>
              </w:rPr>
            </w:pPr>
          </w:p>
        </w:tc>
        <w:tc>
          <w:tcPr>
            <w:tcW w:w="1700" w:type="dxa"/>
            <w:vAlign w:val="bottom"/>
            <w:tcBorders>
              <w:bottom w:val="single" w:sz="8" w:color="D2D2D2"/>
            </w:tcBorders>
            <w:shd w:val="clear" w:color="auto" w:fill="D2D2D2"/>
          </w:tcPr>
          <w:p>
            <w:pPr>
              <w:spacing w:after="0"/>
              <w:rPr>
                <w:sz w:val="24"/>
                <w:szCs w:val="24"/>
                <w:color w:val="auto"/>
              </w:rPr>
            </w:pPr>
          </w:p>
        </w:tc>
        <w:tc>
          <w:tcPr>
            <w:tcW w:w="1640" w:type="dxa"/>
            <w:vAlign w:val="bottom"/>
            <w:tcBorders>
              <w:left w:val="single" w:sz="8" w:color="252525"/>
            </w:tcBorders>
            <w:gridSpan w:val="2"/>
          </w:tcPr>
          <w:p>
            <w:pPr>
              <w:ind w:left="20"/>
              <w:spacing w:after="0"/>
              <w:rPr>
                <w:sz w:val="20"/>
                <w:szCs w:val="20"/>
                <w:color w:val="auto"/>
              </w:rPr>
            </w:pPr>
            <w:r>
              <w:rPr>
                <w:rFonts w:ascii="Times New Roman" w:cs="Times New Roman" w:eastAsia="Times New Roman" w:hAnsi="Times New Roman"/>
                <w:sz w:val="22"/>
                <w:szCs w:val="22"/>
                <w:i w:val="1"/>
                <w:iCs w:val="1"/>
                <w:color w:val="808080"/>
              </w:rPr>
              <w:t>Beneficiary</w:t>
            </w:r>
          </w:p>
        </w:tc>
        <w:tc>
          <w:tcPr>
            <w:tcW w:w="840" w:type="dxa"/>
            <w:vAlign w:val="bottom"/>
            <w:tcBorders>
              <w:right w:val="single" w:sz="8" w:color="252525"/>
            </w:tcBorders>
          </w:tcPr>
          <w:p>
            <w:pPr>
              <w:spacing w:after="0"/>
              <w:rPr>
                <w:sz w:val="24"/>
                <w:szCs w:val="24"/>
                <w:color w:val="auto"/>
              </w:rPr>
            </w:pPr>
          </w:p>
        </w:tc>
        <w:tc>
          <w:tcPr>
            <w:tcW w:w="900" w:type="dxa"/>
            <w:vAlign w:val="bottom"/>
            <w:tcBorders>
              <w:bottom w:val="single" w:sz="8" w:color="D2D2D2"/>
            </w:tcBorders>
            <w:shd w:val="clear" w:color="auto" w:fill="D2D2D2"/>
          </w:tcPr>
          <w:p>
            <w:pPr>
              <w:spacing w:after="0"/>
              <w:rPr>
                <w:sz w:val="24"/>
                <w:szCs w:val="24"/>
                <w:color w:val="auto"/>
              </w:rPr>
            </w:pPr>
          </w:p>
        </w:tc>
        <w:tc>
          <w:tcPr>
            <w:tcW w:w="540" w:type="dxa"/>
            <w:vAlign w:val="bottom"/>
            <w:tcBorders>
              <w:bottom w:val="single" w:sz="8" w:color="D2D2D2"/>
              <w:right w:val="single" w:sz="8" w:color="D2D2D2"/>
            </w:tcBorders>
            <w:shd w:val="clear" w:color="auto" w:fill="D2D2D2"/>
          </w:tcPr>
          <w:p>
            <w:pPr>
              <w:spacing w:after="0"/>
              <w:rPr>
                <w:sz w:val="24"/>
                <w:szCs w:val="24"/>
                <w:color w:val="auto"/>
              </w:rPr>
            </w:pPr>
          </w:p>
        </w:tc>
        <w:tc>
          <w:tcPr>
            <w:tcW w:w="680" w:type="dxa"/>
            <w:vAlign w:val="bottom"/>
            <w:tcBorders>
              <w:bottom w:val="single" w:sz="8" w:color="D2D2D2"/>
              <w:right w:val="single" w:sz="8" w:color="D2D2D2"/>
            </w:tcBorders>
            <w:shd w:val="clear" w:color="auto" w:fill="D2D2D2"/>
          </w:tcPr>
          <w:p>
            <w:pPr>
              <w:spacing w:after="0"/>
              <w:rPr>
                <w:sz w:val="24"/>
                <w:szCs w:val="24"/>
                <w:color w:val="auto"/>
              </w:rPr>
            </w:pPr>
          </w:p>
        </w:tc>
        <w:tc>
          <w:tcPr>
            <w:tcW w:w="320" w:type="dxa"/>
            <w:vAlign w:val="bottom"/>
            <w:tcBorders>
              <w:bottom w:val="single" w:sz="8" w:color="D2D2D2"/>
              <w:right w:val="single" w:sz="8" w:color="252525"/>
            </w:tcBorders>
            <w:shd w:val="clear" w:color="auto" w:fill="D2D2D2"/>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252525"/>
              <w:left w:val="single" w:sz="8" w:color="929292"/>
              <w:right w:val="single" w:sz="8" w:color="929292"/>
            </w:tcBorders>
            <w:shd w:val="clear" w:color="auto" w:fill="929292"/>
          </w:tcPr>
          <w:p>
            <w:pPr>
              <w:spacing w:after="0"/>
              <w:rPr>
                <w:sz w:val="17"/>
                <w:szCs w:val="17"/>
                <w:color w:val="auto"/>
              </w:rPr>
            </w:pPr>
          </w:p>
        </w:tc>
        <w:tc>
          <w:tcPr>
            <w:tcW w:w="1700" w:type="dxa"/>
            <w:vAlign w:val="bottom"/>
            <w:tcBorders>
              <w:top w:val="single" w:sz="8" w:color="252525"/>
            </w:tcBorders>
            <w:shd w:val="clear" w:color="auto" w:fill="929292"/>
          </w:tcPr>
          <w:p>
            <w:pPr>
              <w:jc w:val="right"/>
              <w:spacing w:after="0" w:line="196" w:lineRule="exact"/>
              <w:rPr>
                <w:sz w:val="20"/>
                <w:szCs w:val="20"/>
                <w:color w:val="auto"/>
              </w:rPr>
            </w:pPr>
            <w:r>
              <w:rPr>
                <w:rFonts w:ascii="Arial" w:cs="Arial" w:eastAsia="Arial" w:hAnsi="Arial"/>
                <w:sz w:val="18"/>
                <w:szCs w:val="18"/>
                <w:color w:val="auto"/>
              </w:rPr>
              <w:t>Payment Reference</w:t>
            </w:r>
          </w:p>
        </w:tc>
        <w:tc>
          <w:tcPr>
            <w:tcW w:w="2480" w:type="dxa"/>
            <w:vAlign w:val="bottom"/>
            <w:tcBorders>
              <w:top w:val="single" w:sz="8" w:color="252525"/>
            </w:tcBorders>
            <w:gridSpan w:val="3"/>
          </w:tcPr>
          <w:p>
            <w:pPr>
              <w:ind w:left="80"/>
              <w:spacing w:after="0" w:line="196" w:lineRule="exact"/>
              <w:rPr>
                <w:sz w:val="20"/>
                <w:szCs w:val="20"/>
                <w:color w:val="auto"/>
              </w:rPr>
            </w:pPr>
            <w:r>
              <w:rPr>
                <w:rFonts w:ascii="Times New Roman" w:cs="Times New Roman" w:eastAsia="Times New Roman" w:hAnsi="Times New Roman"/>
                <w:sz w:val="22"/>
                <w:szCs w:val="22"/>
                <w:i w:val="1"/>
                <w:iCs w:val="1"/>
                <w:color w:val="auto"/>
                <w:w w:val="90"/>
              </w:rPr>
              <w:t>Use Standard Wire Reference</w:t>
            </w:r>
          </w:p>
        </w:tc>
        <w:tc>
          <w:tcPr>
            <w:tcW w:w="900" w:type="dxa"/>
            <w:vAlign w:val="bottom"/>
            <w:tcBorders>
              <w:top w:val="single" w:sz="8" w:color="252525"/>
            </w:tcBorders>
          </w:tcPr>
          <w:p>
            <w:pPr>
              <w:ind w:left="180"/>
              <w:spacing w:after="0" w:line="196" w:lineRule="exact"/>
              <w:rPr>
                <w:sz w:val="20"/>
                <w:szCs w:val="20"/>
                <w:color w:val="auto"/>
              </w:rPr>
            </w:pPr>
            <w:r>
              <w:rPr>
                <w:rFonts w:ascii="Times New Roman" w:cs="Times New Roman" w:eastAsia="Times New Roman" w:hAnsi="Times New Roman"/>
                <w:sz w:val="22"/>
                <w:szCs w:val="22"/>
                <w:i w:val="1"/>
                <w:iCs w:val="1"/>
                <w:color w:val="auto"/>
              </w:rPr>
              <w:t>Form</w:t>
            </w:r>
          </w:p>
        </w:tc>
        <w:tc>
          <w:tcPr>
            <w:tcW w:w="540" w:type="dxa"/>
            <w:vAlign w:val="bottom"/>
            <w:tcBorders>
              <w:top w:val="single" w:sz="8" w:color="252525"/>
            </w:tcBorders>
          </w:tcPr>
          <w:p>
            <w:pPr>
              <w:spacing w:after="0"/>
              <w:rPr>
                <w:sz w:val="17"/>
                <w:szCs w:val="17"/>
                <w:color w:val="auto"/>
              </w:rPr>
            </w:pPr>
          </w:p>
        </w:tc>
        <w:tc>
          <w:tcPr>
            <w:tcW w:w="680" w:type="dxa"/>
            <w:vAlign w:val="bottom"/>
            <w:tcBorders>
              <w:top w:val="single" w:sz="8" w:color="252525"/>
            </w:tcBorders>
          </w:tcPr>
          <w:p>
            <w:pPr>
              <w:spacing w:after="0"/>
              <w:rPr>
                <w:sz w:val="17"/>
                <w:szCs w:val="17"/>
                <w:color w:val="auto"/>
              </w:rPr>
            </w:pPr>
          </w:p>
        </w:tc>
        <w:tc>
          <w:tcPr>
            <w:tcW w:w="320" w:type="dxa"/>
            <w:vAlign w:val="bottom"/>
            <w:tcBorders>
              <w:top w:val="single" w:sz="8" w:color="252525"/>
            </w:tcBorders>
          </w:tcPr>
          <w:p>
            <w:pPr>
              <w:spacing w:after="0"/>
              <w:rPr>
                <w:sz w:val="17"/>
                <w:szCs w:val="17"/>
                <w:color w:val="auto"/>
              </w:rPr>
            </w:pPr>
          </w:p>
        </w:tc>
        <w:tc>
          <w:tcPr>
            <w:tcW w:w="1140" w:type="dxa"/>
            <w:vAlign w:val="bottom"/>
            <w:tcBorders>
              <w:top w:val="single" w:sz="8" w:color="252525"/>
            </w:tcBorders>
          </w:tcPr>
          <w:p>
            <w:pPr>
              <w:spacing w:after="0"/>
              <w:rPr>
                <w:sz w:val="17"/>
                <w:szCs w:val="17"/>
                <w:color w:val="auto"/>
              </w:rPr>
            </w:pPr>
          </w:p>
        </w:tc>
        <w:tc>
          <w:tcPr>
            <w:tcW w:w="1560" w:type="dxa"/>
            <w:vAlign w:val="bottom"/>
            <w:tcBorders>
              <w:top w:val="single" w:sz="8" w:color="252525"/>
            </w:tcBorders>
          </w:tcPr>
          <w:p>
            <w:pPr>
              <w:spacing w:after="0"/>
              <w:rPr>
                <w:sz w:val="17"/>
                <w:szCs w:val="17"/>
                <w:color w:val="auto"/>
              </w:rPr>
            </w:pPr>
          </w:p>
        </w:tc>
        <w:tc>
          <w:tcPr>
            <w:tcW w:w="1100" w:type="dxa"/>
            <w:vAlign w:val="bottom"/>
            <w:tcBorders>
              <w:top w:val="single" w:sz="8" w:color="252525"/>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Borders>
              <w:left w:val="single" w:sz="8" w:color="929292"/>
              <w:right w:val="single" w:sz="8" w:color="929292"/>
            </w:tcBorders>
            <w:shd w:val="clear" w:color="auto" w:fill="929292"/>
          </w:tcPr>
          <w:p>
            <w:pPr>
              <w:spacing w:after="0"/>
              <w:rPr>
                <w:sz w:val="19"/>
                <w:szCs w:val="19"/>
                <w:color w:val="auto"/>
              </w:rPr>
            </w:pPr>
          </w:p>
        </w:tc>
        <w:tc>
          <w:tcPr>
            <w:tcW w:w="1700" w:type="dxa"/>
            <w:vAlign w:val="bottom"/>
            <w:shd w:val="clear" w:color="auto" w:fill="929292"/>
          </w:tcPr>
          <w:p>
            <w:pPr>
              <w:jc w:val="right"/>
              <w:spacing w:after="0"/>
              <w:rPr>
                <w:sz w:val="20"/>
                <w:szCs w:val="20"/>
                <w:color w:val="auto"/>
              </w:rPr>
            </w:pPr>
            <w:r>
              <w:rPr>
                <w:rFonts w:ascii="Arial" w:cs="Arial" w:eastAsia="Arial" w:hAnsi="Arial"/>
                <w:sz w:val="18"/>
                <w:szCs w:val="18"/>
                <w:color w:val="auto"/>
              </w:rPr>
              <w:t>(Remittance Info)</w:t>
            </w:r>
          </w:p>
        </w:tc>
        <w:tc>
          <w:tcPr>
            <w:tcW w:w="1640" w:type="dxa"/>
            <w:vAlign w:val="bottom"/>
            <w:gridSpan w:val="2"/>
          </w:tcPr>
          <w:p>
            <w:pPr>
              <w:ind w:left="80"/>
              <w:spacing w:after="0" w:line="229" w:lineRule="exact"/>
              <w:rPr>
                <w:sz w:val="20"/>
                <w:szCs w:val="20"/>
                <w:color w:val="auto"/>
              </w:rPr>
            </w:pPr>
            <w:r>
              <w:rPr>
                <w:rFonts w:ascii="Times New Roman" w:cs="Times New Roman" w:eastAsia="Times New Roman" w:hAnsi="Times New Roman"/>
                <w:sz w:val="22"/>
                <w:szCs w:val="22"/>
                <w:color w:val="auto"/>
              </w:rPr>
              <w:t>[Borrower</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740" w:type="dxa"/>
            <w:vAlign w:val="bottom"/>
            <w:tcBorders>
              <w:left w:val="single" w:sz="8" w:color="929292"/>
              <w:right w:val="single" w:sz="8" w:color="929292"/>
            </w:tcBorders>
            <w:shd w:val="clear" w:color="auto" w:fill="929292"/>
          </w:tcPr>
          <w:p>
            <w:pPr>
              <w:spacing w:after="0"/>
              <w:rPr>
                <w:sz w:val="24"/>
                <w:szCs w:val="24"/>
                <w:color w:val="auto"/>
              </w:rPr>
            </w:pPr>
          </w:p>
        </w:tc>
        <w:tc>
          <w:tcPr>
            <w:tcW w:w="1700" w:type="dxa"/>
            <w:vAlign w:val="bottom"/>
            <w:shd w:val="clear" w:color="auto" w:fill="929292"/>
          </w:tcPr>
          <w:p>
            <w:pPr>
              <w:spacing w:after="0"/>
              <w:rPr>
                <w:sz w:val="24"/>
                <w:szCs w:val="24"/>
                <w:color w:val="auto"/>
              </w:rPr>
            </w:pPr>
          </w:p>
        </w:tc>
        <w:tc>
          <w:tcPr>
            <w:tcW w:w="460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9"/>
              </w:rPr>
              <w:t>[Facility Name/Abbr.] [Facility/Deal CUSIP/ISIN]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0" w:type="dxa"/>
            <w:vAlign w:val="bottom"/>
            <w:tcBorders>
              <w:left w:val="single" w:sz="8" w:color="929292"/>
              <w:right w:val="single" w:sz="8" w:color="929292"/>
            </w:tcBorders>
            <w:shd w:val="clear" w:color="auto" w:fill="929292"/>
          </w:tcPr>
          <w:p>
            <w:pPr>
              <w:spacing w:after="0"/>
              <w:rPr>
                <w:sz w:val="24"/>
                <w:szCs w:val="24"/>
                <w:color w:val="auto"/>
              </w:rPr>
            </w:pPr>
          </w:p>
        </w:tc>
        <w:tc>
          <w:tcPr>
            <w:tcW w:w="1700" w:type="dxa"/>
            <w:vAlign w:val="bottom"/>
            <w:shd w:val="clear" w:color="auto" w:fill="929292"/>
          </w:tcPr>
          <w:p>
            <w:pPr>
              <w:spacing w:after="0"/>
              <w:rPr>
                <w:sz w:val="24"/>
                <w:szCs w:val="24"/>
                <w:color w:val="auto"/>
              </w:rPr>
            </w:pPr>
          </w:p>
        </w:tc>
        <w:tc>
          <w:tcPr>
            <w:tcW w:w="460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[Payment Purpose(s)] [Transaction Reference ID]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40" w:type="dxa"/>
            <w:vAlign w:val="bottom"/>
            <w:tcBorders>
              <w:left w:val="single" w:sz="8" w:color="929292"/>
              <w:bottom w:val="single" w:sz="8" w:color="auto"/>
              <w:right w:val="single" w:sz="8" w:color="929292"/>
            </w:tcBorders>
            <w:shd w:val="clear" w:color="auto" w:fill="929292"/>
          </w:tcPr>
          <w:p>
            <w:pPr>
              <w:spacing w:after="0"/>
              <w:rPr>
                <w:sz w:val="17"/>
                <w:szCs w:val="17"/>
                <w:color w:val="auto"/>
              </w:rPr>
            </w:pPr>
          </w:p>
        </w:tc>
        <w:tc>
          <w:tcPr>
            <w:tcW w:w="1700" w:type="dxa"/>
            <w:vAlign w:val="bottom"/>
            <w:tcBorders>
              <w:bottom w:val="single" w:sz="8" w:color="auto"/>
            </w:tcBorders>
            <w:shd w:val="clear" w:color="auto" w:fill="929292"/>
          </w:tcPr>
          <w:p>
            <w:pPr>
              <w:spacing w:after="0"/>
              <w:rPr>
                <w:sz w:val="17"/>
                <w:szCs w:val="17"/>
                <w:color w:val="auto"/>
              </w:rPr>
            </w:pPr>
          </w:p>
        </w:tc>
        <w:tc>
          <w:tcPr>
            <w:tcW w:w="740" w:type="dxa"/>
            <w:vAlign w:val="bottom"/>
            <w:tcBorders>
              <w:bottom w:val="single" w:sz="8" w:color="252525"/>
            </w:tcBorders>
          </w:tcPr>
          <w:p>
            <w:pPr>
              <w:spacing w:after="0"/>
              <w:rPr>
                <w:sz w:val="17"/>
                <w:szCs w:val="17"/>
                <w:color w:val="auto"/>
              </w:rPr>
            </w:pPr>
          </w:p>
        </w:tc>
        <w:tc>
          <w:tcPr>
            <w:tcW w:w="900" w:type="dxa"/>
            <w:vAlign w:val="bottom"/>
            <w:tcBorders>
              <w:bottom w:val="single" w:sz="8" w:color="252525"/>
            </w:tcBorders>
          </w:tcPr>
          <w:p>
            <w:pPr>
              <w:spacing w:after="0"/>
              <w:rPr>
                <w:sz w:val="17"/>
                <w:szCs w:val="17"/>
                <w:color w:val="auto"/>
              </w:rPr>
            </w:pPr>
          </w:p>
        </w:tc>
        <w:tc>
          <w:tcPr>
            <w:tcW w:w="840" w:type="dxa"/>
            <w:vAlign w:val="bottom"/>
            <w:tcBorders>
              <w:bottom w:val="single" w:sz="8" w:color="252525"/>
            </w:tcBorders>
          </w:tcPr>
          <w:p>
            <w:pPr>
              <w:spacing w:after="0"/>
              <w:rPr>
                <w:sz w:val="17"/>
                <w:szCs w:val="17"/>
                <w:color w:val="auto"/>
              </w:rPr>
            </w:pPr>
          </w:p>
        </w:tc>
        <w:tc>
          <w:tcPr>
            <w:tcW w:w="900" w:type="dxa"/>
            <w:vAlign w:val="bottom"/>
            <w:tcBorders>
              <w:bottom w:val="single" w:sz="8" w:color="252525"/>
            </w:tcBorders>
          </w:tcPr>
          <w:p>
            <w:pPr>
              <w:spacing w:after="0"/>
              <w:rPr>
                <w:sz w:val="17"/>
                <w:szCs w:val="17"/>
                <w:color w:val="auto"/>
              </w:rPr>
            </w:pPr>
          </w:p>
        </w:tc>
        <w:tc>
          <w:tcPr>
            <w:tcW w:w="540" w:type="dxa"/>
            <w:vAlign w:val="bottom"/>
            <w:tcBorders>
              <w:bottom w:val="single" w:sz="8" w:color="252525"/>
            </w:tcBorders>
          </w:tcPr>
          <w:p>
            <w:pPr>
              <w:spacing w:after="0"/>
              <w:rPr>
                <w:sz w:val="17"/>
                <w:szCs w:val="17"/>
                <w:color w:val="auto"/>
              </w:rPr>
            </w:pPr>
          </w:p>
        </w:tc>
        <w:tc>
          <w:tcPr>
            <w:tcW w:w="680" w:type="dxa"/>
            <w:vAlign w:val="bottom"/>
            <w:tcBorders>
              <w:bottom w:val="single" w:sz="8" w:color="252525"/>
            </w:tcBorders>
          </w:tcPr>
          <w:p>
            <w:pPr>
              <w:spacing w:after="0"/>
              <w:rPr>
                <w:sz w:val="17"/>
                <w:szCs w:val="17"/>
                <w:color w:val="auto"/>
              </w:rPr>
            </w:pPr>
          </w:p>
        </w:tc>
        <w:tc>
          <w:tcPr>
            <w:tcW w:w="320" w:type="dxa"/>
            <w:vAlign w:val="bottom"/>
            <w:tcBorders>
              <w:bottom w:val="single" w:sz="8" w:color="252525"/>
            </w:tcBorders>
          </w:tcPr>
          <w:p>
            <w:pPr>
              <w:spacing w:after="0"/>
              <w:rPr>
                <w:sz w:val="17"/>
                <w:szCs w:val="17"/>
                <w:color w:val="auto"/>
              </w:rPr>
            </w:pPr>
          </w:p>
        </w:tc>
        <w:tc>
          <w:tcPr>
            <w:tcW w:w="1140" w:type="dxa"/>
            <w:vAlign w:val="bottom"/>
            <w:tcBorders>
              <w:bottom w:val="single" w:sz="8" w:color="252525"/>
            </w:tcBorders>
          </w:tcPr>
          <w:p>
            <w:pPr>
              <w:spacing w:after="0"/>
              <w:rPr>
                <w:sz w:val="17"/>
                <w:szCs w:val="17"/>
                <w:color w:val="auto"/>
              </w:rPr>
            </w:pPr>
          </w:p>
        </w:tc>
        <w:tc>
          <w:tcPr>
            <w:tcW w:w="1560" w:type="dxa"/>
            <w:vAlign w:val="bottom"/>
            <w:tcBorders>
              <w:bottom w:val="single" w:sz="8" w:color="252525"/>
            </w:tcBorders>
          </w:tcPr>
          <w:p>
            <w:pPr>
              <w:spacing w:after="0"/>
              <w:rPr>
                <w:sz w:val="17"/>
                <w:szCs w:val="17"/>
                <w:color w:val="auto"/>
              </w:rPr>
            </w:pPr>
          </w:p>
        </w:tc>
        <w:tc>
          <w:tcPr>
            <w:tcW w:w="1100" w:type="dxa"/>
            <w:vAlign w:val="bottom"/>
            <w:tcBorders>
              <w:bottom w:val="single" w:sz="8" w:color="252525"/>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740" w:type="dxa"/>
            <w:vAlign w:val="bottom"/>
            <w:tcBorders>
              <w:left w:val="single" w:sz="8" w:color="252525"/>
              <w:bottom w:val="single" w:sz="8" w:color="D2D2D2"/>
              <w:right w:val="single" w:sz="8" w:color="D2D2D2"/>
            </w:tcBorders>
            <w:shd w:val="clear" w:color="auto" w:fill="D2D2D2"/>
          </w:tcPr>
          <w:p>
            <w:pPr>
              <w:spacing w:after="0"/>
              <w:rPr>
                <w:sz w:val="24"/>
                <w:szCs w:val="24"/>
                <w:color w:val="auto"/>
              </w:rPr>
            </w:pPr>
          </w:p>
        </w:tc>
        <w:tc>
          <w:tcPr>
            <w:tcW w:w="1700" w:type="dxa"/>
            <w:vAlign w:val="bottom"/>
            <w:tcBorders>
              <w:bottom w:val="single" w:sz="8" w:color="D2D2D2"/>
            </w:tcBorders>
            <w:shd w:val="clear" w:color="auto" w:fill="D2D2D2"/>
          </w:tcPr>
          <w:p>
            <w:pPr>
              <w:jc w:val="right"/>
              <w:spacing w:after="0"/>
              <w:rPr>
                <w:sz w:val="20"/>
                <w:szCs w:val="20"/>
                <w:color w:val="auto"/>
              </w:rPr>
            </w:pPr>
            <w:r>
              <w:rPr>
                <w:rFonts w:ascii="Times New Roman" w:cs="Times New Roman" w:eastAsia="Times New Roman" w:hAnsi="Times New Roman"/>
                <w:sz w:val="22"/>
                <w:szCs w:val="22"/>
                <w:color w:val="auto"/>
              </w:rPr>
              <w:t>Special Instruction</w:t>
            </w:r>
          </w:p>
        </w:tc>
        <w:tc>
          <w:tcPr>
            <w:tcW w:w="740" w:type="dxa"/>
            <w:vAlign w:val="bottom"/>
            <w:tcBorders>
              <w:left w:val="single" w:sz="8" w:color="252525"/>
            </w:tcBorders>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440" w:type="dxa"/>
            <w:vAlign w:val="bottom"/>
            <w:tcBorders>
              <w:top w:val="single" w:sz="8" w:color="auto"/>
              <w:lef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1</w:t>
            </w:r>
            <w:r>
              <w:rPr>
                <w:rFonts w:ascii="Times New Roman" w:cs="Times New Roman" w:eastAsia="Times New Roman" w:hAnsi="Times New Roman"/>
                <w:sz w:val="21"/>
                <w:szCs w:val="21"/>
                <w:b w:val="1"/>
                <w:bCs w:val="1"/>
                <w:color w:val="auto"/>
              </w:rPr>
              <w:t>In some instances it may</w:t>
            </w:r>
          </w:p>
        </w:tc>
        <w:tc>
          <w:tcPr>
            <w:tcW w:w="6060" w:type="dxa"/>
            <w:vAlign w:val="bottom"/>
            <w:tcBorders>
              <w:top w:val="single" w:sz="8" w:color="auto"/>
            </w:tcBorders>
            <w:gridSpan w:val="8"/>
          </w:tcPr>
          <w:p>
            <w:pPr>
              <w:ind w:left="20"/>
              <w:spacing w:after="0"/>
              <w:rPr>
                <w:sz w:val="20"/>
                <w:szCs w:val="20"/>
                <w:color w:val="auto"/>
              </w:rPr>
            </w:pPr>
            <w:r>
              <w:rPr>
                <w:rFonts w:ascii="Times New Roman" w:cs="Times New Roman" w:eastAsia="Times New Roman" w:hAnsi="Times New Roman"/>
                <w:sz w:val="22"/>
                <w:szCs w:val="22"/>
                <w:b w:val="1"/>
                <w:bCs w:val="1"/>
                <w:color w:val="auto"/>
              </w:rPr>
              <w:t>be appropriate to add an additional account number required.</w:t>
            </w:r>
          </w:p>
        </w:tc>
        <w:tc>
          <w:tcPr>
            <w:tcW w:w="15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500" w:type="dxa"/>
            <w:vAlign w:val="bottom"/>
            <w:tcBorders>
              <w:left w:val="single" w:sz="8" w:color="auto"/>
            </w:tcBorders>
            <w:gridSpan w:val="10"/>
          </w:tcPr>
          <w:p>
            <w:pPr>
              <w:ind w:left="80"/>
              <w:spacing w:after="0"/>
              <w:rPr>
                <w:sz w:val="20"/>
                <w:szCs w:val="20"/>
                <w:color w:val="auto"/>
              </w:rPr>
            </w:pPr>
            <w:r>
              <w:rPr>
                <w:rFonts w:ascii="Times New Roman" w:cs="Times New Roman" w:eastAsia="Times New Roman" w:hAnsi="Times New Roman"/>
                <w:sz w:val="22"/>
                <w:szCs w:val="22"/>
                <w:b w:val="1"/>
                <w:bCs w:val="1"/>
                <w:color w:val="auto"/>
              </w:rPr>
              <w:t>Consider on a case-by-case basis depending on currencies used in the underlying</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4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740" w:type="dxa"/>
            <w:vAlign w:val="bottom"/>
          </w:tcPr>
          <w:p>
            <w:pPr>
              <w:spacing w:after="0"/>
              <w:rPr>
                <w:sz w:val="24"/>
                <w:szCs w:val="24"/>
                <w:color w:val="auto"/>
              </w:rPr>
            </w:pPr>
          </w:p>
        </w:tc>
        <w:tc>
          <w:tcPr>
            <w:tcW w:w="244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820" w:type="dxa"/>
            <w:vAlign w:val="bottom"/>
            <w:tcBorders>
              <w:left w:val="single" w:sz="8" w:color="252525"/>
            </w:tcBorders>
            <w:gridSpan w:val="6"/>
            <w:shd w:val="clear" w:color="auto" w:fill="000000"/>
          </w:tcPr>
          <w:p>
            <w:pPr>
              <w:ind w:left="100"/>
              <w:spacing w:after="0"/>
              <w:rPr>
                <w:sz w:val="20"/>
                <w:szCs w:val="20"/>
                <w:color w:val="auto"/>
              </w:rPr>
            </w:pPr>
            <w:r>
              <w:rPr>
                <w:rFonts w:ascii="Times New Roman" w:cs="Times New Roman" w:eastAsia="Times New Roman" w:hAnsi="Times New Roman"/>
                <w:sz w:val="22"/>
                <w:szCs w:val="22"/>
                <w:b w:val="1"/>
                <w:bCs w:val="1"/>
                <w:color w:val="FFFFFF"/>
                <w:w w:val="98"/>
              </w:rPr>
              <w:t>SERVICE PROVIDERS &amp; THIRD-PARTY DATA ACCESS</w:t>
            </w:r>
          </w:p>
        </w:tc>
        <w:tc>
          <w:tcPr>
            <w:tcW w:w="540" w:type="dxa"/>
            <w:vAlign w:val="bottom"/>
            <w:tcBorders>
              <w:right w:val="single" w:sz="8" w:color="auto"/>
            </w:tcBorders>
            <w:shd w:val="clear" w:color="auto" w:fill="000000"/>
          </w:tcPr>
          <w:p>
            <w:pPr>
              <w:spacing w:after="0"/>
              <w:rPr>
                <w:sz w:val="24"/>
                <w:szCs w:val="24"/>
                <w:color w:val="auto"/>
              </w:rPr>
            </w:pPr>
          </w:p>
        </w:tc>
        <w:tc>
          <w:tcPr>
            <w:tcW w:w="680" w:type="dxa"/>
            <w:vAlign w:val="bottom"/>
            <w:tcBorders>
              <w:right w:val="single" w:sz="8" w:color="auto"/>
            </w:tcBorders>
            <w:shd w:val="clear" w:color="auto" w:fill="000000"/>
          </w:tcPr>
          <w:p>
            <w:pPr>
              <w:spacing w:after="0"/>
              <w:rPr>
                <w:sz w:val="24"/>
                <w:szCs w:val="24"/>
                <w:color w:val="auto"/>
              </w:rPr>
            </w:pPr>
          </w:p>
        </w:tc>
        <w:tc>
          <w:tcPr>
            <w:tcW w:w="320" w:type="dxa"/>
            <w:vAlign w:val="bottom"/>
            <w:tcBorders>
              <w:right w:val="single" w:sz="8" w:color="auto"/>
            </w:tcBorders>
            <w:shd w:val="clear" w:color="auto" w:fill="000000"/>
          </w:tcPr>
          <w:p>
            <w:pPr>
              <w:spacing w:after="0"/>
              <w:rPr>
                <w:sz w:val="24"/>
                <w:szCs w:val="24"/>
                <w:color w:val="auto"/>
              </w:rPr>
            </w:pPr>
          </w:p>
        </w:tc>
        <w:tc>
          <w:tcPr>
            <w:tcW w:w="1140" w:type="dxa"/>
            <w:vAlign w:val="bottom"/>
            <w:tcBorders>
              <w:right w:val="single" w:sz="8" w:color="auto"/>
            </w:tcBorders>
            <w:shd w:val="clear" w:color="auto" w:fill="000000"/>
          </w:tcPr>
          <w:p>
            <w:pPr>
              <w:spacing w:after="0"/>
              <w:rPr>
                <w:sz w:val="24"/>
                <w:szCs w:val="24"/>
                <w:color w:val="auto"/>
              </w:rPr>
            </w:pPr>
          </w:p>
        </w:tc>
        <w:tc>
          <w:tcPr>
            <w:tcW w:w="1560" w:type="dxa"/>
            <w:vAlign w:val="bottom"/>
            <w:tcBorders>
              <w:right w:val="single" w:sz="8" w:color="auto"/>
            </w:tcBorders>
            <w:shd w:val="clear" w:color="auto" w:fill="000000"/>
          </w:tcPr>
          <w:p>
            <w:pPr>
              <w:spacing w:after="0"/>
              <w:rPr>
                <w:sz w:val="24"/>
                <w:szCs w:val="24"/>
                <w:color w:val="auto"/>
              </w:rPr>
            </w:pPr>
          </w:p>
        </w:tc>
        <w:tc>
          <w:tcPr>
            <w:tcW w:w="1100" w:type="dxa"/>
            <w:vAlign w:val="bottom"/>
            <w:tcBorders>
              <w:right w:val="single" w:sz="8" w:color="auto"/>
            </w:tcBorders>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40" w:type="dxa"/>
            <w:vAlign w:val="bottom"/>
            <w:tcBorders>
              <w:left w:val="single" w:sz="8" w:color="252525"/>
              <w:right w:val="single" w:sz="8" w:color="auto"/>
            </w:tcBorders>
            <w:shd w:val="clear" w:color="auto" w:fill="000000"/>
          </w:tcPr>
          <w:p>
            <w:pPr>
              <w:spacing w:after="0"/>
              <w:rPr>
                <w:sz w:val="9"/>
                <w:szCs w:val="9"/>
                <w:color w:val="auto"/>
              </w:rPr>
            </w:pPr>
          </w:p>
        </w:tc>
        <w:tc>
          <w:tcPr>
            <w:tcW w:w="1700" w:type="dxa"/>
            <w:vAlign w:val="bottom"/>
            <w:shd w:val="clear" w:color="auto" w:fill="000000"/>
          </w:tcPr>
          <w:p>
            <w:pPr>
              <w:spacing w:after="0"/>
              <w:rPr>
                <w:sz w:val="9"/>
                <w:szCs w:val="9"/>
                <w:color w:val="auto"/>
              </w:rPr>
            </w:pPr>
          </w:p>
        </w:tc>
        <w:tc>
          <w:tcPr>
            <w:tcW w:w="740" w:type="dxa"/>
            <w:vAlign w:val="bottom"/>
            <w:tcBorders>
              <w:left w:val="single" w:sz="8" w:color="auto"/>
              <w:right w:val="single" w:sz="8" w:color="auto"/>
            </w:tcBorders>
            <w:shd w:val="clear" w:color="auto" w:fill="000000"/>
          </w:tcPr>
          <w:p>
            <w:pPr>
              <w:spacing w:after="0"/>
              <w:rPr>
                <w:sz w:val="9"/>
                <w:szCs w:val="9"/>
                <w:color w:val="auto"/>
              </w:rPr>
            </w:pPr>
          </w:p>
        </w:tc>
        <w:tc>
          <w:tcPr>
            <w:tcW w:w="900" w:type="dxa"/>
            <w:vAlign w:val="bottom"/>
            <w:tcBorders>
              <w:right w:val="single" w:sz="8" w:color="auto"/>
            </w:tcBorders>
            <w:shd w:val="clear" w:color="auto" w:fill="000000"/>
          </w:tcPr>
          <w:p>
            <w:pPr>
              <w:spacing w:after="0"/>
              <w:rPr>
                <w:sz w:val="9"/>
                <w:szCs w:val="9"/>
                <w:color w:val="auto"/>
              </w:rPr>
            </w:pPr>
          </w:p>
        </w:tc>
        <w:tc>
          <w:tcPr>
            <w:tcW w:w="840" w:type="dxa"/>
            <w:vAlign w:val="bottom"/>
            <w:tcBorders>
              <w:right w:val="single" w:sz="8" w:color="auto"/>
            </w:tcBorders>
            <w:shd w:val="clear" w:color="auto" w:fill="000000"/>
          </w:tcPr>
          <w:p>
            <w:pPr>
              <w:spacing w:after="0"/>
              <w:rPr>
                <w:sz w:val="9"/>
                <w:szCs w:val="9"/>
                <w:color w:val="auto"/>
              </w:rPr>
            </w:pPr>
          </w:p>
        </w:tc>
        <w:tc>
          <w:tcPr>
            <w:tcW w:w="900" w:type="dxa"/>
            <w:vAlign w:val="bottom"/>
            <w:shd w:val="clear" w:color="auto" w:fill="000000"/>
          </w:tcPr>
          <w:p>
            <w:pPr>
              <w:spacing w:after="0"/>
              <w:rPr>
                <w:sz w:val="9"/>
                <w:szCs w:val="9"/>
                <w:color w:val="auto"/>
              </w:rPr>
            </w:pPr>
          </w:p>
        </w:tc>
        <w:tc>
          <w:tcPr>
            <w:tcW w:w="540" w:type="dxa"/>
            <w:vAlign w:val="bottom"/>
            <w:tcBorders>
              <w:right w:val="single" w:sz="8" w:color="auto"/>
            </w:tcBorders>
            <w:shd w:val="clear" w:color="auto" w:fill="000000"/>
          </w:tcPr>
          <w:p>
            <w:pPr>
              <w:spacing w:after="0"/>
              <w:rPr>
                <w:sz w:val="9"/>
                <w:szCs w:val="9"/>
                <w:color w:val="auto"/>
              </w:rPr>
            </w:pPr>
          </w:p>
        </w:tc>
        <w:tc>
          <w:tcPr>
            <w:tcW w:w="680" w:type="dxa"/>
            <w:vAlign w:val="bottom"/>
            <w:tcBorders>
              <w:right w:val="single" w:sz="8" w:color="auto"/>
            </w:tcBorders>
            <w:shd w:val="clear" w:color="auto" w:fill="000000"/>
          </w:tcPr>
          <w:p>
            <w:pPr>
              <w:spacing w:after="0"/>
              <w:rPr>
                <w:sz w:val="9"/>
                <w:szCs w:val="9"/>
                <w:color w:val="auto"/>
              </w:rPr>
            </w:pPr>
          </w:p>
        </w:tc>
        <w:tc>
          <w:tcPr>
            <w:tcW w:w="320" w:type="dxa"/>
            <w:vAlign w:val="bottom"/>
            <w:tcBorders>
              <w:right w:val="single" w:sz="8" w:color="auto"/>
            </w:tcBorders>
            <w:shd w:val="clear" w:color="auto" w:fill="000000"/>
          </w:tcPr>
          <w:p>
            <w:pPr>
              <w:spacing w:after="0"/>
              <w:rPr>
                <w:sz w:val="9"/>
                <w:szCs w:val="9"/>
                <w:color w:val="auto"/>
              </w:rPr>
            </w:pPr>
          </w:p>
        </w:tc>
        <w:tc>
          <w:tcPr>
            <w:tcW w:w="1140" w:type="dxa"/>
            <w:vAlign w:val="bottom"/>
            <w:tcBorders>
              <w:right w:val="single" w:sz="8" w:color="auto"/>
            </w:tcBorders>
            <w:shd w:val="clear" w:color="auto" w:fill="000000"/>
          </w:tcPr>
          <w:p>
            <w:pPr>
              <w:spacing w:after="0"/>
              <w:rPr>
                <w:sz w:val="9"/>
                <w:szCs w:val="9"/>
                <w:color w:val="auto"/>
              </w:rPr>
            </w:pPr>
          </w:p>
        </w:tc>
        <w:tc>
          <w:tcPr>
            <w:tcW w:w="1560" w:type="dxa"/>
            <w:vAlign w:val="bottom"/>
            <w:tcBorders>
              <w:right w:val="single" w:sz="8" w:color="auto"/>
            </w:tcBorders>
            <w:shd w:val="clear" w:color="auto" w:fill="000000"/>
          </w:tcPr>
          <w:p>
            <w:pPr>
              <w:spacing w:after="0"/>
              <w:rPr>
                <w:sz w:val="9"/>
                <w:szCs w:val="9"/>
                <w:color w:val="auto"/>
              </w:rPr>
            </w:pPr>
          </w:p>
        </w:tc>
        <w:tc>
          <w:tcPr>
            <w:tcW w:w="1100" w:type="dxa"/>
            <w:vAlign w:val="bottom"/>
            <w:tcBorders>
              <w:right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740" w:type="dxa"/>
            <w:vAlign w:val="bottom"/>
            <w:tcBorders>
              <w:left w:val="single" w:sz="8" w:color="252525"/>
              <w:right w:val="single" w:sz="8" w:color="DBDBDB"/>
            </w:tcBorders>
            <w:shd w:val="clear" w:color="auto" w:fill="DBDBDB"/>
          </w:tcPr>
          <w:p>
            <w:pPr>
              <w:spacing w:after="0"/>
              <w:rPr>
                <w:sz w:val="24"/>
                <w:szCs w:val="24"/>
                <w:color w:val="auto"/>
              </w:rPr>
            </w:pPr>
          </w:p>
        </w:tc>
        <w:tc>
          <w:tcPr>
            <w:tcW w:w="1700" w:type="dxa"/>
            <w:vAlign w:val="bottom"/>
            <w:shd w:val="clear" w:color="auto" w:fill="DBDBDB"/>
          </w:tcPr>
          <w:p>
            <w:pPr>
              <w:spacing w:after="0"/>
              <w:rPr>
                <w:sz w:val="24"/>
                <w:szCs w:val="24"/>
                <w:color w:val="auto"/>
              </w:rPr>
            </w:pPr>
          </w:p>
        </w:tc>
        <w:tc>
          <w:tcPr>
            <w:tcW w:w="740" w:type="dxa"/>
            <w:vAlign w:val="bottom"/>
            <w:tcBorders>
              <w:left w:val="single" w:sz="8" w:color="DBDBDB"/>
              <w:right w:val="single" w:sz="8" w:color="DBDBDB"/>
            </w:tcBorders>
            <w:shd w:val="clear" w:color="auto" w:fill="DBDBDB"/>
          </w:tcPr>
          <w:p>
            <w:pPr>
              <w:spacing w:after="0"/>
              <w:rPr>
                <w:sz w:val="24"/>
                <w:szCs w:val="24"/>
                <w:color w:val="auto"/>
              </w:rPr>
            </w:pPr>
          </w:p>
        </w:tc>
        <w:tc>
          <w:tcPr>
            <w:tcW w:w="900" w:type="dxa"/>
            <w:vAlign w:val="bottom"/>
            <w:tcBorders>
              <w:right w:val="single" w:sz="8" w:color="DBDBDB"/>
            </w:tcBorders>
            <w:shd w:val="clear" w:color="auto" w:fill="DBDBDB"/>
          </w:tcPr>
          <w:p>
            <w:pPr>
              <w:spacing w:after="0"/>
              <w:rPr>
                <w:sz w:val="24"/>
                <w:szCs w:val="24"/>
                <w:color w:val="auto"/>
              </w:rPr>
            </w:pPr>
          </w:p>
        </w:tc>
        <w:tc>
          <w:tcPr>
            <w:tcW w:w="840" w:type="dxa"/>
            <w:vAlign w:val="bottom"/>
            <w:tcBorders>
              <w:right w:val="single" w:sz="8" w:color="DBDBDB"/>
            </w:tcBorders>
            <w:shd w:val="clear" w:color="auto" w:fill="DBDBDB"/>
          </w:tcPr>
          <w:p>
            <w:pPr>
              <w:spacing w:after="0"/>
              <w:rPr>
                <w:sz w:val="24"/>
                <w:szCs w:val="24"/>
                <w:color w:val="auto"/>
              </w:rPr>
            </w:pPr>
          </w:p>
        </w:tc>
        <w:tc>
          <w:tcPr>
            <w:tcW w:w="900" w:type="dxa"/>
            <w:vAlign w:val="bottom"/>
            <w:shd w:val="clear" w:color="auto" w:fill="DBDBDB"/>
          </w:tcPr>
          <w:p>
            <w:pPr>
              <w:spacing w:after="0"/>
              <w:rPr>
                <w:sz w:val="24"/>
                <w:szCs w:val="24"/>
                <w:color w:val="auto"/>
              </w:rPr>
            </w:pPr>
          </w:p>
        </w:tc>
        <w:tc>
          <w:tcPr>
            <w:tcW w:w="540" w:type="dxa"/>
            <w:vAlign w:val="bottom"/>
            <w:tcBorders>
              <w:right w:val="single" w:sz="8" w:color="DBDBDB"/>
            </w:tcBorders>
            <w:shd w:val="clear" w:color="auto" w:fill="DBDBDB"/>
          </w:tcPr>
          <w:p>
            <w:pPr>
              <w:spacing w:after="0"/>
              <w:rPr>
                <w:sz w:val="24"/>
                <w:szCs w:val="24"/>
                <w:color w:val="auto"/>
              </w:rPr>
            </w:pPr>
          </w:p>
        </w:tc>
        <w:tc>
          <w:tcPr>
            <w:tcW w:w="680" w:type="dxa"/>
            <w:vAlign w:val="bottom"/>
            <w:tcBorders>
              <w:right w:val="single" w:sz="8" w:color="DBDBDB"/>
            </w:tcBorders>
            <w:shd w:val="clear" w:color="auto" w:fill="DBDBDB"/>
          </w:tcPr>
          <w:p>
            <w:pPr>
              <w:spacing w:after="0"/>
              <w:rPr>
                <w:sz w:val="24"/>
                <w:szCs w:val="24"/>
                <w:color w:val="auto"/>
              </w:rPr>
            </w:pPr>
          </w:p>
        </w:tc>
        <w:tc>
          <w:tcPr>
            <w:tcW w:w="320" w:type="dxa"/>
            <w:vAlign w:val="bottom"/>
            <w:tcBorders>
              <w:right w:val="single" w:sz="8" w:color="DBDBDB"/>
            </w:tcBorders>
            <w:shd w:val="clear" w:color="auto" w:fill="DBDBDB"/>
          </w:tcPr>
          <w:p>
            <w:pPr>
              <w:spacing w:after="0"/>
              <w:rPr>
                <w:sz w:val="24"/>
                <w:szCs w:val="24"/>
                <w:color w:val="auto"/>
              </w:rPr>
            </w:pPr>
          </w:p>
        </w:tc>
        <w:tc>
          <w:tcPr>
            <w:tcW w:w="1140" w:type="dxa"/>
            <w:vAlign w:val="bottom"/>
            <w:tcBorders>
              <w:right w:val="single" w:sz="8" w:color="auto"/>
            </w:tcBorders>
            <w:shd w:val="clear" w:color="auto" w:fill="DBDBDB"/>
          </w:tcPr>
          <w:p>
            <w:pPr>
              <w:spacing w:after="0"/>
              <w:rPr>
                <w:sz w:val="24"/>
                <w:szCs w:val="24"/>
                <w:color w:val="auto"/>
              </w:rPr>
            </w:pPr>
          </w:p>
        </w:tc>
        <w:tc>
          <w:tcPr>
            <w:tcW w:w="1560" w:type="dxa"/>
            <w:vAlign w:val="bottom"/>
            <w:tcBorders>
              <w:right w:val="single" w:sz="8" w:color="auto"/>
            </w:tcBorders>
            <w:vMerge w:val="restart"/>
            <w:shd w:val="clear" w:color="auto" w:fill="DBDBDB"/>
          </w:tcPr>
          <w:p>
            <w:pPr>
              <w:ind w:left="180"/>
              <w:spacing w:after="0"/>
              <w:rPr>
                <w:sz w:val="20"/>
                <w:szCs w:val="20"/>
                <w:color w:val="auto"/>
              </w:rPr>
            </w:pPr>
            <w:r>
              <w:rPr>
                <w:rFonts w:ascii="Times New Roman" w:cs="Times New Roman" w:eastAsia="Times New Roman" w:hAnsi="Times New Roman"/>
                <w:sz w:val="22"/>
                <w:szCs w:val="22"/>
                <w:i w:val="1"/>
                <w:iCs w:val="1"/>
                <w:color w:val="auto"/>
              </w:rPr>
              <w:t>Doc.</w:t>
            </w:r>
          </w:p>
        </w:tc>
        <w:tc>
          <w:tcPr>
            <w:tcW w:w="1100" w:type="dxa"/>
            <w:vAlign w:val="bottom"/>
            <w:tcBorders>
              <w:right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22"/>
                <w:szCs w:val="22"/>
                <w:i w:val="1"/>
                <w:iCs w:val="1"/>
                <w:color w:val="auto"/>
              </w:rPr>
              <w:t>Recon</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40" w:type="dxa"/>
            <w:vAlign w:val="bottom"/>
            <w:tcBorders>
              <w:left w:val="single" w:sz="8" w:color="252525"/>
              <w:right w:val="single" w:sz="8" w:color="DBDBDB"/>
            </w:tcBorders>
            <w:shd w:val="clear" w:color="auto" w:fill="DBDBDB"/>
          </w:tcPr>
          <w:p>
            <w:pPr>
              <w:spacing w:after="0"/>
              <w:rPr>
                <w:sz w:val="13"/>
                <w:szCs w:val="13"/>
                <w:color w:val="auto"/>
              </w:rPr>
            </w:pPr>
          </w:p>
        </w:tc>
        <w:tc>
          <w:tcPr>
            <w:tcW w:w="1700" w:type="dxa"/>
            <w:vAlign w:val="bottom"/>
            <w:shd w:val="clear" w:color="auto" w:fill="DBDBDB"/>
          </w:tcPr>
          <w:p>
            <w:pPr>
              <w:spacing w:after="0"/>
              <w:rPr>
                <w:sz w:val="13"/>
                <w:szCs w:val="13"/>
                <w:color w:val="auto"/>
              </w:rPr>
            </w:pPr>
          </w:p>
        </w:tc>
        <w:tc>
          <w:tcPr>
            <w:tcW w:w="740" w:type="dxa"/>
            <w:vAlign w:val="bottom"/>
            <w:tcBorders>
              <w:left w:val="single" w:sz="8" w:color="DBDBDB"/>
              <w:right w:val="single" w:sz="8" w:color="DBDBDB"/>
            </w:tcBorders>
            <w:shd w:val="clear" w:color="auto" w:fill="DBDBDB"/>
          </w:tcPr>
          <w:p>
            <w:pPr>
              <w:spacing w:after="0"/>
              <w:rPr>
                <w:sz w:val="13"/>
                <w:szCs w:val="13"/>
                <w:color w:val="auto"/>
              </w:rPr>
            </w:pPr>
          </w:p>
        </w:tc>
        <w:tc>
          <w:tcPr>
            <w:tcW w:w="900" w:type="dxa"/>
            <w:vAlign w:val="bottom"/>
            <w:tcBorders>
              <w:right w:val="single" w:sz="8" w:color="DBDBDB"/>
            </w:tcBorders>
            <w:shd w:val="clear" w:color="auto" w:fill="DBDBDB"/>
          </w:tcPr>
          <w:p>
            <w:pPr>
              <w:spacing w:after="0"/>
              <w:rPr>
                <w:sz w:val="13"/>
                <w:szCs w:val="13"/>
                <w:color w:val="auto"/>
              </w:rPr>
            </w:pPr>
          </w:p>
        </w:tc>
        <w:tc>
          <w:tcPr>
            <w:tcW w:w="840" w:type="dxa"/>
            <w:vAlign w:val="bottom"/>
            <w:tcBorders>
              <w:right w:val="single" w:sz="8" w:color="DBDBDB"/>
            </w:tcBorders>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540" w:type="dxa"/>
            <w:vAlign w:val="bottom"/>
            <w:tcBorders>
              <w:right w:val="single" w:sz="8" w:color="DBDBDB"/>
            </w:tcBorders>
            <w:shd w:val="clear" w:color="auto" w:fill="DBDBDB"/>
          </w:tcPr>
          <w:p>
            <w:pPr>
              <w:spacing w:after="0"/>
              <w:rPr>
                <w:sz w:val="13"/>
                <w:szCs w:val="13"/>
                <w:color w:val="auto"/>
              </w:rPr>
            </w:pPr>
          </w:p>
        </w:tc>
        <w:tc>
          <w:tcPr>
            <w:tcW w:w="680" w:type="dxa"/>
            <w:vAlign w:val="bottom"/>
            <w:tcBorders>
              <w:right w:val="single" w:sz="8" w:color="DBDBDB"/>
            </w:tcBorders>
            <w:shd w:val="clear" w:color="auto" w:fill="DBDBDB"/>
          </w:tcPr>
          <w:p>
            <w:pPr>
              <w:spacing w:after="0"/>
              <w:rPr>
                <w:sz w:val="13"/>
                <w:szCs w:val="13"/>
                <w:color w:val="auto"/>
              </w:rPr>
            </w:pPr>
          </w:p>
        </w:tc>
        <w:tc>
          <w:tcPr>
            <w:tcW w:w="320" w:type="dxa"/>
            <w:vAlign w:val="bottom"/>
            <w:tcBorders>
              <w:right w:val="single" w:sz="8" w:color="DBDBDB"/>
            </w:tcBorders>
            <w:shd w:val="clear" w:color="auto" w:fill="DBDBDB"/>
          </w:tcPr>
          <w:p>
            <w:pPr>
              <w:spacing w:after="0"/>
              <w:rPr>
                <w:sz w:val="13"/>
                <w:szCs w:val="13"/>
                <w:color w:val="auto"/>
              </w:rPr>
            </w:pPr>
          </w:p>
        </w:tc>
        <w:tc>
          <w:tcPr>
            <w:tcW w:w="1140" w:type="dxa"/>
            <w:vAlign w:val="bottom"/>
            <w:tcBorders>
              <w:right w:val="single" w:sz="8" w:color="auto"/>
            </w:tcBorders>
            <w:shd w:val="clear" w:color="auto" w:fill="DBDBDB"/>
          </w:tcPr>
          <w:p>
            <w:pPr>
              <w:spacing w:after="0"/>
              <w:rPr>
                <w:sz w:val="13"/>
                <w:szCs w:val="13"/>
                <w:color w:val="auto"/>
              </w:rPr>
            </w:pPr>
          </w:p>
        </w:tc>
        <w:tc>
          <w:tcPr>
            <w:tcW w:w="1560" w:type="dxa"/>
            <w:vAlign w:val="bottom"/>
            <w:tcBorders>
              <w:right w:val="single" w:sz="8" w:color="auto"/>
            </w:tcBorders>
            <w:vMerge w:val="continue"/>
            <w:shd w:val="clear" w:color="auto" w:fill="DBDBDB"/>
          </w:tcPr>
          <w:p>
            <w:pPr>
              <w:spacing w:after="0"/>
              <w:rPr>
                <w:sz w:val="13"/>
                <w:szCs w:val="13"/>
                <w:color w:val="auto"/>
              </w:rPr>
            </w:pPr>
          </w:p>
        </w:tc>
        <w:tc>
          <w:tcPr>
            <w:tcW w:w="1100" w:type="dxa"/>
            <w:vAlign w:val="bottom"/>
            <w:tcBorders>
              <w:right w:val="single" w:sz="8" w:color="auto"/>
            </w:tcBorders>
            <w:vMerge w:val="restart"/>
            <w:shd w:val="clear" w:color="auto" w:fill="DBDBDB"/>
          </w:tcPr>
          <w:p>
            <w:pPr>
              <w:ind w:left="180"/>
              <w:spacing w:after="0" w:line="226" w:lineRule="exact"/>
              <w:rPr>
                <w:sz w:val="20"/>
                <w:szCs w:val="20"/>
                <w:color w:val="auto"/>
              </w:rPr>
            </w:pPr>
            <w:r>
              <w:rPr>
                <w:rFonts w:ascii="Times New Roman" w:cs="Times New Roman" w:eastAsia="Times New Roman" w:hAnsi="Times New Roman"/>
                <w:sz w:val="22"/>
                <w:szCs w:val="22"/>
                <w:i w:val="1"/>
                <w:iCs w:val="1"/>
                <w:color w:val="auto"/>
              </w:rPr>
              <w:t>&amp;</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740" w:type="dxa"/>
            <w:vAlign w:val="bottom"/>
            <w:tcBorders>
              <w:left w:val="single" w:sz="8" w:color="252525"/>
              <w:right w:val="single" w:sz="8" w:color="DBDBDB"/>
            </w:tcBorders>
            <w:shd w:val="clear" w:color="auto" w:fill="DBDBDB"/>
          </w:tcPr>
          <w:p>
            <w:pPr>
              <w:spacing w:after="0"/>
              <w:rPr>
                <w:sz w:val="6"/>
                <w:szCs w:val="6"/>
                <w:color w:val="auto"/>
              </w:rPr>
            </w:pPr>
          </w:p>
        </w:tc>
        <w:tc>
          <w:tcPr>
            <w:tcW w:w="1700" w:type="dxa"/>
            <w:vAlign w:val="bottom"/>
            <w:shd w:val="clear" w:color="auto" w:fill="DBDBDB"/>
          </w:tcPr>
          <w:p>
            <w:pPr>
              <w:spacing w:after="0"/>
              <w:rPr>
                <w:sz w:val="6"/>
                <w:szCs w:val="6"/>
                <w:color w:val="auto"/>
              </w:rPr>
            </w:pPr>
          </w:p>
        </w:tc>
        <w:tc>
          <w:tcPr>
            <w:tcW w:w="740" w:type="dxa"/>
            <w:vAlign w:val="bottom"/>
            <w:tcBorders>
              <w:left w:val="single" w:sz="8" w:color="DBDBDB"/>
              <w:right w:val="single" w:sz="8" w:color="DBDBDB"/>
            </w:tcBorders>
            <w:shd w:val="clear" w:color="auto" w:fill="DBDBDB"/>
          </w:tcPr>
          <w:p>
            <w:pPr>
              <w:spacing w:after="0"/>
              <w:rPr>
                <w:sz w:val="6"/>
                <w:szCs w:val="6"/>
                <w:color w:val="auto"/>
              </w:rPr>
            </w:pPr>
          </w:p>
        </w:tc>
        <w:tc>
          <w:tcPr>
            <w:tcW w:w="900" w:type="dxa"/>
            <w:vAlign w:val="bottom"/>
            <w:tcBorders>
              <w:right w:val="single" w:sz="8" w:color="DBDBDB"/>
            </w:tcBorders>
            <w:shd w:val="clear" w:color="auto" w:fill="DBDBDB"/>
          </w:tcPr>
          <w:p>
            <w:pPr>
              <w:spacing w:after="0"/>
              <w:rPr>
                <w:sz w:val="6"/>
                <w:szCs w:val="6"/>
                <w:color w:val="auto"/>
              </w:rPr>
            </w:pPr>
          </w:p>
        </w:tc>
        <w:tc>
          <w:tcPr>
            <w:tcW w:w="840" w:type="dxa"/>
            <w:vAlign w:val="bottom"/>
            <w:tcBorders>
              <w:right w:val="single" w:sz="8" w:color="DBDBDB"/>
            </w:tcBorders>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540" w:type="dxa"/>
            <w:vAlign w:val="bottom"/>
            <w:tcBorders>
              <w:right w:val="single" w:sz="8" w:color="DBDBDB"/>
            </w:tcBorders>
            <w:shd w:val="clear" w:color="auto" w:fill="DBDBDB"/>
          </w:tcPr>
          <w:p>
            <w:pPr>
              <w:spacing w:after="0"/>
              <w:rPr>
                <w:sz w:val="6"/>
                <w:szCs w:val="6"/>
                <w:color w:val="auto"/>
              </w:rPr>
            </w:pPr>
          </w:p>
        </w:tc>
        <w:tc>
          <w:tcPr>
            <w:tcW w:w="680" w:type="dxa"/>
            <w:vAlign w:val="bottom"/>
            <w:tcBorders>
              <w:right w:val="single" w:sz="8" w:color="DBDBDB"/>
            </w:tcBorders>
            <w:shd w:val="clear" w:color="auto" w:fill="DBDBDB"/>
          </w:tcPr>
          <w:p>
            <w:pPr>
              <w:spacing w:after="0"/>
              <w:rPr>
                <w:sz w:val="6"/>
                <w:szCs w:val="6"/>
                <w:color w:val="auto"/>
              </w:rPr>
            </w:pPr>
          </w:p>
        </w:tc>
        <w:tc>
          <w:tcPr>
            <w:tcW w:w="320" w:type="dxa"/>
            <w:vAlign w:val="bottom"/>
            <w:tcBorders>
              <w:right w:val="single" w:sz="8" w:color="DBDBDB"/>
            </w:tcBorders>
            <w:shd w:val="clear" w:color="auto" w:fill="DBDBDB"/>
          </w:tcPr>
          <w:p>
            <w:pPr>
              <w:spacing w:after="0"/>
              <w:rPr>
                <w:sz w:val="6"/>
                <w:szCs w:val="6"/>
                <w:color w:val="auto"/>
              </w:rPr>
            </w:pPr>
          </w:p>
        </w:tc>
        <w:tc>
          <w:tcPr>
            <w:tcW w:w="1140" w:type="dxa"/>
            <w:vAlign w:val="bottom"/>
            <w:tcBorders>
              <w:right w:val="single" w:sz="8" w:color="auto"/>
            </w:tcBorders>
            <w:shd w:val="clear" w:color="auto" w:fill="DBDBDB"/>
          </w:tcPr>
          <w:p>
            <w:pPr>
              <w:spacing w:after="0"/>
              <w:rPr>
                <w:sz w:val="6"/>
                <w:szCs w:val="6"/>
                <w:color w:val="auto"/>
              </w:rPr>
            </w:pPr>
          </w:p>
        </w:tc>
        <w:tc>
          <w:tcPr>
            <w:tcW w:w="1560" w:type="dxa"/>
            <w:vAlign w:val="bottom"/>
            <w:tcBorders>
              <w:right w:val="single" w:sz="8" w:color="auto"/>
            </w:tcBorders>
            <w:shd w:val="clear" w:color="auto" w:fill="DBDBDB"/>
          </w:tcPr>
          <w:p>
            <w:pPr>
              <w:spacing w:after="0"/>
              <w:rPr>
                <w:sz w:val="6"/>
                <w:szCs w:val="6"/>
                <w:color w:val="auto"/>
              </w:rPr>
            </w:pPr>
          </w:p>
        </w:tc>
        <w:tc>
          <w:tcPr>
            <w:tcW w:w="1100" w:type="dxa"/>
            <w:vAlign w:val="bottom"/>
            <w:tcBorders>
              <w:right w:val="single" w:sz="8" w:color="auto"/>
            </w:tcBorders>
            <w:vMerge w:val="continue"/>
            <w:shd w:val="clear" w:color="auto" w:fill="DBDBDB"/>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740" w:type="dxa"/>
            <w:vAlign w:val="bottom"/>
            <w:tcBorders>
              <w:left w:val="single" w:sz="8" w:color="252525"/>
              <w:bottom w:val="single" w:sz="8" w:color="252525"/>
              <w:right w:val="single" w:sz="8" w:color="DBDBDB"/>
            </w:tcBorders>
            <w:shd w:val="clear" w:color="auto" w:fill="DBDBDB"/>
          </w:tcPr>
          <w:p>
            <w:pPr>
              <w:spacing w:after="0"/>
              <w:rPr>
                <w:sz w:val="22"/>
                <w:szCs w:val="22"/>
                <w:color w:val="auto"/>
              </w:rPr>
            </w:pPr>
          </w:p>
        </w:tc>
        <w:tc>
          <w:tcPr>
            <w:tcW w:w="1700" w:type="dxa"/>
            <w:vAlign w:val="bottom"/>
            <w:tcBorders>
              <w:bottom w:val="single" w:sz="8" w:color="252525"/>
            </w:tcBorders>
            <w:shd w:val="clear" w:color="auto" w:fill="DBDBDB"/>
          </w:tcPr>
          <w:p>
            <w:pPr>
              <w:spacing w:after="0"/>
              <w:rPr>
                <w:sz w:val="22"/>
                <w:szCs w:val="22"/>
                <w:color w:val="auto"/>
              </w:rPr>
            </w:pPr>
          </w:p>
        </w:tc>
        <w:tc>
          <w:tcPr>
            <w:tcW w:w="740" w:type="dxa"/>
            <w:vAlign w:val="bottom"/>
            <w:tcBorders>
              <w:left w:val="single" w:sz="8" w:color="DBDBDB"/>
              <w:bottom w:val="single" w:sz="8" w:color="252525"/>
              <w:right w:val="single" w:sz="8" w:color="DBDBDB"/>
            </w:tcBorders>
            <w:shd w:val="clear" w:color="auto" w:fill="DBDBDB"/>
          </w:tcPr>
          <w:p>
            <w:pPr>
              <w:spacing w:after="0"/>
              <w:rPr>
                <w:sz w:val="22"/>
                <w:szCs w:val="22"/>
                <w:color w:val="auto"/>
              </w:rPr>
            </w:pPr>
          </w:p>
        </w:tc>
        <w:tc>
          <w:tcPr>
            <w:tcW w:w="900" w:type="dxa"/>
            <w:vAlign w:val="bottom"/>
            <w:tcBorders>
              <w:bottom w:val="single" w:sz="8" w:color="252525"/>
              <w:right w:val="single" w:sz="8" w:color="DBDBDB"/>
            </w:tcBorders>
            <w:shd w:val="clear" w:color="auto" w:fill="DBDBDB"/>
          </w:tcPr>
          <w:p>
            <w:pPr>
              <w:spacing w:after="0"/>
              <w:rPr>
                <w:sz w:val="22"/>
                <w:szCs w:val="22"/>
                <w:color w:val="auto"/>
              </w:rPr>
            </w:pPr>
          </w:p>
        </w:tc>
        <w:tc>
          <w:tcPr>
            <w:tcW w:w="840" w:type="dxa"/>
            <w:vAlign w:val="bottom"/>
            <w:tcBorders>
              <w:bottom w:val="single" w:sz="8" w:color="252525"/>
              <w:right w:val="single" w:sz="8" w:color="DBDBDB"/>
            </w:tcBorders>
            <w:shd w:val="clear" w:color="auto" w:fill="DBDBDB"/>
          </w:tcPr>
          <w:p>
            <w:pPr>
              <w:spacing w:after="0"/>
              <w:rPr>
                <w:sz w:val="22"/>
                <w:szCs w:val="22"/>
                <w:color w:val="auto"/>
              </w:rPr>
            </w:pPr>
          </w:p>
        </w:tc>
        <w:tc>
          <w:tcPr>
            <w:tcW w:w="900" w:type="dxa"/>
            <w:vAlign w:val="bottom"/>
            <w:tcBorders>
              <w:bottom w:val="single" w:sz="8" w:color="252525"/>
            </w:tcBorders>
            <w:shd w:val="clear" w:color="auto" w:fill="DBDBDB"/>
          </w:tcPr>
          <w:p>
            <w:pPr>
              <w:spacing w:after="0"/>
              <w:rPr>
                <w:sz w:val="22"/>
                <w:szCs w:val="22"/>
                <w:color w:val="auto"/>
              </w:rPr>
            </w:pPr>
          </w:p>
        </w:tc>
        <w:tc>
          <w:tcPr>
            <w:tcW w:w="540" w:type="dxa"/>
            <w:vAlign w:val="bottom"/>
            <w:tcBorders>
              <w:bottom w:val="single" w:sz="8" w:color="252525"/>
              <w:right w:val="single" w:sz="8" w:color="DBDBDB"/>
            </w:tcBorders>
            <w:shd w:val="clear" w:color="auto" w:fill="DBDBDB"/>
          </w:tcPr>
          <w:p>
            <w:pPr>
              <w:spacing w:after="0"/>
              <w:rPr>
                <w:sz w:val="22"/>
                <w:szCs w:val="22"/>
                <w:color w:val="auto"/>
              </w:rPr>
            </w:pPr>
          </w:p>
        </w:tc>
        <w:tc>
          <w:tcPr>
            <w:tcW w:w="680" w:type="dxa"/>
            <w:vAlign w:val="bottom"/>
            <w:tcBorders>
              <w:bottom w:val="single" w:sz="8" w:color="252525"/>
              <w:right w:val="single" w:sz="8" w:color="DBDBDB"/>
            </w:tcBorders>
            <w:shd w:val="clear" w:color="auto" w:fill="DBDBDB"/>
          </w:tcPr>
          <w:p>
            <w:pPr>
              <w:spacing w:after="0"/>
              <w:rPr>
                <w:sz w:val="22"/>
                <w:szCs w:val="22"/>
                <w:color w:val="auto"/>
              </w:rPr>
            </w:pPr>
          </w:p>
        </w:tc>
        <w:tc>
          <w:tcPr>
            <w:tcW w:w="320" w:type="dxa"/>
            <w:vAlign w:val="bottom"/>
            <w:tcBorders>
              <w:bottom w:val="single" w:sz="8" w:color="252525"/>
              <w:right w:val="single" w:sz="8" w:color="DBDBDB"/>
            </w:tcBorders>
            <w:shd w:val="clear" w:color="auto" w:fill="DBDBDB"/>
          </w:tcPr>
          <w:p>
            <w:pPr>
              <w:spacing w:after="0"/>
              <w:rPr>
                <w:sz w:val="22"/>
                <w:szCs w:val="22"/>
                <w:color w:val="auto"/>
              </w:rPr>
            </w:pPr>
          </w:p>
        </w:tc>
        <w:tc>
          <w:tcPr>
            <w:tcW w:w="1140" w:type="dxa"/>
            <w:vAlign w:val="bottom"/>
            <w:tcBorders>
              <w:bottom w:val="single" w:sz="8" w:color="252525"/>
              <w:right w:val="single" w:sz="8" w:color="auto"/>
            </w:tcBorders>
            <w:shd w:val="clear" w:color="auto" w:fill="DBDBDB"/>
          </w:tcPr>
          <w:p>
            <w:pPr>
              <w:spacing w:after="0"/>
              <w:rPr>
                <w:sz w:val="22"/>
                <w:szCs w:val="22"/>
                <w:color w:val="auto"/>
              </w:rPr>
            </w:pPr>
          </w:p>
        </w:tc>
        <w:tc>
          <w:tcPr>
            <w:tcW w:w="1560" w:type="dxa"/>
            <w:vAlign w:val="bottom"/>
            <w:tcBorders>
              <w:bottom w:val="single" w:sz="8" w:color="auto"/>
              <w:right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22"/>
                <w:szCs w:val="22"/>
                <w:i w:val="1"/>
                <w:iCs w:val="1"/>
                <w:color w:val="auto"/>
              </w:rPr>
              <w:t>Delivery</w:t>
            </w:r>
          </w:p>
        </w:tc>
        <w:tc>
          <w:tcPr>
            <w:tcW w:w="1100" w:type="dxa"/>
            <w:vAlign w:val="bottom"/>
            <w:tcBorders>
              <w:bottom w:val="single" w:sz="8" w:color="auto"/>
              <w:right w:val="single" w:sz="8" w:color="auto"/>
            </w:tcBorders>
            <w:shd w:val="clear" w:color="auto" w:fill="DBDBDB"/>
          </w:tcPr>
          <w:p>
            <w:pPr>
              <w:ind w:left="60"/>
              <w:spacing w:after="0"/>
              <w:rPr>
                <w:sz w:val="20"/>
                <w:szCs w:val="20"/>
                <w:color w:val="auto"/>
              </w:rPr>
            </w:pPr>
            <w:r>
              <w:rPr>
                <w:rFonts w:ascii="Times New Roman" w:cs="Times New Roman" w:eastAsia="Times New Roman" w:hAnsi="Times New Roman"/>
                <w:sz w:val="22"/>
                <w:szCs w:val="22"/>
                <w:i w:val="1"/>
                <w:iCs w:val="1"/>
                <w:color w:val="auto"/>
              </w:rPr>
              <w:t>Inventory</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40" w:type="dxa"/>
            <w:vAlign w:val="bottom"/>
            <w:tcBorders>
              <w:left w:val="single" w:sz="8" w:color="252525"/>
              <w:right w:val="single" w:sz="8" w:color="252525"/>
            </w:tcBorders>
            <w:vMerge w:val="restart"/>
            <w:shd w:val="clear" w:color="auto" w:fill="D2D2D2"/>
          </w:tcPr>
          <w:p>
            <w:pPr>
              <w:ind w:left="300"/>
              <w:spacing w:after="0"/>
              <w:rPr>
                <w:sz w:val="20"/>
                <w:szCs w:val="20"/>
                <w:color w:val="auto"/>
              </w:rPr>
            </w:pPr>
            <w:r>
              <w:rPr>
                <w:rFonts w:ascii="Times New Roman" w:cs="Times New Roman" w:eastAsia="Times New Roman" w:hAnsi="Times New Roman"/>
                <w:sz w:val="22"/>
                <w:szCs w:val="22"/>
                <w:color w:val="auto"/>
                <w:w w:val="96"/>
              </w:rPr>
              <w:t>Role</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Custodian/Trustee</w:t>
            </w:r>
          </w:p>
        </w:tc>
        <w:tc>
          <w:tcPr>
            <w:tcW w:w="740" w:type="dxa"/>
            <w:vAlign w:val="bottom"/>
            <w:tcBorders>
              <w:right w:val="single" w:sz="8" w:color="252525"/>
            </w:tcBorders>
          </w:tcPr>
          <w:p>
            <w:pPr>
              <w:spacing w:after="0"/>
              <w:rPr>
                <w:sz w:val="24"/>
                <w:szCs w:val="24"/>
                <w:color w:val="auto"/>
              </w:rPr>
            </w:pPr>
          </w:p>
        </w:tc>
        <w:tc>
          <w:tcPr>
            <w:tcW w:w="900" w:type="dxa"/>
            <w:vAlign w:val="bottom"/>
            <w:tcBorders>
              <w:right w:val="single" w:sz="8" w:color="252525"/>
            </w:tcBorders>
            <w:vMerge w:val="restart"/>
            <w:shd w:val="clear" w:color="auto" w:fill="D2D2D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i w:val="1"/>
                <w:iCs w:val="1"/>
                <w:color w:val="808080"/>
              </w:rPr>
              <w:t>Name of Company</w:t>
            </w:r>
          </w:p>
        </w:tc>
        <w:tc>
          <w:tcPr>
            <w:tcW w:w="540" w:type="dxa"/>
            <w:vAlign w:val="bottom"/>
            <w:tcBorders>
              <w:right w:val="single" w:sz="8" w:color="252525"/>
            </w:tcBorders>
          </w:tcPr>
          <w:p>
            <w:pPr>
              <w:spacing w:after="0"/>
              <w:rPr>
                <w:sz w:val="24"/>
                <w:szCs w:val="24"/>
                <w:color w:val="auto"/>
              </w:rPr>
            </w:pPr>
          </w:p>
        </w:tc>
        <w:tc>
          <w:tcPr>
            <w:tcW w:w="680" w:type="dxa"/>
            <w:vAlign w:val="bottom"/>
            <w:tcBorders>
              <w:right w:val="single" w:sz="8" w:color="252525"/>
            </w:tcBorders>
            <w:vMerge w:val="restart"/>
            <w:shd w:val="clear" w:color="auto" w:fill="D2D2D2"/>
          </w:tcPr>
          <w:p>
            <w:pPr>
              <w:ind w:left="140"/>
              <w:spacing w:after="0"/>
              <w:rPr>
                <w:sz w:val="20"/>
                <w:szCs w:val="20"/>
                <w:color w:val="auto"/>
              </w:rPr>
            </w:pPr>
            <w:r>
              <w:rPr>
                <w:rFonts w:ascii="Times New Roman" w:cs="Times New Roman" w:eastAsia="Times New Roman" w:hAnsi="Times New Roman"/>
                <w:sz w:val="22"/>
                <w:szCs w:val="22"/>
                <w:color w:val="auto"/>
              </w:rPr>
              <w:t>MEI</w:t>
            </w:r>
          </w:p>
        </w:tc>
        <w:tc>
          <w:tcPr>
            <w:tcW w:w="1460" w:type="dxa"/>
            <w:vAlign w:val="bottom"/>
            <w:tcBorders>
              <w:right w:val="single" w:sz="8" w:color="252525"/>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808080"/>
              </w:rPr>
              <w:t>Markit</w:t>
            </w:r>
          </w:p>
        </w:tc>
        <w:tc>
          <w:tcPr>
            <w:tcW w:w="1560" w:type="dxa"/>
            <w:vAlign w:val="bottom"/>
            <w:tcBorders>
              <w:right w:val="single" w:sz="8" w:color="auto"/>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1100" w:type="dxa"/>
            <w:vAlign w:val="bottom"/>
            <w:tcBorders>
              <w:right w:val="single" w:sz="8" w:color="auto"/>
            </w:tcBorders>
            <w:vMerge w:val="restart"/>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40" w:type="dxa"/>
            <w:vAlign w:val="bottom"/>
            <w:tcBorders>
              <w:left w:val="single" w:sz="8" w:color="252525"/>
              <w:right w:val="single" w:sz="8" w:color="252525"/>
            </w:tcBorders>
            <w:vMerge w:val="continue"/>
            <w:shd w:val="clear" w:color="auto" w:fill="D2D2D2"/>
          </w:tcPr>
          <w:p>
            <w:pPr>
              <w:spacing w:after="0"/>
              <w:rPr>
                <w:sz w:val="7"/>
                <w:szCs w:val="7"/>
                <w:color w:val="auto"/>
              </w:rPr>
            </w:pPr>
          </w:p>
        </w:tc>
        <w:tc>
          <w:tcPr>
            <w:tcW w:w="1700" w:type="dxa"/>
            <w:vAlign w:val="bottom"/>
            <w:vMerge w:val="continue"/>
          </w:tcPr>
          <w:p>
            <w:pPr>
              <w:spacing w:after="0"/>
              <w:rPr>
                <w:sz w:val="7"/>
                <w:szCs w:val="7"/>
                <w:color w:val="auto"/>
              </w:rPr>
            </w:pPr>
          </w:p>
        </w:tc>
        <w:tc>
          <w:tcPr>
            <w:tcW w:w="740" w:type="dxa"/>
            <w:vAlign w:val="bottom"/>
            <w:tcBorders>
              <w:right w:val="single" w:sz="8" w:color="252525"/>
            </w:tcBorders>
          </w:tcPr>
          <w:p>
            <w:pPr>
              <w:spacing w:after="0"/>
              <w:rPr>
                <w:sz w:val="7"/>
                <w:szCs w:val="7"/>
                <w:color w:val="auto"/>
              </w:rPr>
            </w:pPr>
          </w:p>
        </w:tc>
        <w:tc>
          <w:tcPr>
            <w:tcW w:w="900" w:type="dxa"/>
            <w:vAlign w:val="bottom"/>
            <w:tcBorders>
              <w:right w:val="single" w:sz="8" w:color="252525"/>
            </w:tcBorders>
            <w:vMerge w:val="continue"/>
            <w:shd w:val="clear" w:color="auto" w:fill="D2D2D2"/>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540" w:type="dxa"/>
            <w:vAlign w:val="bottom"/>
            <w:tcBorders>
              <w:right w:val="single" w:sz="8" w:color="252525"/>
            </w:tcBorders>
          </w:tcPr>
          <w:p>
            <w:pPr>
              <w:spacing w:after="0"/>
              <w:rPr>
                <w:sz w:val="7"/>
                <w:szCs w:val="7"/>
                <w:color w:val="auto"/>
              </w:rPr>
            </w:pPr>
          </w:p>
        </w:tc>
        <w:tc>
          <w:tcPr>
            <w:tcW w:w="680" w:type="dxa"/>
            <w:vAlign w:val="bottom"/>
            <w:tcBorders>
              <w:right w:val="single" w:sz="8" w:color="252525"/>
            </w:tcBorders>
            <w:vMerge w:val="continue"/>
            <w:shd w:val="clear" w:color="auto" w:fill="D2D2D2"/>
          </w:tcPr>
          <w:p>
            <w:pPr>
              <w:spacing w:after="0"/>
              <w:rPr>
                <w:sz w:val="7"/>
                <w:szCs w:val="7"/>
                <w:color w:val="auto"/>
              </w:rPr>
            </w:pPr>
          </w:p>
        </w:tc>
        <w:tc>
          <w:tcPr>
            <w:tcW w:w="1460" w:type="dxa"/>
            <w:vAlign w:val="bottom"/>
            <w:tcBorders>
              <w:right w:val="single" w:sz="8" w:color="252525"/>
            </w:tcBorders>
            <w:gridSpan w:val="2"/>
            <w:vMerge w:val="restart"/>
          </w:tcPr>
          <w:p>
            <w:pPr>
              <w:ind w:left="80"/>
              <w:spacing w:after="0"/>
              <w:rPr>
                <w:sz w:val="20"/>
                <w:szCs w:val="20"/>
                <w:color w:val="auto"/>
              </w:rPr>
            </w:pPr>
            <w:r>
              <w:rPr>
                <w:rFonts w:ascii="Times New Roman" w:cs="Times New Roman" w:eastAsia="Times New Roman" w:hAnsi="Times New Roman"/>
                <w:sz w:val="22"/>
                <w:szCs w:val="22"/>
                <w:i w:val="1"/>
                <w:iCs w:val="1"/>
                <w:color w:val="808080"/>
              </w:rPr>
              <w:t>Entity ID</w:t>
            </w:r>
          </w:p>
        </w:tc>
        <w:tc>
          <w:tcPr>
            <w:tcW w:w="15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740" w:type="dxa"/>
            <w:vAlign w:val="bottom"/>
            <w:tcBorders>
              <w:left w:val="single" w:sz="8" w:color="252525"/>
              <w:bottom w:val="single" w:sz="8" w:color="5F5F5F"/>
              <w:right w:val="single" w:sz="8" w:color="252525"/>
            </w:tcBorders>
            <w:shd w:val="clear" w:color="auto" w:fill="D2D2D2"/>
          </w:tcPr>
          <w:p>
            <w:pPr>
              <w:spacing w:after="0"/>
              <w:rPr>
                <w:sz w:val="14"/>
                <w:szCs w:val="14"/>
                <w:color w:val="auto"/>
              </w:rPr>
            </w:pPr>
          </w:p>
        </w:tc>
        <w:tc>
          <w:tcPr>
            <w:tcW w:w="1700" w:type="dxa"/>
            <w:vAlign w:val="bottom"/>
            <w:tcBorders>
              <w:bottom w:val="single" w:sz="8" w:color="5F5F5F"/>
            </w:tcBorders>
          </w:tcPr>
          <w:p>
            <w:pPr>
              <w:spacing w:after="0"/>
              <w:rPr>
                <w:sz w:val="14"/>
                <w:szCs w:val="14"/>
                <w:color w:val="auto"/>
              </w:rPr>
            </w:pPr>
          </w:p>
        </w:tc>
        <w:tc>
          <w:tcPr>
            <w:tcW w:w="740" w:type="dxa"/>
            <w:vAlign w:val="bottom"/>
            <w:tcBorders>
              <w:bottom w:val="single" w:sz="8" w:color="5F5F5F"/>
              <w:right w:val="single" w:sz="8" w:color="252525"/>
            </w:tcBorders>
          </w:tcPr>
          <w:p>
            <w:pPr>
              <w:spacing w:after="0"/>
              <w:rPr>
                <w:sz w:val="14"/>
                <w:szCs w:val="14"/>
                <w:color w:val="auto"/>
              </w:rPr>
            </w:pPr>
          </w:p>
        </w:tc>
        <w:tc>
          <w:tcPr>
            <w:tcW w:w="900" w:type="dxa"/>
            <w:vAlign w:val="bottom"/>
            <w:tcBorders>
              <w:bottom w:val="single" w:sz="8" w:color="5F5F5F"/>
              <w:right w:val="single" w:sz="8" w:color="252525"/>
            </w:tcBorders>
            <w:shd w:val="clear" w:color="auto" w:fill="D2D2D2"/>
          </w:tcPr>
          <w:p>
            <w:pPr>
              <w:spacing w:after="0"/>
              <w:rPr>
                <w:sz w:val="14"/>
                <w:szCs w:val="14"/>
                <w:color w:val="auto"/>
              </w:rPr>
            </w:pPr>
          </w:p>
        </w:tc>
        <w:tc>
          <w:tcPr>
            <w:tcW w:w="840" w:type="dxa"/>
            <w:vAlign w:val="bottom"/>
            <w:tcBorders>
              <w:bottom w:val="single" w:sz="8" w:color="5F5F5F"/>
            </w:tcBorders>
          </w:tcPr>
          <w:p>
            <w:pPr>
              <w:spacing w:after="0"/>
              <w:rPr>
                <w:sz w:val="14"/>
                <w:szCs w:val="14"/>
                <w:color w:val="auto"/>
              </w:rPr>
            </w:pPr>
          </w:p>
        </w:tc>
        <w:tc>
          <w:tcPr>
            <w:tcW w:w="900" w:type="dxa"/>
            <w:vAlign w:val="bottom"/>
            <w:tcBorders>
              <w:bottom w:val="single" w:sz="8" w:color="5F5F5F"/>
            </w:tcBorders>
          </w:tcPr>
          <w:p>
            <w:pPr>
              <w:spacing w:after="0"/>
              <w:rPr>
                <w:sz w:val="14"/>
                <w:szCs w:val="14"/>
                <w:color w:val="auto"/>
              </w:rPr>
            </w:pPr>
          </w:p>
        </w:tc>
        <w:tc>
          <w:tcPr>
            <w:tcW w:w="540" w:type="dxa"/>
            <w:vAlign w:val="bottom"/>
            <w:tcBorders>
              <w:bottom w:val="single" w:sz="8" w:color="5F5F5F"/>
              <w:right w:val="single" w:sz="8" w:color="252525"/>
            </w:tcBorders>
          </w:tcPr>
          <w:p>
            <w:pPr>
              <w:spacing w:after="0"/>
              <w:rPr>
                <w:sz w:val="14"/>
                <w:szCs w:val="14"/>
                <w:color w:val="auto"/>
              </w:rPr>
            </w:pPr>
          </w:p>
        </w:tc>
        <w:tc>
          <w:tcPr>
            <w:tcW w:w="680" w:type="dxa"/>
            <w:vAlign w:val="bottom"/>
            <w:tcBorders>
              <w:bottom w:val="single" w:sz="8" w:color="5F5F5F"/>
              <w:right w:val="single" w:sz="8" w:color="252525"/>
            </w:tcBorders>
            <w:shd w:val="clear" w:color="auto" w:fill="D2D2D2"/>
          </w:tcPr>
          <w:p>
            <w:pPr>
              <w:spacing w:after="0"/>
              <w:rPr>
                <w:sz w:val="14"/>
                <w:szCs w:val="14"/>
                <w:color w:val="auto"/>
              </w:rPr>
            </w:pPr>
          </w:p>
        </w:tc>
        <w:tc>
          <w:tcPr>
            <w:tcW w:w="1460" w:type="dxa"/>
            <w:vAlign w:val="bottom"/>
            <w:tcBorders>
              <w:bottom w:val="single" w:sz="8" w:color="5F5F5F"/>
              <w:right w:val="single" w:sz="8" w:color="252525"/>
            </w:tcBorders>
            <w:gridSpan w:val="2"/>
            <w:vMerge w:val="continue"/>
          </w:tcPr>
          <w:p>
            <w:pPr>
              <w:spacing w:after="0"/>
              <w:rPr>
                <w:sz w:val="14"/>
                <w:szCs w:val="14"/>
                <w:color w:val="auto"/>
              </w:rPr>
            </w:pPr>
          </w:p>
        </w:tc>
        <w:tc>
          <w:tcPr>
            <w:tcW w:w="1560" w:type="dxa"/>
            <w:vAlign w:val="bottom"/>
            <w:tcBorders>
              <w:bottom w:val="single" w:sz="8" w:color="5F5F5F"/>
              <w:right w:val="single" w:sz="8" w:color="auto"/>
            </w:tcBorders>
          </w:tcPr>
          <w:p>
            <w:pPr>
              <w:spacing w:after="0"/>
              <w:rPr>
                <w:sz w:val="14"/>
                <w:szCs w:val="14"/>
                <w:color w:val="auto"/>
              </w:rPr>
            </w:pPr>
          </w:p>
        </w:tc>
        <w:tc>
          <w:tcPr>
            <w:tcW w:w="1100" w:type="dxa"/>
            <w:vAlign w:val="bottom"/>
            <w:tcBorders>
              <w:bottom w:val="single" w:sz="8" w:color="5F5F5F"/>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740" w:type="dxa"/>
            <w:vAlign w:val="bottom"/>
            <w:tcBorders>
              <w:left w:val="single" w:sz="8" w:color="252525"/>
              <w:right w:val="single" w:sz="8" w:color="252525"/>
            </w:tcBorders>
            <w:vMerge w:val="restart"/>
            <w:shd w:val="clear" w:color="auto" w:fill="D2D2D2"/>
          </w:tcPr>
          <w:p>
            <w:pPr>
              <w:ind w:left="300"/>
              <w:spacing w:after="0"/>
              <w:rPr>
                <w:sz w:val="20"/>
                <w:szCs w:val="20"/>
                <w:color w:val="auto"/>
              </w:rPr>
            </w:pPr>
            <w:r>
              <w:rPr>
                <w:rFonts w:ascii="Times New Roman" w:cs="Times New Roman" w:eastAsia="Times New Roman" w:hAnsi="Times New Roman"/>
                <w:sz w:val="22"/>
                <w:szCs w:val="22"/>
                <w:color w:val="auto"/>
                <w:w w:val="96"/>
              </w:rPr>
              <w:t>Role</w:t>
            </w:r>
          </w:p>
        </w:tc>
        <w:tc>
          <w:tcPr>
            <w:tcW w:w="2440" w:type="dxa"/>
            <w:vAlign w:val="bottom"/>
            <w:tcBorders>
              <w:right w:val="single" w:sz="8" w:color="252525"/>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808080"/>
              </w:rPr>
              <w:t>Relationship to lender</w:t>
            </w:r>
          </w:p>
        </w:tc>
        <w:tc>
          <w:tcPr>
            <w:tcW w:w="900" w:type="dxa"/>
            <w:vAlign w:val="bottom"/>
            <w:tcBorders>
              <w:right w:val="single" w:sz="8" w:color="252525"/>
            </w:tcBorders>
            <w:vMerge w:val="restart"/>
            <w:shd w:val="clear" w:color="auto" w:fill="D2D2D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i w:val="1"/>
                <w:iCs w:val="1"/>
                <w:color w:val="808080"/>
              </w:rPr>
              <w:t>Name of Company</w:t>
            </w:r>
          </w:p>
        </w:tc>
        <w:tc>
          <w:tcPr>
            <w:tcW w:w="540" w:type="dxa"/>
            <w:vAlign w:val="bottom"/>
            <w:tcBorders>
              <w:right w:val="single" w:sz="8" w:color="252525"/>
            </w:tcBorders>
          </w:tcPr>
          <w:p>
            <w:pPr>
              <w:spacing w:after="0"/>
              <w:rPr>
                <w:sz w:val="24"/>
                <w:szCs w:val="24"/>
                <w:color w:val="auto"/>
              </w:rPr>
            </w:pPr>
          </w:p>
        </w:tc>
        <w:tc>
          <w:tcPr>
            <w:tcW w:w="680" w:type="dxa"/>
            <w:vAlign w:val="bottom"/>
            <w:tcBorders>
              <w:right w:val="single" w:sz="8" w:color="252525"/>
            </w:tcBorders>
            <w:vMerge w:val="restart"/>
            <w:shd w:val="clear" w:color="auto" w:fill="D2D2D2"/>
          </w:tcPr>
          <w:p>
            <w:pPr>
              <w:ind w:left="140"/>
              <w:spacing w:after="0"/>
              <w:rPr>
                <w:sz w:val="20"/>
                <w:szCs w:val="20"/>
                <w:color w:val="auto"/>
              </w:rPr>
            </w:pPr>
            <w:r>
              <w:rPr>
                <w:rFonts w:ascii="Times New Roman" w:cs="Times New Roman" w:eastAsia="Times New Roman" w:hAnsi="Times New Roman"/>
                <w:sz w:val="22"/>
                <w:szCs w:val="22"/>
                <w:color w:val="auto"/>
              </w:rPr>
              <w:t>MEI</w:t>
            </w:r>
          </w:p>
        </w:tc>
        <w:tc>
          <w:tcPr>
            <w:tcW w:w="1460" w:type="dxa"/>
            <w:vAlign w:val="bottom"/>
            <w:tcBorders>
              <w:right w:val="single" w:sz="8" w:color="252525"/>
            </w:tcBorders>
            <w:gridSpan w:val="2"/>
          </w:tcPr>
          <w:p>
            <w:pPr>
              <w:ind w:left="80"/>
              <w:spacing w:after="0"/>
              <w:rPr>
                <w:sz w:val="20"/>
                <w:szCs w:val="20"/>
                <w:color w:val="auto"/>
              </w:rPr>
            </w:pPr>
            <w:r>
              <w:rPr>
                <w:rFonts w:ascii="Times New Roman" w:cs="Times New Roman" w:eastAsia="Times New Roman" w:hAnsi="Times New Roman"/>
                <w:sz w:val="22"/>
                <w:szCs w:val="22"/>
                <w:i w:val="1"/>
                <w:iCs w:val="1"/>
                <w:color w:val="808080"/>
              </w:rPr>
              <w:t>Markit</w:t>
            </w:r>
          </w:p>
        </w:tc>
        <w:tc>
          <w:tcPr>
            <w:tcW w:w="1560" w:type="dxa"/>
            <w:vAlign w:val="bottom"/>
            <w:tcBorders>
              <w:right w:val="single" w:sz="8" w:color="auto"/>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1100" w:type="dxa"/>
            <w:vAlign w:val="bottom"/>
            <w:tcBorders>
              <w:right w:val="single" w:sz="8" w:color="auto"/>
            </w:tcBorders>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740" w:type="dxa"/>
            <w:vAlign w:val="bottom"/>
            <w:tcBorders>
              <w:left w:val="single" w:sz="8" w:color="252525"/>
              <w:right w:val="single" w:sz="8" w:color="252525"/>
            </w:tcBorders>
            <w:vMerge w:val="continue"/>
            <w:shd w:val="clear" w:color="auto" w:fill="D2D2D2"/>
          </w:tcPr>
          <w:p>
            <w:pPr>
              <w:spacing w:after="0"/>
              <w:rPr>
                <w:sz w:val="8"/>
                <w:szCs w:val="8"/>
                <w:color w:val="auto"/>
              </w:rPr>
            </w:pPr>
          </w:p>
        </w:tc>
        <w:tc>
          <w:tcPr>
            <w:tcW w:w="1700" w:type="dxa"/>
            <w:vAlign w:val="bottom"/>
          </w:tcPr>
          <w:p>
            <w:pPr>
              <w:spacing w:after="0"/>
              <w:rPr>
                <w:sz w:val="8"/>
                <w:szCs w:val="8"/>
                <w:color w:val="auto"/>
              </w:rPr>
            </w:pPr>
          </w:p>
        </w:tc>
        <w:tc>
          <w:tcPr>
            <w:tcW w:w="740" w:type="dxa"/>
            <w:vAlign w:val="bottom"/>
            <w:tcBorders>
              <w:right w:val="single" w:sz="8" w:color="252525"/>
            </w:tcBorders>
          </w:tcPr>
          <w:p>
            <w:pPr>
              <w:spacing w:after="0"/>
              <w:rPr>
                <w:sz w:val="8"/>
                <w:szCs w:val="8"/>
                <w:color w:val="auto"/>
              </w:rPr>
            </w:pPr>
          </w:p>
        </w:tc>
        <w:tc>
          <w:tcPr>
            <w:tcW w:w="900" w:type="dxa"/>
            <w:vAlign w:val="bottom"/>
            <w:tcBorders>
              <w:right w:val="single" w:sz="8" w:color="252525"/>
            </w:tcBorders>
            <w:vMerge w:val="continue"/>
            <w:shd w:val="clear" w:color="auto" w:fill="D2D2D2"/>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540" w:type="dxa"/>
            <w:vAlign w:val="bottom"/>
            <w:tcBorders>
              <w:right w:val="single" w:sz="8" w:color="252525"/>
            </w:tcBorders>
          </w:tcPr>
          <w:p>
            <w:pPr>
              <w:spacing w:after="0"/>
              <w:rPr>
                <w:sz w:val="8"/>
                <w:szCs w:val="8"/>
                <w:color w:val="auto"/>
              </w:rPr>
            </w:pPr>
          </w:p>
        </w:tc>
        <w:tc>
          <w:tcPr>
            <w:tcW w:w="680" w:type="dxa"/>
            <w:vAlign w:val="bottom"/>
            <w:tcBorders>
              <w:right w:val="single" w:sz="8" w:color="252525"/>
            </w:tcBorders>
            <w:vMerge w:val="continue"/>
            <w:shd w:val="clear" w:color="auto" w:fill="D2D2D2"/>
          </w:tcPr>
          <w:p>
            <w:pPr>
              <w:spacing w:after="0"/>
              <w:rPr>
                <w:sz w:val="8"/>
                <w:szCs w:val="8"/>
                <w:color w:val="auto"/>
              </w:rPr>
            </w:pPr>
          </w:p>
        </w:tc>
        <w:tc>
          <w:tcPr>
            <w:tcW w:w="1460" w:type="dxa"/>
            <w:vAlign w:val="bottom"/>
            <w:tcBorders>
              <w:right w:val="single" w:sz="8" w:color="252525"/>
            </w:tcBorders>
            <w:gridSpan w:val="2"/>
            <w:vMerge w:val="restart"/>
          </w:tcPr>
          <w:p>
            <w:pPr>
              <w:ind w:left="80"/>
              <w:spacing w:after="0" w:line="247" w:lineRule="exact"/>
              <w:rPr>
                <w:sz w:val="20"/>
                <w:szCs w:val="20"/>
                <w:color w:val="auto"/>
              </w:rPr>
            </w:pPr>
            <w:r>
              <w:rPr>
                <w:rFonts w:ascii="Times New Roman" w:cs="Times New Roman" w:eastAsia="Times New Roman" w:hAnsi="Times New Roman"/>
                <w:sz w:val="22"/>
                <w:szCs w:val="22"/>
                <w:i w:val="1"/>
                <w:iCs w:val="1"/>
                <w:color w:val="808080"/>
              </w:rPr>
              <w:t>Entity ID</w:t>
            </w:r>
          </w:p>
        </w:tc>
        <w:tc>
          <w:tcPr>
            <w:tcW w:w="156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40" w:type="dxa"/>
            <w:vAlign w:val="bottom"/>
            <w:tcBorders>
              <w:left w:val="single" w:sz="8" w:color="252525"/>
              <w:bottom w:val="single" w:sz="8" w:color="252525"/>
              <w:right w:val="single" w:sz="8" w:color="252525"/>
            </w:tcBorders>
            <w:shd w:val="clear" w:color="auto" w:fill="D2D2D2"/>
          </w:tcPr>
          <w:p>
            <w:pPr>
              <w:spacing w:after="0"/>
              <w:rPr>
                <w:sz w:val="13"/>
                <w:szCs w:val="13"/>
                <w:color w:val="auto"/>
              </w:rPr>
            </w:pPr>
          </w:p>
        </w:tc>
        <w:tc>
          <w:tcPr>
            <w:tcW w:w="1700" w:type="dxa"/>
            <w:vAlign w:val="bottom"/>
            <w:tcBorders>
              <w:bottom w:val="single" w:sz="8" w:color="252525"/>
            </w:tcBorders>
          </w:tcPr>
          <w:p>
            <w:pPr>
              <w:spacing w:after="0"/>
              <w:rPr>
                <w:sz w:val="13"/>
                <w:szCs w:val="13"/>
                <w:color w:val="auto"/>
              </w:rPr>
            </w:pPr>
          </w:p>
        </w:tc>
        <w:tc>
          <w:tcPr>
            <w:tcW w:w="740" w:type="dxa"/>
            <w:vAlign w:val="bottom"/>
            <w:tcBorders>
              <w:bottom w:val="single" w:sz="8" w:color="252525"/>
              <w:right w:val="single" w:sz="8" w:color="252525"/>
            </w:tcBorders>
          </w:tcPr>
          <w:p>
            <w:pPr>
              <w:spacing w:after="0"/>
              <w:rPr>
                <w:sz w:val="13"/>
                <w:szCs w:val="13"/>
                <w:color w:val="auto"/>
              </w:rPr>
            </w:pPr>
          </w:p>
        </w:tc>
        <w:tc>
          <w:tcPr>
            <w:tcW w:w="900" w:type="dxa"/>
            <w:vAlign w:val="bottom"/>
            <w:tcBorders>
              <w:bottom w:val="single" w:sz="8" w:color="252525"/>
              <w:right w:val="single" w:sz="8" w:color="252525"/>
            </w:tcBorders>
            <w:shd w:val="clear" w:color="auto" w:fill="D2D2D2"/>
          </w:tcPr>
          <w:p>
            <w:pPr>
              <w:spacing w:after="0"/>
              <w:rPr>
                <w:sz w:val="13"/>
                <w:szCs w:val="13"/>
                <w:color w:val="auto"/>
              </w:rPr>
            </w:pPr>
          </w:p>
        </w:tc>
        <w:tc>
          <w:tcPr>
            <w:tcW w:w="840" w:type="dxa"/>
            <w:vAlign w:val="bottom"/>
            <w:tcBorders>
              <w:bottom w:val="single" w:sz="8" w:color="252525"/>
            </w:tcBorders>
          </w:tcPr>
          <w:p>
            <w:pPr>
              <w:spacing w:after="0"/>
              <w:rPr>
                <w:sz w:val="13"/>
                <w:szCs w:val="13"/>
                <w:color w:val="auto"/>
              </w:rPr>
            </w:pPr>
          </w:p>
        </w:tc>
        <w:tc>
          <w:tcPr>
            <w:tcW w:w="900" w:type="dxa"/>
            <w:vAlign w:val="bottom"/>
            <w:tcBorders>
              <w:bottom w:val="single" w:sz="8" w:color="252525"/>
            </w:tcBorders>
          </w:tcPr>
          <w:p>
            <w:pPr>
              <w:spacing w:after="0"/>
              <w:rPr>
                <w:sz w:val="13"/>
                <w:szCs w:val="13"/>
                <w:color w:val="auto"/>
              </w:rPr>
            </w:pPr>
          </w:p>
        </w:tc>
        <w:tc>
          <w:tcPr>
            <w:tcW w:w="540" w:type="dxa"/>
            <w:vAlign w:val="bottom"/>
            <w:tcBorders>
              <w:bottom w:val="single" w:sz="8" w:color="252525"/>
              <w:right w:val="single" w:sz="8" w:color="252525"/>
            </w:tcBorders>
          </w:tcPr>
          <w:p>
            <w:pPr>
              <w:spacing w:after="0"/>
              <w:rPr>
                <w:sz w:val="13"/>
                <w:szCs w:val="13"/>
                <w:color w:val="auto"/>
              </w:rPr>
            </w:pPr>
          </w:p>
        </w:tc>
        <w:tc>
          <w:tcPr>
            <w:tcW w:w="680" w:type="dxa"/>
            <w:vAlign w:val="bottom"/>
            <w:tcBorders>
              <w:bottom w:val="single" w:sz="8" w:color="252525"/>
              <w:right w:val="single" w:sz="8" w:color="252525"/>
            </w:tcBorders>
            <w:shd w:val="clear" w:color="auto" w:fill="D2D2D2"/>
          </w:tcPr>
          <w:p>
            <w:pPr>
              <w:spacing w:after="0"/>
              <w:rPr>
                <w:sz w:val="13"/>
                <w:szCs w:val="13"/>
                <w:color w:val="auto"/>
              </w:rPr>
            </w:pPr>
          </w:p>
        </w:tc>
        <w:tc>
          <w:tcPr>
            <w:tcW w:w="1460" w:type="dxa"/>
            <w:vAlign w:val="bottom"/>
            <w:tcBorders>
              <w:bottom w:val="single" w:sz="8" w:color="252525"/>
              <w:right w:val="single" w:sz="8" w:color="252525"/>
            </w:tcBorders>
            <w:gridSpan w:val="2"/>
            <w:vMerge w:val="continue"/>
          </w:tcPr>
          <w:p>
            <w:pPr>
              <w:spacing w:after="0"/>
              <w:rPr>
                <w:sz w:val="13"/>
                <w:szCs w:val="13"/>
                <w:color w:val="auto"/>
              </w:rPr>
            </w:pPr>
          </w:p>
        </w:tc>
        <w:tc>
          <w:tcPr>
            <w:tcW w:w="1560" w:type="dxa"/>
            <w:vAlign w:val="bottom"/>
            <w:tcBorders>
              <w:bottom w:val="single" w:sz="8" w:color="252525"/>
              <w:right w:val="single" w:sz="8" w:color="auto"/>
            </w:tcBorders>
          </w:tcPr>
          <w:p>
            <w:pPr>
              <w:spacing w:after="0"/>
              <w:rPr>
                <w:sz w:val="13"/>
                <w:szCs w:val="13"/>
                <w:color w:val="auto"/>
              </w:rPr>
            </w:pPr>
          </w:p>
        </w:tc>
        <w:tc>
          <w:tcPr>
            <w:tcW w:w="1100" w:type="dxa"/>
            <w:vAlign w:val="bottom"/>
            <w:tcBorders>
              <w:bottom w:val="single" w:sz="8" w:color="252525"/>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8"/>
        </w:trPr>
        <w:tc>
          <w:tcPr>
            <w:tcW w:w="8500" w:type="dxa"/>
            <w:vAlign w:val="bottom"/>
            <w:gridSpan w:val="10"/>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500" w:type="dxa"/>
            <w:vAlign w:val="bottom"/>
            <w:tcBorders>
              <w:left w:val="single" w:sz="8" w:color="auto"/>
              <w:right w:val="single" w:sz="8" w:color="auto"/>
            </w:tcBorders>
            <w:gridSpan w:val="10"/>
            <w:shd w:val="clear" w:color="auto" w:fill="000000"/>
          </w:tcPr>
          <w:p>
            <w:pPr>
              <w:ind w:left="100"/>
              <w:spacing w:after="0"/>
              <w:rPr>
                <w:sz w:val="20"/>
                <w:szCs w:val="20"/>
                <w:color w:val="auto"/>
              </w:rPr>
            </w:pPr>
            <w:r>
              <w:rPr>
                <w:rFonts w:ascii="Times New Roman" w:cs="Times New Roman" w:eastAsia="Times New Roman" w:hAnsi="Times New Roman"/>
                <w:sz w:val="22"/>
                <w:szCs w:val="22"/>
                <w:b w:val="1"/>
                <w:bCs w:val="1"/>
                <w:color w:val="FFFFFF"/>
              </w:rPr>
              <w:t>CREDIT CONTACTS (LEGAL DOCUMENTATION, AMENDMENTS &amp; WAIVERS)</w:t>
            </w:r>
          </w:p>
        </w:tc>
        <w:tc>
          <w:tcPr>
            <w:tcW w:w="1560" w:type="dxa"/>
            <w:vAlign w:val="bottom"/>
            <w:tcBorders>
              <w:right w:val="single" w:sz="8" w:color="auto"/>
            </w:tcBorders>
            <w:shd w:val="clear" w:color="auto" w:fill="000000"/>
          </w:tcPr>
          <w:p>
            <w:pPr>
              <w:spacing w:after="0"/>
              <w:rPr>
                <w:sz w:val="24"/>
                <w:szCs w:val="24"/>
                <w:color w:val="auto"/>
              </w:rPr>
            </w:pPr>
          </w:p>
        </w:tc>
        <w:tc>
          <w:tcPr>
            <w:tcW w:w="1100" w:type="dxa"/>
            <w:vAlign w:val="bottom"/>
            <w:tcBorders>
              <w:right w:val="single" w:sz="8" w:color="auto"/>
            </w:tcBorders>
            <w:shd w:val="clear" w:color="auto" w:fill="000000"/>
          </w:tcPr>
          <w:p>
            <w:pPr>
              <w:spacing w:after="0"/>
              <w:rPr>
                <w:sz w:val="24"/>
                <w:szCs w:val="24"/>
                <w:color w:val="auto"/>
              </w:rPr>
            </w:pPr>
          </w:p>
        </w:tc>
        <w:tc>
          <w:tcPr>
            <w:tcW w:w="80" w:type="dxa"/>
            <w:vAlign w:val="bottom"/>
            <w:tcBorders>
              <w:lef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40" w:type="dxa"/>
            <w:vAlign w:val="bottom"/>
            <w:tcBorders>
              <w:left w:val="single" w:sz="8" w:color="auto"/>
              <w:right w:val="single" w:sz="8" w:color="auto"/>
            </w:tcBorders>
            <w:shd w:val="clear" w:color="auto" w:fill="000000"/>
          </w:tcPr>
          <w:p>
            <w:pPr>
              <w:spacing w:after="0"/>
              <w:rPr>
                <w:sz w:val="9"/>
                <w:szCs w:val="9"/>
                <w:color w:val="auto"/>
              </w:rPr>
            </w:pPr>
          </w:p>
        </w:tc>
        <w:tc>
          <w:tcPr>
            <w:tcW w:w="3340" w:type="dxa"/>
            <w:vAlign w:val="bottom"/>
            <w:tcBorders>
              <w:right w:val="single" w:sz="8" w:color="auto"/>
            </w:tcBorders>
            <w:gridSpan w:val="3"/>
            <w:shd w:val="clear" w:color="auto" w:fill="000000"/>
          </w:tcPr>
          <w:p>
            <w:pPr>
              <w:spacing w:after="0"/>
              <w:rPr>
                <w:sz w:val="9"/>
                <w:szCs w:val="9"/>
                <w:color w:val="auto"/>
              </w:rPr>
            </w:pPr>
          </w:p>
        </w:tc>
        <w:tc>
          <w:tcPr>
            <w:tcW w:w="840" w:type="dxa"/>
            <w:vAlign w:val="bottom"/>
            <w:tcBorders>
              <w:right w:val="single" w:sz="8" w:color="auto"/>
            </w:tcBorders>
            <w:shd w:val="clear" w:color="auto" w:fill="000000"/>
          </w:tcPr>
          <w:p>
            <w:pPr>
              <w:spacing w:after="0"/>
              <w:rPr>
                <w:sz w:val="9"/>
                <w:szCs w:val="9"/>
                <w:color w:val="auto"/>
              </w:rPr>
            </w:pPr>
          </w:p>
        </w:tc>
        <w:tc>
          <w:tcPr>
            <w:tcW w:w="900" w:type="dxa"/>
            <w:vAlign w:val="bottom"/>
            <w:shd w:val="clear" w:color="auto" w:fill="000000"/>
          </w:tcPr>
          <w:p>
            <w:pPr>
              <w:spacing w:after="0"/>
              <w:rPr>
                <w:sz w:val="9"/>
                <w:szCs w:val="9"/>
                <w:color w:val="auto"/>
              </w:rPr>
            </w:pPr>
          </w:p>
        </w:tc>
        <w:tc>
          <w:tcPr>
            <w:tcW w:w="1220" w:type="dxa"/>
            <w:vAlign w:val="bottom"/>
            <w:tcBorders>
              <w:right w:val="single" w:sz="8" w:color="auto"/>
            </w:tcBorders>
            <w:gridSpan w:val="2"/>
            <w:shd w:val="clear" w:color="auto" w:fill="000000"/>
          </w:tcPr>
          <w:p>
            <w:pPr>
              <w:spacing w:after="0"/>
              <w:rPr>
                <w:sz w:val="9"/>
                <w:szCs w:val="9"/>
                <w:color w:val="auto"/>
              </w:rPr>
            </w:pPr>
          </w:p>
        </w:tc>
        <w:tc>
          <w:tcPr>
            <w:tcW w:w="320" w:type="dxa"/>
            <w:vAlign w:val="bottom"/>
            <w:tcBorders>
              <w:right w:val="single" w:sz="8" w:color="auto"/>
            </w:tcBorders>
            <w:shd w:val="clear" w:color="auto" w:fill="000000"/>
          </w:tcPr>
          <w:p>
            <w:pPr>
              <w:spacing w:after="0"/>
              <w:rPr>
                <w:sz w:val="9"/>
                <w:szCs w:val="9"/>
                <w:color w:val="auto"/>
              </w:rPr>
            </w:pPr>
          </w:p>
        </w:tc>
        <w:tc>
          <w:tcPr>
            <w:tcW w:w="1140" w:type="dxa"/>
            <w:vAlign w:val="bottom"/>
            <w:tcBorders>
              <w:right w:val="single" w:sz="8" w:color="auto"/>
            </w:tcBorders>
            <w:shd w:val="clear" w:color="auto" w:fill="000000"/>
          </w:tcPr>
          <w:p>
            <w:pPr>
              <w:spacing w:after="0"/>
              <w:rPr>
                <w:sz w:val="9"/>
                <w:szCs w:val="9"/>
                <w:color w:val="auto"/>
              </w:rPr>
            </w:pPr>
          </w:p>
        </w:tc>
        <w:tc>
          <w:tcPr>
            <w:tcW w:w="2660" w:type="dxa"/>
            <w:vAlign w:val="bottom"/>
            <w:tcBorders>
              <w:right w:val="single" w:sz="8" w:color="auto"/>
            </w:tcBorders>
            <w:gridSpan w:val="2"/>
            <w:shd w:val="clear" w:color="auto" w:fill="000000"/>
          </w:tcPr>
          <w:p>
            <w:pPr>
              <w:spacing w:after="0"/>
              <w:rPr>
                <w:sz w:val="9"/>
                <w:szCs w:val="9"/>
                <w:color w:val="auto"/>
              </w:rPr>
            </w:pPr>
          </w:p>
        </w:tc>
        <w:tc>
          <w:tcPr>
            <w:tcW w:w="80" w:type="dxa"/>
            <w:vAlign w:val="bottom"/>
            <w:tcBorders>
              <w:left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7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Name</w:t>
            </w:r>
          </w:p>
        </w:tc>
        <w:tc>
          <w:tcPr>
            <w:tcW w:w="3340" w:type="dxa"/>
            <w:vAlign w:val="bottom"/>
            <w:gridSpan w:val="3"/>
          </w:tcPr>
          <w:p>
            <w:pPr>
              <w:ind w:left="400"/>
              <w:spacing w:after="0"/>
              <w:rPr>
                <w:sz w:val="20"/>
                <w:szCs w:val="20"/>
                <w:color w:val="auto"/>
              </w:rPr>
            </w:pPr>
            <w:r>
              <w:rPr>
                <w:rFonts w:ascii="Times New Roman" w:cs="Times New Roman" w:eastAsia="Times New Roman" w:hAnsi="Times New Roman"/>
                <w:sz w:val="22"/>
                <w:szCs w:val="22"/>
                <w:i w:val="1"/>
                <w:iCs w:val="1"/>
                <w:color w:val="808080"/>
              </w:rPr>
              <w:t>Name of group or individual.</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22"/>
                <w:szCs w:val="22"/>
                <w:i w:val="1"/>
                <w:iCs w:val="1"/>
                <w:color w:val="808080"/>
              </w:rPr>
              <w:t>Select group</w:t>
            </w:r>
          </w:p>
        </w:tc>
        <w:tc>
          <w:tcPr>
            <w:tcW w:w="3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Firm</w:t>
            </w:r>
          </w:p>
        </w:tc>
        <w:tc>
          <w:tcPr>
            <w:tcW w:w="2660" w:type="dxa"/>
            <w:vAlign w:val="bottom"/>
            <w:gridSpan w:val="2"/>
          </w:tcPr>
          <w:p>
            <w:pPr>
              <w:ind w:left="180"/>
              <w:spacing w:after="0"/>
              <w:rPr>
                <w:sz w:val="20"/>
                <w:szCs w:val="20"/>
                <w:color w:val="auto"/>
              </w:rPr>
            </w:pPr>
            <w:r>
              <w:rPr>
                <w:rFonts w:ascii="Times New Roman" w:cs="Times New Roman" w:eastAsia="Times New Roman" w:hAnsi="Times New Roman"/>
                <w:sz w:val="22"/>
                <w:szCs w:val="22"/>
                <w:i w:val="1"/>
                <w:iCs w:val="1"/>
                <w:color w:val="808080"/>
              </w:rPr>
              <w:t>Firm with which contact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22"/>
                <w:szCs w:val="22"/>
                <w:i w:val="1"/>
                <w:iCs w:val="1"/>
                <w:color w:val="808080"/>
              </w:rPr>
              <w:t>or</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i w:val="1"/>
                <w:iCs w:val="1"/>
                <w:color w:val="808080"/>
              </w:rPr>
              <w:t>is affiliated.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40575" cy="1543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1543050"/>
                    </a:xfrm>
                    <a:prstGeom prst="rect">
                      <a:avLst/>
                    </a:prstGeom>
                    <a:noFill/>
                  </pic:spPr>
                </pic:pic>
              </a:graphicData>
            </a:graphic>
          </wp:anchor>
        </w:drawing>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i w:val="1"/>
          <w:iCs w:val="1"/>
          <w:color w:val="808080"/>
        </w:rPr>
        <w:t>Individual</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i w:val="1"/>
          <w:iCs w:val="1"/>
          <w:color w:val="929292"/>
        </w:rPr>
        <w:t>Registered address of contact’s office (if different than the lender’s office), including country of domicile.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358"/>
        </w:trPr>
        <w:tc>
          <w:tcPr>
            <w:tcW w:w="1080" w:type="dxa"/>
            <w:vAlign w:val="bottom"/>
            <w:tcBorders>
              <w:top w:val="single" w:sz="8" w:color="auto"/>
              <w:left w:val="single" w:sz="8" w:color="252525"/>
              <w:right w:val="single" w:sz="8" w:color="252525"/>
            </w:tcBorders>
            <w:shd w:val="clear" w:color="auto" w:fill="D2D2D2"/>
          </w:tcPr>
          <w:p>
            <w:pPr>
              <w:ind w:left="100"/>
              <w:spacing w:after="0"/>
              <w:rPr>
                <w:sz w:val="20"/>
                <w:szCs w:val="20"/>
                <w:color w:val="auto"/>
              </w:rPr>
            </w:pPr>
            <w:r>
              <w:rPr>
                <w:rFonts w:ascii="Times New Roman" w:cs="Times New Roman" w:eastAsia="Times New Roman" w:hAnsi="Times New Roman"/>
                <w:sz w:val="22"/>
                <w:szCs w:val="22"/>
                <w:b w:val="1"/>
                <w:bCs w:val="1"/>
                <w:color w:val="auto"/>
              </w:rPr>
              <w:t>Phone</w:t>
            </w:r>
          </w:p>
        </w:tc>
        <w:tc>
          <w:tcPr>
            <w:tcW w:w="1940" w:type="dxa"/>
            <w:vAlign w:val="bottom"/>
            <w:tcBorders>
              <w:top w:val="single" w:sz="8" w:color="auto"/>
              <w:right w:val="single" w:sz="8" w:color="252525"/>
            </w:tcBorders>
          </w:tcPr>
          <w:p>
            <w:pPr>
              <w:spacing w:after="0"/>
              <w:rPr>
                <w:sz w:val="24"/>
                <w:szCs w:val="24"/>
                <w:color w:val="auto"/>
              </w:rPr>
            </w:pPr>
          </w:p>
        </w:tc>
        <w:tc>
          <w:tcPr>
            <w:tcW w:w="1280" w:type="dxa"/>
            <w:vAlign w:val="bottom"/>
            <w:tcBorders>
              <w:top w:val="single" w:sz="8" w:color="auto"/>
              <w:right w:val="single" w:sz="8" w:color="252525"/>
            </w:tcBorders>
            <w:shd w:val="clear" w:color="auto" w:fill="D2D2D2"/>
          </w:tcPr>
          <w:p>
            <w:pPr>
              <w:ind w:left="60"/>
              <w:spacing w:after="0"/>
              <w:rPr>
                <w:sz w:val="20"/>
                <w:szCs w:val="20"/>
                <w:color w:val="auto"/>
              </w:rPr>
            </w:pPr>
            <w:r>
              <w:rPr>
                <w:rFonts w:ascii="Times New Roman" w:cs="Times New Roman" w:eastAsia="Times New Roman" w:hAnsi="Times New Roman"/>
                <w:sz w:val="22"/>
                <w:szCs w:val="22"/>
                <w:color w:val="auto"/>
              </w:rPr>
              <w:t>Fax</w:t>
            </w:r>
          </w:p>
        </w:tc>
        <w:tc>
          <w:tcPr>
            <w:tcW w:w="1500" w:type="dxa"/>
            <w:vAlign w:val="bottom"/>
            <w:tcBorders>
              <w:top w:val="single" w:sz="8" w:color="auto"/>
              <w:right w:val="single" w:sz="8" w:color="252525"/>
            </w:tcBorders>
          </w:tcPr>
          <w:p>
            <w:pPr>
              <w:spacing w:after="0"/>
              <w:rPr>
                <w:sz w:val="24"/>
                <w:szCs w:val="24"/>
                <w:color w:val="auto"/>
              </w:rPr>
            </w:pPr>
          </w:p>
        </w:tc>
        <w:tc>
          <w:tcPr>
            <w:tcW w:w="1000" w:type="dxa"/>
            <w:vAlign w:val="bottom"/>
            <w:tcBorders>
              <w:top w:val="single" w:sz="8" w:color="auto"/>
              <w:right w:val="single" w:sz="8" w:color="auto"/>
            </w:tcBorders>
            <w:shd w:val="clear" w:color="auto" w:fill="D2D2D2"/>
          </w:tcPr>
          <w:p>
            <w:pPr>
              <w:ind w:left="60"/>
              <w:spacing w:after="0"/>
              <w:rPr>
                <w:sz w:val="20"/>
                <w:szCs w:val="20"/>
                <w:color w:val="auto"/>
              </w:rPr>
            </w:pPr>
            <w:r>
              <w:rPr>
                <w:rFonts w:ascii="Times New Roman" w:cs="Times New Roman" w:eastAsia="Times New Roman" w:hAnsi="Times New Roman"/>
                <w:sz w:val="22"/>
                <w:szCs w:val="22"/>
                <w:color w:val="auto"/>
              </w:rPr>
              <w:t>Email</w:t>
            </w:r>
          </w:p>
        </w:tc>
        <w:tc>
          <w:tcPr>
            <w:tcW w:w="18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080" w:type="dxa"/>
            <w:vAlign w:val="bottom"/>
            <w:tcBorders>
              <w:left w:val="single" w:sz="8" w:color="252525"/>
              <w:bottom w:val="single" w:sz="8" w:color="auto"/>
              <w:right w:val="single" w:sz="8" w:color="252525"/>
            </w:tcBorders>
            <w:shd w:val="clear" w:color="auto" w:fill="D2D2D2"/>
          </w:tcPr>
          <w:p>
            <w:pPr>
              <w:spacing w:after="0"/>
              <w:rPr>
                <w:sz w:val="7"/>
                <w:szCs w:val="7"/>
                <w:color w:val="auto"/>
              </w:rPr>
            </w:pPr>
          </w:p>
        </w:tc>
        <w:tc>
          <w:tcPr>
            <w:tcW w:w="1940" w:type="dxa"/>
            <w:vAlign w:val="bottom"/>
            <w:tcBorders>
              <w:bottom w:val="single" w:sz="8" w:color="auto"/>
              <w:right w:val="single" w:sz="8" w:color="252525"/>
            </w:tcBorders>
          </w:tcPr>
          <w:p>
            <w:pPr>
              <w:spacing w:after="0"/>
              <w:rPr>
                <w:sz w:val="7"/>
                <w:szCs w:val="7"/>
                <w:color w:val="auto"/>
              </w:rPr>
            </w:pPr>
          </w:p>
        </w:tc>
        <w:tc>
          <w:tcPr>
            <w:tcW w:w="1280" w:type="dxa"/>
            <w:vAlign w:val="bottom"/>
            <w:tcBorders>
              <w:bottom w:val="single" w:sz="8" w:color="auto"/>
              <w:right w:val="single" w:sz="8" w:color="252525"/>
            </w:tcBorders>
            <w:shd w:val="clear" w:color="auto" w:fill="D2D2D2"/>
          </w:tcPr>
          <w:p>
            <w:pPr>
              <w:spacing w:after="0"/>
              <w:rPr>
                <w:sz w:val="7"/>
                <w:szCs w:val="7"/>
                <w:color w:val="auto"/>
              </w:rPr>
            </w:pPr>
          </w:p>
        </w:tc>
        <w:tc>
          <w:tcPr>
            <w:tcW w:w="1500" w:type="dxa"/>
            <w:vAlign w:val="bottom"/>
            <w:tcBorders>
              <w:bottom w:val="single" w:sz="8" w:color="auto"/>
              <w:right w:val="single" w:sz="8" w:color="252525"/>
            </w:tcBorders>
          </w:tcPr>
          <w:p>
            <w:pPr>
              <w:spacing w:after="0"/>
              <w:rPr>
                <w:sz w:val="7"/>
                <w:szCs w:val="7"/>
                <w:color w:val="auto"/>
              </w:rPr>
            </w:pPr>
          </w:p>
        </w:tc>
        <w:tc>
          <w:tcPr>
            <w:tcW w:w="1000" w:type="dxa"/>
            <w:vAlign w:val="bottom"/>
            <w:tcBorders>
              <w:bottom w:val="single" w:sz="8" w:color="auto"/>
              <w:right w:val="single" w:sz="8" w:color="auto"/>
            </w:tcBorders>
            <w:shd w:val="clear" w:color="auto" w:fill="D2D2D2"/>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252525"/>
              <w:right w:val="single" w:sz="8" w:color="252525"/>
            </w:tcBorders>
          </w:tcPr>
          <w:p>
            <w:pPr>
              <w:spacing w:after="0" w:line="20" w:lineRule="exact"/>
              <w:rPr>
                <w:sz w:val="1"/>
                <w:szCs w:val="1"/>
                <w:color w:val="auto"/>
              </w:rPr>
            </w:pPr>
          </w:p>
        </w:tc>
        <w:tc>
          <w:tcPr>
            <w:tcW w:w="1940" w:type="dxa"/>
            <w:vAlign w:val="bottom"/>
            <w:tcBorders>
              <w:right w:val="single" w:sz="8" w:color="252525"/>
            </w:tcBorders>
          </w:tcPr>
          <w:p>
            <w:pPr>
              <w:spacing w:after="0" w:line="20" w:lineRule="exact"/>
              <w:rPr>
                <w:sz w:val="1"/>
                <w:szCs w:val="1"/>
                <w:color w:val="auto"/>
              </w:rPr>
            </w:pPr>
          </w:p>
        </w:tc>
        <w:tc>
          <w:tcPr>
            <w:tcW w:w="1280" w:type="dxa"/>
            <w:vAlign w:val="bottom"/>
            <w:tcBorders>
              <w:right w:val="single" w:sz="8" w:color="252525"/>
            </w:tcBorders>
          </w:tcPr>
          <w:p>
            <w:pPr>
              <w:spacing w:after="0" w:line="20" w:lineRule="exact"/>
              <w:rPr>
                <w:sz w:val="1"/>
                <w:szCs w:val="1"/>
                <w:color w:val="auto"/>
              </w:rPr>
            </w:pPr>
          </w:p>
        </w:tc>
        <w:tc>
          <w:tcPr>
            <w:tcW w:w="1500" w:type="dxa"/>
            <w:vAlign w:val="bottom"/>
            <w:tcBorders>
              <w:right w:val="single" w:sz="8" w:color="252525"/>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820" w:type="dxa"/>
            <w:vAlign w:val="bottom"/>
            <w:tcBorders>
              <w:right w:val="single" w:sz="8" w:color="252525"/>
            </w:tcBorders>
            <w:vMerge w:val="restart"/>
            <w:shd w:val="clear" w:color="auto" w:fill="7B7B7B"/>
          </w:tcPr>
          <w:p>
            <w:pPr>
              <w:ind w:left="60"/>
              <w:spacing w:after="0"/>
              <w:rPr>
                <w:sz w:val="20"/>
                <w:szCs w:val="20"/>
                <w:color w:val="auto"/>
              </w:rPr>
            </w:pPr>
            <w:r>
              <w:rPr>
                <w:rFonts w:ascii="Times New Roman" w:cs="Times New Roman" w:eastAsia="Times New Roman" w:hAnsi="Times New Roman"/>
                <w:sz w:val="22"/>
                <w:szCs w:val="22"/>
                <w:color w:val="auto"/>
              </w:rPr>
              <w:t>Pfd. Contact</w:t>
            </w:r>
          </w:p>
        </w:tc>
        <w:tc>
          <w:tcPr>
            <w:tcW w:w="2640" w:type="dxa"/>
            <w:vAlign w:val="bottom"/>
            <w:tcBorders>
              <w:right w:val="single" w:sz="8" w:color="252525"/>
            </w:tcBorders>
            <w:vMerge w:val="restart"/>
          </w:tcPr>
          <w:p>
            <w:pPr>
              <w:ind w:left="60"/>
              <w:spacing w:after="0"/>
              <w:rPr>
                <w:sz w:val="20"/>
                <w:szCs w:val="20"/>
                <w:color w:val="auto"/>
              </w:rPr>
            </w:pPr>
            <w:r>
              <w:rPr>
                <w:rFonts w:ascii="Times New Roman" w:cs="Times New Roman" w:eastAsia="Times New Roman" w:hAnsi="Times New Roman"/>
                <w:sz w:val="22"/>
                <w:szCs w:val="22"/>
                <w:i w:val="1"/>
                <w:iCs w:val="1"/>
                <w:color w:val="808080"/>
              </w:rPr>
              <w:t>Preferred contact method</w:t>
            </w:r>
          </w:p>
        </w:tc>
        <w:tc>
          <w:tcPr>
            <w:tcW w:w="0" w:type="dxa"/>
            <w:vAlign w:val="bottom"/>
          </w:tcPr>
          <w:p>
            <w:pPr>
              <w:spacing w:after="0" w:line="20" w:lineRule="exact"/>
              <w:rPr>
                <w:sz w:val="1"/>
                <w:szCs w:val="1"/>
                <w:color w:val="auto"/>
              </w:rPr>
            </w:pPr>
          </w:p>
        </w:tc>
      </w:tr>
      <w:tr>
        <w:trPr>
          <w:trHeight w:val="260"/>
        </w:trPr>
        <w:tc>
          <w:tcPr>
            <w:tcW w:w="3020" w:type="dxa"/>
            <w:vAlign w:val="bottom"/>
            <w:gridSpan w:val="2"/>
            <w:vMerge w:val="restart"/>
          </w:tcPr>
          <w:p>
            <w:pPr>
              <w:ind w:left="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Data Room Access</w:t>
            </w:r>
          </w:p>
        </w:tc>
        <w:tc>
          <w:tcPr>
            <w:tcW w:w="12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820" w:type="dxa"/>
            <w:vAlign w:val="bottom"/>
            <w:tcBorders>
              <w:right w:val="single" w:sz="8" w:color="252525"/>
            </w:tcBorders>
            <w:vMerge w:val="continue"/>
            <w:shd w:val="clear" w:color="auto" w:fill="7B7B7B"/>
          </w:tcPr>
          <w:p>
            <w:pPr>
              <w:spacing w:after="0"/>
              <w:rPr>
                <w:sz w:val="22"/>
                <w:szCs w:val="22"/>
                <w:color w:val="auto"/>
              </w:rPr>
            </w:pPr>
          </w:p>
        </w:tc>
        <w:tc>
          <w:tcPr>
            <w:tcW w:w="2640" w:type="dxa"/>
            <w:vAlign w:val="bottom"/>
            <w:tcBorders>
              <w:right w:val="single" w:sz="8" w:color="252525"/>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02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820" w:type="dxa"/>
            <w:vAlign w:val="bottom"/>
            <w:tcBorders>
              <w:right w:val="single" w:sz="8" w:color="252525"/>
            </w:tcBorders>
            <w:vMerge w:val="restart"/>
            <w:shd w:val="clear" w:color="auto" w:fill="7B7B7B"/>
          </w:tcPr>
          <w:p>
            <w:pPr>
              <w:ind w:left="60"/>
              <w:spacing w:after="0"/>
              <w:rPr>
                <w:sz w:val="20"/>
                <w:szCs w:val="20"/>
                <w:color w:val="auto"/>
              </w:rPr>
            </w:pPr>
            <w:r>
              <w:rPr>
                <w:rFonts w:ascii="Times New Roman" w:cs="Times New Roman" w:eastAsia="Times New Roman" w:hAnsi="Times New Roman"/>
                <w:sz w:val="22"/>
                <w:szCs w:val="22"/>
                <w:color w:val="auto"/>
              </w:rPr>
              <w:t>Method</w:t>
            </w:r>
          </w:p>
        </w:tc>
        <w:tc>
          <w:tcPr>
            <w:tcW w:w="2640" w:type="dxa"/>
            <w:vAlign w:val="bottom"/>
            <w:tcBorders>
              <w:right w:val="single" w:sz="8" w:color="252525"/>
            </w:tcBorders>
            <w:vMerge w:val="restart"/>
          </w:tcPr>
          <w:p>
            <w:pPr>
              <w:ind w:left="60"/>
              <w:spacing w:after="0"/>
              <w:rPr>
                <w:sz w:val="20"/>
                <w:szCs w:val="20"/>
                <w:color w:val="auto"/>
              </w:rPr>
            </w:pPr>
            <w:r>
              <w:rPr>
                <w:rFonts w:ascii="Times New Roman" w:cs="Times New Roman" w:eastAsia="Times New Roman" w:hAnsi="Times New Roman"/>
                <w:sz w:val="22"/>
                <w:szCs w:val="22"/>
                <w:i w:val="1"/>
                <w:iCs w:val="1"/>
                <w:color w:val="808080"/>
              </w:rPr>
              <w:t>for inquiries.</w:t>
            </w:r>
          </w:p>
        </w:tc>
        <w:tc>
          <w:tcPr>
            <w:tcW w:w="0" w:type="dxa"/>
            <w:vAlign w:val="bottom"/>
          </w:tcPr>
          <w:p>
            <w:pPr>
              <w:spacing w:after="0"/>
              <w:rPr>
                <w:sz w:val="1"/>
                <w:szCs w:val="1"/>
                <w:color w:val="auto"/>
              </w:rPr>
            </w:pPr>
          </w:p>
        </w:tc>
      </w:tr>
      <w:tr>
        <w:trPr>
          <w:trHeight w:val="105"/>
        </w:trPr>
        <w:tc>
          <w:tcPr>
            <w:tcW w:w="10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252525"/>
            </w:tcBorders>
            <w:vMerge w:val="continue"/>
            <w:shd w:val="clear" w:color="auto" w:fill="7B7B7B"/>
          </w:tcPr>
          <w:p>
            <w:pPr>
              <w:spacing w:after="0"/>
              <w:rPr>
                <w:sz w:val="9"/>
                <w:szCs w:val="9"/>
                <w:color w:val="auto"/>
              </w:rPr>
            </w:pPr>
          </w:p>
        </w:tc>
        <w:tc>
          <w:tcPr>
            <w:tcW w:w="2640" w:type="dxa"/>
            <w:vAlign w:val="bottom"/>
            <w:tcBorders>
              <w:bottom w:val="single" w:sz="8" w:color="auto"/>
              <w:right w:val="single" w:sz="8" w:color="252525"/>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8"/>
          <w:szCs w:val="18"/>
          <w:b w:val="1"/>
          <w:bCs w:val="1"/>
          <w:color w:val="auto"/>
        </w:rPr>
        <w:t>Copy and paste section above to add any additional contracts. It is recommended that at least one of the contracts be a group.</w:t>
      </w:r>
    </w:p>
    <w:p>
      <w:pPr>
        <w:sectPr>
          <w:pgSz w:w="11900" w:h="16838" w:orient="portrait"/>
          <w:cols w:equalWidth="0" w:num="1">
            <w:col w:w="11260"/>
          </w:cols>
          <w:pgMar w:left="320" w:top="1440" w:right="319" w:bottom="1440" w:gutter="0" w:footer="0" w:header="0"/>
        </w:sectPr>
      </w:pPr>
    </w:p>
    <w:bookmarkStart w:id="183" w:name="page184"/>
    <w:bookmarkEnd w:id="183"/>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5400" w:type="dxa"/>
            <w:vAlign w:val="bottom"/>
            <w:tcBorders>
              <w:left w:val="single" w:sz="8" w:color="252525"/>
            </w:tcBorders>
            <w:gridSpan w:val="2"/>
            <w:shd w:val="clear" w:color="auto" w:fill="000000"/>
          </w:tcPr>
          <w:p>
            <w:pPr>
              <w:ind w:left="100"/>
              <w:spacing w:after="0"/>
              <w:rPr>
                <w:sz w:val="20"/>
                <w:szCs w:val="20"/>
                <w:color w:val="auto"/>
              </w:rPr>
            </w:pPr>
            <w:r>
              <w:rPr>
                <w:rFonts w:ascii="Times New Roman" w:cs="Times New Roman" w:eastAsia="Times New Roman" w:hAnsi="Times New Roman"/>
                <w:sz w:val="22"/>
                <w:szCs w:val="22"/>
                <w:b w:val="1"/>
                <w:bCs w:val="1"/>
                <w:color w:val="FFFFFF"/>
              </w:rPr>
              <w:t>OPERATIONS CONTRACTS (INQUIRIES ONLY)</w:t>
            </w:r>
          </w:p>
        </w:tc>
        <w:tc>
          <w:tcPr>
            <w:tcW w:w="190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2860" w:type="dxa"/>
            <w:vAlign w:val="bottom"/>
            <w:shd w:val="clear" w:color="auto" w:fill="000000"/>
          </w:tcPr>
          <w:p>
            <w:pPr>
              <w:spacing w:after="0"/>
              <w:rPr>
                <w:sz w:val="24"/>
                <w:szCs w:val="24"/>
                <w:color w:val="auto"/>
              </w:rPr>
            </w:pPr>
          </w:p>
        </w:tc>
      </w:tr>
      <w:tr>
        <w:trPr>
          <w:trHeight w:val="110"/>
        </w:trPr>
        <w:tc>
          <w:tcPr>
            <w:tcW w:w="880" w:type="dxa"/>
            <w:vAlign w:val="bottom"/>
            <w:tcBorders>
              <w:left w:val="single" w:sz="8" w:color="252525"/>
            </w:tcBorders>
            <w:shd w:val="clear" w:color="auto" w:fill="000000"/>
          </w:tcPr>
          <w:p>
            <w:pPr>
              <w:spacing w:after="0"/>
              <w:rPr>
                <w:sz w:val="9"/>
                <w:szCs w:val="9"/>
                <w:color w:val="auto"/>
              </w:rPr>
            </w:pPr>
          </w:p>
        </w:tc>
        <w:tc>
          <w:tcPr>
            <w:tcW w:w="4520" w:type="dxa"/>
            <w:vAlign w:val="bottom"/>
            <w:shd w:val="clear" w:color="auto" w:fill="000000"/>
          </w:tcPr>
          <w:p>
            <w:pPr>
              <w:spacing w:after="0"/>
              <w:rPr>
                <w:sz w:val="9"/>
                <w:szCs w:val="9"/>
                <w:color w:val="auto"/>
              </w:rPr>
            </w:pPr>
          </w:p>
        </w:tc>
        <w:tc>
          <w:tcPr>
            <w:tcW w:w="1900" w:type="dxa"/>
            <w:vAlign w:val="bottom"/>
            <w:shd w:val="clear" w:color="auto" w:fill="000000"/>
          </w:tcPr>
          <w:p>
            <w:pPr>
              <w:spacing w:after="0"/>
              <w:rPr>
                <w:sz w:val="9"/>
                <w:szCs w:val="9"/>
                <w:color w:val="auto"/>
              </w:rPr>
            </w:pPr>
          </w:p>
        </w:tc>
        <w:tc>
          <w:tcPr>
            <w:tcW w:w="1080" w:type="dxa"/>
            <w:vAlign w:val="bottom"/>
            <w:shd w:val="clear" w:color="auto" w:fill="000000"/>
          </w:tcPr>
          <w:p>
            <w:pPr>
              <w:spacing w:after="0"/>
              <w:rPr>
                <w:sz w:val="9"/>
                <w:szCs w:val="9"/>
                <w:color w:val="auto"/>
              </w:rPr>
            </w:pPr>
          </w:p>
        </w:tc>
        <w:tc>
          <w:tcPr>
            <w:tcW w:w="2860" w:type="dxa"/>
            <w:vAlign w:val="bottom"/>
            <w:shd w:val="clear" w:color="auto" w:fill="000000"/>
          </w:tcPr>
          <w:p>
            <w:pPr>
              <w:spacing w:after="0"/>
              <w:rPr>
                <w:sz w:val="9"/>
                <w:szCs w:val="9"/>
                <w:color w:val="auto"/>
              </w:rPr>
            </w:pPr>
          </w:p>
        </w:tc>
      </w:tr>
      <w:tr>
        <w:trPr>
          <w:trHeight w:val="279"/>
        </w:trPr>
        <w:tc>
          <w:tcPr>
            <w:tcW w:w="8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Name</w:t>
            </w:r>
          </w:p>
        </w:tc>
        <w:tc>
          <w:tcPr>
            <w:tcW w:w="452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808080"/>
              </w:rPr>
              <w:t>Name of group or individual.</w:t>
            </w:r>
          </w:p>
        </w:tc>
        <w:tc>
          <w:tcPr>
            <w:tcW w:w="1900" w:type="dxa"/>
            <w:vAlign w:val="bottom"/>
          </w:tcPr>
          <w:p>
            <w:pPr>
              <w:ind w:left="460"/>
              <w:spacing w:after="0"/>
              <w:rPr>
                <w:sz w:val="20"/>
                <w:szCs w:val="20"/>
                <w:color w:val="auto"/>
              </w:rPr>
            </w:pPr>
            <w:r>
              <w:rPr>
                <w:rFonts w:ascii="Times New Roman" w:cs="Times New Roman" w:eastAsia="Times New Roman" w:hAnsi="Times New Roman"/>
                <w:sz w:val="22"/>
                <w:szCs w:val="22"/>
                <w:i w:val="1"/>
                <w:iCs w:val="1"/>
                <w:color w:val="808080"/>
              </w:rPr>
              <w:t>Select group</w:t>
            </w:r>
          </w:p>
        </w:tc>
        <w:tc>
          <w:tcPr>
            <w:tcW w:w="1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Firm</w:t>
            </w:r>
          </w:p>
        </w:tc>
        <w:tc>
          <w:tcPr>
            <w:tcW w:w="2860" w:type="dxa"/>
            <w:vAlign w:val="bottom"/>
          </w:tcPr>
          <w:p>
            <w:pPr>
              <w:ind w:left="300"/>
              <w:spacing w:after="0"/>
              <w:rPr>
                <w:sz w:val="20"/>
                <w:szCs w:val="20"/>
                <w:color w:val="auto"/>
              </w:rPr>
            </w:pPr>
            <w:r>
              <w:rPr>
                <w:rFonts w:ascii="Times New Roman" w:cs="Times New Roman" w:eastAsia="Times New Roman" w:hAnsi="Times New Roman"/>
                <w:sz w:val="22"/>
                <w:szCs w:val="22"/>
                <w:i w:val="1"/>
                <w:iCs w:val="1"/>
                <w:color w:val="808080"/>
              </w:rPr>
              <w:t>Firm with which contact</w:t>
            </w:r>
          </w:p>
        </w:tc>
      </w:tr>
      <w:tr>
        <w:trPr>
          <w:trHeight w:val="300"/>
        </w:trPr>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00" w:type="dxa"/>
            <w:vAlign w:val="bottom"/>
          </w:tcPr>
          <w:p>
            <w:pPr>
              <w:ind w:left="460"/>
              <w:spacing w:after="0"/>
              <w:rPr>
                <w:sz w:val="20"/>
                <w:szCs w:val="20"/>
                <w:color w:val="auto"/>
              </w:rPr>
            </w:pPr>
            <w:r>
              <w:rPr>
                <w:rFonts w:ascii="Times New Roman" w:cs="Times New Roman" w:eastAsia="Times New Roman" w:hAnsi="Times New Roman"/>
                <w:sz w:val="22"/>
                <w:szCs w:val="22"/>
                <w:i w:val="1"/>
                <w:iCs w:val="1"/>
                <w:color w:val="808080"/>
              </w:rPr>
              <w:t>or</w:t>
            </w:r>
          </w:p>
        </w:tc>
        <w:tc>
          <w:tcPr>
            <w:tcW w:w="1080" w:type="dxa"/>
            <w:vAlign w:val="bottom"/>
          </w:tcPr>
          <w:p>
            <w:pPr>
              <w:spacing w:after="0"/>
              <w:rPr>
                <w:sz w:val="24"/>
                <w:szCs w:val="24"/>
                <w:color w:val="auto"/>
              </w:rPr>
            </w:pPr>
          </w:p>
        </w:tc>
        <w:tc>
          <w:tcPr>
            <w:tcW w:w="2860" w:type="dxa"/>
            <w:vAlign w:val="bottom"/>
          </w:tcPr>
          <w:p>
            <w:pPr>
              <w:ind w:left="300"/>
              <w:spacing w:after="0"/>
              <w:rPr>
                <w:sz w:val="20"/>
                <w:szCs w:val="20"/>
                <w:color w:val="auto"/>
              </w:rPr>
            </w:pPr>
            <w:r>
              <w:rPr>
                <w:rFonts w:ascii="Times New Roman" w:cs="Times New Roman" w:eastAsia="Times New Roman" w:hAnsi="Times New Roman"/>
                <w:sz w:val="22"/>
                <w:szCs w:val="22"/>
                <w:i w:val="1"/>
                <w:iCs w:val="1"/>
                <w:color w:val="808080"/>
              </w:rPr>
              <w:t>is affiliated.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40575" cy="1543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0575" cy="1543050"/>
                    </a:xfrm>
                    <a:prstGeom prst="rect">
                      <a:avLst/>
                    </a:prstGeom>
                    <a:noFill/>
                  </pic:spPr>
                </pic:pic>
              </a:graphicData>
            </a:graphic>
          </wp:anchor>
        </w:drawing>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i w:val="1"/>
          <w:iCs w:val="1"/>
          <w:color w:val="808080"/>
        </w:rPr>
        <w:t>Individual</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i w:val="1"/>
          <w:iCs w:val="1"/>
          <w:color w:val="929292"/>
        </w:rPr>
        <w:t>Registered address of contact’s office (if different than the lender’s office), including country of domicile.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358"/>
        </w:trPr>
        <w:tc>
          <w:tcPr>
            <w:tcW w:w="1080" w:type="dxa"/>
            <w:vAlign w:val="bottom"/>
            <w:tcBorders>
              <w:top w:val="single" w:sz="8" w:color="auto"/>
              <w:left w:val="single" w:sz="8" w:color="252525"/>
              <w:right w:val="single" w:sz="8" w:color="252525"/>
            </w:tcBorders>
            <w:shd w:val="clear" w:color="auto" w:fill="D2D2D2"/>
          </w:tcPr>
          <w:p>
            <w:pPr>
              <w:ind w:left="100"/>
              <w:spacing w:after="0"/>
              <w:rPr>
                <w:sz w:val="20"/>
                <w:szCs w:val="20"/>
                <w:color w:val="auto"/>
              </w:rPr>
            </w:pPr>
            <w:r>
              <w:rPr>
                <w:rFonts w:ascii="Times New Roman" w:cs="Times New Roman" w:eastAsia="Times New Roman" w:hAnsi="Times New Roman"/>
                <w:sz w:val="22"/>
                <w:szCs w:val="22"/>
                <w:b w:val="1"/>
                <w:bCs w:val="1"/>
                <w:color w:val="auto"/>
              </w:rPr>
              <w:t>Phone</w:t>
            </w:r>
          </w:p>
        </w:tc>
        <w:tc>
          <w:tcPr>
            <w:tcW w:w="1940" w:type="dxa"/>
            <w:vAlign w:val="bottom"/>
            <w:tcBorders>
              <w:top w:val="single" w:sz="8" w:color="auto"/>
              <w:right w:val="single" w:sz="8" w:color="252525"/>
            </w:tcBorders>
          </w:tcPr>
          <w:p>
            <w:pPr>
              <w:spacing w:after="0"/>
              <w:rPr>
                <w:sz w:val="24"/>
                <w:szCs w:val="24"/>
                <w:color w:val="auto"/>
              </w:rPr>
            </w:pPr>
          </w:p>
        </w:tc>
        <w:tc>
          <w:tcPr>
            <w:tcW w:w="1280" w:type="dxa"/>
            <w:vAlign w:val="bottom"/>
            <w:tcBorders>
              <w:top w:val="single" w:sz="8" w:color="auto"/>
              <w:right w:val="single" w:sz="8" w:color="252525"/>
            </w:tcBorders>
            <w:shd w:val="clear" w:color="auto" w:fill="D2D2D2"/>
          </w:tcPr>
          <w:p>
            <w:pPr>
              <w:ind w:left="60"/>
              <w:spacing w:after="0"/>
              <w:rPr>
                <w:sz w:val="20"/>
                <w:szCs w:val="20"/>
                <w:color w:val="auto"/>
              </w:rPr>
            </w:pPr>
            <w:r>
              <w:rPr>
                <w:rFonts w:ascii="Times New Roman" w:cs="Times New Roman" w:eastAsia="Times New Roman" w:hAnsi="Times New Roman"/>
                <w:sz w:val="22"/>
                <w:szCs w:val="22"/>
                <w:color w:val="auto"/>
              </w:rPr>
              <w:t>Fax</w:t>
            </w:r>
          </w:p>
        </w:tc>
        <w:tc>
          <w:tcPr>
            <w:tcW w:w="1500" w:type="dxa"/>
            <w:vAlign w:val="bottom"/>
            <w:tcBorders>
              <w:top w:val="single" w:sz="8" w:color="auto"/>
              <w:right w:val="single" w:sz="8" w:color="252525"/>
            </w:tcBorders>
          </w:tcPr>
          <w:p>
            <w:pPr>
              <w:spacing w:after="0"/>
              <w:rPr>
                <w:sz w:val="24"/>
                <w:szCs w:val="24"/>
                <w:color w:val="auto"/>
              </w:rPr>
            </w:pPr>
          </w:p>
        </w:tc>
        <w:tc>
          <w:tcPr>
            <w:tcW w:w="1000" w:type="dxa"/>
            <w:vAlign w:val="bottom"/>
            <w:tcBorders>
              <w:top w:val="single" w:sz="8" w:color="auto"/>
              <w:right w:val="single" w:sz="8" w:color="auto"/>
            </w:tcBorders>
            <w:shd w:val="clear" w:color="auto" w:fill="D2D2D2"/>
          </w:tcPr>
          <w:p>
            <w:pPr>
              <w:ind w:left="60"/>
              <w:spacing w:after="0"/>
              <w:rPr>
                <w:sz w:val="20"/>
                <w:szCs w:val="20"/>
                <w:color w:val="auto"/>
              </w:rPr>
            </w:pPr>
            <w:r>
              <w:rPr>
                <w:rFonts w:ascii="Times New Roman" w:cs="Times New Roman" w:eastAsia="Times New Roman" w:hAnsi="Times New Roman"/>
                <w:sz w:val="22"/>
                <w:szCs w:val="22"/>
                <w:color w:val="auto"/>
              </w:rPr>
              <w:t>Email</w:t>
            </w:r>
          </w:p>
        </w:tc>
        <w:tc>
          <w:tcPr>
            <w:tcW w:w="18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080" w:type="dxa"/>
            <w:vAlign w:val="bottom"/>
            <w:tcBorders>
              <w:left w:val="single" w:sz="8" w:color="252525"/>
              <w:bottom w:val="single" w:sz="8" w:color="auto"/>
              <w:right w:val="single" w:sz="8" w:color="252525"/>
            </w:tcBorders>
            <w:shd w:val="clear" w:color="auto" w:fill="D2D2D2"/>
          </w:tcPr>
          <w:p>
            <w:pPr>
              <w:spacing w:after="0"/>
              <w:rPr>
                <w:sz w:val="7"/>
                <w:szCs w:val="7"/>
                <w:color w:val="auto"/>
              </w:rPr>
            </w:pPr>
          </w:p>
        </w:tc>
        <w:tc>
          <w:tcPr>
            <w:tcW w:w="1940" w:type="dxa"/>
            <w:vAlign w:val="bottom"/>
            <w:tcBorders>
              <w:bottom w:val="single" w:sz="8" w:color="auto"/>
              <w:right w:val="single" w:sz="8" w:color="252525"/>
            </w:tcBorders>
          </w:tcPr>
          <w:p>
            <w:pPr>
              <w:spacing w:after="0"/>
              <w:rPr>
                <w:sz w:val="7"/>
                <w:szCs w:val="7"/>
                <w:color w:val="auto"/>
              </w:rPr>
            </w:pPr>
          </w:p>
        </w:tc>
        <w:tc>
          <w:tcPr>
            <w:tcW w:w="1280" w:type="dxa"/>
            <w:vAlign w:val="bottom"/>
            <w:tcBorders>
              <w:bottom w:val="single" w:sz="8" w:color="auto"/>
              <w:right w:val="single" w:sz="8" w:color="252525"/>
            </w:tcBorders>
            <w:shd w:val="clear" w:color="auto" w:fill="D2D2D2"/>
          </w:tcPr>
          <w:p>
            <w:pPr>
              <w:spacing w:after="0"/>
              <w:rPr>
                <w:sz w:val="7"/>
                <w:szCs w:val="7"/>
                <w:color w:val="auto"/>
              </w:rPr>
            </w:pPr>
          </w:p>
        </w:tc>
        <w:tc>
          <w:tcPr>
            <w:tcW w:w="1500" w:type="dxa"/>
            <w:vAlign w:val="bottom"/>
            <w:tcBorders>
              <w:bottom w:val="single" w:sz="8" w:color="auto"/>
              <w:right w:val="single" w:sz="8" w:color="252525"/>
            </w:tcBorders>
          </w:tcPr>
          <w:p>
            <w:pPr>
              <w:spacing w:after="0"/>
              <w:rPr>
                <w:sz w:val="7"/>
                <w:szCs w:val="7"/>
                <w:color w:val="auto"/>
              </w:rPr>
            </w:pPr>
          </w:p>
        </w:tc>
        <w:tc>
          <w:tcPr>
            <w:tcW w:w="1000" w:type="dxa"/>
            <w:vAlign w:val="bottom"/>
            <w:tcBorders>
              <w:bottom w:val="single" w:sz="8" w:color="auto"/>
              <w:right w:val="single" w:sz="8" w:color="auto"/>
            </w:tcBorders>
            <w:shd w:val="clear" w:color="auto" w:fill="D2D2D2"/>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4300" w:type="dxa"/>
            <w:vAlign w:val="bottom"/>
            <w:gridSpan w:val="3"/>
            <w:vMerge w:val="restart"/>
          </w:tcPr>
          <w:p>
            <w:pPr>
              <w:ind w:left="40"/>
              <w:spacing w:after="0" w:line="253" w:lineRule="exact"/>
              <w:rPr>
                <w:sz w:val="20"/>
                <w:szCs w:val="20"/>
                <w:color w:val="auto"/>
              </w:rPr>
            </w:pPr>
            <w:r>
              <w:rPr>
                <w:rFonts w:ascii="MS PGothic" w:cs="MS PGothic" w:eastAsia="MS PGothic" w:hAnsi="MS PGothic"/>
                <w:sz w:val="22"/>
                <w:szCs w:val="22"/>
                <w:color w:val="auto"/>
                <w:w w:val="99"/>
              </w:rPr>
              <w:t>☐</w:t>
            </w:r>
            <w:r>
              <w:rPr>
                <w:rFonts w:ascii="Times New Roman" w:cs="Times New Roman" w:eastAsia="Times New Roman" w:hAnsi="Times New Roman"/>
                <w:sz w:val="22"/>
                <w:szCs w:val="22"/>
                <w:color w:val="auto"/>
                <w:w w:val="99"/>
              </w:rPr>
              <w:t xml:space="preserve"> Settlements </w:t>
            </w:r>
            <w:r>
              <w:rPr>
                <w:rFonts w:ascii="MS PGothic" w:cs="MS PGothic" w:eastAsia="MS PGothic" w:hAnsi="MS PGothic"/>
                <w:sz w:val="22"/>
                <w:szCs w:val="22"/>
                <w:color w:val="auto"/>
                <w:w w:val="99"/>
              </w:rPr>
              <w:t>☐</w:t>
            </w:r>
            <w:r>
              <w:rPr>
                <w:rFonts w:ascii="Times New Roman" w:cs="Times New Roman" w:eastAsia="Times New Roman" w:hAnsi="Times New Roman"/>
                <w:sz w:val="22"/>
                <w:szCs w:val="22"/>
                <w:color w:val="auto"/>
                <w:w w:val="99"/>
              </w:rPr>
              <w:t xml:space="preserve"> Servicing </w:t>
            </w:r>
            <w:r>
              <w:rPr>
                <w:rFonts w:ascii="MS PGothic" w:cs="MS PGothic" w:eastAsia="MS PGothic" w:hAnsi="MS PGothic"/>
                <w:sz w:val="22"/>
                <w:szCs w:val="22"/>
                <w:color w:val="auto"/>
                <w:w w:val="99"/>
              </w:rPr>
              <w:t>☐</w:t>
            </w:r>
            <w:r>
              <w:rPr>
                <w:rFonts w:ascii="Times New Roman" w:cs="Times New Roman" w:eastAsia="Times New Roman" w:hAnsi="Times New Roman"/>
                <w:sz w:val="22"/>
                <w:szCs w:val="22"/>
                <w:color w:val="auto"/>
                <w:w w:val="99"/>
              </w:rPr>
              <w:t xml:space="preserve"> SSI Verification</w:t>
            </w:r>
          </w:p>
        </w:tc>
        <w:tc>
          <w:tcPr>
            <w:tcW w:w="150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820" w:type="dxa"/>
            <w:vAlign w:val="bottom"/>
            <w:tcBorders>
              <w:right w:val="single" w:sz="8" w:color="252525"/>
            </w:tcBorders>
            <w:shd w:val="clear" w:color="auto" w:fill="7B7B7B"/>
          </w:tcPr>
          <w:p>
            <w:pPr>
              <w:ind w:left="60"/>
              <w:spacing w:after="0"/>
              <w:rPr>
                <w:sz w:val="20"/>
                <w:szCs w:val="20"/>
                <w:color w:val="auto"/>
              </w:rPr>
            </w:pPr>
            <w:r>
              <w:rPr>
                <w:rFonts w:ascii="Times New Roman" w:cs="Times New Roman" w:eastAsia="Times New Roman" w:hAnsi="Times New Roman"/>
                <w:sz w:val="22"/>
                <w:szCs w:val="22"/>
                <w:color w:val="auto"/>
              </w:rPr>
              <w:t>Pfd. Contact</w:t>
            </w:r>
          </w:p>
        </w:tc>
        <w:tc>
          <w:tcPr>
            <w:tcW w:w="2640" w:type="dxa"/>
            <w:vAlign w:val="bottom"/>
            <w:tcBorders>
              <w:right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Preferred contact method</w:t>
            </w:r>
          </w:p>
        </w:tc>
        <w:tc>
          <w:tcPr>
            <w:tcW w:w="0" w:type="dxa"/>
            <w:vAlign w:val="bottom"/>
          </w:tcPr>
          <w:p>
            <w:pPr>
              <w:spacing w:after="0"/>
              <w:rPr>
                <w:sz w:val="1"/>
                <w:szCs w:val="1"/>
                <w:color w:val="auto"/>
              </w:rPr>
            </w:pPr>
          </w:p>
        </w:tc>
      </w:tr>
      <w:tr>
        <w:trPr>
          <w:trHeight w:val="149"/>
        </w:trPr>
        <w:tc>
          <w:tcPr>
            <w:tcW w:w="430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820" w:type="dxa"/>
            <w:vAlign w:val="bottom"/>
            <w:tcBorders>
              <w:right w:val="single" w:sz="8" w:color="252525"/>
            </w:tcBorders>
            <w:vMerge w:val="restart"/>
            <w:shd w:val="clear" w:color="auto" w:fill="7B7B7B"/>
          </w:tcPr>
          <w:p>
            <w:pPr>
              <w:ind w:left="60"/>
              <w:spacing w:after="0"/>
              <w:rPr>
                <w:sz w:val="20"/>
                <w:szCs w:val="20"/>
                <w:color w:val="auto"/>
              </w:rPr>
            </w:pPr>
            <w:r>
              <w:rPr>
                <w:rFonts w:ascii="Times New Roman" w:cs="Times New Roman" w:eastAsia="Times New Roman" w:hAnsi="Times New Roman"/>
                <w:sz w:val="22"/>
                <w:szCs w:val="22"/>
                <w:color w:val="auto"/>
              </w:rPr>
              <w:t>Method</w:t>
            </w:r>
          </w:p>
        </w:tc>
        <w:tc>
          <w:tcPr>
            <w:tcW w:w="2640" w:type="dxa"/>
            <w:vAlign w:val="bottom"/>
            <w:tcBorders>
              <w:right w:val="single" w:sz="8" w:color="252525"/>
            </w:tcBorders>
            <w:vMerge w:val="restart"/>
          </w:tcPr>
          <w:p>
            <w:pPr>
              <w:ind w:left="60"/>
              <w:spacing w:after="0"/>
              <w:rPr>
                <w:sz w:val="20"/>
                <w:szCs w:val="20"/>
                <w:color w:val="auto"/>
              </w:rPr>
            </w:pPr>
            <w:r>
              <w:rPr>
                <w:rFonts w:ascii="Times New Roman" w:cs="Times New Roman" w:eastAsia="Times New Roman" w:hAnsi="Times New Roman"/>
                <w:sz w:val="22"/>
                <w:szCs w:val="22"/>
                <w:i w:val="1"/>
                <w:iCs w:val="1"/>
                <w:color w:val="808080"/>
              </w:rPr>
              <w:t>for inquiries.</w:t>
            </w:r>
          </w:p>
        </w:tc>
        <w:tc>
          <w:tcPr>
            <w:tcW w:w="0" w:type="dxa"/>
            <w:vAlign w:val="bottom"/>
          </w:tcPr>
          <w:p>
            <w:pPr>
              <w:spacing w:after="0"/>
              <w:rPr>
                <w:sz w:val="1"/>
                <w:szCs w:val="1"/>
                <w:color w:val="auto"/>
              </w:rPr>
            </w:pPr>
          </w:p>
        </w:tc>
      </w:tr>
      <w:tr>
        <w:trPr>
          <w:trHeight w:val="104"/>
        </w:trPr>
        <w:tc>
          <w:tcPr>
            <w:tcW w:w="10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252525"/>
            </w:tcBorders>
            <w:vMerge w:val="continue"/>
            <w:shd w:val="clear" w:color="auto" w:fill="7B7B7B"/>
          </w:tcPr>
          <w:p>
            <w:pPr>
              <w:spacing w:after="0"/>
              <w:rPr>
                <w:sz w:val="9"/>
                <w:szCs w:val="9"/>
                <w:color w:val="auto"/>
              </w:rPr>
            </w:pPr>
          </w:p>
        </w:tc>
        <w:tc>
          <w:tcPr>
            <w:tcW w:w="2640" w:type="dxa"/>
            <w:vAlign w:val="bottom"/>
            <w:tcBorders>
              <w:bottom w:val="single" w:sz="8" w:color="auto"/>
              <w:right w:val="single" w:sz="8" w:color="252525"/>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8"/>
          <w:szCs w:val="18"/>
          <w:b w:val="1"/>
          <w:bCs w:val="1"/>
          <w:color w:val="auto"/>
        </w:rPr>
        <w:t>Copy and paste section above to add any additional contracts. It is recommended that at least one of the contracts be a group.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350"/>
        </w:trPr>
        <w:tc>
          <w:tcPr>
            <w:tcW w:w="4760" w:type="dxa"/>
            <w:vAlign w:val="bottom"/>
            <w:tcBorders>
              <w:left w:val="single" w:sz="8" w:color="252525"/>
            </w:tcBorders>
            <w:gridSpan w:val="2"/>
            <w:shd w:val="clear" w:color="auto" w:fill="000000"/>
          </w:tcPr>
          <w:p>
            <w:pPr>
              <w:ind w:left="100"/>
              <w:spacing w:after="0"/>
              <w:rPr>
                <w:sz w:val="20"/>
                <w:szCs w:val="20"/>
                <w:color w:val="auto"/>
              </w:rPr>
            </w:pPr>
            <w:r>
              <w:rPr>
                <w:rFonts w:ascii="Times New Roman" w:cs="Times New Roman" w:eastAsia="Times New Roman" w:hAnsi="Times New Roman"/>
                <w:sz w:val="22"/>
                <w:szCs w:val="22"/>
                <w:b w:val="1"/>
                <w:bCs w:val="1"/>
                <w:color w:val="FFFFFF"/>
              </w:rPr>
              <w:t>LETTER OF CREDIT CONTACTS</w:t>
            </w:r>
          </w:p>
        </w:tc>
        <w:tc>
          <w:tcPr>
            <w:tcW w:w="254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2860" w:type="dxa"/>
            <w:vAlign w:val="bottom"/>
            <w:shd w:val="clear" w:color="auto" w:fill="000000"/>
          </w:tcPr>
          <w:p>
            <w:pPr>
              <w:spacing w:after="0"/>
              <w:rPr>
                <w:sz w:val="24"/>
                <w:szCs w:val="24"/>
                <w:color w:val="auto"/>
              </w:rPr>
            </w:pPr>
          </w:p>
        </w:tc>
      </w:tr>
      <w:tr>
        <w:trPr>
          <w:trHeight w:val="109"/>
        </w:trPr>
        <w:tc>
          <w:tcPr>
            <w:tcW w:w="880" w:type="dxa"/>
            <w:vAlign w:val="bottom"/>
            <w:tcBorders>
              <w:left w:val="single" w:sz="8" w:color="252525"/>
            </w:tcBorders>
            <w:shd w:val="clear" w:color="auto" w:fill="000000"/>
          </w:tcPr>
          <w:p>
            <w:pPr>
              <w:spacing w:after="0"/>
              <w:rPr>
                <w:sz w:val="9"/>
                <w:szCs w:val="9"/>
                <w:color w:val="auto"/>
              </w:rPr>
            </w:pPr>
          </w:p>
        </w:tc>
        <w:tc>
          <w:tcPr>
            <w:tcW w:w="3880" w:type="dxa"/>
            <w:vAlign w:val="bottom"/>
            <w:shd w:val="clear" w:color="auto" w:fill="000000"/>
          </w:tcPr>
          <w:p>
            <w:pPr>
              <w:spacing w:after="0"/>
              <w:rPr>
                <w:sz w:val="9"/>
                <w:szCs w:val="9"/>
                <w:color w:val="auto"/>
              </w:rPr>
            </w:pPr>
          </w:p>
        </w:tc>
        <w:tc>
          <w:tcPr>
            <w:tcW w:w="2540" w:type="dxa"/>
            <w:vAlign w:val="bottom"/>
            <w:shd w:val="clear" w:color="auto" w:fill="000000"/>
          </w:tcPr>
          <w:p>
            <w:pPr>
              <w:spacing w:after="0"/>
              <w:rPr>
                <w:sz w:val="9"/>
                <w:szCs w:val="9"/>
                <w:color w:val="auto"/>
              </w:rPr>
            </w:pPr>
          </w:p>
        </w:tc>
        <w:tc>
          <w:tcPr>
            <w:tcW w:w="1080" w:type="dxa"/>
            <w:vAlign w:val="bottom"/>
            <w:shd w:val="clear" w:color="auto" w:fill="000000"/>
          </w:tcPr>
          <w:p>
            <w:pPr>
              <w:spacing w:after="0"/>
              <w:rPr>
                <w:sz w:val="9"/>
                <w:szCs w:val="9"/>
                <w:color w:val="auto"/>
              </w:rPr>
            </w:pPr>
          </w:p>
        </w:tc>
        <w:tc>
          <w:tcPr>
            <w:tcW w:w="2860" w:type="dxa"/>
            <w:vAlign w:val="bottom"/>
            <w:shd w:val="clear" w:color="auto" w:fill="000000"/>
          </w:tcPr>
          <w:p>
            <w:pPr>
              <w:spacing w:after="0"/>
              <w:rPr>
                <w:sz w:val="9"/>
                <w:szCs w:val="9"/>
                <w:color w:val="auto"/>
              </w:rPr>
            </w:pPr>
          </w:p>
        </w:tc>
      </w:tr>
      <w:tr>
        <w:trPr>
          <w:trHeight w:val="279"/>
        </w:trPr>
        <w:tc>
          <w:tcPr>
            <w:tcW w:w="8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Name</w:t>
            </w:r>
          </w:p>
        </w:tc>
        <w:tc>
          <w:tcPr>
            <w:tcW w:w="388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808080"/>
              </w:rPr>
              <w:t>Name of group or individual.</w:t>
            </w:r>
          </w:p>
        </w:tc>
        <w:tc>
          <w:tcPr>
            <w:tcW w:w="2540" w:type="dxa"/>
            <w:vAlign w:val="bottom"/>
          </w:tcPr>
          <w:p>
            <w:pPr>
              <w:ind w:left="1100"/>
              <w:spacing w:after="0"/>
              <w:rPr>
                <w:sz w:val="20"/>
                <w:szCs w:val="20"/>
                <w:color w:val="auto"/>
              </w:rPr>
            </w:pPr>
            <w:r>
              <w:rPr>
                <w:rFonts w:ascii="Times New Roman" w:cs="Times New Roman" w:eastAsia="Times New Roman" w:hAnsi="Times New Roman"/>
                <w:sz w:val="22"/>
                <w:szCs w:val="22"/>
                <w:i w:val="1"/>
                <w:iCs w:val="1"/>
                <w:color w:val="808080"/>
              </w:rPr>
              <w:t>Select group</w:t>
            </w:r>
          </w:p>
        </w:tc>
        <w:tc>
          <w:tcPr>
            <w:tcW w:w="1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Firm</w:t>
            </w:r>
          </w:p>
        </w:tc>
        <w:tc>
          <w:tcPr>
            <w:tcW w:w="2860" w:type="dxa"/>
            <w:vAlign w:val="bottom"/>
          </w:tcPr>
          <w:p>
            <w:pPr>
              <w:ind w:left="300"/>
              <w:spacing w:after="0"/>
              <w:rPr>
                <w:sz w:val="20"/>
                <w:szCs w:val="20"/>
                <w:color w:val="auto"/>
              </w:rPr>
            </w:pPr>
            <w:r>
              <w:rPr>
                <w:rFonts w:ascii="Times New Roman" w:cs="Times New Roman" w:eastAsia="Times New Roman" w:hAnsi="Times New Roman"/>
                <w:sz w:val="22"/>
                <w:szCs w:val="22"/>
                <w:i w:val="1"/>
                <w:iCs w:val="1"/>
                <w:color w:val="808080"/>
              </w:rPr>
              <w:t>Firm with which contact</w:t>
            </w:r>
          </w:p>
        </w:tc>
      </w:tr>
      <w:tr>
        <w:trPr>
          <w:trHeight w:val="300"/>
        </w:trPr>
        <w:tc>
          <w:tcPr>
            <w:tcW w:w="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40" w:type="dxa"/>
            <w:vAlign w:val="bottom"/>
          </w:tcPr>
          <w:p>
            <w:pPr>
              <w:ind w:left="1100"/>
              <w:spacing w:after="0"/>
              <w:rPr>
                <w:sz w:val="20"/>
                <w:szCs w:val="20"/>
                <w:color w:val="auto"/>
              </w:rPr>
            </w:pPr>
            <w:r>
              <w:rPr>
                <w:rFonts w:ascii="Times New Roman" w:cs="Times New Roman" w:eastAsia="Times New Roman" w:hAnsi="Times New Roman"/>
                <w:sz w:val="22"/>
                <w:szCs w:val="22"/>
                <w:i w:val="1"/>
                <w:iCs w:val="1"/>
                <w:color w:val="808080"/>
              </w:rPr>
              <w:t>or</w:t>
            </w:r>
          </w:p>
        </w:tc>
        <w:tc>
          <w:tcPr>
            <w:tcW w:w="1080" w:type="dxa"/>
            <w:vAlign w:val="bottom"/>
          </w:tcPr>
          <w:p>
            <w:pPr>
              <w:spacing w:after="0"/>
              <w:rPr>
                <w:sz w:val="24"/>
                <w:szCs w:val="24"/>
                <w:color w:val="auto"/>
              </w:rPr>
            </w:pPr>
          </w:p>
        </w:tc>
        <w:tc>
          <w:tcPr>
            <w:tcW w:w="2860" w:type="dxa"/>
            <w:vAlign w:val="bottom"/>
          </w:tcPr>
          <w:p>
            <w:pPr>
              <w:ind w:left="300"/>
              <w:spacing w:after="0"/>
              <w:rPr>
                <w:sz w:val="20"/>
                <w:szCs w:val="20"/>
                <w:color w:val="auto"/>
              </w:rPr>
            </w:pPr>
            <w:r>
              <w:rPr>
                <w:rFonts w:ascii="Times New Roman" w:cs="Times New Roman" w:eastAsia="Times New Roman" w:hAnsi="Times New Roman"/>
                <w:sz w:val="22"/>
                <w:szCs w:val="22"/>
                <w:i w:val="1"/>
                <w:iCs w:val="1"/>
                <w:color w:val="808080"/>
              </w:rPr>
              <w:t>is affiliated.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40575" cy="1543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0575" cy="1543050"/>
                    </a:xfrm>
                    <a:prstGeom prst="rect">
                      <a:avLst/>
                    </a:prstGeom>
                    <a:noFill/>
                  </pic:spPr>
                </pic:pic>
              </a:graphicData>
            </a:graphic>
          </wp:anchor>
        </w:drawing>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i w:val="1"/>
          <w:iCs w:val="1"/>
          <w:color w:val="808080"/>
        </w:rPr>
        <w:t>Individual</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Address: </w:t>
      </w:r>
      <w:r>
        <w:rPr>
          <w:rFonts w:ascii="Arial" w:cs="Arial" w:eastAsia="Arial" w:hAnsi="Arial"/>
          <w:sz w:val="18"/>
          <w:szCs w:val="18"/>
          <w:i w:val="1"/>
          <w:iCs w:val="1"/>
          <w:color w:val="929292"/>
        </w:rPr>
        <w:t>Registered address of contact’s office (if different than the lender’s office), including country of domicile.</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358"/>
        </w:trPr>
        <w:tc>
          <w:tcPr>
            <w:tcW w:w="1080" w:type="dxa"/>
            <w:vAlign w:val="bottom"/>
            <w:tcBorders>
              <w:top w:val="single" w:sz="8" w:color="auto"/>
              <w:left w:val="single" w:sz="8" w:color="252525"/>
              <w:right w:val="single" w:sz="8" w:color="252525"/>
            </w:tcBorders>
            <w:shd w:val="clear" w:color="auto" w:fill="D2D2D2"/>
          </w:tcPr>
          <w:p>
            <w:pPr>
              <w:ind w:left="100"/>
              <w:spacing w:after="0"/>
              <w:rPr>
                <w:sz w:val="20"/>
                <w:szCs w:val="20"/>
                <w:color w:val="auto"/>
              </w:rPr>
            </w:pPr>
            <w:r>
              <w:rPr>
                <w:rFonts w:ascii="Times New Roman" w:cs="Times New Roman" w:eastAsia="Times New Roman" w:hAnsi="Times New Roman"/>
                <w:sz w:val="22"/>
                <w:szCs w:val="22"/>
                <w:b w:val="1"/>
                <w:bCs w:val="1"/>
                <w:color w:val="auto"/>
              </w:rPr>
              <w:t>Phone</w:t>
            </w:r>
          </w:p>
        </w:tc>
        <w:tc>
          <w:tcPr>
            <w:tcW w:w="1940" w:type="dxa"/>
            <w:vAlign w:val="bottom"/>
            <w:tcBorders>
              <w:top w:val="single" w:sz="8" w:color="auto"/>
              <w:right w:val="single" w:sz="8" w:color="252525"/>
            </w:tcBorders>
          </w:tcPr>
          <w:p>
            <w:pPr>
              <w:spacing w:after="0"/>
              <w:rPr>
                <w:sz w:val="24"/>
                <w:szCs w:val="24"/>
                <w:color w:val="auto"/>
              </w:rPr>
            </w:pPr>
          </w:p>
        </w:tc>
        <w:tc>
          <w:tcPr>
            <w:tcW w:w="1280" w:type="dxa"/>
            <w:vAlign w:val="bottom"/>
            <w:tcBorders>
              <w:top w:val="single" w:sz="8" w:color="auto"/>
              <w:right w:val="single" w:sz="8" w:color="252525"/>
            </w:tcBorders>
            <w:shd w:val="clear" w:color="auto" w:fill="D2D2D2"/>
          </w:tcPr>
          <w:p>
            <w:pPr>
              <w:ind w:left="60"/>
              <w:spacing w:after="0"/>
              <w:rPr>
                <w:sz w:val="20"/>
                <w:szCs w:val="20"/>
                <w:color w:val="auto"/>
              </w:rPr>
            </w:pPr>
            <w:r>
              <w:rPr>
                <w:rFonts w:ascii="Times New Roman" w:cs="Times New Roman" w:eastAsia="Times New Roman" w:hAnsi="Times New Roman"/>
                <w:sz w:val="22"/>
                <w:szCs w:val="22"/>
                <w:color w:val="auto"/>
              </w:rPr>
              <w:t>Fax</w:t>
            </w:r>
          </w:p>
        </w:tc>
        <w:tc>
          <w:tcPr>
            <w:tcW w:w="1500" w:type="dxa"/>
            <w:vAlign w:val="bottom"/>
            <w:tcBorders>
              <w:top w:val="single" w:sz="8" w:color="auto"/>
              <w:right w:val="single" w:sz="8" w:color="252525"/>
            </w:tcBorders>
          </w:tcPr>
          <w:p>
            <w:pPr>
              <w:spacing w:after="0"/>
              <w:rPr>
                <w:sz w:val="24"/>
                <w:szCs w:val="24"/>
                <w:color w:val="auto"/>
              </w:rPr>
            </w:pPr>
          </w:p>
        </w:tc>
        <w:tc>
          <w:tcPr>
            <w:tcW w:w="1000" w:type="dxa"/>
            <w:vAlign w:val="bottom"/>
            <w:tcBorders>
              <w:top w:val="single" w:sz="8" w:color="auto"/>
              <w:right w:val="single" w:sz="8" w:color="auto"/>
            </w:tcBorders>
            <w:shd w:val="clear" w:color="auto" w:fill="D2D2D2"/>
          </w:tcPr>
          <w:p>
            <w:pPr>
              <w:ind w:left="60"/>
              <w:spacing w:after="0"/>
              <w:rPr>
                <w:sz w:val="20"/>
                <w:szCs w:val="20"/>
                <w:color w:val="auto"/>
              </w:rPr>
            </w:pPr>
            <w:r>
              <w:rPr>
                <w:rFonts w:ascii="Times New Roman" w:cs="Times New Roman" w:eastAsia="Times New Roman" w:hAnsi="Times New Roman"/>
                <w:sz w:val="22"/>
                <w:szCs w:val="22"/>
                <w:color w:val="auto"/>
              </w:rPr>
              <w:t>Email</w:t>
            </w:r>
          </w:p>
        </w:tc>
        <w:tc>
          <w:tcPr>
            <w:tcW w:w="18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r>
      <w:tr>
        <w:trPr>
          <w:trHeight w:val="82"/>
        </w:trPr>
        <w:tc>
          <w:tcPr>
            <w:tcW w:w="1080" w:type="dxa"/>
            <w:vAlign w:val="bottom"/>
            <w:tcBorders>
              <w:left w:val="single" w:sz="8" w:color="252525"/>
              <w:bottom w:val="single" w:sz="8" w:color="auto"/>
              <w:right w:val="single" w:sz="8" w:color="252525"/>
            </w:tcBorders>
            <w:shd w:val="clear" w:color="auto" w:fill="D2D2D2"/>
          </w:tcPr>
          <w:p>
            <w:pPr>
              <w:spacing w:after="0"/>
              <w:rPr>
                <w:sz w:val="7"/>
                <w:szCs w:val="7"/>
                <w:color w:val="auto"/>
              </w:rPr>
            </w:pPr>
          </w:p>
        </w:tc>
        <w:tc>
          <w:tcPr>
            <w:tcW w:w="1940" w:type="dxa"/>
            <w:vAlign w:val="bottom"/>
            <w:tcBorders>
              <w:bottom w:val="single" w:sz="8" w:color="auto"/>
              <w:right w:val="single" w:sz="8" w:color="252525"/>
            </w:tcBorders>
          </w:tcPr>
          <w:p>
            <w:pPr>
              <w:spacing w:after="0"/>
              <w:rPr>
                <w:sz w:val="7"/>
                <w:szCs w:val="7"/>
                <w:color w:val="auto"/>
              </w:rPr>
            </w:pPr>
          </w:p>
        </w:tc>
        <w:tc>
          <w:tcPr>
            <w:tcW w:w="1280" w:type="dxa"/>
            <w:vAlign w:val="bottom"/>
            <w:tcBorders>
              <w:bottom w:val="single" w:sz="8" w:color="auto"/>
              <w:right w:val="single" w:sz="8" w:color="252525"/>
            </w:tcBorders>
            <w:shd w:val="clear" w:color="auto" w:fill="D2D2D2"/>
          </w:tcPr>
          <w:p>
            <w:pPr>
              <w:spacing w:after="0"/>
              <w:rPr>
                <w:sz w:val="7"/>
                <w:szCs w:val="7"/>
                <w:color w:val="auto"/>
              </w:rPr>
            </w:pPr>
          </w:p>
        </w:tc>
        <w:tc>
          <w:tcPr>
            <w:tcW w:w="1500" w:type="dxa"/>
            <w:vAlign w:val="bottom"/>
            <w:tcBorders>
              <w:bottom w:val="single" w:sz="8" w:color="auto"/>
              <w:right w:val="single" w:sz="8" w:color="252525"/>
            </w:tcBorders>
          </w:tcPr>
          <w:p>
            <w:pPr>
              <w:spacing w:after="0"/>
              <w:rPr>
                <w:sz w:val="7"/>
                <w:szCs w:val="7"/>
                <w:color w:val="auto"/>
              </w:rPr>
            </w:pPr>
          </w:p>
        </w:tc>
        <w:tc>
          <w:tcPr>
            <w:tcW w:w="1000" w:type="dxa"/>
            <w:vAlign w:val="bottom"/>
            <w:tcBorders>
              <w:bottom w:val="single" w:sz="8" w:color="auto"/>
              <w:right w:val="single" w:sz="8" w:color="auto"/>
            </w:tcBorders>
            <w:shd w:val="clear" w:color="auto" w:fill="D2D2D2"/>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r>
      <w:tr>
        <w:trPr>
          <w:trHeight w:val="280"/>
        </w:trPr>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820" w:type="dxa"/>
            <w:vAlign w:val="bottom"/>
            <w:tcBorders>
              <w:right w:val="single" w:sz="8" w:color="252525"/>
            </w:tcBorders>
            <w:shd w:val="clear" w:color="auto" w:fill="7B7B7B"/>
          </w:tcPr>
          <w:p>
            <w:pPr>
              <w:ind w:left="60"/>
              <w:spacing w:after="0"/>
              <w:rPr>
                <w:sz w:val="20"/>
                <w:szCs w:val="20"/>
                <w:color w:val="auto"/>
              </w:rPr>
            </w:pPr>
            <w:r>
              <w:rPr>
                <w:rFonts w:ascii="Times New Roman" w:cs="Times New Roman" w:eastAsia="Times New Roman" w:hAnsi="Times New Roman"/>
                <w:sz w:val="22"/>
                <w:szCs w:val="22"/>
                <w:color w:val="auto"/>
              </w:rPr>
              <w:t>Pfd. Contact</w:t>
            </w:r>
          </w:p>
        </w:tc>
        <w:tc>
          <w:tcPr>
            <w:tcW w:w="2640" w:type="dxa"/>
            <w:vAlign w:val="bottom"/>
            <w:tcBorders>
              <w:right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Preferred contact method</w:t>
            </w:r>
          </w:p>
        </w:tc>
      </w:tr>
      <w:tr>
        <w:trPr>
          <w:trHeight w:val="254"/>
        </w:trPr>
        <w:tc>
          <w:tcPr>
            <w:tcW w:w="10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252525"/>
            </w:tcBorders>
            <w:shd w:val="clear" w:color="auto" w:fill="7B7B7B"/>
          </w:tcPr>
          <w:p>
            <w:pPr>
              <w:ind w:left="60"/>
              <w:spacing w:after="0"/>
              <w:rPr>
                <w:sz w:val="20"/>
                <w:szCs w:val="20"/>
                <w:color w:val="auto"/>
              </w:rPr>
            </w:pPr>
            <w:r>
              <w:rPr>
                <w:rFonts w:ascii="Times New Roman" w:cs="Times New Roman" w:eastAsia="Times New Roman" w:hAnsi="Times New Roman"/>
                <w:sz w:val="22"/>
                <w:szCs w:val="22"/>
                <w:color w:val="auto"/>
              </w:rPr>
              <w:t>Method</w:t>
            </w:r>
          </w:p>
        </w:tc>
        <w:tc>
          <w:tcPr>
            <w:tcW w:w="2640" w:type="dxa"/>
            <w:vAlign w:val="bottom"/>
            <w:tcBorders>
              <w:bottom w:val="single" w:sz="8" w:color="auto"/>
              <w:right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for inquiries.</w:t>
            </w:r>
          </w:p>
        </w:tc>
      </w:tr>
    </w:tbl>
    <w:p>
      <w:pPr>
        <w:ind w:left="40"/>
        <w:spacing w:after="0"/>
        <w:rPr>
          <w:sz w:val="20"/>
          <w:szCs w:val="20"/>
          <w:color w:val="auto"/>
        </w:rPr>
      </w:pPr>
      <w:r>
        <w:rPr>
          <w:rFonts w:ascii="Arial" w:cs="Arial" w:eastAsia="Arial" w:hAnsi="Arial"/>
          <w:sz w:val="18"/>
          <w:szCs w:val="18"/>
          <w:b w:val="1"/>
          <w:bCs w:val="1"/>
          <w:color w:val="auto"/>
        </w:rPr>
        <w:t>Copy and paste section above to add any additional contracts. It is recommended that at least one of the contracts be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40575" cy="2168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FFFFFF"/>
        </w:rPr>
        <w:t>ADDITIONAL ENTITY DETAILS &amp; KYC/FATCA INFORMATION</w:t>
      </w:r>
    </w:p>
    <w:p>
      <w:pPr>
        <w:sectPr>
          <w:pgSz w:w="11900" w:h="16838" w:orient="portrait"/>
          <w:cols w:equalWidth="0" w:num="1">
            <w:col w:w="11260"/>
          </w:cols>
          <w:pgMar w:left="320" w:top="1440" w:right="319" w:bottom="1440" w:gutter="0" w:footer="0" w:header="0"/>
        </w:sectPr>
      </w:pPr>
    </w:p>
    <w:p>
      <w:pPr>
        <w:spacing w:after="0" w:line="138" w:lineRule="exact"/>
        <w:rPr>
          <w:sz w:val="20"/>
          <w:szCs w:val="20"/>
          <w:color w:val="auto"/>
        </w:rPr>
      </w:pPr>
    </w:p>
    <w:p>
      <w:pPr>
        <w:ind w:left="780" w:firstLine="250"/>
        <w:spacing w:after="0" w:line="311" w:lineRule="auto"/>
        <w:rPr>
          <w:sz w:val="20"/>
          <w:szCs w:val="20"/>
          <w:color w:val="auto"/>
        </w:rPr>
      </w:pPr>
      <w:r>
        <w:rPr>
          <w:rFonts w:ascii="Arial" w:cs="Arial" w:eastAsia="Arial" w:hAnsi="Arial"/>
          <w:sz w:val="17"/>
          <w:szCs w:val="17"/>
          <w:b w:val="1"/>
          <w:bCs w:val="1"/>
          <w:color w:val="auto"/>
        </w:rPr>
        <w:t>Country of Incorporation</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EIN</w:t>
      </w:r>
    </w:p>
    <w:p>
      <w:pPr>
        <w:spacing w:after="0" w:line="200" w:lineRule="exact"/>
        <w:rPr>
          <w:sz w:val="20"/>
          <w:szCs w:val="20"/>
          <w:color w:val="auto"/>
        </w:rPr>
      </w:pPr>
    </w:p>
    <w:p>
      <w:pPr>
        <w:spacing w:after="0" w:line="3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US Tax Form</w:t>
      </w:r>
    </w:p>
    <w:p>
      <w:pPr>
        <w:spacing w:after="0" w:line="200" w:lineRule="exact"/>
        <w:rPr>
          <w:sz w:val="20"/>
          <w:szCs w:val="20"/>
          <w:color w:val="auto"/>
        </w:rPr>
      </w:pPr>
    </w:p>
    <w:p>
      <w:pPr>
        <w:spacing w:after="0" w:line="207" w:lineRule="exact"/>
        <w:rPr>
          <w:sz w:val="20"/>
          <w:szCs w:val="20"/>
          <w:color w:val="auto"/>
        </w:rPr>
      </w:pPr>
    </w:p>
    <w:p>
      <w:pPr>
        <w:jc w:val="right"/>
        <w:ind w:left="900"/>
        <w:spacing w:after="0" w:line="263" w:lineRule="auto"/>
        <w:rPr>
          <w:sz w:val="20"/>
          <w:szCs w:val="20"/>
          <w:color w:val="auto"/>
        </w:rPr>
      </w:pPr>
      <w:r>
        <w:rPr>
          <w:rFonts w:ascii="Times New Roman" w:cs="Times New Roman" w:eastAsia="Times New Roman" w:hAnsi="Times New Roman"/>
          <w:sz w:val="21"/>
          <w:szCs w:val="21"/>
          <w:b w:val="1"/>
          <w:bCs w:val="1"/>
          <w:color w:val="auto"/>
        </w:rPr>
        <w:t>Entity Referenced As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
        </w:trPr>
        <w:tc>
          <w:tcPr>
            <w:tcW w:w="3720" w:type="dxa"/>
            <w:vAlign w:val="bottom"/>
            <w:tcBorders>
              <w:bottom w:val="single" w:sz="8" w:color="252525"/>
            </w:tcBorders>
          </w:tcPr>
          <w:p>
            <w:pPr>
              <w:spacing w:after="0"/>
              <w:rPr>
                <w:sz w:val="2"/>
                <w:szCs w:val="2"/>
                <w:color w:val="auto"/>
              </w:rPr>
            </w:pPr>
          </w:p>
        </w:tc>
        <w:tc>
          <w:tcPr>
            <w:tcW w:w="2520" w:type="dxa"/>
            <w:vAlign w:val="bottom"/>
            <w:tcBorders>
              <w:bottom w:val="single" w:sz="8" w:color="252525"/>
            </w:tcBorders>
          </w:tcPr>
          <w:p>
            <w:pPr>
              <w:spacing w:after="0"/>
              <w:rPr>
                <w:sz w:val="2"/>
                <w:szCs w:val="2"/>
                <w:color w:val="auto"/>
              </w:rPr>
            </w:pPr>
          </w:p>
        </w:tc>
        <w:tc>
          <w:tcPr>
            <w:tcW w:w="3060" w:type="dxa"/>
            <w:vAlign w:val="bottom"/>
            <w:tcBorders>
              <w:bottom w:val="single" w:sz="8" w:color="252525"/>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tcBorders>
              <w:right w:val="single" w:sz="8" w:color="252525"/>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808080"/>
              </w:rPr>
              <w:t>Country of Incorporation of lender</w:t>
            </w:r>
          </w:p>
        </w:tc>
        <w:tc>
          <w:tcPr>
            <w:tcW w:w="2520" w:type="dxa"/>
            <w:vAlign w:val="bottom"/>
            <w:tcBorders>
              <w:right w:val="single" w:sz="8" w:color="252525"/>
            </w:tcBorders>
            <w:shd w:val="clear" w:color="auto" w:fill="D2D2D2"/>
          </w:tcPr>
          <w:p>
            <w:pPr>
              <w:jc w:val="right"/>
              <w:spacing w:after="0" w:line="236" w:lineRule="exact"/>
              <w:rPr>
                <w:sz w:val="20"/>
                <w:szCs w:val="20"/>
                <w:color w:val="auto"/>
              </w:rPr>
            </w:pPr>
            <w:r>
              <w:rPr>
                <w:rFonts w:ascii="Times New Roman" w:cs="Times New Roman" w:eastAsia="Times New Roman" w:hAnsi="Times New Roman"/>
                <w:sz w:val="22"/>
                <w:szCs w:val="22"/>
                <w:color w:val="auto"/>
              </w:rPr>
              <w:t>Country of Tax</w:t>
            </w:r>
          </w:p>
        </w:tc>
        <w:tc>
          <w:tcPr>
            <w:tcW w:w="3060" w:type="dxa"/>
            <w:vAlign w:val="bottom"/>
          </w:tcPr>
          <w:p>
            <w:pPr>
              <w:ind w:left="60"/>
              <w:spacing w:after="0" w:line="236" w:lineRule="exact"/>
              <w:rPr>
                <w:sz w:val="20"/>
                <w:szCs w:val="20"/>
                <w:color w:val="auto"/>
              </w:rPr>
            </w:pPr>
            <w:r>
              <w:rPr>
                <w:rFonts w:ascii="Times New Roman" w:cs="Times New Roman" w:eastAsia="Times New Roman" w:hAnsi="Times New Roman"/>
                <w:sz w:val="22"/>
                <w:szCs w:val="22"/>
                <w:i w:val="1"/>
                <w:iCs w:val="1"/>
                <w:color w:val="808080"/>
              </w:rPr>
              <w:t>Country of Residence of</w:t>
            </w:r>
          </w:p>
        </w:tc>
        <w:tc>
          <w:tcPr>
            <w:tcW w:w="0" w:type="dxa"/>
            <w:vAlign w:val="bottom"/>
          </w:tcPr>
          <w:p>
            <w:pPr>
              <w:spacing w:after="0"/>
              <w:rPr>
                <w:sz w:val="1"/>
                <w:szCs w:val="1"/>
                <w:color w:val="auto"/>
              </w:rPr>
            </w:pPr>
          </w:p>
        </w:tc>
      </w:tr>
      <w:tr>
        <w:trPr>
          <w:trHeight w:val="147"/>
        </w:trPr>
        <w:tc>
          <w:tcPr>
            <w:tcW w:w="3720" w:type="dxa"/>
            <w:vAlign w:val="bottom"/>
            <w:tcBorders>
              <w:right w:val="single" w:sz="8" w:color="252525"/>
            </w:tcBorders>
            <w:vMerge w:val="continue"/>
          </w:tcPr>
          <w:p>
            <w:pPr>
              <w:spacing w:after="0"/>
              <w:rPr>
                <w:sz w:val="12"/>
                <w:szCs w:val="12"/>
                <w:color w:val="auto"/>
              </w:rPr>
            </w:pPr>
          </w:p>
        </w:tc>
        <w:tc>
          <w:tcPr>
            <w:tcW w:w="2520" w:type="dxa"/>
            <w:vAlign w:val="bottom"/>
            <w:tcBorders>
              <w:right w:val="single" w:sz="8" w:color="252525"/>
            </w:tcBorders>
            <w:vMerge w:val="restart"/>
            <w:shd w:val="clear" w:color="auto" w:fill="D2D2D2"/>
          </w:tcPr>
          <w:p>
            <w:pPr>
              <w:jc w:val="right"/>
              <w:spacing w:after="0"/>
              <w:rPr>
                <w:sz w:val="20"/>
                <w:szCs w:val="20"/>
                <w:color w:val="auto"/>
              </w:rPr>
            </w:pPr>
            <w:r>
              <w:rPr>
                <w:rFonts w:ascii="Times New Roman" w:cs="Times New Roman" w:eastAsia="Times New Roman" w:hAnsi="Times New Roman"/>
                <w:sz w:val="22"/>
                <w:szCs w:val="22"/>
                <w:color w:val="auto"/>
              </w:rPr>
              <w:t>Residence</w:t>
            </w:r>
          </w:p>
        </w:tc>
        <w:tc>
          <w:tcPr>
            <w:tcW w:w="30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i w:val="1"/>
                <w:iCs w:val="1"/>
                <w:color w:val="808080"/>
              </w:rPr>
              <w:t>lender for tax purposes</w:t>
            </w:r>
          </w:p>
        </w:tc>
        <w:tc>
          <w:tcPr>
            <w:tcW w:w="0" w:type="dxa"/>
            <w:vAlign w:val="bottom"/>
          </w:tcPr>
          <w:p>
            <w:pPr>
              <w:spacing w:after="0"/>
              <w:rPr>
                <w:sz w:val="1"/>
                <w:szCs w:val="1"/>
                <w:color w:val="auto"/>
              </w:rPr>
            </w:pPr>
          </w:p>
        </w:tc>
      </w:tr>
      <w:tr>
        <w:trPr>
          <w:trHeight w:val="190"/>
        </w:trPr>
        <w:tc>
          <w:tcPr>
            <w:tcW w:w="3720" w:type="dxa"/>
            <w:vAlign w:val="bottom"/>
            <w:tcBorders>
              <w:bottom w:val="single" w:sz="8" w:color="252525"/>
              <w:right w:val="single" w:sz="8" w:color="252525"/>
            </w:tcBorders>
          </w:tcPr>
          <w:p>
            <w:pPr>
              <w:spacing w:after="0"/>
              <w:rPr>
                <w:sz w:val="16"/>
                <w:szCs w:val="16"/>
                <w:color w:val="auto"/>
              </w:rPr>
            </w:pPr>
          </w:p>
        </w:tc>
        <w:tc>
          <w:tcPr>
            <w:tcW w:w="2520" w:type="dxa"/>
            <w:vAlign w:val="bottom"/>
            <w:tcBorders>
              <w:bottom w:val="single" w:sz="8" w:color="252525"/>
              <w:right w:val="single" w:sz="8" w:color="252525"/>
            </w:tcBorders>
            <w:vMerge w:val="continue"/>
            <w:shd w:val="clear" w:color="auto" w:fill="D2D2D2"/>
          </w:tcPr>
          <w:p>
            <w:pPr>
              <w:spacing w:after="0"/>
              <w:rPr>
                <w:sz w:val="16"/>
                <w:szCs w:val="16"/>
                <w:color w:val="auto"/>
              </w:rPr>
            </w:pPr>
          </w:p>
        </w:tc>
        <w:tc>
          <w:tcPr>
            <w:tcW w:w="3060" w:type="dxa"/>
            <w:vAlign w:val="bottom"/>
            <w:tcBorders>
              <w:bottom w:val="single" w:sz="8" w:color="25252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20" w:type="dxa"/>
            <w:vAlign w:val="bottom"/>
            <w:tcBorders>
              <w:right w:val="single" w:sz="8" w:color="252525"/>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808080"/>
              </w:rPr>
              <w:t>US Employee ID Number</w:t>
            </w:r>
          </w:p>
        </w:tc>
        <w:tc>
          <w:tcPr>
            <w:tcW w:w="2520" w:type="dxa"/>
            <w:vAlign w:val="bottom"/>
            <w:tcBorders>
              <w:right w:val="single" w:sz="8" w:color="252525"/>
            </w:tcBorders>
            <w:shd w:val="clear" w:color="auto" w:fill="D2D2D2"/>
          </w:tcPr>
          <w:p>
            <w:pPr>
              <w:jc w:val="right"/>
              <w:spacing w:after="0" w:line="237" w:lineRule="exact"/>
              <w:rPr>
                <w:sz w:val="20"/>
                <w:szCs w:val="20"/>
                <w:color w:val="auto"/>
              </w:rPr>
            </w:pPr>
            <w:r>
              <w:rPr>
                <w:rFonts w:ascii="Times New Roman" w:cs="Times New Roman" w:eastAsia="Times New Roman" w:hAnsi="Times New Roman"/>
                <w:sz w:val="22"/>
                <w:szCs w:val="22"/>
                <w:color w:val="auto"/>
              </w:rPr>
              <w:t>UK Treaty Passport</w:t>
            </w:r>
          </w:p>
        </w:tc>
        <w:tc>
          <w:tcPr>
            <w:tcW w:w="3060" w:type="dxa"/>
            <w:vAlign w:val="bottom"/>
            <w:vMerge w:val="restart"/>
          </w:tcPr>
          <w:p>
            <w:pPr>
              <w:ind w:left="60"/>
              <w:spacing w:after="0"/>
              <w:rPr>
                <w:sz w:val="20"/>
                <w:szCs w:val="20"/>
                <w:color w:val="auto"/>
              </w:rPr>
            </w:pPr>
            <w:r>
              <w:rPr>
                <w:rFonts w:ascii="Times New Roman" w:cs="Times New Roman" w:eastAsia="Times New Roman" w:hAnsi="Times New Roman"/>
                <w:sz w:val="22"/>
                <w:szCs w:val="22"/>
                <w:i w:val="1"/>
                <w:iCs w:val="1"/>
                <w:color w:val="808080"/>
              </w:rPr>
              <w:t>UK Treaty Passport</w:t>
            </w:r>
          </w:p>
        </w:tc>
        <w:tc>
          <w:tcPr>
            <w:tcW w:w="0" w:type="dxa"/>
            <w:vAlign w:val="bottom"/>
          </w:tcPr>
          <w:p>
            <w:pPr>
              <w:spacing w:after="0"/>
              <w:rPr>
                <w:sz w:val="1"/>
                <w:szCs w:val="1"/>
                <w:color w:val="auto"/>
              </w:rPr>
            </w:pPr>
          </w:p>
        </w:tc>
      </w:tr>
      <w:tr>
        <w:trPr>
          <w:trHeight w:val="338"/>
        </w:trPr>
        <w:tc>
          <w:tcPr>
            <w:tcW w:w="3720" w:type="dxa"/>
            <w:vAlign w:val="bottom"/>
            <w:tcBorders>
              <w:right w:val="single" w:sz="8" w:color="252525"/>
            </w:tcBorders>
            <w:vMerge w:val="continue"/>
          </w:tcPr>
          <w:p>
            <w:pPr>
              <w:spacing w:after="0"/>
              <w:rPr>
                <w:sz w:val="24"/>
                <w:szCs w:val="24"/>
                <w:color w:val="auto"/>
              </w:rPr>
            </w:pPr>
          </w:p>
        </w:tc>
        <w:tc>
          <w:tcPr>
            <w:tcW w:w="2520" w:type="dxa"/>
            <w:vAlign w:val="bottom"/>
            <w:tcBorders>
              <w:bottom w:val="single" w:sz="8" w:color="D2D2D2"/>
              <w:right w:val="single" w:sz="8" w:color="252525"/>
            </w:tcBorders>
            <w:shd w:val="clear" w:color="auto" w:fill="D2D2D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720" w:type="dxa"/>
            <w:vAlign w:val="bottom"/>
            <w:tcBorders>
              <w:top w:val="single" w:sz="8" w:color="252525"/>
              <w:right w:val="single" w:sz="8" w:color="252525"/>
            </w:tcBorders>
            <w:vMerge w:val="restart"/>
          </w:tcPr>
          <w:p>
            <w:pPr>
              <w:ind w:left="100"/>
              <w:spacing w:after="0"/>
              <w:rPr>
                <w:sz w:val="20"/>
                <w:szCs w:val="20"/>
                <w:color w:val="auto"/>
              </w:rPr>
            </w:pPr>
            <w:r>
              <w:rPr>
                <w:rFonts w:ascii="Times New Roman" w:cs="Times New Roman" w:eastAsia="Times New Roman" w:hAnsi="Times New Roman"/>
                <w:sz w:val="22"/>
                <w:szCs w:val="22"/>
                <w:i w:val="1"/>
                <w:iCs w:val="1"/>
                <w:color w:val="808080"/>
              </w:rPr>
              <w:t>Type of tax form used/attached</w:t>
            </w:r>
          </w:p>
        </w:tc>
        <w:tc>
          <w:tcPr>
            <w:tcW w:w="2520" w:type="dxa"/>
            <w:vAlign w:val="bottom"/>
            <w:tcBorders>
              <w:top w:val="single" w:sz="8" w:color="252525"/>
              <w:right w:val="single" w:sz="8" w:color="252525"/>
            </w:tcBorders>
            <w:shd w:val="clear" w:color="auto" w:fill="D2D2D2"/>
          </w:tcPr>
          <w:p>
            <w:pPr>
              <w:jc w:val="right"/>
              <w:spacing w:after="0"/>
              <w:rPr>
                <w:sz w:val="20"/>
                <w:szCs w:val="20"/>
                <w:color w:val="auto"/>
              </w:rPr>
            </w:pPr>
            <w:r>
              <w:rPr>
                <w:rFonts w:ascii="Times New Roman" w:cs="Times New Roman" w:eastAsia="Times New Roman" w:hAnsi="Times New Roman"/>
                <w:sz w:val="22"/>
                <w:szCs w:val="22"/>
                <w:color w:val="auto"/>
              </w:rPr>
              <w:t>UK Treaty Passport</w:t>
            </w:r>
          </w:p>
        </w:tc>
        <w:tc>
          <w:tcPr>
            <w:tcW w:w="3060" w:type="dxa"/>
            <w:vAlign w:val="bottom"/>
            <w:tcBorders>
              <w:top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UK Treaty Passport</w:t>
            </w:r>
          </w:p>
        </w:tc>
        <w:tc>
          <w:tcPr>
            <w:tcW w:w="0" w:type="dxa"/>
            <w:vAlign w:val="bottom"/>
          </w:tcPr>
          <w:p>
            <w:pPr>
              <w:spacing w:after="0"/>
              <w:rPr>
                <w:sz w:val="1"/>
                <w:szCs w:val="1"/>
                <w:color w:val="auto"/>
              </w:rPr>
            </w:pPr>
          </w:p>
        </w:tc>
      </w:tr>
      <w:tr>
        <w:trPr>
          <w:trHeight w:val="161"/>
        </w:trPr>
        <w:tc>
          <w:tcPr>
            <w:tcW w:w="3720" w:type="dxa"/>
            <w:vAlign w:val="bottom"/>
            <w:tcBorders>
              <w:right w:val="single" w:sz="8" w:color="252525"/>
            </w:tcBorders>
            <w:vMerge w:val="continue"/>
          </w:tcPr>
          <w:p>
            <w:pPr>
              <w:spacing w:after="0"/>
              <w:rPr>
                <w:sz w:val="13"/>
                <w:szCs w:val="13"/>
                <w:color w:val="auto"/>
              </w:rPr>
            </w:pPr>
          </w:p>
        </w:tc>
        <w:tc>
          <w:tcPr>
            <w:tcW w:w="2520" w:type="dxa"/>
            <w:vAlign w:val="bottom"/>
            <w:tcBorders>
              <w:right w:val="single" w:sz="8" w:color="252525"/>
            </w:tcBorders>
            <w:vMerge w:val="restart"/>
            <w:shd w:val="clear" w:color="auto" w:fill="D2D2D2"/>
          </w:tcPr>
          <w:p>
            <w:pPr>
              <w:jc w:val="right"/>
              <w:spacing w:after="0"/>
              <w:rPr>
                <w:sz w:val="20"/>
                <w:szCs w:val="20"/>
                <w:color w:val="auto"/>
              </w:rPr>
            </w:pPr>
            <w:r>
              <w:rPr>
                <w:rFonts w:ascii="Times New Roman" w:cs="Times New Roman" w:eastAsia="Times New Roman" w:hAnsi="Times New Roman"/>
                <w:sz w:val="22"/>
                <w:szCs w:val="22"/>
                <w:color w:val="auto"/>
              </w:rPr>
              <w:t>Expiry Date</w:t>
            </w:r>
          </w:p>
        </w:tc>
        <w:tc>
          <w:tcPr>
            <w:tcW w:w="3060" w:type="dxa"/>
            <w:vAlign w:val="bottom"/>
            <w:vMerge w:val="restart"/>
          </w:tcPr>
          <w:p>
            <w:pPr>
              <w:ind w:left="60"/>
              <w:spacing w:after="0"/>
              <w:rPr>
                <w:sz w:val="20"/>
                <w:szCs w:val="20"/>
                <w:color w:val="auto"/>
              </w:rPr>
            </w:pPr>
            <w:r>
              <w:rPr>
                <w:rFonts w:ascii="Times New Roman" w:cs="Times New Roman" w:eastAsia="Times New Roman" w:hAnsi="Times New Roman"/>
                <w:sz w:val="22"/>
                <w:szCs w:val="22"/>
                <w:i w:val="1"/>
                <w:iCs w:val="1"/>
                <w:color w:val="808080"/>
              </w:rPr>
              <w:t>Expiry Date</w:t>
            </w:r>
          </w:p>
        </w:tc>
        <w:tc>
          <w:tcPr>
            <w:tcW w:w="0" w:type="dxa"/>
            <w:vAlign w:val="bottom"/>
          </w:tcPr>
          <w:p>
            <w:pPr>
              <w:spacing w:after="0"/>
              <w:rPr>
                <w:sz w:val="1"/>
                <w:szCs w:val="1"/>
                <w:color w:val="auto"/>
              </w:rPr>
            </w:pPr>
          </w:p>
        </w:tc>
      </w:tr>
      <w:tr>
        <w:trPr>
          <w:trHeight w:val="243"/>
        </w:trPr>
        <w:tc>
          <w:tcPr>
            <w:tcW w:w="3720" w:type="dxa"/>
            <w:vAlign w:val="bottom"/>
            <w:tcBorders>
              <w:right w:val="single" w:sz="8" w:color="252525"/>
            </w:tcBorders>
          </w:tcPr>
          <w:p>
            <w:pPr>
              <w:spacing w:after="0"/>
              <w:rPr>
                <w:sz w:val="21"/>
                <w:szCs w:val="21"/>
                <w:color w:val="auto"/>
              </w:rPr>
            </w:pPr>
          </w:p>
        </w:tc>
        <w:tc>
          <w:tcPr>
            <w:tcW w:w="2520" w:type="dxa"/>
            <w:vAlign w:val="bottom"/>
            <w:tcBorders>
              <w:right w:val="single" w:sz="8" w:color="252525"/>
            </w:tcBorders>
            <w:vMerge w:val="continue"/>
            <w:shd w:val="clear" w:color="auto" w:fill="D2D2D2"/>
          </w:tcPr>
          <w:p>
            <w:pPr>
              <w:spacing w:after="0"/>
              <w:rPr>
                <w:sz w:val="21"/>
                <w:szCs w:val="21"/>
                <w:color w:val="auto"/>
              </w:rPr>
            </w:pPr>
          </w:p>
        </w:tc>
        <w:tc>
          <w:tcPr>
            <w:tcW w:w="3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3720" w:type="dxa"/>
            <w:vAlign w:val="bottom"/>
            <w:tcBorders>
              <w:bottom w:val="single" w:sz="8" w:color="252525"/>
              <w:right w:val="single" w:sz="8" w:color="252525"/>
            </w:tcBorders>
          </w:tcPr>
          <w:p>
            <w:pPr>
              <w:spacing w:after="0"/>
              <w:rPr>
                <w:sz w:val="9"/>
                <w:szCs w:val="9"/>
                <w:color w:val="auto"/>
              </w:rPr>
            </w:pPr>
          </w:p>
        </w:tc>
        <w:tc>
          <w:tcPr>
            <w:tcW w:w="2520" w:type="dxa"/>
            <w:vAlign w:val="bottom"/>
            <w:tcBorders>
              <w:bottom w:val="single" w:sz="8" w:color="252525"/>
              <w:right w:val="single" w:sz="8" w:color="252525"/>
            </w:tcBorders>
            <w:shd w:val="clear" w:color="auto" w:fill="D2D2D2"/>
          </w:tcPr>
          <w:p>
            <w:pPr>
              <w:spacing w:after="0"/>
              <w:rPr>
                <w:sz w:val="9"/>
                <w:szCs w:val="9"/>
                <w:color w:val="auto"/>
              </w:rPr>
            </w:pPr>
          </w:p>
        </w:tc>
        <w:tc>
          <w:tcPr>
            <w:tcW w:w="3060" w:type="dxa"/>
            <w:vAlign w:val="bottom"/>
            <w:tcBorders>
              <w:bottom w:val="single" w:sz="8" w:color="252525"/>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Primary Entity</w:t>
      </w:r>
    </w:p>
    <w:p>
      <w:pPr>
        <w:sectPr>
          <w:pgSz w:w="11900" w:h="16838" w:orient="portrait"/>
          <w:cols w:equalWidth="0" w:num="2">
            <w:col w:w="1940" w:space="20"/>
            <w:col w:w="9300"/>
          </w:cols>
          <w:pgMar w:left="320" w:top="1440" w:right="319" w:bottom="1440" w:gutter="0" w:footer="0" w:header="0"/>
          <w:type w:val="continuous"/>
        </w:sectPr>
      </w:pPr>
    </w:p>
    <w:bookmarkStart w:id="184" w:name="page185"/>
    <w:bookmarkEnd w:id="18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1083310</wp:posOffset>
            </wp:positionV>
            <wp:extent cx="709803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 xml:space="preserve">PLEASE CHECK BOX OF THE </w:t>
      </w:r>
      <w:r>
        <w:rPr>
          <w:rFonts w:ascii="Arial" w:cs="Arial" w:eastAsia="Arial" w:hAnsi="Arial"/>
          <w:sz w:val="16"/>
          <w:szCs w:val="16"/>
          <w:b w:val="1"/>
          <w:bCs w:val="1"/>
          <w:color w:val="EE2724"/>
        </w:rPr>
        <w:t>CURRENCIES</w:t>
      </w:r>
      <w:r>
        <w:rPr>
          <w:rFonts w:ascii="Arial" w:cs="Arial" w:eastAsia="Arial" w:hAnsi="Arial"/>
          <w:sz w:val="16"/>
          <w:szCs w:val="16"/>
          <w:b w:val="1"/>
          <w:bCs w:val="1"/>
          <w:color w:val="auto"/>
        </w:rPr>
        <w:t xml:space="preserve"> YOUR INSTITUTION CAN FUND UNDER THIS TRANSACTION:</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760" w:type="dxa"/>
            <w:vAlign w:val="bottom"/>
            <w:tcBorders>
              <w:top w:val="single" w:sz="8" w:color="auto"/>
              <w:left w:val="single" w:sz="8" w:color="auto"/>
              <w:bottom w:val="single" w:sz="8" w:color="auto"/>
              <w:right w:val="single" w:sz="8" w:color="auto"/>
            </w:tcBorders>
          </w:tcPr>
          <w:p>
            <w:pPr>
              <w:ind w:left="140"/>
              <w:spacing w:after="0" w:line="253" w:lineRule="exact"/>
              <w:rPr>
                <w:sz w:val="20"/>
                <w:szCs w:val="20"/>
                <w:color w:val="auto"/>
              </w:rPr>
            </w:pPr>
            <w:r>
              <w:rPr>
                <w:rFonts w:ascii="Times New Roman" w:cs="Times New Roman" w:eastAsia="Times New Roman" w:hAnsi="Times New Roman"/>
                <w:sz w:val="22"/>
                <w:szCs w:val="22"/>
                <w:color w:val="auto"/>
              </w:rPr>
              <w:t>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USD</w:t>
            </w:r>
          </w:p>
        </w:tc>
        <w:tc>
          <w:tcPr>
            <w:tcW w:w="3740" w:type="dxa"/>
            <w:vAlign w:val="bottom"/>
            <w:tcBorders>
              <w:top w:val="single" w:sz="8" w:color="auto"/>
              <w:bottom w:val="single" w:sz="8" w:color="auto"/>
              <w:right w:val="single" w:sz="8" w:color="auto"/>
            </w:tcBorders>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3760" w:type="dxa"/>
            <w:vAlign w:val="bottom"/>
            <w:tcBorders>
              <w:top w:val="single" w:sz="8" w:color="auto"/>
              <w:bottom w:val="single" w:sz="8" w:color="auto"/>
              <w:right w:val="single" w:sz="8" w:color="auto"/>
            </w:tcBorders>
            <w:gridSpan w:val="2"/>
          </w:tcPr>
          <w:p>
            <w:pPr>
              <w:ind w:left="20"/>
              <w:spacing w:after="0" w:line="221" w:lineRule="exact"/>
              <w:rPr>
                <w:sz w:val="20"/>
                <w:szCs w:val="20"/>
                <w:color w:val="auto"/>
              </w:rPr>
            </w:pPr>
            <w:r>
              <w:rPr>
                <w:rFonts w:ascii="MS PGothic" w:cs="MS PGothic" w:eastAsia="MS PGothic" w:hAnsi="MS PGothic"/>
                <w:sz w:val="22"/>
                <w:szCs w:val="22"/>
                <w:color w:val="auto"/>
              </w:rPr>
              <w:t>☐</w:t>
            </w:r>
          </w:p>
        </w:tc>
      </w:tr>
      <w:tr>
        <w:trPr>
          <w:trHeight w:val="277"/>
        </w:trPr>
        <w:tc>
          <w:tcPr>
            <w:tcW w:w="3760" w:type="dxa"/>
            <w:vAlign w:val="bottom"/>
            <w:tcBorders>
              <w:left w:val="single" w:sz="8" w:color="auto"/>
              <w:bottom w:val="single" w:sz="8" w:color="auto"/>
              <w:right w:val="single" w:sz="8" w:color="auto"/>
            </w:tcBorders>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3740" w:type="dxa"/>
            <w:vAlign w:val="bottom"/>
            <w:tcBorders>
              <w:bottom w:val="single" w:sz="8" w:color="auto"/>
              <w:right w:val="single" w:sz="8" w:color="auto"/>
            </w:tcBorders>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3760" w:type="dxa"/>
            <w:vAlign w:val="bottom"/>
            <w:tcBorders>
              <w:bottom w:val="single" w:sz="8" w:color="auto"/>
              <w:right w:val="single" w:sz="8" w:color="auto"/>
            </w:tcBorders>
            <w:gridSpan w:val="2"/>
          </w:tcPr>
          <w:p>
            <w:pPr>
              <w:ind w:left="20"/>
              <w:spacing w:after="0" w:line="221" w:lineRule="exact"/>
              <w:rPr>
                <w:sz w:val="20"/>
                <w:szCs w:val="20"/>
                <w:color w:val="auto"/>
              </w:rPr>
            </w:pPr>
            <w:r>
              <w:rPr>
                <w:rFonts w:ascii="MS PGothic" w:cs="MS PGothic" w:eastAsia="MS PGothic" w:hAnsi="MS PGothic"/>
                <w:sz w:val="22"/>
                <w:szCs w:val="22"/>
                <w:color w:val="auto"/>
              </w:rPr>
              <w:t>☐</w:t>
            </w:r>
          </w:p>
        </w:tc>
      </w:tr>
      <w:tr>
        <w:trPr>
          <w:trHeight w:val="277"/>
        </w:trPr>
        <w:tc>
          <w:tcPr>
            <w:tcW w:w="3760" w:type="dxa"/>
            <w:vAlign w:val="bottom"/>
            <w:tcBorders>
              <w:left w:val="single" w:sz="8" w:color="auto"/>
              <w:bottom w:val="single" w:sz="8" w:color="auto"/>
              <w:right w:val="single" w:sz="8" w:color="auto"/>
            </w:tcBorders>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3740" w:type="dxa"/>
            <w:vAlign w:val="bottom"/>
            <w:tcBorders>
              <w:bottom w:val="single" w:sz="8" w:color="auto"/>
              <w:right w:val="single" w:sz="8" w:color="auto"/>
            </w:tcBorders>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3760" w:type="dxa"/>
            <w:vAlign w:val="bottom"/>
            <w:tcBorders>
              <w:bottom w:val="single" w:sz="8" w:color="auto"/>
              <w:right w:val="single" w:sz="8" w:color="auto"/>
            </w:tcBorders>
            <w:gridSpan w:val="2"/>
          </w:tcPr>
          <w:p>
            <w:pPr>
              <w:ind w:left="20"/>
              <w:spacing w:after="0" w:line="221" w:lineRule="exact"/>
              <w:rPr>
                <w:sz w:val="20"/>
                <w:szCs w:val="20"/>
                <w:color w:val="auto"/>
              </w:rPr>
            </w:pPr>
            <w:r>
              <w:rPr>
                <w:rFonts w:ascii="MS PGothic" w:cs="MS PGothic" w:eastAsia="MS PGothic" w:hAnsi="MS PGothic"/>
                <w:sz w:val="22"/>
                <w:szCs w:val="22"/>
                <w:color w:val="auto"/>
              </w:rPr>
              <w:t>☐</w:t>
            </w:r>
          </w:p>
        </w:tc>
      </w:tr>
      <w:tr>
        <w:trPr>
          <w:trHeight w:val="277"/>
        </w:trPr>
        <w:tc>
          <w:tcPr>
            <w:tcW w:w="3760" w:type="dxa"/>
            <w:vAlign w:val="bottom"/>
            <w:tcBorders>
              <w:left w:val="single" w:sz="8" w:color="auto"/>
              <w:bottom w:val="single" w:sz="8" w:color="auto"/>
              <w:right w:val="single" w:sz="8" w:color="auto"/>
            </w:tcBorders>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3740" w:type="dxa"/>
            <w:vAlign w:val="bottom"/>
            <w:tcBorders>
              <w:bottom w:val="single" w:sz="8" w:color="auto"/>
              <w:right w:val="single" w:sz="8" w:color="auto"/>
            </w:tcBorders>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3760" w:type="dxa"/>
            <w:vAlign w:val="bottom"/>
            <w:tcBorders>
              <w:bottom w:val="single" w:sz="8" w:color="auto"/>
              <w:right w:val="single" w:sz="8" w:color="auto"/>
            </w:tcBorders>
            <w:gridSpan w:val="2"/>
          </w:tcPr>
          <w:p>
            <w:pPr>
              <w:ind w:left="20"/>
              <w:spacing w:after="0" w:line="221" w:lineRule="exact"/>
              <w:rPr>
                <w:sz w:val="20"/>
                <w:szCs w:val="20"/>
                <w:color w:val="auto"/>
              </w:rPr>
            </w:pPr>
            <w:r>
              <w:rPr>
                <w:rFonts w:ascii="MS PGothic" w:cs="MS PGothic" w:eastAsia="MS PGothic" w:hAnsi="MS PGothic"/>
                <w:sz w:val="22"/>
                <w:szCs w:val="22"/>
                <w:color w:val="auto"/>
              </w:rPr>
              <w:t>☐</w:t>
            </w:r>
          </w:p>
        </w:tc>
      </w:tr>
      <w:tr>
        <w:trPr>
          <w:trHeight w:val="601"/>
        </w:trPr>
        <w:tc>
          <w:tcPr>
            <w:tcW w:w="3760" w:type="dxa"/>
            <w:vAlign w:val="bottom"/>
          </w:tcPr>
          <w:p>
            <w:pPr>
              <w:spacing w:after="0"/>
              <w:rPr>
                <w:sz w:val="24"/>
                <w:szCs w:val="24"/>
                <w:color w:val="auto"/>
              </w:rPr>
            </w:pPr>
          </w:p>
        </w:tc>
        <w:tc>
          <w:tcPr>
            <w:tcW w:w="74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1180" w:type="dxa"/>
            <w:vAlign w:val="bottom"/>
            <w:tcBorders>
              <w:top w:val="single" w:sz="8" w:color="auto"/>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 xml:space="preserve">PLEASE CHECK BOX IF YOUR INSTITUTION IS LICENSED TO FUND TO BORROWERS LOCATED IN THE FOLLOWING </w:t>
            </w:r>
            <w:r>
              <w:rPr>
                <w:rFonts w:ascii="Arial" w:cs="Arial" w:eastAsia="Arial" w:hAnsi="Arial"/>
                <w:sz w:val="16"/>
                <w:szCs w:val="16"/>
                <w:b w:val="1"/>
                <w:bCs w:val="1"/>
                <w:color w:val="EE2724"/>
              </w:rPr>
              <w:t>COUNTRIES</w:t>
            </w: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r>
      <w:tr>
        <w:trPr>
          <w:trHeight w:val="128"/>
        </w:trPr>
        <w:tc>
          <w:tcPr>
            <w:tcW w:w="376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gridSpan w:val="2"/>
          </w:tcPr>
          <w:p>
            <w:pPr>
              <w:spacing w:after="0"/>
              <w:rPr>
                <w:sz w:val="11"/>
                <w:szCs w:val="11"/>
                <w:color w:val="auto"/>
              </w:rPr>
            </w:pPr>
          </w:p>
        </w:tc>
      </w:tr>
      <w:tr>
        <w:trPr>
          <w:trHeight w:val="304"/>
        </w:trPr>
        <w:tc>
          <w:tcPr>
            <w:tcW w:w="37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 xml:space="preserve">x </w:t>
            </w:r>
            <w:r>
              <w:rPr>
                <w:rFonts w:ascii="Times New Roman" w:cs="Times New Roman" w:eastAsia="Times New Roman" w:hAnsi="Times New Roman"/>
                <w:sz w:val="22"/>
                <w:szCs w:val="22"/>
                <w:b w:val="1"/>
                <w:bCs w:val="1"/>
                <w:color w:val="auto"/>
              </w:rPr>
              <w:t>US</w:t>
            </w:r>
          </w:p>
        </w:tc>
        <w:tc>
          <w:tcPr>
            <w:tcW w:w="3740" w:type="dxa"/>
            <w:vAlign w:val="bottom"/>
            <w:tcBorders>
              <w:bottom w:val="single" w:sz="8" w:color="auto"/>
              <w:right w:val="single" w:sz="8" w:color="auto"/>
            </w:tcBorders>
          </w:tcPr>
          <w:p>
            <w:pPr>
              <w:spacing w:after="0" w:line="221" w:lineRule="exact"/>
              <w:rPr>
                <w:sz w:val="20"/>
                <w:szCs w:val="20"/>
                <w:color w:val="auto"/>
              </w:rPr>
            </w:pPr>
            <w:r>
              <w:rPr>
                <w:rFonts w:ascii="MS PGothic" w:cs="MS PGothic" w:eastAsia="MS PGothic" w:hAnsi="MS PGothic"/>
                <w:sz w:val="22"/>
                <w:szCs w:val="22"/>
                <w:color w:val="auto"/>
              </w:rPr>
              <w:t>☐</w:t>
            </w:r>
          </w:p>
        </w:tc>
        <w:tc>
          <w:tcPr>
            <w:tcW w:w="3760" w:type="dxa"/>
            <w:vAlign w:val="bottom"/>
            <w:tcBorders>
              <w:bottom w:val="single" w:sz="8" w:color="auto"/>
              <w:right w:val="single" w:sz="8" w:color="auto"/>
            </w:tcBorders>
            <w:gridSpan w:val="2"/>
          </w:tcPr>
          <w:p>
            <w:pPr>
              <w:ind w:left="20"/>
              <w:spacing w:after="0" w:line="221" w:lineRule="exact"/>
              <w:rPr>
                <w:sz w:val="20"/>
                <w:szCs w:val="20"/>
                <w:color w:val="auto"/>
              </w:rPr>
            </w:pPr>
            <w:r>
              <w:rPr>
                <w:rFonts w:ascii="MS PGothic" w:cs="MS PGothic" w:eastAsia="MS PGothic" w:hAnsi="MS PGothic"/>
                <w:sz w:val="22"/>
                <w:szCs w:val="22"/>
                <w:color w:val="auto"/>
              </w:rPr>
              <w:t>☐</w:t>
            </w:r>
          </w:p>
        </w:tc>
      </w:tr>
      <w:tr>
        <w:trPr>
          <w:trHeight w:val="277"/>
        </w:trPr>
        <w:tc>
          <w:tcPr>
            <w:tcW w:w="3760" w:type="dxa"/>
            <w:vAlign w:val="bottom"/>
            <w:tcBorders>
              <w:left w:val="single" w:sz="8" w:color="auto"/>
              <w:bottom w:val="single" w:sz="8" w:color="auto"/>
              <w:right w:val="single" w:sz="8" w:color="auto"/>
            </w:tcBorders>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3740" w:type="dxa"/>
            <w:vAlign w:val="bottom"/>
            <w:tcBorders>
              <w:bottom w:val="single" w:sz="8" w:color="auto"/>
              <w:right w:val="single" w:sz="8" w:color="auto"/>
            </w:tcBorders>
          </w:tcPr>
          <w:p>
            <w:pPr>
              <w:spacing w:after="0" w:line="221" w:lineRule="exact"/>
              <w:rPr>
                <w:sz w:val="20"/>
                <w:szCs w:val="20"/>
                <w:color w:val="auto"/>
              </w:rPr>
            </w:pPr>
            <w:r>
              <w:rPr>
                <w:rFonts w:ascii="MS PGothic" w:cs="MS PGothic" w:eastAsia="MS PGothic" w:hAnsi="MS PGothic"/>
                <w:sz w:val="22"/>
                <w:szCs w:val="22"/>
                <w:color w:val="auto"/>
              </w:rPr>
              <w:t>☐</w:t>
            </w:r>
          </w:p>
        </w:tc>
        <w:tc>
          <w:tcPr>
            <w:tcW w:w="3760" w:type="dxa"/>
            <w:vAlign w:val="bottom"/>
            <w:tcBorders>
              <w:bottom w:val="single" w:sz="8" w:color="auto"/>
              <w:right w:val="single" w:sz="8" w:color="auto"/>
            </w:tcBorders>
            <w:gridSpan w:val="2"/>
          </w:tcPr>
          <w:p>
            <w:pPr>
              <w:ind w:left="20"/>
              <w:spacing w:after="0" w:line="221" w:lineRule="exact"/>
              <w:rPr>
                <w:sz w:val="20"/>
                <w:szCs w:val="20"/>
                <w:color w:val="auto"/>
              </w:rPr>
            </w:pPr>
            <w:r>
              <w:rPr>
                <w:rFonts w:ascii="MS PGothic" w:cs="MS PGothic" w:eastAsia="MS PGothic" w:hAnsi="MS PGothic"/>
                <w:sz w:val="22"/>
                <w:szCs w:val="22"/>
                <w:color w:val="auto"/>
              </w:rPr>
              <w:t>☐</w:t>
            </w:r>
          </w:p>
        </w:tc>
      </w:tr>
      <w:tr>
        <w:trPr>
          <w:trHeight w:val="277"/>
        </w:trPr>
        <w:tc>
          <w:tcPr>
            <w:tcW w:w="3760" w:type="dxa"/>
            <w:vAlign w:val="bottom"/>
            <w:tcBorders>
              <w:left w:val="single" w:sz="8" w:color="auto"/>
              <w:bottom w:val="single" w:sz="8" w:color="auto"/>
              <w:right w:val="single" w:sz="8" w:color="auto"/>
            </w:tcBorders>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3740" w:type="dxa"/>
            <w:vAlign w:val="bottom"/>
            <w:tcBorders>
              <w:bottom w:val="single" w:sz="8" w:color="auto"/>
              <w:right w:val="single" w:sz="8" w:color="auto"/>
            </w:tcBorders>
          </w:tcPr>
          <w:p>
            <w:pPr>
              <w:spacing w:after="0" w:line="221" w:lineRule="exact"/>
              <w:rPr>
                <w:sz w:val="20"/>
                <w:szCs w:val="20"/>
                <w:color w:val="auto"/>
              </w:rPr>
            </w:pPr>
            <w:r>
              <w:rPr>
                <w:rFonts w:ascii="MS PGothic" w:cs="MS PGothic" w:eastAsia="MS PGothic" w:hAnsi="MS PGothic"/>
                <w:sz w:val="22"/>
                <w:szCs w:val="22"/>
                <w:color w:val="auto"/>
              </w:rPr>
              <w:t>☐</w:t>
            </w:r>
          </w:p>
        </w:tc>
        <w:tc>
          <w:tcPr>
            <w:tcW w:w="3760" w:type="dxa"/>
            <w:vAlign w:val="bottom"/>
            <w:tcBorders>
              <w:bottom w:val="single" w:sz="8" w:color="auto"/>
              <w:right w:val="single" w:sz="8" w:color="auto"/>
            </w:tcBorders>
            <w:gridSpan w:val="2"/>
          </w:tcPr>
          <w:p>
            <w:pPr>
              <w:ind w:left="20"/>
              <w:spacing w:after="0" w:line="221" w:lineRule="exact"/>
              <w:rPr>
                <w:sz w:val="20"/>
                <w:szCs w:val="20"/>
                <w:color w:val="auto"/>
              </w:rPr>
            </w:pPr>
            <w:r>
              <w:rPr>
                <w:rFonts w:ascii="MS PGothic" w:cs="MS PGothic" w:eastAsia="MS PGothic" w:hAnsi="MS PGothic"/>
                <w:sz w:val="22"/>
                <w:szCs w:val="22"/>
                <w:color w:val="auto"/>
              </w:rPr>
              <w:t>☐</w:t>
            </w:r>
          </w:p>
        </w:tc>
      </w:tr>
      <w:tr>
        <w:trPr>
          <w:trHeight w:val="277"/>
        </w:trPr>
        <w:tc>
          <w:tcPr>
            <w:tcW w:w="3760" w:type="dxa"/>
            <w:vAlign w:val="bottom"/>
            <w:tcBorders>
              <w:left w:val="single" w:sz="8" w:color="auto"/>
              <w:bottom w:val="single" w:sz="8" w:color="auto"/>
              <w:right w:val="single" w:sz="8" w:color="auto"/>
            </w:tcBorders>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3740" w:type="dxa"/>
            <w:vAlign w:val="bottom"/>
            <w:tcBorders>
              <w:bottom w:val="single" w:sz="8" w:color="auto"/>
              <w:right w:val="single" w:sz="8" w:color="auto"/>
            </w:tcBorders>
          </w:tcPr>
          <w:p>
            <w:pPr>
              <w:spacing w:after="0" w:line="221" w:lineRule="exact"/>
              <w:rPr>
                <w:sz w:val="20"/>
                <w:szCs w:val="20"/>
                <w:color w:val="auto"/>
              </w:rPr>
            </w:pPr>
            <w:r>
              <w:rPr>
                <w:rFonts w:ascii="MS PGothic" w:cs="MS PGothic" w:eastAsia="MS PGothic" w:hAnsi="MS PGothic"/>
                <w:sz w:val="22"/>
                <w:szCs w:val="22"/>
                <w:color w:val="auto"/>
              </w:rPr>
              <w:t>☐</w:t>
            </w:r>
          </w:p>
        </w:tc>
        <w:tc>
          <w:tcPr>
            <w:tcW w:w="3760" w:type="dxa"/>
            <w:vAlign w:val="bottom"/>
            <w:tcBorders>
              <w:bottom w:val="single" w:sz="8" w:color="auto"/>
              <w:right w:val="single" w:sz="8" w:color="auto"/>
            </w:tcBorders>
            <w:gridSpan w:val="2"/>
          </w:tcPr>
          <w:p>
            <w:pPr>
              <w:ind w:left="20"/>
              <w:spacing w:after="0" w:line="221" w:lineRule="exact"/>
              <w:rPr>
                <w:sz w:val="20"/>
                <w:szCs w:val="20"/>
                <w:color w:val="auto"/>
              </w:rPr>
            </w:pPr>
            <w:r>
              <w:rPr>
                <w:rFonts w:ascii="MS PGothic" w:cs="MS PGothic" w:eastAsia="MS PGothic" w:hAnsi="MS PGothic"/>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960"/>
        <w:spacing w:after="0" w:line="377" w:lineRule="auto"/>
        <w:rPr>
          <w:sz w:val="20"/>
          <w:szCs w:val="20"/>
          <w:color w:val="auto"/>
        </w:rPr>
      </w:pPr>
      <w:r>
        <w:rPr>
          <w:rFonts w:ascii="Times New Roman" w:cs="Times New Roman" w:eastAsia="Times New Roman" w:hAnsi="Times New Roman"/>
          <w:sz w:val="22"/>
          <w:szCs w:val="22"/>
          <w:b w:val="1"/>
          <w:bCs w:val="1"/>
          <w:color w:val="auto"/>
        </w:rPr>
        <w:t>Appendix A: Additional Wire Instruction Templates and Bank of America USD / FX Wire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Template below can be used for wire instructions where recipient is intermediary bank with nostro account for custodian and the Lender does not have a dedicated account. </w:t>
      </w:r>
      <w:r>
        <w:rPr>
          <w:rFonts w:ascii="Times New Roman" w:cs="Times New Roman" w:eastAsia="Times New Roman" w:hAnsi="Times New Roman"/>
          <w:sz w:val="22"/>
          <w:szCs w:val="22"/>
          <w:i w:val="1"/>
          <w:iCs w:val="1"/>
          <w:color w:val="auto"/>
          <w:highlight w:val="yellow"/>
        </w:rPr>
        <w:t>Lender may copy and paste the template below as many times as necessary to capture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color w:val="auto"/>
          <w:highlight w:val="yellow"/>
        </w:rPr>
        <w:t>various currency remittance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2540" w:type="dxa"/>
            <w:vAlign w:val="bottom"/>
            <w:tcBorders>
              <w:top w:val="single" w:sz="8" w:color="252525"/>
              <w:left w:val="single" w:sz="8" w:color="252525"/>
              <w:bottom w:val="single" w:sz="8" w:color="7B7B7B"/>
              <w:right w:val="single" w:sz="8" w:color="auto"/>
            </w:tcBorders>
            <w:shd w:val="clear" w:color="auto" w:fill="7B7B7B"/>
          </w:tcPr>
          <w:p>
            <w:pPr>
              <w:jc w:val="right"/>
              <w:ind w:right="1434"/>
              <w:spacing w:after="0"/>
              <w:rPr>
                <w:sz w:val="20"/>
                <w:szCs w:val="20"/>
                <w:color w:val="auto"/>
              </w:rPr>
            </w:pPr>
            <w:r>
              <w:rPr>
                <w:rFonts w:ascii="Times New Roman" w:cs="Times New Roman" w:eastAsia="Times New Roman" w:hAnsi="Times New Roman"/>
                <w:sz w:val="22"/>
                <w:szCs w:val="22"/>
                <w:color w:val="auto"/>
              </w:rPr>
              <w:t>Currency</w:t>
            </w:r>
          </w:p>
        </w:tc>
        <w:tc>
          <w:tcPr>
            <w:tcW w:w="36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Applicable Currency.</w:t>
            </w:r>
          </w:p>
        </w:tc>
        <w:tc>
          <w:tcPr>
            <w:tcW w:w="1120" w:type="dxa"/>
            <w:vAlign w:val="bottom"/>
            <w:tcBorders>
              <w:top w:val="single" w:sz="8" w:color="auto"/>
            </w:tcBorders>
          </w:tcPr>
          <w:p>
            <w:pPr>
              <w:spacing w:after="0"/>
              <w:rPr>
                <w:sz w:val="24"/>
                <w:szCs w:val="24"/>
                <w:color w:val="auto"/>
              </w:rPr>
            </w:pPr>
          </w:p>
        </w:tc>
        <w:tc>
          <w:tcPr>
            <w:tcW w:w="3820" w:type="dxa"/>
            <w:vAlign w:val="bottom"/>
            <w:tcBorders>
              <w:top w:val="single" w:sz="8" w:color="auto"/>
              <w:right w:val="single" w:sz="8" w:color="auto"/>
            </w:tcBorders>
          </w:tcPr>
          <w:p>
            <w:pPr>
              <w:spacing w:after="0"/>
              <w:rPr>
                <w:sz w:val="24"/>
                <w:szCs w:val="24"/>
                <w:color w:val="auto"/>
              </w:rPr>
            </w:pPr>
          </w:p>
        </w:tc>
      </w:tr>
      <w:tr>
        <w:trPr>
          <w:trHeight w:val="331"/>
        </w:trPr>
        <w:tc>
          <w:tcPr>
            <w:tcW w:w="2540" w:type="dxa"/>
            <w:vAlign w:val="bottom"/>
            <w:tcBorders>
              <w:top w:val="single" w:sz="8" w:color="252525"/>
              <w:left w:val="single" w:sz="8" w:color="252525"/>
              <w:bottom w:val="single" w:sz="8" w:color="A8A8A8"/>
              <w:right w:val="single" w:sz="8" w:color="auto"/>
            </w:tcBorders>
            <w:shd w:val="clear" w:color="auto" w:fill="A8A8A8"/>
          </w:tcPr>
          <w:p>
            <w:pPr>
              <w:jc w:val="right"/>
              <w:spacing w:after="0"/>
              <w:rPr>
                <w:sz w:val="20"/>
                <w:szCs w:val="20"/>
                <w:color w:val="auto"/>
              </w:rPr>
            </w:pPr>
            <w:r>
              <w:rPr>
                <w:rFonts w:ascii="Times New Roman" w:cs="Times New Roman" w:eastAsia="Times New Roman" w:hAnsi="Times New Roman"/>
                <w:sz w:val="22"/>
                <w:szCs w:val="22"/>
                <w:color w:val="auto"/>
              </w:rPr>
              <w:t>Correspondent Bank</w:t>
            </w:r>
          </w:p>
        </w:tc>
        <w:tc>
          <w:tcPr>
            <w:tcW w:w="4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i w:val="1"/>
                <w:iCs w:val="1"/>
                <w:color w:val="808080"/>
                <w:w w:val="97"/>
              </w:rPr>
              <w:t>Name of Receiver’s Correspondent Bank (SWIFT 54a)</w:t>
            </w:r>
          </w:p>
        </w:tc>
        <w:tc>
          <w:tcPr>
            <w:tcW w:w="3820" w:type="dxa"/>
            <w:vAlign w:val="bottom"/>
            <w:tcBorders>
              <w:top w:val="single" w:sz="8" w:color="auto"/>
              <w:right w:val="single" w:sz="8" w:color="auto"/>
            </w:tcBorders>
          </w:tcPr>
          <w:p>
            <w:pPr>
              <w:spacing w:after="0"/>
              <w:rPr>
                <w:sz w:val="24"/>
                <w:szCs w:val="24"/>
                <w:color w:val="auto"/>
              </w:rPr>
            </w:pPr>
          </w:p>
        </w:tc>
      </w:tr>
      <w:tr>
        <w:trPr>
          <w:trHeight w:val="331"/>
        </w:trPr>
        <w:tc>
          <w:tcPr>
            <w:tcW w:w="2540" w:type="dxa"/>
            <w:vAlign w:val="bottom"/>
            <w:tcBorders>
              <w:top w:val="single" w:sz="8" w:color="252525"/>
              <w:left w:val="single" w:sz="8" w:color="252525"/>
              <w:bottom w:val="single" w:sz="8" w:color="D2D2D2"/>
              <w:right w:val="single" w:sz="8" w:color="auto"/>
            </w:tcBorders>
            <w:shd w:val="clear" w:color="auto" w:fill="D2D2D2"/>
          </w:tcPr>
          <w:p>
            <w:pPr>
              <w:jc w:val="right"/>
              <w:spacing w:after="0"/>
              <w:rPr>
                <w:sz w:val="20"/>
                <w:szCs w:val="20"/>
                <w:color w:val="auto"/>
              </w:rPr>
            </w:pPr>
            <w:r>
              <w:rPr>
                <w:rFonts w:ascii="Times New Roman" w:cs="Times New Roman" w:eastAsia="Times New Roman" w:hAnsi="Times New Roman"/>
                <w:sz w:val="22"/>
                <w:szCs w:val="22"/>
                <w:color w:val="808080"/>
              </w:rPr>
              <w:t>SWIFT BIC</w:t>
            </w:r>
          </w:p>
        </w:tc>
        <w:tc>
          <w:tcPr>
            <w:tcW w:w="4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i w:val="1"/>
                <w:iCs w:val="1"/>
                <w:color w:val="808080"/>
              </w:rPr>
              <w:t>8/11-Character SWIFT BIC of Correspondent Bank</w:t>
            </w:r>
          </w:p>
        </w:tc>
        <w:tc>
          <w:tcPr>
            <w:tcW w:w="3820" w:type="dxa"/>
            <w:vAlign w:val="bottom"/>
            <w:tcBorders>
              <w:top w:val="single" w:sz="8" w:color="auto"/>
              <w:right w:val="single" w:sz="8" w:color="auto"/>
            </w:tcBorders>
          </w:tcPr>
          <w:p>
            <w:pPr>
              <w:spacing w:after="0"/>
              <w:rPr>
                <w:sz w:val="24"/>
                <w:szCs w:val="24"/>
                <w:color w:val="auto"/>
              </w:rPr>
            </w:pPr>
          </w:p>
        </w:tc>
      </w:tr>
      <w:tr>
        <w:trPr>
          <w:trHeight w:val="351"/>
        </w:trPr>
        <w:tc>
          <w:tcPr>
            <w:tcW w:w="2540" w:type="dxa"/>
            <w:vAlign w:val="bottom"/>
            <w:tcBorders>
              <w:top w:val="single" w:sz="8" w:color="252525"/>
              <w:left w:val="single" w:sz="8" w:color="252525"/>
              <w:bottom w:val="single" w:sz="8" w:color="A8A8A8"/>
              <w:right w:val="single" w:sz="8" w:color="auto"/>
            </w:tcBorders>
            <w:shd w:val="clear" w:color="auto" w:fill="A8A8A8"/>
          </w:tcPr>
          <w:p>
            <w:pPr>
              <w:jc w:val="right"/>
              <w:spacing w:after="0"/>
              <w:rPr>
                <w:sz w:val="20"/>
                <w:szCs w:val="20"/>
                <w:color w:val="auto"/>
              </w:rPr>
            </w:pPr>
            <w:r>
              <w:rPr>
                <w:rFonts w:ascii="Times New Roman" w:cs="Times New Roman" w:eastAsia="Times New Roman" w:hAnsi="Times New Roman"/>
                <w:sz w:val="22"/>
                <w:szCs w:val="22"/>
                <w:color w:val="auto"/>
              </w:rPr>
              <w:t>Intermediary Ban</w:t>
            </w:r>
          </w:p>
        </w:tc>
        <w:tc>
          <w:tcPr>
            <w:tcW w:w="36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i w:val="1"/>
                <w:iCs w:val="1"/>
                <w:color w:val="808080"/>
                <w:w w:val="97"/>
              </w:rPr>
              <w:t>Name of Intermediary Bank (SWIFT 56a)</w:t>
            </w:r>
          </w:p>
        </w:tc>
        <w:tc>
          <w:tcPr>
            <w:tcW w:w="1120" w:type="dxa"/>
            <w:vAlign w:val="bottom"/>
            <w:tcBorders>
              <w:top w:val="single" w:sz="8" w:color="auto"/>
            </w:tcBorders>
          </w:tcPr>
          <w:p>
            <w:pPr>
              <w:spacing w:after="0"/>
              <w:rPr>
                <w:sz w:val="24"/>
                <w:szCs w:val="24"/>
                <w:color w:val="auto"/>
              </w:rPr>
            </w:pPr>
          </w:p>
        </w:tc>
        <w:tc>
          <w:tcPr>
            <w:tcW w:w="3820" w:type="dxa"/>
            <w:vAlign w:val="bottom"/>
            <w:tcBorders>
              <w:top w:val="single" w:sz="8" w:color="auto"/>
              <w:right w:val="single" w:sz="8" w:color="auto"/>
            </w:tcBorders>
          </w:tcPr>
          <w:p>
            <w:pPr>
              <w:spacing w:after="0"/>
              <w:rPr>
                <w:sz w:val="24"/>
                <w:szCs w:val="24"/>
                <w:color w:val="auto"/>
              </w:rPr>
            </w:pPr>
          </w:p>
        </w:tc>
      </w:tr>
      <w:tr>
        <w:trPr>
          <w:trHeight w:val="298"/>
        </w:trPr>
        <w:tc>
          <w:tcPr>
            <w:tcW w:w="2540" w:type="dxa"/>
            <w:vAlign w:val="bottom"/>
            <w:tcBorders>
              <w:top w:val="single" w:sz="8" w:color="252525"/>
              <w:left w:val="single" w:sz="8" w:color="252525"/>
              <w:right w:val="single" w:sz="8" w:color="252525"/>
            </w:tcBorders>
            <w:shd w:val="clear" w:color="auto" w:fill="D2D2D2"/>
          </w:tcPr>
          <w:p>
            <w:pPr>
              <w:jc w:val="right"/>
              <w:spacing w:after="0"/>
              <w:rPr>
                <w:sz w:val="20"/>
                <w:szCs w:val="20"/>
                <w:color w:val="auto"/>
              </w:rPr>
            </w:pPr>
            <w:r>
              <w:rPr>
                <w:rFonts w:ascii="Times New Roman" w:cs="Times New Roman" w:eastAsia="Times New Roman" w:hAnsi="Times New Roman"/>
                <w:sz w:val="22"/>
                <w:szCs w:val="22"/>
                <w:color w:val="808080"/>
              </w:rPr>
              <w:t>SWIFT BIC</w:t>
            </w:r>
          </w:p>
        </w:tc>
        <w:tc>
          <w:tcPr>
            <w:tcW w:w="3660" w:type="dxa"/>
            <w:vAlign w:val="bottom"/>
            <w:tcBorders>
              <w:top w:val="single" w:sz="8" w:color="auto"/>
              <w:right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8/11-Character SWIFT of</w:t>
            </w:r>
          </w:p>
        </w:tc>
        <w:tc>
          <w:tcPr>
            <w:tcW w:w="1120" w:type="dxa"/>
            <w:vAlign w:val="bottom"/>
            <w:tcBorders>
              <w:top w:val="single" w:sz="8" w:color="auto"/>
              <w:right w:val="single" w:sz="8" w:color="252525"/>
            </w:tcBorders>
            <w:shd w:val="clear" w:color="auto" w:fill="D2D2D2"/>
          </w:tcPr>
          <w:p>
            <w:pPr>
              <w:spacing w:after="0"/>
              <w:rPr>
                <w:sz w:val="20"/>
                <w:szCs w:val="20"/>
                <w:color w:val="auto"/>
              </w:rPr>
            </w:pPr>
            <w:r>
              <w:rPr>
                <w:rFonts w:ascii="Times New Roman" w:cs="Times New Roman" w:eastAsia="Times New Roman" w:hAnsi="Times New Roman"/>
                <w:sz w:val="22"/>
                <w:szCs w:val="22"/>
                <w:color w:val="auto"/>
              </w:rPr>
              <w:t>ABA #</w:t>
            </w:r>
          </w:p>
        </w:tc>
        <w:tc>
          <w:tcPr>
            <w:tcW w:w="3820" w:type="dxa"/>
            <w:vAlign w:val="bottom"/>
            <w:tcBorders>
              <w:top w:val="single" w:sz="8" w:color="auto"/>
              <w:right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ABA/Routing # or UK Sort Code</w:t>
            </w:r>
          </w:p>
        </w:tc>
      </w:tr>
      <w:tr>
        <w:trPr>
          <w:trHeight w:val="216"/>
        </w:trPr>
        <w:tc>
          <w:tcPr>
            <w:tcW w:w="2540" w:type="dxa"/>
            <w:vAlign w:val="bottom"/>
            <w:tcBorders>
              <w:left w:val="single" w:sz="8" w:color="252525"/>
              <w:bottom w:val="single" w:sz="8" w:color="252525"/>
              <w:right w:val="single" w:sz="8" w:color="252525"/>
            </w:tcBorders>
            <w:shd w:val="clear" w:color="auto" w:fill="D2D2D2"/>
          </w:tcPr>
          <w:p>
            <w:pPr>
              <w:spacing w:after="0"/>
              <w:rPr>
                <w:sz w:val="18"/>
                <w:szCs w:val="18"/>
                <w:color w:val="auto"/>
              </w:rPr>
            </w:pPr>
          </w:p>
        </w:tc>
        <w:tc>
          <w:tcPr>
            <w:tcW w:w="3660" w:type="dxa"/>
            <w:vAlign w:val="bottom"/>
            <w:tcBorders>
              <w:bottom w:val="single" w:sz="8" w:color="auto"/>
              <w:right w:val="single" w:sz="8" w:color="252525"/>
            </w:tcBorders>
          </w:tcPr>
          <w:p>
            <w:pPr>
              <w:ind w:left="60"/>
              <w:spacing w:after="0" w:line="216" w:lineRule="exact"/>
              <w:rPr>
                <w:sz w:val="20"/>
                <w:szCs w:val="20"/>
                <w:color w:val="auto"/>
              </w:rPr>
            </w:pPr>
            <w:r>
              <w:rPr>
                <w:rFonts w:ascii="Times New Roman" w:cs="Times New Roman" w:eastAsia="Times New Roman" w:hAnsi="Times New Roman"/>
                <w:sz w:val="22"/>
                <w:szCs w:val="22"/>
                <w:i w:val="1"/>
                <w:iCs w:val="1"/>
                <w:color w:val="808080"/>
              </w:rPr>
              <w:t>BIC of Intermediary Bank</w:t>
            </w:r>
          </w:p>
        </w:tc>
        <w:tc>
          <w:tcPr>
            <w:tcW w:w="1120" w:type="dxa"/>
            <w:vAlign w:val="bottom"/>
            <w:tcBorders>
              <w:bottom w:val="single" w:sz="8" w:color="auto"/>
              <w:right w:val="single" w:sz="8" w:color="252525"/>
            </w:tcBorders>
            <w:shd w:val="clear" w:color="auto" w:fill="D2D2D2"/>
          </w:tcPr>
          <w:p>
            <w:pPr>
              <w:spacing w:after="0"/>
              <w:rPr>
                <w:sz w:val="18"/>
                <w:szCs w:val="18"/>
                <w:color w:val="auto"/>
              </w:rPr>
            </w:pPr>
          </w:p>
        </w:tc>
        <w:tc>
          <w:tcPr>
            <w:tcW w:w="3820" w:type="dxa"/>
            <w:vAlign w:val="bottom"/>
            <w:tcBorders>
              <w:bottom w:val="single" w:sz="8" w:color="auto"/>
              <w:right w:val="single" w:sz="8" w:color="252525"/>
            </w:tcBorders>
          </w:tcPr>
          <w:p>
            <w:pPr>
              <w:ind w:left="60"/>
              <w:spacing w:after="0" w:line="216" w:lineRule="exact"/>
              <w:rPr>
                <w:sz w:val="20"/>
                <w:szCs w:val="20"/>
                <w:color w:val="auto"/>
              </w:rPr>
            </w:pPr>
            <w:r>
              <w:rPr>
                <w:rFonts w:ascii="Times New Roman" w:cs="Times New Roman" w:eastAsia="Times New Roman" w:hAnsi="Times New Roman"/>
                <w:sz w:val="22"/>
                <w:szCs w:val="22"/>
                <w:i w:val="1"/>
                <w:iCs w:val="1"/>
                <w:color w:val="808080"/>
              </w:rPr>
              <w:t>of Intermediary Bank (optional)</w:t>
            </w:r>
          </w:p>
        </w:tc>
      </w:tr>
      <w:tr>
        <w:trPr>
          <w:trHeight w:val="391"/>
        </w:trPr>
        <w:tc>
          <w:tcPr>
            <w:tcW w:w="2540" w:type="dxa"/>
            <w:vAlign w:val="bottom"/>
            <w:tcBorders>
              <w:left w:val="single" w:sz="8" w:color="252525"/>
              <w:bottom w:val="single" w:sz="8" w:color="A8A8A8"/>
              <w:right w:val="single" w:sz="8" w:color="auto"/>
            </w:tcBorders>
            <w:shd w:val="clear" w:color="auto" w:fill="A8A8A8"/>
          </w:tcPr>
          <w:p>
            <w:pPr>
              <w:jc w:val="right"/>
              <w:spacing w:after="0"/>
              <w:rPr>
                <w:sz w:val="20"/>
                <w:szCs w:val="20"/>
                <w:color w:val="auto"/>
              </w:rPr>
            </w:pPr>
            <w:r>
              <w:rPr>
                <w:rFonts w:ascii="Arial" w:cs="Arial" w:eastAsia="Arial" w:hAnsi="Arial"/>
                <w:sz w:val="18"/>
                <w:szCs w:val="18"/>
                <w:color w:val="auto"/>
              </w:rPr>
              <w:t>Account with Institution</w:t>
            </w:r>
          </w:p>
        </w:tc>
        <w:tc>
          <w:tcPr>
            <w:tcW w:w="86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i w:val="1"/>
                <w:iCs w:val="1"/>
                <w:color w:val="808080"/>
              </w:rPr>
              <w:t>Name of Beneficiary’s Bank – usually custodian (SWIFT 57a)</w:t>
            </w:r>
          </w:p>
        </w:tc>
      </w:tr>
      <w:tr>
        <w:trPr>
          <w:trHeight w:val="298"/>
        </w:trPr>
        <w:tc>
          <w:tcPr>
            <w:tcW w:w="2540" w:type="dxa"/>
            <w:vAlign w:val="bottom"/>
            <w:tcBorders>
              <w:top w:val="single" w:sz="8" w:color="252525"/>
              <w:left w:val="single" w:sz="8" w:color="252525"/>
              <w:right w:val="single" w:sz="8" w:color="252525"/>
            </w:tcBorders>
            <w:shd w:val="clear" w:color="auto" w:fill="D2D2D2"/>
          </w:tcPr>
          <w:p>
            <w:pPr>
              <w:jc w:val="right"/>
              <w:spacing w:after="0"/>
              <w:rPr>
                <w:sz w:val="20"/>
                <w:szCs w:val="20"/>
                <w:color w:val="auto"/>
              </w:rPr>
            </w:pPr>
            <w:r>
              <w:rPr>
                <w:rFonts w:ascii="Times New Roman" w:cs="Times New Roman" w:eastAsia="Times New Roman" w:hAnsi="Times New Roman"/>
                <w:sz w:val="22"/>
                <w:szCs w:val="22"/>
                <w:color w:val="808080"/>
              </w:rPr>
              <w:t>SWIFT BIC</w:t>
            </w:r>
          </w:p>
        </w:tc>
        <w:tc>
          <w:tcPr>
            <w:tcW w:w="3660" w:type="dxa"/>
            <w:vAlign w:val="bottom"/>
            <w:tcBorders>
              <w:top w:val="single" w:sz="8" w:color="auto"/>
              <w:right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8/11-Character SWIFT BIC of</w:t>
            </w:r>
          </w:p>
        </w:tc>
        <w:tc>
          <w:tcPr>
            <w:tcW w:w="1120" w:type="dxa"/>
            <w:vAlign w:val="bottom"/>
            <w:tcBorders>
              <w:top w:val="single" w:sz="8" w:color="auto"/>
              <w:right w:val="single" w:sz="8" w:color="252525"/>
            </w:tcBorders>
            <w:shd w:val="clear" w:color="auto" w:fill="D2D2D2"/>
          </w:tcPr>
          <w:p>
            <w:pPr>
              <w:spacing w:after="0"/>
              <w:rPr>
                <w:sz w:val="20"/>
                <w:szCs w:val="20"/>
                <w:color w:val="auto"/>
              </w:rPr>
            </w:pPr>
            <w:r>
              <w:rPr>
                <w:rFonts w:ascii="Times New Roman" w:cs="Times New Roman" w:eastAsia="Times New Roman" w:hAnsi="Times New Roman"/>
                <w:sz w:val="22"/>
                <w:szCs w:val="22"/>
                <w:color w:val="auto"/>
              </w:rPr>
              <w:t>IBAN</w:t>
            </w:r>
          </w:p>
        </w:tc>
        <w:tc>
          <w:tcPr>
            <w:tcW w:w="3820" w:type="dxa"/>
            <w:vAlign w:val="bottom"/>
            <w:tcBorders>
              <w:top w:val="single" w:sz="8" w:color="auto"/>
              <w:right w:val="single" w:sz="8" w:color="252525"/>
            </w:tcBorders>
          </w:tcPr>
          <w:p>
            <w:pPr>
              <w:ind w:left="60"/>
              <w:spacing w:after="0"/>
              <w:rPr>
                <w:sz w:val="20"/>
                <w:szCs w:val="20"/>
                <w:color w:val="auto"/>
              </w:rPr>
            </w:pPr>
            <w:r>
              <w:rPr>
                <w:rFonts w:ascii="Times New Roman" w:cs="Times New Roman" w:eastAsia="Times New Roman" w:hAnsi="Times New Roman"/>
                <w:sz w:val="22"/>
                <w:szCs w:val="22"/>
                <w:i w:val="1"/>
                <w:iCs w:val="1"/>
                <w:color w:val="808080"/>
              </w:rPr>
              <w:t>IBAN of Beneficiary’s Bank at</w:t>
            </w:r>
          </w:p>
        </w:tc>
      </w:tr>
      <w:tr>
        <w:trPr>
          <w:trHeight w:val="216"/>
        </w:trPr>
        <w:tc>
          <w:tcPr>
            <w:tcW w:w="2540" w:type="dxa"/>
            <w:vAlign w:val="bottom"/>
            <w:tcBorders>
              <w:left w:val="single" w:sz="8" w:color="252525"/>
              <w:bottom w:val="single" w:sz="8" w:color="252525"/>
              <w:right w:val="single" w:sz="8" w:color="252525"/>
            </w:tcBorders>
            <w:shd w:val="clear" w:color="auto" w:fill="D2D2D2"/>
          </w:tcPr>
          <w:p>
            <w:pPr>
              <w:spacing w:after="0"/>
              <w:rPr>
                <w:sz w:val="18"/>
                <w:szCs w:val="18"/>
                <w:color w:val="auto"/>
              </w:rPr>
            </w:pPr>
          </w:p>
        </w:tc>
        <w:tc>
          <w:tcPr>
            <w:tcW w:w="3660" w:type="dxa"/>
            <w:vAlign w:val="bottom"/>
            <w:tcBorders>
              <w:bottom w:val="single" w:sz="8" w:color="auto"/>
              <w:right w:val="single" w:sz="8" w:color="252525"/>
            </w:tcBorders>
          </w:tcPr>
          <w:p>
            <w:pPr>
              <w:ind w:left="60"/>
              <w:spacing w:after="0" w:line="216" w:lineRule="exact"/>
              <w:rPr>
                <w:sz w:val="20"/>
                <w:szCs w:val="20"/>
                <w:color w:val="auto"/>
              </w:rPr>
            </w:pPr>
            <w:r>
              <w:rPr>
                <w:rFonts w:ascii="Times New Roman" w:cs="Times New Roman" w:eastAsia="Times New Roman" w:hAnsi="Times New Roman"/>
                <w:sz w:val="22"/>
                <w:szCs w:val="22"/>
                <w:i w:val="1"/>
                <w:iCs w:val="1"/>
                <w:color w:val="808080"/>
              </w:rPr>
              <w:t>Beneficiary’s B</w:t>
            </w:r>
          </w:p>
        </w:tc>
        <w:tc>
          <w:tcPr>
            <w:tcW w:w="1120" w:type="dxa"/>
            <w:vAlign w:val="bottom"/>
            <w:tcBorders>
              <w:bottom w:val="single" w:sz="8" w:color="auto"/>
              <w:right w:val="single" w:sz="8" w:color="252525"/>
            </w:tcBorders>
            <w:shd w:val="clear" w:color="auto" w:fill="D2D2D2"/>
          </w:tcPr>
          <w:p>
            <w:pPr>
              <w:spacing w:after="0"/>
              <w:rPr>
                <w:sz w:val="18"/>
                <w:szCs w:val="18"/>
                <w:color w:val="auto"/>
              </w:rPr>
            </w:pPr>
          </w:p>
        </w:tc>
        <w:tc>
          <w:tcPr>
            <w:tcW w:w="3820" w:type="dxa"/>
            <w:vAlign w:val="bottom"/>
            <w:tcBorders>
              <w:bottom w:val="single" w:sz="8" w:color="auto"/>
              <w:right w:val="single" w:sz="8" w:color="252525"/>
            </w:tcBorders>
          </w:tcPr>
          <w:p>
            <w:pPr>
              <w:ind w:left="60"/>
              <w:spacing w:after="0" w:line="216" w:lineRule="exact"/>
              <w:rPr>
                <w:sz w:val="20"/>
                <w:szCs w:val="20"/>
                <w:color w:val="auto"/>
              </w:rPr>
            </w:pPr>
            <w:r>
              <w:rPr>
                <w:rFonts w:ascii="Times New Roman" w:cs="Times New Roman" w:eastAsia="Times New Roman" w:hAnsi="Times New Roman"/>
                <w:sz w:val="22"/>
                <w:szCs w:val="22"/>
                <w:i w:val="1"/>
                <w:iCs w:val="1"/>
                <w:color w:val="808080"/>
              </w:rPr>
              <w:t>Intermediary</w:t>
            </w:r>
          </w:p>
        </w:tc>
      </w:tr>
      <w:tr>
        <w:trPr>
          <w:trHeight w:val="331"/>
        </w:trPr>
        <w:tc>
          <w:tcPr>
            <w:tcW w:w="2540" w:type="dxa"/>
            <w:vAlign w:val="bottom"/>
            <w:tcBorders>
              <w:left w:val="single" w:sz="8" w:color="252525"/>
              <w:bottom w:val="single" w:sz="8" w:color="A8A8A8"/>
              <w:right w:val="single" w:sz="8" w:color="auto"/>
            </w:tcBorders>
            <w:shd w:val="clear" w:color="auto" w:fill="A8A8A8"/>
          </w:tcPr>
          <w:p>
            <w:pPr>
              <w:jc w:val="right"/>
              <w:spacing w:after="0"/>
              <w:rPr>
                <w:sz w:val="20"/>
                <w:szCs w:val="20"/>
                <w:color w:val="auto"/>
              </w:rPr>
            </w:pPr>
            <w:r>
              <w:rPr>
                <w:rFonts w:ascii="Times New Roman" w:cs="Times New Roman" w:eastAsia="Times New Roman" w:hAnsi="Times New Roman"/>
                <w:sz w:val="22"/>
                <w:szCs w:val="22"/>
                <w:color w:val="auto"/>
              </w:rPr>
              <w:t>Beneficiary Customer</w:t>
            </w:r>
          </w:p>
        </w:tc>
        <w:tc>
          <w:tcPr>
            <w:tcW w:w="4780" w:type="dxa"/>
            <w:vAlign w:val="bottom"/>
            <w:gridSpan w:val="2"/>
          </w:tcPr>
          <w:p>
            <w:pPr>
              <w:ind w:left="60"/>
              <w:spacing w:after="0"/>
              <w:rPr>
                <w:sz w:val="20"/>
                <w:szCs w:val="20"/>
                <w:color w:val="auto"/>
              </w:rPr>
            </w:pPr>
            <w:r>
              <w:rPr>
                <w:rFonts w:ascii="Times New Roman" w:cs="Times New Roman" w:eastAsia="Times New Roman" w:hAnsi="Times New Roman"/>
                <w:sz w:val="22"/>
                <w:szCs w:val="22"/>
                <w:i w:val="1"/>
                <w:iCs w:val="1"/>
                <w:color w:val="808080"/>
              </w:rPr>
              <w:t>Name of Ultimate Beneficiary (Lender) (SWIFT 59a)</w:t>
            </w:r>
          </w:p>
        </w:tc>
        <w:tc>
          <w:tcPr>
            <w:tcW w:w="3820" w:type="dxa"/>
            <w:vAlign w:val="bottom"/>
            <w:tcBorders>
              <w:right w:val="single" w:sz="8" w:color="auto"/>
            </w:tcBorders>
          </w:tcPr>
          <w:p>
            <w:pPr>
              <w:spacing w:after="0"/>
              <w:rPr>
                <w:sz w:val="24"/>
                <w:szCs w:val="24"/>
                <w:color w:val="auto"/>
              </w:rPr>
            </w:pPr>
          </w:p>
        </w:tc>
      </w:tr>
      <w:tr>
        <w:trPr>
          <w:trHeight w:val="250"/>
        </w:trPr>
        <w:tc>
          <w:tcPr>
            <w:tcW w:w="2540" w:type="dxa"/>
            <w:vAlign w:val="bottom"/>
            <w:tcBorders>
              <w:top w:val="single" w:sz="8" w:color="252525"/>
              <w:left w:val="single" w:sz="8" w:color="252525"/>
              <w:right w:val="single" w:sz="8" w:color="auto"/>
            </w:tcBorders>
            <w:shd w:val="clear" w:color="auto" w:fill="D2D2D2"/>
          </w:tcPr>
          <w:p>
            <w:pPr>
              <w:jc w:val="right"/>
              <w:spacing w:after="0" w:line="250" w:lineRule="exact"/>
              <w:rPr>
                <w:sz w:val="20"/>
                <w:szCs w:val="20"/>
                <w:color w:val="auto"/>
              </w:rPr>
            </w:pPr>
            <w:r>
              <w:rPr>
                <w:rFonts w:ascii="Times New Roman" w:cs="Times New Roman" w:eastAsia="Times New Roman" w:hAnsi="Times New Roman"/>
                <w:sz w:val="22"/>
                <w:szCs w:val="22"/>
                <w:color w:val="auto"/>
              </w:rPr>
              <w:t>Beneficiary Account</w:t>
            </w:r>
          </w:p>
        </w:tc>
        <w:tc>
          <w:tcPr>
            <w:tcW w:w="3660" w:type="dxa"/>
            <w:vAlign w:val="bottom"/>
            <w:tcBorders>
              <w:top w:val="single" w:sz="8" w:color="auto"/>
            </w:tcBorders>
          </w:tcPr>
          <w:p>
            <w:pPr>
              <w:ind w:left="60"/>
              <w:spacing w:after="0" w:line="250" w:lineRule="exact"/>
              <w:rPr>
                <w:sz w:val="20"/>
                <w:szCs w:val="20"/>
                <w:color w:val="auto"/>
              </w:rPr>
            </w:pPr>
            <w:r>
              <w:rPr>
                <w:rFonts w:ascii="Times New Roman" w:cs="Times New Roman" w:eastAsia="Times New Roman" w:hAnsi="Times New Roman"/>
                <w:sz w:val="22"/>
                <w:szCs w:val="22"/>
                <w:i w:val="1"/>
                <w:iCs w:val="1"/>
                <w:color w:val="808080"/>
                <w:w w:val="97"/>
              </w:rPr>
              <w:t>Account # / Code of Ultimate Beneficiary</w:t>
            </w:r>
          </w:p>
        </w:tc>
        <w:tc>
          <w:tcPr>
            <w:tcW w:w="1120" w:type="dxa"/>
            <w:vAlign w:val="bottom"/>
            <w:tcBorders>
              <w:top w:val="single" w:sz="8" w:color="auto"/>
            </w:tcBorders>
          </w:tcPr>
          <w:p>
            <w:pPr>
              <w:spacing w:after="0"/>
              <w:rPr>
                <w:sz w:val="21"/>
                <w:szCs w:val="21"/>
                <w:color w:val="auto"/>
              </w:rPr>
            </w:pPr>
          </w:p>
        </w:tc>
        <w:tc>
          <w:tcPr>
            <w:tcW w:w="3820" w:type="dxa"/>
            <w:vAlign w:val="bottom"/>
            <w:tcBorders>
              <w:top w:val="single" w:sz="8" w:color="auto"/>
              <w:right w:val="single" w:sz="8" w:color="auto"/>
            </w:tcBorders>
          </w:tcPr>
          <w:p>
            <w:pPr>
              <w:spacing w:after="0"/>
              <w:rPr>
                <w:sz w:val="21"/>
                <w:szCs w:val="21"/>
                <w:color w:val="auto"/>
              </w:rPr>
            </w:pPr>
          </w:p>
        </w:tc>
      </w:tr>
      <w:tr>
        <w:trPr>
          <w:trHeight w:val="304"/>
        </w:trPr>
        <w:tc>
          <w:tcPr>
            <w:tcW w:w="2540" w:type="dxa"/>
            <w:vAlign w:val="bottom"/>
            <w:tcBorders>
              <w:left w:val="single" w:sz="8" w:color="252525"/>
              <w:bottom w:val="single" w:sz="8" w:color="D2D2D2"/>
              <w:right w:val="single" w:sz="8" w:color="auto"/>
            </w:tcBorders>
            <w:shd w:val="clear" w:color="auto" w:fill="D2D2D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r>
      <w:tr>
        <w:trPr>
          <w:trHeight w:val="20"/>
        </w:trPr>
        <w:tc>
          <w:tcPr>
            <w:tcW w:w="2540" w:type="dxa"/>
            <w:vAlign w:val="bottom"/>
            <w:tcBorders>
              <w:left w:val="single" w:sz="8" w:color="252525"/>
              <w:right w:val="single" w:sz="8" w:color="auto"/>
            </w:tcBorders>
            <w:shd w:val="clear" w:color="auto" w:fill="252525"/>
          </w:tcPr>
          <w:p>
            <w:pPr>
              <w:spacing w:after="0" w:line="20" w:lineRule="exact"/>
              <w:rPr>
                <w:sz w:val="1"/>
                <w:szCs w:val="1"/>
                <w:color w:val="auto"/>
              </w:rPr>
            </w:pPr>
          </w:p>
        </w:tc>
        <w:tc>
          <w:tcPr>
            <w:tcW w:w="366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382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260"/>
          </w:cols>
          <w:pgMar w:left="320" w:top="1440" w:right="319" w:bottom="1440" w:gutter="0" w:footer="0" w:header="0"/>
        </w:sectPr>
      </w:pPr>
    </w:p>
    <w:bookmarkStart w:id="185" w:name="page186"/>
    <w:bookmarkEnd w:id="185"/>
    <w:p>
      <w:pPr>
        <w:spacing w:after="0" w:line="1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i w:val="1"/>
          <w:iCs w:val="1"/>
          <w:color w:val="auto"/>
        </w:rPr>
        <w:t>Use Standard Wire Reference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0575" cy="8915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0575" cy="891540"/>
                    </a:xfrm>
                    <a:prstGeom prst="rect">
                      <a:avLst/>
                    </a:prstGeom>
                    <a:noFill/>
                  </pic:spPr>
                </pic:pic>
              </a:graphicData>
            </a:graphic>
          </wp:anchor>
        </w:drawing>
      </w:r>
    </w:p>
    <w:p>
      <w:pPr>
        <w:ind w:left="280"/>
        <w:spacing w:after="0" w:line="180" w:lineRule="auto"/>
        <w:rPr>
          <w:sz w:val="20"/>
          <w:szCs w:val="20"/>
          <w:color w:val="auto"/>
        </w:rPr>
      </w:pPr>
      <w:r>
        <w:rPr>
          <w:rFonts w:ascii="Arial" w:cs="Arial" w:eastAsia="Arial" w:hAnsi="Arial"/>
          <w:sz w:val="14"/>
          <w:szCs w:val="14"/>
          <w:b w:val="1"/>
          <w:bCs w:val="1"/>
          <w:color w:val="auto"/>
        </w:rPr>
        <w:t xml:space="preserve">Payment Reference (Remittance </w:t>
      </w:r>
      <w:r>
        <w:rPr>
          <w:rFonts w:ascii="Times New Roman" w:cs="Times New Roman" w:eastAsia="Times New Roman" w:hAnsi="Times New Roman"/>
          <w:sz w:val="28"/>
          <w:szCs w:val="28"/>
          <w:color w:val="auto"/>
          <w:vertAlign w:val="superscript"/>
        </w:rPr>
        <w:t>[Borrower Name]</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 xml:space="preserve">Info) </w:t>
      </w:r>
      <w:r>
        <w:rPr>
          <w:rFonts w:ascii="Times New Roman" w:cs="Times New Roman" w:eastAsia="Times New Roman" w:hAnsi="Times New Roman"/>
          <w:sz w:val="21"/>
          <w:szCs w:val="21"/>
          <w:color w:val="auto"/>
        </w:rPr>
        <w:t>[Facility Name/Abbr.] [Facility/Deal CUSIP/ISIN]</w:t>
      </w:r>
    </w:p>
    <w:p>
      <w:pPr>
        <w:spacing w:after="0" w:line="1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[Payment Purpose(s)] [Transaction Reference ID]</w:t>
      </w:r>
    </w:p>
    <w:p>
      <w:pPr>
        <w:spacing w:after="0" w:line="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color w:val="auto"/>
        </w:rPr>
        <w:t>Special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Lender's Payment Instructions:</w:t>
      </w:r>
    </w:p>
    <w:p>
      <w:pPr>
        <w:spacing w:after="0" w:line="23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Please input payment instructions for each respective currency referenced in </w:t>
      </w:r>
      <w:r>
        <w:rPr>
          <w:rFonts w:ascii="Times New Roman" w:cs="Times New Roman" w:eastAsia="Times New Roman" w:hAnsi="Times New Roman"/>
          <w:sz w:val="20"/>
          <w:szCs w:val="20"/>
          <w:b w:val="1"/>
          <w:bCs w:val="1"/>
          <w:color w:val="auto"/>
        </w:rPr>
        <w:t>CURRENCIES AND JURISDICTIONS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MULTICURRENCY TRANSACTIONS INFORMATION </w:t>
      </w:r>
      <w:r>
        <w:rPr>
          <w:rFonts w:ascii="Times New Roman" w:cs="Times New Roman" w:eastAsia="Times New Roman" w:hAnsi="Times New Roman"/>
          <w:sz w:val="20"/>
          <w:szCs w:val="20"/>
          <w:color w:val="auto"/>
        </w:rPr>
        <w:t>section above. If your respective institution is unable to fund any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currencies noted, please notify the Administrative Agent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Bank of America's Payment Instructions: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USD Payment Instructions: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 to: Bank of America, N.A.</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ABA #</w:t>
      </w:r>
    </w:p>
    <w:p>
      <w:pPr>
        <w:ind w:left="1300"/>
        <w:spacing w:after="0"/>
        <w:rPr>
          <w:sz w:val="20"/>
          <w:szCs w:val="20"/>
          <w:color w:val="auto"/>
        </w:rPr>
      </w:pPr>
      <w:r>
        <w:rPr>
          <w:rFonts w:ascii="Times New Roman" w:cs="Times New Roman" w:eastAsia="Times New Roman" w:hAnsi="Times New Roman"/>
          <w:sz w:val="20"/>
          <w:szCs w:val="20"/>
          <w:color w:val="auto"/>
        </w:rPr>
        <w:t>New York, NY</w:t>
      </w:r>
    </w:p>
    <w:p>
      <w:pPr>
        <w:ind w:left="1300"/>
        <w:spacing w:after="0"/>
        <w:rPr>
          <w:sz w:val="20"/>
          <w:szCs w:val="20"/>
          <w:color w:val="auto"/>
        </w:rPr>
      </w:pPr>
      <w:r>
        <w:rPr>
          <w:rFonts w:ascii="Times New Roman" w:cs="Times New Roman" w:eastAsia="Times New Roman" w:hAnsi="Times New Roman"/>
          <w:sz w:val="20"/>
          <w:szCs w:val="20"/>
          <w:color w:val="auto"/>
        </w:rPr>
        <w:t>Account #:</w:t>
      </w:r>
    </w:p>
    <w:p>
      <w:pPr>
        <w:ind w:left="1300"/>
        <w:spacing w:after="0"/>
        <w:rPr>
          <w:sz w:val="20"/>
          <w:szCs w:val="20"/>
          <w:color w:val="auto"/>
        </w:rPr>
      </w:pPr>
      <w:r>
        <w:rPr>
          <w:rFonts w:ascii="Times New Roman" w:cs="Times New Roman" w:eastAsia="Times New Roman" w:hAnsi="Times New Roman"/>
          <w:sz w:val="20"/>
          <w:szCs w:val="20"/>
          <w:color w:val="auto"/>
        </w:rPr>
        <w:t>Attn:</w:t>
      </w:r>
    </w:p>
    <w:p>
      <w:pPr>
        <w:ind w:left="1300"/>
        <w:spacing w:after="0"/>
        <w:rPr>
          <w:sz w:val="20"/>
          <w:szCs w:val="20"/>
          <w:color w:val="auto"/>
        </w:rPr>
      </w:pPr>
      <w:r>
        <w:rPr>
          <w:rFonts w:ascii="Times New Roman" w:cs="Times New Roman" w:eastAsia="Times New Roman" w:hAnsi="Times New Roman"/>
          <w:sz w:val="20"/>
          <w:szCs w:val="20"/>
          <w:color w:val="auto"/>
        </w:rPr>
        <w:t>Ref: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Appendix B: Lender's Organization Structure and Tax Status: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refer to the enclosed withholding tax instructions below and then complete this section accordingly.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Taxpayer Identification Number (TIN):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 Withholding Form Delivered to Bank of America (circle applicable one):</w:t>
      </w:r>
    </w:p>
    <w:p>
      <w:pPr>
        <w:spacing w:after="0" w:line="216" w:lineRule="exact"/>
        <w:rPr>
          <w:sz w:val="20"/>
          <w:szCs w:val="20"/>
          <w:color w:val="auto"/>
        </w:rPr>
      </w:pPr>
    </w:p>
    <w:p>
      <w:pPr>
        <w:spacing w:after="0"/>
        <w:tabs>
          <w:tab w:leader="none" w:pos="520" w:val="left"/>
          <w:tab w:leader="none" w:pos="1460" w:val="left"/>
          <w:tab w:leader="none" w:pos="2580" w:val="left"/>
          <w:tab w:leader="none" w:pos="3420" w:val="left"/>
          <w:tab w:leader="none" w:pos="4320" w:val="left"/>
        </w:tabs>
        <w:rPr>
          <w:sz w:val="20"/>
          <w:szCs w:val="20"/>
          <w:color w:val="auto"/>
        </w:rPr>
      </w:pPr>
      <w:r>
        <w:rPr>
          <w:rFonts w:ascii="Times New Roman" w:cs="Times New Roman" w:eastAsia="Times New Roman" w:hAnsi="Times New Roman"/>
          <w:sz w:val="20"/>
          <w:szCs w:val="20"/>
          <w:color w:val="auto"/>
        </w:rPr>
        <w:t>W-9</w:t>
        <w:tab/>
        <w:t>W-8BEN</w:t>
        <w:tab/>
        <w:t>W-8BEN-E</w:t>
        <w:tab/>
        <w:t>W-8ECI</w:t>
        <w:tab/>
        <w:t>W-8EXP</w:t>
      </w:r>
      <w:r>
        <w:rPr>
          <w:sz w:val="20"/>
          <w:szCs w:val="20"/>
          <w:color w:val="auto"/>
        </w:rPr>
        <w:tab/>
      </w:r>
      <w:r>
        <w:rPr>
          <w:rFonts w:ascii="Times New Roman" w:cs="Times New Roman" w:eastAsia="Times New Roman" w:hAnsi="Times New Roman"/>
          <w:sz w:val="19"/>
          <w:szCs w:val="19"/>
          <w:color w:val="auto"/>
        </w:rPr>
        <w:t>W-8IMY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Tax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MI: Last: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620"/>
          </w:cols>
          <w:pgMar w:left="320" w:top="1440" w:right="959" w:bottom="1440" w:gutter="0" w:footer="0" w:header="0"/>
        </w:sectPr>
      </w:pPr>
    </w:p>
    <w:bookmarkStart w:id="186" w:name="page187"/>
    <w:bookmarkEnd w:id="186"/>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Address: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Suite/ Mail Code:</w:t>
      </w:r>
    </w:p>
    <w:tbl>
      <w:tblPr>
        <w:tblLayout w:type="fixed"/>
        <w:tblInd w:w="0" w:type="dxa"/>
        <w:tblCellMar>
          <w:top w:w="0" w:type="dxa"/>
          <w:left w:w="0" w:type="dxa"/>
          <w:bottom w:w="0" w:type="dxa"/>
          <w:right w:w="0" w:type="dxa"/>
        </w:tblCellMar>
      </w:tblPr>
      <w:tr>
        <w:trPr>
          <w:trHeight w:val="221"/>
        </w:trPr>
        <w:tc>
          <w:tcPr>
            <w:tcW w:w="13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City:</w:t>
            </w:r>
          </w:p>
        </w:tc>
        <w:tc>
          <w:tcPr>
            <w:tcW w:w="1140" w:type="dxa"/>
            <w:vAlign w:val="bottom"/>
          </w:tcPr>
          <w:p>
            <w:pPr>
              <w:jc w:val="right"/>
              <w:ind w:right="561"/>
              <w:spacing w:after="0" w:line="221" w:lineRule="exact"/>
              <w:rPr>
                <w:sz w:val="20"/>
                <w:szCs w:val="20"/>
                <w:color w:val="auto"/>
              </w:rPr>
            </w:pPr>
            <w:r>
              <w:rPr>
                <w:rFonts w:ascii="Times New Roman" w:cs="Times New Roman" w:eastAsia="Times New Roman" w:hAnsi="Times New Roman"/>
                <w:sz w:val="20"/>
                <w:szCs w:val="20"/>
                <w:color w:val="auto"/>
              </w:rPr>
              <w:t>State:</w:t>
            </w: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Postal Code:</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Country:</w:t>
            </w:r>
          </w:p>
        </w:tc>
      </w:t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Telephone:</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Facsimile:</w:t>
            </w: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E-Mail Address:</w:t>
            </w:r>
          </w:p>
        </w:tc>
        <w:tc>
          <w:tcPr>
            <w:tcW w:w="1140" w:type="dxa"/>
            <w:vAlign w:val="bottom"/>
          </w:tcPr>
          <w:p>
            <w:pPr>
              <w:spacing w:after="0"/>
              <w:rPr>
                <w:sz w:val="22"/>
                <w:szCs w:val="22"/>
                <w:color w:val="auto"/>
              </w:rPr>
            </w:pPr>
          </w:p>
        </w:tc>
      </w:tr>
    </w:tbl>
    <w:p>
      <w:pPr>
        <w:spacing w:after="0"/>
        <w:rPr>
          <w:sz w:val="20"/>
          <w:szCs w:val="20"/>
          <w:color w:val="auto"/>
        </w:rPr>
      </w:pPr>
      <w:r>
        <w:rPr>
          <w:rFonts w:ascii="Times New Roman" w:cs="Times New Roman" w:eastAsia="Times New Roman" w:hAnsi="Times New Roman"/>
          <w:sz w:val="20"/>
          <w:szCs w:val="20"/>
          <w:color w:val="auto"/>
        </w:rPr>
        <w:t>SyndTrak E-Mail Address: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NON–U.S. LENDER INSTITUTIONS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Corporations:</w:t>
      </w:r>
    </w:p>
    <w:p>
      <w:pPr>
        <w:spacing w:after="0" w:line="22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color w:val="auto"/>
        </w:rPr>
        <w:t>If your institution is organized outside of the United States, is classified as a Corporation or other non-flow through entity for U.S. federal income tax purposes, and is the beneficial owner of the interest and other income it receives, you must complete one of the following three tax forms, as applicable to your institution: a.) Form W-8BEN (Certificate of Foreign Status of Beneficial Owner for United States Tax Withholding and Reporting (and a U.S. Tax Compliance Certificate if applicable)) or Form W-8BEN-E, b.) Form W-8ECI (Certificate of Foreign Person’s Claim that Income is Effectively Connected with the Conduct of a Trade or Business in the United States), or c.) Form W-8EXP (Certificate of Foreign Government or Other Foreign Organization for United States Tax Withholding and Reporting).</w:t>
      </w:r>
    </w:p>
    <w:p>
      <w:pPr>
        <w:spacing w:after="0" w:line="16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A U.S. taxpayer identification number is required for any institution submitting a Form W-8 ECI. It is also required on Form W-8BEN or Form W-8BEN-E for certain institutions claiming the benefits of a tax treaty with the U.S. Please refer to the instructions when completing the form applicable to your institution.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Flow-Through Entities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and Reporting) must be completed by the intermediary together with a withholding statement. Flow-through entities other than Qualified Intermediaries are required to include tax forms for each of the underlying beneficial owners.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refer to the instructions when completing this form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LENDER INSTITUTIONS:</w:t>
      </w:r>
    </w:p>
    <w:p>
      <w:pPr>
        <w:spacing w:after="0" w:line="229"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If your institution is incorporated or organized within the United States, you must complete and return Form W-9 (Request for Taxpayer Identification Number and Certification).</w:t>
      </w:r>
    </w:p>
    <w:p>
      <w:pPr>
        <w:spacing w:after="0" w:line="169" w:lineRule="exact"/>
        <w:rPr>
          <w:sz w:val="20"/>
          <w:szCs w:val="20"/>
          <w:color w:val="auto"/>
        </w:rPr>
      </w:pPr>
    </w:p>
    <w:p>
      <w:pPr>
        <w:jc w:val="both"/>
        <w:ind w:right="5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guidance and instructions as to where to submit this documentation can be found at this link:</w:t>
      </w:r>
    </w:p>
    <w:p>
      <w:pPr>
        <w:sectPr>
          <w:pgSz w:w="11900" w:h="16838" w:orient="portrait"/>
          <w:cols w:equalWidth="0" w:num="1">
            <w:col w:w="11200"/>
          </w:cols>
          <w:pgMar w:left="320" w:top="1440" w:right="37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414"/>
        <w:spacing w:after="0" w:line="252" w:lineRule="auto"/>
        <w:rPr>
          <w:sz w:val="20"/>
          <w:szCs w:val="20"/>
          <w:color w:val="auto"/>
        </w:rPr>
      </w:pPr>
      <w:r>
        <w:rPr>
          <w:rFonts w:ascii="Times New Roman" w:cs="Times New Roman" w:eastAsia="Times New Roman" w:hAnsi="Times New Roman"/>
          <w:sz w:val="22"/>
          <w:szCs w:val="22"/>
          <w:i w:val="1"/>
          <w:iCs w:val="1"/>
          <w:color w:val="auto"/>
        </w:rPr>
        <w:t>Bank of America is committed to the protection of personal information we collect and process. We conduct regular assessment reviews and abide by rigorous privacy standards to protect personal information we collect, use and share. For more information about how we protect your privacy, including specific rights that may apply, please visit bankofamerica.com/privacynotice. Please ensure that you share this information with those in your organization whose information you are sharing with us such as your third party representatives, employees, officers, shareholders, and other related individuals.</w:t>
      </w:r>
    </w:p>
    <w:p>
      <w:pPr>
        <w:sectPr>
          <w:pgSz w:w="11900" w:h="16838" w:orient="portrait"/>
          <w:cols w:equalWidth="0" w:num="1">
            <w:col w:w="11180"/>
          </w:cols>
          <w:pgMar w:left="320" w:top="1440" w:right="399" w:bottom="1440" w:gutter="0" w:footer="0" w:header="0"/>
        </w:sectPr>
      </w:pPr>
    </w:p>
    <w:bookmarkStart w:id="188" w:name="page189"/>
    <w:bookmarkEnd w:id="188"/>
    <w:p>
      <w:pPr>
        <w:jc w:val="right"/>
        <w:spacing w:after="0"/>
        <w:rPr>
          <w:sz w:val="20"/>
          <w:szCs w:val="20"/>
          <w:color w:val="auto"/>
        </w:rPr>
      </w:pPr>
      <w:r>
        <w:rPr>
          <w:rFonts w:ascii="Calibri" w:cs="Calibri" w:eastAsia="Calibri" w:hAnsi="Calibri"/>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45920" cy="488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4592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nCino Signs Defnitve Agreement to Acquire FullCircl</w:t>
      </w:r>
    </w:p>
    <w:p>
      <w:pPr>
        <w:jc w:val="center"/>
        <w:spacing w:after="0" w:line="212" w:lineRule="auto"/>
        <w:rPr>
          <w:sz w:val="20"/>
          <w:szCs w:val="20"/>
          <w:color w:val="auto"/>
        </w:rPr>
      </w:pPr>
      <w:r>
        <w:rPr>
          <w:rFonts w:ascii="Calibri" w:cs="Calibri" w:eastAsia="Calibri" w:hAnsi="Calibri"/>
          <w:sz w:val="20"/>
          <w:szCs w:val="20"/>
          <w:i w:val="1"/>
          <w:iCs w:val="1"/>
          <w:color w:val="auto"/>
        </w:rPr>
        <w:t>nCino and FullCircl ofering for commercial banks in the UK and across the European Contnent creates an end-to-end client lifecycle</w:t>
      </w:r>
    </w:p>
    <w:p>
      <w:pPr>
        <w:jc w:val="center"/>
        <w:spacing w:after="0" w:line="225" w:lineRule="auto"/>
        <w:rPr>
          <w:sz w:val="20"/>
          <w:szCs w:val="20"/>
          <w:color w:val="auto"/>
        </w:rPr>
      </w:pPr>
      <w:r>
        <w:rPr>
          <w:rFonts w:ascii="Calibri" w:cs="Calibri" w:eastAsia="Calibri" w:hAnsi="Calibri"/>
          <w:sz w:val="20"/>
          <w:szCs w:val="20"/>
          <w:i w:val="1"/>
          <w:iCs w:val="1"/>
          <w:color w:val="auto"/>
        </w:rPr>
        <w:t>management experience with integrated acquisiton, onboarding, KYB, KYC, and rules-based monitoring</w:t>
      </w:r>
    </w:p>
    <w:p>
      <w:pPr>
        <w:spacing w:after="0" w:line="226" w:lineRule="exact"/>
        <w:rPr>
          <w:sz w:val="20"/>
          <w:szCs w:val="20"/>
          <w:color w:val="auto"/>
        </w:rPr>
      </w:pPr>
    </w:p>
    <w:p>
      <w:pPr>
        <w:ind w:right="340"/>
        <w:spacing w:after="0" w:line="223" w:lineRule="auto"/>
        <w:rPr>
          <w:sz w:val="20"/>
          <w:szCs w:val="20"/>
          <w:color w:val="auto"/>
        </w:rPr>
      </w:pPr>
      <w:r>
        <w:rPr>
          <w:rFonts w:ascii="Calibri" w:cs="Calibri" w:eastAsia="Calibri" w:hAnsi="Calibri"/>
          <w:sz w:val="20"/>
          <w:szCs w:val="20"/>
          <w:b w:val="1"/>
          <w:bCs w:val="1"/>
          <w:color w:val="auto"/>
        </w:rPr>
        <w:t xml:space="preserve">WILMINGTON, N.C. and LONDON - </w:t>
      </w:r>
      <w:r>
        <w:rPr>
          <w:rFonts w:ascii="Calibri" w:cs="Calibri" w:eastAsia="Calibri" w:hAnsi="Calibri"/>
          <w:sz w:val="20"/>
          <w:szCs w:val="20"/>
          <w:color w:val="auto"/>
        </w:rPr>
        <w:t>October 30, 2024 --</w:t>
      </w:r>
      <w:r>
        <w:rPr>
          <w:rFonts w:ascii="Calibri" w:cs="Calibri" w:eastAsia="Calibri" w:hAnsi="Calibri"/>
          <w:sz w:val="20"/>
          <w:szCs w:val="20"/>
          <w:b w:val="1"/>
          <w:bCs w:val="1"/>
          <w:color w:val="auto"/>
        </w:rPr>
        <w:t xml:space="preserve"> </w:t>
      </w:r>
      <w:r>
        <w:rPr>
          <w:rFonts w:ascii="Calibri" w:cs="Calibri" w:eastAsia="Calibri" w:hAnsi="Calibri"/>
          <w:sz w:val="20"/>
          <w:szCs w:val="20"/>
          <w:color w:val="0563C1"/>
        </w:rPr>
        <w:t>nCino, Inc.</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(NASDAQ: NCNO), the leading provider of intelligent, best-in-class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banking solutons, today announced that it has entered into a defnitve agreement to acquire FullCircl. FullCircl is a leading UK-based SaaS platorm, built to help fnancial insttutons and regulated companies grow revenue, automate and accelerate onboarding, and improve client lifecycle management by removing regulatory and verifcaton roadblocks.</w:t>
      </w:r>
    </w:p>
    <w:p>
      <w:pPr>
        <w:spacing w:after="0" w:line="227" w:lineRule="exact"/>
        <w:rPr>
          <w:sz w:val="20"/>
          <w:szCs w:val="20"/>
          <w:color w:val="auto"/>
        </w:rPr>
      </w:pPr>
    </w:p>
    <w:p>
      <w:pPr>
        <w:ind w:right="120"/>
        <w:spacing w:after="0" w:line="221" w:lineRule="auto"/>
        <w:rPr>
          <w:sz w:val="20"/>
          <w:szCs w:val="20"/>
          <w:color w:val="auto"/>
        </w:rPr>
      </w:pPr>
      <w:r>
        <w:rPr>
          <w:rFonts w:ascii="Calibri" w:cs="Calibri" w:eastAsia="Calibri" w:hAnsi="Calibri"/>
          <w:sz w:val="20"/>
          <w:szCs w:val="20"/>
          <w:color w:val="026DCE"/>
        </w:rPr>
        <w:t xml:space="preserve">nCino and FullCircl formally partnered in 2023 </w:t>
      </w:r>
      <w:r>
        <w:rPr>
          <w:rFonts w:ascii="Calibri" w:cs="Calibri" w:eastAsia="Calibri" w:hAnsi="Calibri"/>
          <w:sz w:val="20"/>
          <w:szCs w:val="20"/>
          <w:color w:val="000000"/>
        </w:rPr>
        <w:t>to bring FullCircl’s data capabilites into the nCino Platorm to improve the speed,</w:t>
      </w:r>
      <w:r>
        <w:rPr>
          <w:rFonts w:ascii="Calibri" w:cs="Calibri" w:eastAsia="Calibri" w:hAnsi="Calibri"/>
          <w:sz w:val="20"/>
          <w:szCs w:val="20"/>
          <w:color w:val="026DCE"/>
        </w:rPr>
        <w:t xml:space="preserve"> </w:t>
      </w:r>
      <w:r>
        <w:rPr>
          <w:rFonts w:ascii="Calibri" w:cs="Calibri" w:eastAsia="Calibri" w:hAnsi="Calibri"/>
          <w:sz w:val="20"/>
          <w:szCs w:val="20"/>
          <w:color w:val="000000"/>
        </w:rPr>
        <w:t>efciency, and compliance with which fnancial insttutons acquire, onboard, and serve clients. FullCircl and nCino share several mutual customers, ranging from some of the largest insttutons in the UK to niche incumbents and neobanks serving the SME space. The joint propositon can not only create a beter client and staf experience for fnancial insttutons, but can contribute to their growth and proftability gains, too.</w:t>
      </w:r>
    </w:p>
    <w:p>
      <w:pPr>
        <w:spacing w:after="0" w:line="226" w:lineRule="exact"/>
        <w:rPr>
          <w:sz w:val="20"/>
          <w:szCs w:val="20"/>
          <w:color w:val="auto"/>
        </w:rPr>
      </w:pPr>
    </w:p>
    <w:p>
      <w:pPr>
        <w:ind w:right="580"/>
        <w:spacing w:after="0" w:line="220" w:lineRule="auto"/>
        <w:rPr>
          <w:sz w:val="20"/>
          <w:szCs w:val="20"/>
          <w:color w:val="auto"/>
        </w:rPr>
      </w:pPr>
      <w:r>
        <w:rPr>
          <w:rFonts w:ascii="Calibri" w:cs="Calibri" w:eastAsia="Calibri" w:hAnsi="Calibri"/>
          <w:sz w:val="20"/>
          <w:szCs w:val="20"/>
          <w:color w:val="auto"/>
        </w:rPr>
        <w:t>"Our ongoing relatonship with nCino and FullCircl’s integrated ofering will empower us to streamline our applicaton processes, improve our decisioning pace, and speed up loan completons,” said Jake Brook, Lending Change Manager from Yorkshire Building Society. “Automatng client data collecton and validaton will enhance transparency for borrowers and improve the client journey, throughout their lifecycle, not just at onboarding."</w:t>
      </w:r>
    </w:p>
    <w:p>
      <w:pPr>
        <w:spacing w:after="0" w:line="239" w:lineRule="exact"/>
        <w:rPr>
          <w:sz w:val="20"/>
          <w:szCs w:val="20"/>
          <w:color w:val="auto"/>
        </w:rPr>
      </w:pPr>
    </w:p>
    <w:p>
      <w:pPr>
        <w:ind w:right="60"/>
        <w:spacing w:after="0" w:line="218" w:lineRule="auto"/>
        <w:rPr>
          <w:sz w:val="20"/>
          <w:szCs w:val="20"/>
          <w:color w:val="auto"/>
        </w:rPr>
      </w:pPr>
      <w:r>
        <w:rPr>
          <w:rFonts w:ascii="Calibri" w:cs="Calibri" w:eastAsia="Calibri" w:hAnsi="Calibri"/>
          <w:sz w:val="20"/>
          <w:szCs w:val="20"/>
          <w:color w:val="auto"/>
        </w:rPr>
        <w:t>The acquisiton of FullCircl will provide nCino with new capabilites for onboarding and client lifecycle management. FullCircl ofers a powerful business rules-engine that can simplify the complexity of onboarding underpinned by an array of pre-contracted premium data-supply. Additonally, FullCircl’s technology provides frontline teams access to business development tooling to profle a comprehensive graph-database of extensive connected company-data, including news and insights, detailed fnancial informaton, credit scores, risk profles, ultmate benefcial ownership, import/export, legal notces, adverse director history and other critcal profling data.</w:t>
      </w:r>
    </w:p>
    <w:p>
      <w:pPr>
        <w:spacing w:after="0" w:line="241" w:lineRule="exact"/>
        <w:rPr>
          <w:sz w:val="20"/>
          <w:szCs w:val="20"/>
          <w:color w:val="auto"/>
        </w:rPr>
      </w:pPr>
    </w:p>
    <w:p>
      <w:pPr>
        <w:ind w:right="340"/>
        <w:spacing w:after="0" w:line="221" w:lineRule="auto"/>
        <w:rPr>
          <w:sz w:val="20"/>
          <w:szCs w:val="20"/>
          <w:color w:val="auto"/>
        </w:rPr>
      </w:pPr>
      <w:r>
        <w:rPr>
          <w:rFonts w:ascii="Calibri" w:cs="Calibri" w:eastAsia="Calibri" w:hAnsi="Calibri"/>
          <w:sz w:val="20"/>
          <w:szCs w:val="20"/>
          <w:color w:val="auto"/>
        </w:rPr>
        <w:t>"The acquisiton of FullCircl is a strategic move for nCino that will not only enhance our data and automaton capabilites but also enables us to expand our reach across the UK and more broadly in Europe with an end-to-end experience for full client lifecycle management,” said Pierre Naudé, Chairman and CEO at nCino. “Having worked closely with the FullCircl team for some tme now, we recognized the value our joint technology can deliver, and this acquisiton marks an excitng step forward in our mission of driving innovaton and powering a new era in fnancial services.”</w:t>
      </w:r>
    </w:p>
    <w:p>
      <w:pPr>
        <w:spacing w:after="0" w:line="226" w:lineRule="exact"/>
        <w:rPr>
          <w:sz w:val="20"/>
          <w:szCs w:val="20"/>
          <w:color w:val="auto"/>
        </w:rPr>
      </w:pPr>
    </w:p>
    <w:p>
      <w:pPr>
        <w:ind w:right="120"/>
        <w:spacing w:after="0" w:line="221" w:lineRule="auto"/>
        <w:rPr>
          <w:sz w:val="20"/>
          <w:szCs w:val="20"/>
          <w:color w:val="auto"/>
        </w:rPr>
      </w:pPr>
      <w:r>
        <w:rPr>
          <w:rFonts w:ascii="Calibri" w:cs="Calibri" w:eastAsia="Calibri" w:hAnsi="Calibri"/>
          <w:sz w:val="20"/>
          <w:szCs w:val="20"/>
          <w:color w:val="auto"/>
        </w:rPr>
        <w:t>Andrew Yates, CEO and Cofounder at FullCircl added, “We have been working with the nCino team for several years, and the close alignment in both organisatons across vision, culture, customers, product and market opportunity have contributed to this excitng acquisiton making perfect sense. We both serve regulated industries who walk a tghtrope between a strict operatng rulebook and a mandate to deliver growth and shareholder value, all while providing a seamless client experience. This marks a signifcant new chapter for FullCircl as we become part of nCino.”</w:t>
      </w:r>
    </w:p>
    <w:p>
      <w:pPr>
        <w:spacing w:after="0" w:line="226" w:lineRule="exact"/>
        <w:rPr>
          <w:sz w:val="20"/>
          <w:szCs w:val="20"/>
          <w:color w:val="auto"/>
        </w:rPr>
      </w:pPr>
    </w:p>
    <w:p>
      <w:pPr>
        <w:ind w:right="80"/>
        <w:spacing w:after="0" w:line="220" w:lineRule="auto"/>
        <w:rPr>
          <w:sz w:val="20"/>
          <w:szCs w:val="20"/>
          <w:color w:val="auto"/>
        </w:rPr>
      </w:pPr>
      <w:r>
        <w:rPr>
          <w:rFonts w:ascii="Calibri" w:cs="Calibri" w:eastAsia="Calibri" w:hAnsi="Calibri"/>
          <w:sz w:val="20"/>
          <w:szCs w:val="20"/>
          <w:color w:val="auto"/>
        </w:rPr>
        <w:t>The purchase price for FullCircl is One Hundred and Thirty-Five Million Dollars ($135,000,000) in cash, subject to customary adjustments (the “Purchase Price”). Fifeen Million Dollars ($15,000,000) of the Purchase Price will be retained by nCino for two years following the closing of the transacton as security for the performance of certain warrantes and covenants arising under the purchase agreement. nCino</w:t>
      </w:r>
    </w:p>
    <w:p>
      <w:pPr>
        <w:sectPr>
          <w:pgSz w:w="11900" w:h="16838" w:orient="portrait"/>
          <w:cols w:equalWidth="0" w:num="1">
            <w:col w:w="11240"/>
          </w:cols>
          <w:pgMar w:left="320" w:top="344" w:right="339" w:bottom="1440" w:gutter="0" w:footer="0" w:header="0"/>
        </w:sectPr>
      </w:pPr>
    </w:p>
    <w:bookmarkStart w:id="189" w:name="page190"/>
    <w:bookmarkEnd w:id="189"/>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645920" cy="4883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88315"/>
                    </a:xfrm>
                    <a:prstGeom prst="rect">
                      <a:avLst/>
                    </a:prstGeom>
                    <a:noFill/>
                  </pic:spPr>
                </pic:pic>
              </a:graphicData>
            </a:graphic>
          </wp:anchor>
        </w:drawing>
      </w:r>
    </w:p>
    <w:p>
      <w:pPr>
        <w:spacing w:after="0"/>
        <w:rPr>
          <w:sz w:val="20"/>
          <w:szCs w:val="20"/>
          <w:color w:val="auto"/>
        </w:rPr>
      </w:pPr>
      <w:r>
        <w:rPr>
          <w:rFonts w:ascii="Calibri" w:cs="Calibri" w:eastAsia="Calibri" w:hAnsi="Calibri"/>
          <w:sz w:val="20"/>
          <w:szCs w:val="20"/>
          <w:color w:val="auto"/>
        </w:rPr>
        <w:t>plans to provide an update on the fnancial impact of this acquisiton in connecton with its third quarter earnings release.</w:t>
      </w:r>
    </w:p>
    <w:p>
      <w:pPr>
        <w:ind w:left="5480"/>
        <w:spacing w:after="0" w:line="225" w:lineRule="auto"/>
        <w:rPr>
          <w:sz w:val="20"/>
          <w:szCs w:val="20"/>
          <w:color w:val="auto"/>
        </w:rPr>
      </w:pPr>
      <w:r>
        <w:rPr>
          <w:rFonts w:ascii="Calibri" w:cs="Calibri" w:eastAsia="Calibri" w:hAnsi="Calibri"/>
          <w:sz w:val="20"/>
          <w:szCs w:val="20"/>
          <w:color w:val="auto"/>
        </w:rPr>
        <w: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nCino</w:t>
      </w:r>
    </w:p>
    <w:p>
      <w:pPr>
        <w:ind w:right="80"/>
        <w:spacing w:after="0" w:line="218" w:lineRule="auto"/>
        <w:rPr>
          <w:sz w:val="20"/>
          <w:szCs w:val="20"/>
          <w:color w:val="auto"/>
        </w:rPr>
      </w:pPr>
      <w:r>
        <w:rPr>
          <w:rFonts w:ascii="Calibri" w:cs="Calibri" w:eastAsia="Calibri" w:hAnsi="Calibri"/>
          <w:sz w:val="20"/>
          <w:szCs w:val="20"/>
          <w:color w:val="auto"/>
        </w:rPr>
        <w:t xml:space="preserve">nCino (NASDAQ: NCNO) is powering a new era in fnancial services. The Company was founded to help fnancial insttutons digitze and reengineer business processes to boost efciencies and create beter banking experiences. With over 1,800 customers worldwide - including community banks, credit unions, independent mortgage banks, and the largest fnancial enttes globally - nCino ofers a trusted platorm of best-in-class, intelligent solutons. By integratng artfcial intelligence and actonable insights into its platorm, nCino is helping fnancial insttutons consolidate legacy systems to enhance strategic decision-making, improve risk management, and elevate customer satsfacton by cohesively bringing together people, AI and data. For more informaton, visit </w:t>
      </w:r>
      <w:r>
        <w:rPr>
          <w:rFonts w:ascii="Calibri" w:cs="Calibri" w:eastAsia="Calibri" w:hAnsi="Calibri"/>
          <w:sz w:val="20"/>
          <w:szCs w:val="20"/>
          <w:color w:val="026DCE"/>
        </w:rPr>
        <w:t>www.ncino.com</w:t>
      </w:r>
      <w:r>
        <w:rPr>
          <w:rFonts w:ascii="Calibri" w:cs="Calibri" w:eastAsia="Calibri" w:hAnsi="Calibri"/>
          <w:sz w:val="20"/>
          <w:szCs w:val="20"/>
          <w:color w:val="auto"/>
        </w:rPr>
        <w:t>.</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FullCircl</w:t>
      </w:r>
    </w:p>
    <w:p>
      <w:pPr>
        <w:ind w:right="20"/>
        <w:spacing w:after="0" w:line="218" w:lineRule="auto"/>
        <w:rPr>
          <w:sz w:val="20"/>
          <w:szCs w:val="20"/>
          <w:color w:val="auto"/>
        </w:rPr>
      </w:pPr>
      <w:r>
        <w:rPr>
          <w:rFonts w:ascii="Calibri" w:cs="Calibri" w:eastAsia="Calibri" w:hAnsi="Calibri"/>
          <w:sz w:val="20"/>
          <w:szCs w:val="20"/>
          <w:color w:val="auto"/>
        </w:rPr>
        <w:t>FullCircl is a B2B SaaS company that aligns regulaton with customer acquisiton to boost business efciency. Its global solutons enhance revenue growth, manage risk and compliance, and streamline customer onboarding, which reduces acquisiton costs and fosters positve customer relatonships for accelerated growth. Providing millions of actonable insights daily, FullCircl ofers a near real-tme record of companies, ofcers, and shareholders, while simplifying due diligence checks like KYB, KYC and AML. Serving over 400 customers and 15,000+ users, FullCircl processes 300 million checks monthly and supports the onboarding of 200,000+ customers and is backed by top ter investors including Octopus Investments, Noton Capital and Augmentum Fintech.</w:t>
      </w:r>
    </w:p>
    <w:p>
      <w:pPr>
        <w:spacing w:after="0" w:line="23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color w:val="auto"/>
        </w:rPr>
        <w:t>Natalia Moose</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press@ncino.com</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333333"/>
        </w:rPr>
        <w:t>Cautonary Language Concerning Forward-Looking Statements</w:t>
      </w:r>
    </w:p>
    <w:p>
      <w:pPr>
        <w:spacing w:after="0" w:line="211"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This press release contains forward-looking statements about nCino’s expectatons, plans, future performance, outlook and prospects regarding the benefts that may be derived from the proposed transacton between nCino and FullCircl (“FullCircl”) including, without limitaton, with respect to the benefts of integratng the FullCircl technology into the nCino platorm, cross and upsell opportunites, and the expansion of the nCino Platorm. Forward-looking statements generally include actons, events, results, strategies and expectatons and are ofen identfable by use of the words “believes,” “expects,” “intends,” “antcipates,” “plans,” “seeks,” “estmates,” “projects,” “may,” “will,” “could,” “might,” or “contnues” or similar expressions and the negatves thereof. Any forward-looking statements contained in this press release are based upon nCino’s and/or FullCircl’s historical performance and their current plans, estmates, and expectatons and are not a representaton that such plans, estmates, or expectatons will be achieved. These forward-looking statements represent nCino’s expectatons as of the date of this press release. Subsequent events may cause these expectatons to change and, except as may be required by law, nCino does not undertake any obligaton to update or revise these forward-looking statements.</w:t>
      </w:r>
    </w:p>
    <w:p>
      <w:pPr>
        <w:spacing w:after="0" w:line="229" w:lineRule="exact"/>
        <w:rPr>
          <w:sz w:val="20"/>
          <w:szCs w:val="20"/>
          <w:color w:val="auto"/>
        </w:rPr>
      </w:pPr>
    </w:p>
    <w:p>
      <w:pPr>
        <w:ind w:right="200"/>
        <w:spacing w:after="0" w:line="221" w:lineRule="auto"/>
        <w:rPr>
          <w:sz w:val="20"/>
          <w:szCs w:val="20"/>
          <w:color w:val="auto"/>
        </w:rPr>
      </w:pPr>
      <w:r>
        <w:rPr>
          <w:rFonts w:ascii="Calibri" w:cs="Calibri" w:eastAsia="Calibri" w:hAnsi="Calibri"/>
          <w:sz w:val="20"/>
          <w:szCs w:val="20"/>
          <w:color w:val="auto"/>
        </w:rPr>
        <w:t>These forward-looking statements are subject to known and unknown risks and uncertaintes that may cause actual results to difer materially including, but not limited to, risks related to: (i) changes in economic conditons, (ii) retaining the employees of FullCircl, (iii) nCino’s ability to successfully integrate the FullCircl business, (iv) the ability to cross-sell the FullCircl soluton into the nCino customer base, and (v) possible acquisiton-related liabilites. Additonal risks and uncertaintes that could afect nCino’s business and fnancial results and these forward-looking statements are included in nCino’s reports fled</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1645920" cy="4883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88315"/>
                    </a:xfrm>
                    <a:prstGeom prst="rect">
                      <a:avLst/>
                    </a:prstGeom>
                    <a:noFill/>
                  </pic:spPr>
                </pic:pic>
              </a:graphicData>
            </a:graphic>
          </wp:anchor>
        </w:drawing>
      </w:r>
    </w:p>
    <w:p>
      <w:pPr>
        <w:spacing w:after="0" w:line="222" w:lineRule="auto"/>
        <w:rPr>
          <w:sz w:val="20"/>
          <w:szCs w:val="20"/>
          <w:color w:val="auto"/>
        </w:rPr>
      </w:pPr>
      <w:r>
        <w:rPr>
          <w:rFonts w:ascii="Calibri" w:cs="Calibri" w:eastAsia="Calibri" w:hAnsi="Calibri"/>
          <w:sz w:val="20"/>
          <w:szCs w:val="20"/>
          <w:color w:val="auto"/>
        </w:rPr>
        <w:t>with the U.S. Securites and Exchange Commission (available on our web site at www.ncino.com or the SEC's web site at www.sec.gov). Further informaton on potental risks that could afect actual results will be included in other flings nCino makes with the SEC from tme to tme.</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1)"/>
      <w:numFmt w:val="lowerLetter"/>
      <w:start w:val="2"/>
    </w:lvl>
  </w:abstractNum>
  <w:abstractNum w:abstractNumId="2">
    <w:nsid w:val="415E286C"/>
    <w:multiLevelType w:val="hybridMultilevel"/>
    <w:lvl w:ilvl="0">
      <w:lvlJc w:val="left"/>
      <w:lvlText w:val="(%1)"/>
      <w:numFmt w:val="lowerLetter"/>
      <w:start w:val="1"/>
    </w:lvl>
  </w:abstractNum>
  <w:abstractNum w:abstractNumId="3">
    <w:nsid w:val="7C58FD05"/>
    <w:multiLevelType w:val="hybridMultilevel"/>
    <w:lvl w:ilvl="0">
      <w:lvlJc w:val="left"/>
      <w:lvlText w:val="%1"/>
      <w:numFmt w:val="lowerLetter"/>
      <w:start w:val="1"/>
    </w:lvl>
    <w:lvl w:ilvl="1">
      <w:lvlJc w:val="left"/>
      <w:lvlText w:val="(%2)"/>
      <w:numFmt w:val="lowerLetter"/>
      <w:start w:val="1"/>
    </w:lvl>
  </w:abstractNum>
  <w:abstractNum w:abstractNumId="4">
    <w:nsid w:val="23D86AAC"/>
    <w:multiLevelType w:val="hybridMultilevel"/>
    <w:lvl w:ilvl="0">
      <w:lvlJc w:val="left"/>
      <w:lvlText w:val="(%1)"/>
      <w:numFmt w:val="lowerLetter"/>
      <w:start w:val="61"/>
    </w:lvl>
    <w:lvl w:ilvl="1">
      <w:lvlJc w:val="left"/>
      <w:lvlText w:val="(%2)"/>
      <w:numFmt w:val="lowerLetter"/>
      <w:start w:val="3"/>
    </w:lvl>
  </w:abstractNum>
  <w:abstractNum w:abstractNumId="5">
    <w:nsid w:val="45E6D486"/>
    <w:multiLevelType w:val="hybridMultilevel"/>
    <w:lvl w:ilvl="0">
      <w:lvlJc w:val="left"/>
      <w:lvlText w:val="(%1)"/>
      <w:numFmt w:val="lowerLetter"/>
      <w:start w:val="1"/>
    </w:lvl>
  </w:abstractNum>
  <w:abstractNum w:abstractNumId="6">
    <w:nsid w:val="5C10FE21"/>
    <w:multiLevelType w:val="hybridMultilevel"/>
    <w:lvl w:ilvl="0">
      <w:lvlJc w:val="left"/>
      <w:lvlText w:val="(%1)"/>
      <w:numFmt w:val="lowerLetter"/>
      <w:start w:val="2"/>
    </w:lvl>
  </w:abstractNum>
  <w:abstractNum w:abstractNumId="7">
    <w:nsid w:val="E7FFA2B"/>
    <w:multiLevelType w:val="hybridMultilevel"/>
    <w:lvl w:ilvl="0">
      <w:lvlJc w:val="left"/>
      <w:lvlText w:val="(%1)"/>
      <w:numFmt w:val="lowerRoman"/>
      <w:start w:val="1"/>
    </w:lvl>
  </w:abstractNum>
  <w:abstractNum w:abstractNumId="8">
    <w:nsid w:val="3C5991AA"/>
    <w:multiLevelType w:val="hybridMultilevel"/>
    <w:lvl w:ilvl="0">
      <w:lvlJc w:val="left"/>
      <w:lvlText w:val="(%1)"/>
      <w:numFmt w:val="lowerLetter"/>
      <w:start w:val="3"/>
    </w:lvl>
  </w:abstractNum>
  <w:abstractNum w:abstractNumId="9">
    <w:nsid w:val="4BD8591A"/>
    <w:multiLevelType w:val="hybridMultilevel"/>
    <w:lvl w:ilvl="0">
      <w:lvlJc w:val="left"/>
      <w:lvlText w:val="(%1)"/>
      <w:numFmt w:val="lowerLetter"/>
      <w:start w:val="8"/>
    </w:lvl>
  </w:abstractNum>
  <w:abstractNum w:abstractNumId="10">
    <w:nsid w:val="78DF6A55"/>
    <w:multiLevelType w:val="hybridMultilevel"/>
    <w:lvl w:ilvl="0">
      <w:lvlJc w:val="left"/>
      <w:lvlText w:val="(%1)"/>
      <w:numFmt w:val="lowerLetter"/>
      <w:start w:val="10"/>
    </w:lvl>
  </w:abstractNum>
  <w:abstractNum w:abstractNumId="11">
    <w:nsid w:val="39B7AAA2"/>
    <w:multiLevelType w:val="hybridMultilevel"/>
    <w:lvl w:ilvl="0">
      <w:lvlJc w:val="left"/>
      <w:lvlText w:val="(%1)"/>
      <w:numFmt w:val="lowerRoman"/>
      <w:start w:val="2"/>
    </w:lvl>
  </w:abstractNum>
  <w:abstractNum w:abstractNumId="12">
    <w:nsid w:val="2B0D8DBE"/>
    <w:multiLevelType w:val="hybridMultilevel"/>
    <w:lvl w:ilvl="0">
      <w:lvlJc w:val="left"/>
      <w:lvlText w:val="(%1)"/>
      <w:numFmt w:val="lowerRoman"/>
      <w:start w:val="1"/>
    </w:lvl>
  </w:abstractNum>
  <w:abstractNum w:abstractNumId="13">
    <w:nsid w:val="6C80EC70"/>
    <w:multiLevelType w:val="hybridMultilevel"/>
    <w:lvl w:ilvl="0">
      <w:lvlJc w:val="left"/>
      <w:lvlText w:val="(%1)"/>
      <w:numFmt w:val="upperLetter"/>
      <w:start w:val="2"/>
    </w:lvl>
  </w:abstractNum>
  <w:abstractNum w:abstractNumId="14">
    <w:nsid w:val="379E21B5"/>
    <w:multiLevelType w:val="hybridMultilevel"/>
    <w:lvl w:ilvl="0">
      <w:lvlJc w:val="left"/>
      <w:lvlText w:val="(%1)"/>
      <w:numFmt w:val="lowerLetter"/>
      <w:start w:val="1"/>
    </w:lvl>
  </w:abstractNum>
  <w:abstractNum w:abstractNumId="15">
    <w:nsid w:val="69E373"/>
    <w:multiLevelType w:val="hybridMultilevel"/>
    <w:lvl w:ilvl="0">
      <w:lvlJc w:val="left"/>
      <w:lvlText w:val="(%1)"/>
      <w:numFmt w:val="lowerLetter"/>
      <w:start w:val="7"/>
    </w:lvl>
  </w:abstractNum>
  <w:abstractNum w:abstractNumId="16">
    <w:nsid w:val="2C27173B"/>
    <w:multiLevelType w:val="hybridMultilevel"/>
    <w:lvl w:ilvl="0">
      <w:lvlJc w:val="left"/>
      <w:lvlText w:val="(%1)"/>
      <w:numFmt w:val="decimal"/>
      <w:start w:val="3"/>
    </w:lvl>
  </w:abstractNum>
  <w:abstractNum w:abstractNumId="17">
    <w:nsid w:val="4C9B0904"/>
    <w:multiLevelType w:val="hybridMultilevel"/>
    <w:lvl w:ilvl="0">
      <w:lvlJc w:val="left"/>
      <w:lvlText w:val="(%1)"/>
      <w:numFmt w:val="lowerLetter"/>
      <w:start w:val="1"/>
    </w:lvl>
  </w:abstractNum>
  <w:abstractNum w:abstractNumId="18">
    <w:nsid w:val="6AA7B75C"/>
    <w:multiLevelType w:val="hybridMultilevel"/>
    <w:lvl w:ilvl="0">
      <w:lvlJc w:val="left"/>
      <w:lvlText w:val="(%1)"/>
      <w:numFmt w:val="lowerLetter"/>
      <w:start w:val="1"/>
    </w:lvl>
  </w:abstractNum>
  <w:abstractNum w:abstractNumId="19">
    <w:nsid w:val="1DF029D3"/>
    <w:multiLevelType w:val="hybridMultilevel"/>
    <w:lvl w:ilvl="0">
      <w:lvlJc w:val="left"/>
      <w:lvlText w:val="(%1)"/>
      <w:numFmt w:val="lowerLetter"/>
      <w:start w:val="3"/>
    </w:lvl>
  </w:abstractNum>
  <w:abstractNum w:abstractNumId="20">
    <w:nsid w:val="5675FF36"/>
    <w:multiLevelType w:val="hybridMultilevel"/>
    <w:lvl w:ilvl="0">
      <w:lvlJc w:val="left"/>
      <w:lvlText w:val="(%1)"/>
      <w:numFmt w:val="lowerLetter"/>
      <w:start w:val="1"/>
    </w:lvl>
  </w:abstractNum>
  <w:abstractNum w:abstractNumId="21">
    <w:nsid w:val="3DD15094"/>
    <w:multiLevelType w:val="hybridMultilevel"/>
    <w:lvl w:ilvl="0">
      <w:lvlJc w:val="left"/>
      <w:lvlText w:val="(%1)"/>
      <w:numFmt w:val="lowerLetter"/>
      <w:start w:val="2"/>
    </w:lvl>
  </w:abstractNum>
  <w:abstractNum w:abstractNumId="22">
    <w:nsid w:val="3DB012B3"/>
    <w:multiLevelType w:val="hybridMultilevel"/>
    <w:lvl w:ilvl="0">
      <w:lvlJc w:val="left"/>
      <w:lvlText w:val="(%1)"/>
      <w:numFmt w:val="lowerLetter"/>
      <w:start w:val="1"/>
    </w:lvl>
  </w:abstractNum>
  <w:abstractNum w:abstractNumId="23">
    <w:nsid w:val="2708C9AF"/>
    <w:multiLevelType w:val="hybridMultilevel"/>
    <w:lvl w:ilvl="0">
      <w:lvlJc w:val="left"/>
      <w:lvlText w:val="(%1)"/>
      <w:numFmt w:val="lowerLetter"/>
      <w:start w:val="1"/>
    </w:lvl>
  </w:abstractNum>
  <w:abstractNum w:abstractNumId="24">
    <w:nsid w:val="5B25ACE2"/>
    <w:multiLevelType w:val="hybridMultilevel"/>
    <w:lvl w:ilvl="0">
      <w:lvlJc w:val="left"/>
      <w:lvlText w:val="(%1)"/>
      <w:numFmt w:val="lowerLetter"/>
      <w:start w:val="61"/>
    </w:lvl>
    <w:lvl w:ilvl="1">
      <w:lvlJc w:val="left"/>
      <w:lvlText w:val="(%2)"/>
      <w:numFmt w:val="lowerLetter"/>
      <w:start w:val="2"/>
    </w:lvl>
  </w:abstractNum>
  <w:abstractNum w:abstractNumId="25">
    <w:nsid w:val="175DFCF0"/>
    <w:multiLevelType w:val="hybridMultilevel"/>
    <w:lvl w:ilvl="0">
      <w:lvlJc w:val="left"/>
      <w:lvlText w:val="(%1)"/>
      <w:numFmt w:val="lowerLetter"/>
      <w:start w:val="1"/>
    </w:lvl>
  </w:abstractNum>
  <w:abstractNum w:abstractNumId="26">
    <w:nsid w:val="4F97E3E4"/>
    <w:multiLevelType w:val="hybridMultilevel"/>
    <w:lvl w:ilvl="0">
      <w:lvlJc w:val="left"/>
      <w:lvlText w:val="(%1)"/>
      <w:numFmt w:val="lowerLetter"/>
      <w:start w:val="2"/>
    </w:lvl>
  </w:abstractNum>
  <w:abstractNum w:abstractNumId="27">
    <w:nsid w:val="53B0A9E"/>
    <w:multiLevelType w:val="hybridMultilevel"/>
    <w:lvl w:ilvl="0">
      <w:lvlJc w:val="left"/>
      <w:lvlText w:val="(%1)"/>
      <w:numFmt w:val="lowerLetter"/>
      <w:start w:val="1"/>
    </w:lvl>
  </w:abstractNum>
  <w:abstractNum w:abstractNumId="28">
    <w:nsid w:val="34FD6B4F"/>
    <w:multiLevelType w:val="hybridMultilevel"/>
    <w:lvl w:ilvl="0">
      <w:lvlJc w:val="left"/>
      <w:lvlText w:val="%1"/>
      <w:numFmt w:val="lowerLetter"/>
      <w:start w:val="1"/>
    </w:lvl>
    <w:lvl w:ilvl="1">
      <w:lvlJc w:val="left"/>
      <w:lvlText w:val="(%2)"/>
      <w:numFmt w:val="lowerLetter"/>
      <w:start w:val="2"/>
    </w:lvl>
  </w:abstractNum>
  <w:abstractNum w:abstractNumId="29">
    <w:nsid w:val="5915FF32"/>
    <w:multiLevelType w:val="hybridMultilevel"/>
    <w:lvl w:ilvl="0">
      <w:lvlJc w:val="left"/>
      <w:lvlText w:val="(%1)"/>
      <w:numFmt w:val="lowerLetter"/>
      <w:start w:val="35"/>
    </w:lvl>
    <w:lvl w:ilvl="1">
      <w:lvlJc w:val="left"/>
      <w:lvlText w:val="(%2)"/>
      <w:numFmt w:val="lowerLetter"/>
      <w:start w:val="3"/>
    </w:lvl>
  </w:abstractNum>
  <w:abstractNum w:abstractNumId="30">
    <w:nsid w:val="56438D15"/>
    <w:multiLevelType w:val="hybridMultilevel"/>
    <w:lvl w:ilvl="0">
      <w:lvlJc w:val="left"/>
      <w:lvlText w:val="(%1)"/>
      <w:numFmt w:val="lowerLetter"/>
      <w:start w:val="8"/>
    </w:lvl>
  </w:abstractNum>
  <w:abstractNum w:abstractNumId="31">
    <w:nsid w:val="519E3149"/>
    <w:multiLevelType w:val="hybridMultilevel"/>
    <w:lvl w:ilvl="0">
      <w:lvlJc w:val="left"/>
      <w:lvlText w:val="(%1)"/>
      <w:numFmt w:val="lowerLetter"/>
      <w:start w:val="1"/>
    </w:lvl>
    <w:lvl w:ilvl="1">
      <w:lvlJc w:val="left"/>
      <w:lvlText w:val="(%2)"/>
      <w:numFmt w:val="lowerRoman"/>
      <w:start w:val="1"/>
    </w:lvl>
  </w:abstractNum>
  <w:abstractNum w:abstractNumId="32">
    <w:nsid w:val="2C6E4AF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3">
    <w:nsid w:val="17A1B582"/>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34">
    <w:nsid w:val="4DF72E4E"/>
    <w:multiLevelType w:val="hybridMultilevel"/>
    <w:lvl w:ilvl="0">
      <w:lvlJc w:val="left"/>
      <w:lvlText w:val="%1"/>
      <w:numFmt w:val="lowerRoman"/>
      <w:start w:val="1"/>
    </w:lvl>
    <w:lvl w:ilvl="1">
      <w:lvlJc w:val="left"/>
      <w:lvlText w:val="(%2)"/>
      <w:numFmt w:val="upperLetter"/>
      <w:start w:val="4"/>
    </w:lvl>
  </w:abstractNum>
  <w:abstractNum w:abstractNumId="35">
    <w:nsid w:val="5046B5A9"/>
    <w:multiLevelType w:val="hybridMultilevel"/>
    <w:lvl w:ilvl="0">
      <w:lvlJc w:val="left"/>
      <w:lvlText w:val="(%1)"/>
      <w:numFmt w:val="lowerRoman"/>
      <w:start w:val="2"/>
    </w:lvl>
    <w:lvl w:ilvl="1">
      <w:lvlJc w:val="left"/>
      <w:lvlText w:val="%2"/>
      <w:numFmt w:val="upperLetter"/>
      <w:start w:val="1"/>
    </w:lvl>
  </w:abstractNum>
  <w:abstractNum w:abstractNumId="36">
    <w:nsid w:val="5D888A08"/>
    <w:multiLevelType w:val="hybridMultilevel"/>
    <w:lvl w:ilvl="0">
      <w:lvlJc w:val="left"/>
      <w:lvlText w:val="%1"/>
      <w:numFmt w:val="decimal"/>
      <w:start w:val="1"/>
    </w:lvl>
    <w:lvl w:ilvl="1">
      <w:lvlJc w:val="left"/>
      <w:lvlText w:val="(%2)"/>
      <w:numFmt w:val="lowerLetter"/>
      <w:start w:val="4"/>
    </w:lvl>
  </w:abstractNum>
  <w:abstractNum w:abstractNumId="37">
    <w:nsid w:val="2A082C70"/>
    <w:multiLevelType w:val="hybridMultilevel"/>
    <w:lvl w:ilvl="0">
      <w:lvlJc w:val="left"/>
      <w:lvlText w:val="(%1)"/>
      <w:numFmt w:val="decimal"/>
      <w:start w:val="12"/>
    </w:lvl>
    <w:lvl w:ilvl="1">
      <w:lvlJc w:val="left"/>
      <w:lvlText w:val="%2"/>
      <w:numFmt w:val="lowerLetter"/>
      <w:start w:val="1"/>
    </w:lvl>
  </w:abstractNum>
  <w:abstractNum w:abstractNumId="38">
    <w:nsid w:val="5EC6AFD4"/>
    <w:multiLevelType w:val="hybridMultilevel"/>
    <w:lvl w:ilvl="0">
      <w:lvlJc w:val="left"/>
      <w:lvlText w:val="(%1)"/>
      <w:numFmt w:val="lowerLetter"/>
      <w:start w:val="5"/>
    </w:lvl>
    <w:lvl w:ilvl="1">
      <w:lvlJc w:val="left"/>
      <w:lvlText w:val="(%2)"/>
      <w:numFmt w:val="lowerRoman"/>
      <w:start w:val="1"/>
    </w:lvl>
  </w:abstractNum>
  <w:abstractNum w:abstractNumId="39">
    <w:nsid w:val="19E21BB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40">
    <w:nsid w:val="75E0858A"/>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41">
    <w:nsid w:val="57A61A29"/>
    <w:multiLevelType w:val="hybridMultilevel"/>
    <w:lvl w:ilvl="0">
      <w:lvlJc w:val="left"/>
      <w:lvlText w:val="%1"/>
      <w:numFmt w:val="lowerLetter"/>
      <w:start w:val="1"/>
    </w:lvl>
    <w:lvl w:ilvl="1">
      <w:lvlJc w:val="left"/>
      <w:lvlText w:val="(%2)"/>
      <w:numFmt w:val="lowerRoman"/>
      <w:start w:val="3"/>
    </w:lvl>
  </w:abstractNum>
  <w:abstractNum w:abstractNumId="42">
    <w:nsid w:val="5399C654"/>
    <w:multiLevelType w:val="hybridMultilevel"/>
    <w:lvl w:ilvl="0">
      <w:lvlJc w:val="left"/>
      <w:lvlText w:val="(%1)"/>
      <w:numFmt w:val="lowerLetter"/>
      <w:start w:val="8"/>
    </w:lvl>
    <w:lvl w:ilvl="1">
      <w:lvlJc w:val="left"/>
      <w:lvlText w:val="%2"/>
      <w:numFmt w:val="lowerRoman"/>
      <w:start w:val="1"/>
    </w:lvl>
  </w:abstractNum>
  <w:abstractNum w:abstractNumId="43">
    <w:nsid w:val="20EE1348"/>
    <w:multiLevelType w:val="hybridMultilevel"/>
    <w:lvl w:ilvl="0">
      <w:lvlJc w:val="left"/>
      <w:lvlText w:val="(%1)"/>
      <w:numFmt w:val="lowerRoman"/>
      <w:start w:val="1"/>
    </w:lvl>
  </w:abstractNum>
  <w:abstractNum w:abstractNumId="44">
    <w:nsid w:val="4427069A"/>
    <w:multiLevelType w:val="hybridMultilevel"/>
    <w:lvl w:ilvl="0">
      <w:lvlJc w:val="left"/>
      <w:lvlText w:val="(%1)"/>
      <w:numFmt w:val="decimal"/>
      <w:start w:val="2"/>
    </w:lvl>
    <w:lvl w:ilvl="1">
      <w:lvlJc w:val="left"/>
      <w:lvlText w:val="(%2)"/>
      <w:numFmt w:val="lowerLetter"/>
      <w:start w:val="10"/>
    </w:lvl>
  </w:abstractNum>
  <w:abstractNum w:abstractNumId="45">
    <w:nsid w:val="B37E80A"/>
    <w:multiLevelType w:val="hybridMultilevel"/>
    <w:lvl w:ilvl="0">
      <w:lvlJc w:val="left"/>
      <w:lvlText w:val="(%1)"/>
      <w:numFmt w:val="lowerLetter"/>
      <w:start w:val="13"/>
    </w:lvl>
  </w:abstractNum>
  <w:abstractNum w:abstractNumId="46">
    <w:nsid w:val="2157F6BC"/>
    <w:multiLevelType w:val="hybridMultilevel"/>
    <w:lvl w:ilvl="0">
      <w:lvlJc w:val="left"/>
      <w:lvlText w:val="%1"/>
      <w:numFmt w:val="lowerLetter"/>
      <w:start w:val="1"/>
    </w:lvl>
    <w:lvl w:ilvl="1">
      <w:lvlJc w:val="left"/>
      <w:lvlText w:val="(%2)"/>
      <w:numFmt w:val="lowerRoman"/>
      <w:start w:val="1"/>
    </w:lvl>
  </w:abstractNum>
  <w:abstractNum w:abstractNumId="47">
    <w:nsid w:val="704E1DD5"/>
    <w:multiLevelType w:val="hybridMultilevel"/>
    <w:lvl w:ilvl="0">
      <w:lvlJc w:val="left"/>
      <w:lvlText w:val="(%1)"/>
      <w:numFmt w:val="lowerLetter"/>
      <w:start w:val="18"/>
    </w:lvl>
    <w:lvl w:ilvl="1">
      <w:lvlJc w:val="left"/>
      <w:lvlText w:val="%2"/>
      <w:numFmt w:val="lowerRoman"/>
      <w:start w:val="1"/>
    </w:lvl>
  </w:abstractNum>
  <w:abstractNum w:abstractNumId="48">
    <w:nsid w:val="57D2F10E"/>
    <w:multiLevelType w:val="hybridMultilevel"/>
    <w:lvl w:ilvl="0">
      <w:lvlJc w:val="left"/>
      <w:lvlText w:val="(%1)"/>
      <w:numFmt w:val="lowerLetter"/>
      <w:start w:val="1"/>
    </w:lvl>
  </w:abstractNum>
  <w:abstractNum w:abstractNumId="49">
    <w:nsid w:val="BFFAE18"/>
    <w:multiLevelType w:val="hybridMultilevel"/>
    <w:lvl w:ilvl="0">
      <w:lvlJc w:val="left"/>
      <w:lvlText w:val="(%1)"/>
      <w:numFmt w:val="lowerLetter"/>
      <w:start w:val="2"/>
    </w:lvl>
  </w:abstractNum>
  <w:abstractNum w:abstractNumId="50">
    <w:nsid w:val="E3E47A8"/>
    <w:multiLevelType w:val="hybridMultilevel"/>
    <w:lvl w:ilvl="0">
      <w:lvlJc w:val="left"/>
      <w:lvlText w:val="(%1)"/>
      <w:numFmt w:val="lowerLetter"/>
      <w:start w:val="3"/>
    </w:lvl>
    <w:lvl w:ilvl="1">
      <w:lvlJc w:val="left"/>
      <w:lvlText w:val="(%2)"/>
      <w:numFmt w:val="lowerLetter"/>
      <w:start w:val="9"/>
    </w:lvl>
  </w:abstractNum>
  <w:abstractNum w:abstractNumId="51">
    <w:nsid w:val="2E48F044"/>
    <w:multiLevelType w:val="hybridMultilevel"/>
    <w:lvl w:ilvl="0">
      <w:lvlJc w:val="left"/>
      <w:lvlText w:val="%1"/>
      <w:numFmt w:val="lowerLetter"/>
      <w:start w:val="1"/>
    </w:lvl>
    <w:lvl w:ilvl="1">
      <w:lvlJc w:val="left"/>
      <w:lvlText w:val="(%2)"/>
      <w:numFmt w:val="lowerRoman"/>
      <w:start w:val="2"/>
    </w:lvl>
  </w:abstractNum>
  <w:abstractNum w:abstractNumId="52">
    <w:nsid w:val="49D0FEAC"/>
    <w:multiLevelType w:val="hybridMultilevel"/>
    <w:lvl w:ilvl="0">
      <w:lvlJc w:val="left"/>
      <w:lvlText w:val="(%1)"/>
      <w:numFmt w:val="lowerLetter"/>
      <w:start w:val="4"/>
    </w:lvl>
    <w:lvl w:ilvl="1">
      <w:lvlJc w:val="left"/>
      <w:lvlText w:val="(%2)"/>
      <w:numFmt w:val="lowerRoman"/>
      <w:start w:val="1"/>
    </w:lvl>
  </w:abstractNum>
  <w:abstractNum w:abstractNumId="53">
    <w:nsid w:val="4BEE5A5B"/>
    <w:multiLevelType w:val="hybridMultilevel"/>
    <w:lvl w:ilvl="0">
      <w:lvlJc w:val="left"/>
      <w:lvlText w:val="%1"/>
      <w:numFmt w:val="lowerLetter"/>
      <w:start w:val="1"/>
    </w:lvl>
    <w:lvl w:ilvl="1">
      <w:lvlJc w:val="left"/>
      <w:lvlText w:val="(%2)"/>
      <w:numFmt w:val="lowerLetter"/>
      <w:start w:val="35"/>
    </w:lvl>
  </w:abstractNum>
  <w:abstractNum w:abstractNumId="54">
    <w:nsid w:val="5551B9F3"/>
    <w:multiLevelType w:val="hybridMultilevel"/>
    <w:lvl w:ilvl="0">
      <w:lvlJc w:val="left"/>
      <w:lvlText w:val="(%1)"/>
      <w:numFmt w:val="lowerLetter"/>
      <w:start w:val="5"/>
    </w:lvl>
    <w:lvl w:ilvl="1">
      <w:lvlJc w:val="left"/>
      <w:lvlText w:val="%2"/>
      <w:numFmt w:val="lowerLetter"/>
      <w:start w:val="1"/>
    </w:lvl>
  </w:abstractNum>
  <w:abstractNum w:abstractNumId="55">
    <w:nsid w:val="24F6AB8E"/>
    <w:multiLevelType w:val="hybridMultilevel"/>
    <w:lvl w:ilvl="0">
      <w:lvlJc w:val="left"/>
      <w:lvlText w:val="(%1)"/>
      <w:numFmt w:val="lowerLetter"/>
      <w:start w:val="1"/>
    </w:lvl>
    <w:lvl w:ilvl="1">
      <w:lvlJc w:val="left"/>
      <w:lvlText w:val="(%2)"/>
      <w:numFmt w:val="lowerRoman"/>
      <w:start w:val="1"/>
    </w:lvl>
  </w:abstractNum>
  <w:abstractNum w:abstractNumId="56">
    <w:nsid w:val="634C574C"/>
    <w:multiLevelType w:val="hybridMultilevel"/>
    <w:lvl w:ilvl="0">
      <w:lvlJc w:val="left"/>
      <w:lvlText w:val="(%1)"/>
      <w:numFmt w:val="lowerLetter"/>
      <w:start w:val="2"/>
    </w:lvl>
    <w:lvl w:ilvl="1">
      <w:lvlJc w:val="left"/>
      <w:lvlText w:val="(%2)"/>
      <w:numFmt w:val="lowerRoman"/>
      <w:start w:val="1"/>
    </w:lvl>
  </w:abstractNum>
  <w:abstractNum w:abstractNumId="57">
    <w:nsid w:val="24E99DD7"/>
    <w:multiLevelType w:val="hybridMultilevel"/>
    <w:lvl w:ilvl="0">
      <w:lvlJc w:val="left"/>
      <w:lvlText w:val="(%1)"/>
      <w:numFmt w:val="lowerLetter"/>
      <w:start w:val="3"/>
    </w:lvl>
  </w:abstractNum>
  <w:abstractNum w:abstractNumId="58">
    <w:nsid w:val="2A31B62D"/>
    <w:multiLevelType w:val="hybridMultilevel"/>
    <w:lvl w:ilvl="0">
      <w:lvlJc w:val="left"/>
      <w:lvlText w:val="(%1)"/>
      <w:numFmt w:val="lowerLetter"/>
      <w:start w:val="1"/>
    </w:lvl>
    <w:lvl w:ilvl="1">
      <w:lvlJc w:val="left"/>
      <w:lvlText w:val="(%2)"/>
      <w:numFmt w:val="lowerRoman"/>
      <w:start w:val="1"/>
    </w:lvl>
  </w:abstractNum>
  <w:abstractNum w:abstractNumId="59">
    <w:nsid w:val="1849C29B"/>
    <w:multiLevelType w:val="hybridMultilevel"/>
    <w:lvl w:ilvl="0">
      <w:lvlJc w:val="left"/>
      <w:lvlText w:val="(%1)"/>
      <w:numFmt w:val="lowerLetter"/>
      <w:start w:val="1"/>
    </w:lvl>
  </w:abstractNum>
  <w:abstractNum w:abstractNumId="60">
    <w:nsid w:val="7DFF9D09"/>
    <w:multiLevelType w:val="hybridMultilevel"/>
    <w:lvl w:ilvl="0">
      <w:lvlJc w:val="left"/>
      <w:lvlText w:val="(%1)"/>
      <w:numFmt w:val="lowerLetter"/>
      <w:start w:val="2"/>
    </w:lvl>
    <w:lvl w:ilvl="1">
      <w:lvlJc w:val="left"/>
      <w:lvlText w:val="(%2)"/>
      <w:numFmt w:val="lowerRoman"/>
      <w:start w:val="1"/>
    </w:lvl>
  </w:abstractNum>
  <w:abstractNum w:abstractNumId="61">
    <w:nsid w:val="754342"/>
    <w:multiLevelType w:val="hybridMultilevel"/>
    <w:lvl w:ilvl="0">
      <w:lvlJc w:val="left"/>
      <w:lvlText w:val="(%1)"/>
      <w:numFmt w:val="lowerLetter"/>
      <w:start w:val="1"/>
    </w:lvl>
  </w:abstractNum>
  <w:abstractNum w:abstractNumId="62">
    <w:nsid w:val="69E7F3E5"/>
    <w:multiLevelType w:val="hybridMultilevel"/>
    <w:lvl w:ilvl="0">
      <w:lvlJc w:val="left"/>
      <w:lvlText w:val="(%1)"/>
      <w:numFmt w:val="lowerLetter"/>
      <w:start w:val="1"/>
    </w:lvl>
  </w:abstractNum>
  <w:abstractNum w:abstractNumId="63">
    <w:nsid w:val="2A6DE806"/>
    <w:multiLevelType w:val="hybridMultilevel"/>
    <w:lvl w:ilvl="0">
      <w:lvlJc w:val="left"/>
      <w:lvlText w:val="(%1)"/>
      <w:numFmt w:val="lowerLetter"/>
      <w:start w:val="2"/>
    </w:lvl>
  </w:abstractNum>
  <w:abstractNum w:abstractNumId="64">
    <w:nsid w:val="1816F8C4"/>
    <w:multiLevelType w:val="hybridMultilevel"/>
    <w:lvl w:ilvl="0">
      <w:lvlJc w:val="left"/>
      <w:lvlText w:val="(%1)"/>
      <w:numFmt w:val="lowerLetter"/>
      <w:start w:val="1"/>
    </w:lvl>
  </w:abstractNum>
  <w:abstractNum w:abstractNumId="65">
    <w:nsid w:val="37DF2233"/>
    <w:multiLevelType w:val="hybridMultilevel"/>
    <w:lvl w:ilvl="0">
      <w:lvlJc w:val="left"/>
      <w:lvlText w:val="(%1)"/>
      <w:numFmt w:val="upperLetter"/>
      <w:start w:val="2"/>
    </w:lvl>
  </w:abstractNum>
  <w:abstractNum w:abstractNumId="66">
    <w:nsid w:val="7AB49DAF"/>
    <w:multiLevelType w:val="hybridMultilevel"/>
    <w:lvl w:ilvl="0">
      <w:lvlJc w:val="left"/>
      <w:lvlText w:val="(%1)"/>
      <w:numFmt w:val="lowerRoman"/>
      <w:start w:val="2"/>
    </w:lvl>
  </w:abstractNum>
  <w:abstractNum w:abstractNumId="67">
    <w:nsid w:val="759F82CD"/>
    <w:multiLevelType w:val="hybridMultilevel"/>
    <w:lvl w:ilvl="0">
      <w:lvlJc w:val="left"/>
      <w:lvlText w:val="(%1)"/>
      <w:numFmt w:val="lowerLetter"/>
      <w:start w:val="3"/>
    </w:lvl>
  </w:abstractNum>
  <w:abstractNum w:abstractNumId="68">
    <w:nsid w:val="61E74EA3"/>
    <w:multiLevelType w:val="hybridMultilevel"/>
    <w:lvl w:ilvl="0">
      <w:lvlJc w:val="left"/>
      <w:lvlText w:val="(%1)"/>
      <w:numFmt w:val="lowerLetter"/>
      <w:start w:val="2"/>
    </w:lvl>
  </w:abstractNum>
  <w:abstractNum w:abstractNumId="69">
    <w:nsid w:val="597B4D84"/>
    <w:multiLevelType w:val="hybridMultilevel"/>
    <w:lvl w:ilvl="0">
      <w:lvlJc w:val="left"/>
      <w:lvlText w:val="(%1)"/>
      <w:numFmt w:val="lowerRoman"/>
      <w:start w:val="1"/>
    </w:lvl>
  </w:abstractNum>
  <w:abstractNum w:abstractNumId="70">
    <w:nsid w:val="F819E7F"/>
    <w:multiLevelType w:val="hybridMultilevel"/>
    <w:lvl w:ilvl="0">
      <w:lvlJc w:val="left"/>
      <w:lvlText w:val="(%1)"/>
      <w:numFmt w:val="lowerLetter"/>
      <w:start w:val="1"/>
    </w:lvl>
  </w:abstractNum>
  <w:abstractNum w:abstractNumId="71">
    <w:nsid w:val="57C7D42D"/>
    <w:multiLevelType w:val="hybridMultilevel"/>
    <w:lvl w:ilvl="0">
      <w:lvlJc w:val="left"/>
      <w:lvlText w:val="(%1)"/>
      <w:numFmt w:val="lowerLetter"/>
      <w:start w:val="3"/>
    </w:lvl>
  </w:abstractNum>
  <w:abstractNum w:abstractNumId="72">
    <w:nsid w:val="312167AD"/>
    <w:multiLevelType w:val="hybridMultilevel"/>
    <w:lvl w:ilvl="0">
      <w:lvlJc w:val="left"/>
      <w:lvlText w:val="(%1)"/>
      <w:numFmt w:val="lowerLetter"/>
      <w:start w:val="1"/>
    </w:lvl>
    <w:lvl w:ilvl="1">
      <w:lvlJc w:val="left"/>
      <w:lvlText w:val="(%2)"/>
      <w:numFmt w:val="lowerRoman"/>
      <w:start w:val="1"/>
    </w:lvl>
  </w:abstractNum>
  <w:abstractNum w:abstractNumId="73">
    <w:nsid w:val="631B64D4"/>
    <w:multiLevelType w:val="hybridMultilevel"/>
    <w:lvl w:ilvl="0">
      <w:lvlJc w:val="left"/>
      <w:lvlText w:val="(%1)"/>
      <w:numFmt w:val="lowerRoman"/>
      <w:start w:val="3"/>
    </w:lvl>
    <w:lvl w:ilvl="1">
      <w:lvlJc w:val="left"/>
      <w:lvlText w:val="(%2)"/>
      <w:numFmt w:val="upperLetter"/>
      <w:start w:val="1"/>
    </w:lvl>
  </w:abstractNum>
  <w:abstractNum w:abstractNumId="74">
    <w:nsid w:val="78B5E776"/>
    <w:multiLevelType w:val="hybridMultilevel"/>
    <w:lvl w:ilvl="0">
      <w:lvlJc w:val="left"/>
      <w:lvlText w:val="%1"/>
      <w:numFmt w:val="lowerLetter"/>
      <w:start w:val="1"/>
    </w:lvl>
    <w:lvl w:ilvl="1">
      <w:lvlJc w:val="left"/>
      <w:lvlText w:val="(%2)"/>
      <w:numFmt w:val="upperLetter"/>
      <w:start w:val="2"/>
    </w:lvl>
  </w:abstractNum>
  <w:abstractNum w:abstractNumId="75">
    <w:nsid w:val="75486E47"/>
    <w:multiLevelType w:val="hybridMultilevel"/>
    <w:lvl w:ilvl="0">
      <w:lvlJc w:val="left"/>
      <w:lvlText w:val="(%1)"/>
      <w:numFmt w:val="lowerLetter"/>
      <w:start w:val="2"/>
    </w:lvl>
    <w:lvl w:ilvl="1">
      <w:lvlJc w:val="left"/>
      <w:lvlText w:val="%2"/>
      <w:numFmt w:val="upperLetter"/>
      <w:start w:val="1"/>
    </w:lvl>
  </w:abstractNum>
  <w:abstractNum w:abstractNumId="76">
    <w:nsid w:val="6E534CDE"/>
    <w:multiLevelType w:val="hybridMultilevel"/>
    <w:lvl w:ilvl="0">
      <w:lvlJc w:val="left"/>
      <w:lvlText w:val="(%1)"/>
      <w:numFmt w:val="lowerLetter"/>
      <w:start w:val="1"/>
    </w:lvl>
  </w:abstractNum>
  <w:abstractNum w:abstractNumId="77">
    <w:nsid w:val="1A0DDE32"/>
    <w:multiLevelType w:val="hybridMultilevel"/>
    <w:lvl w:ilvl="0">
      <w:lvlJc w:val="left"/>
      <w:lvlText w:val="(%1)"/>
      <w:numFmt w:val="lowerLetter"/>
      <w:start w:val="5"/>
    </w:lvl>
  </w:abstractNum>
  <w:abstractNum w:abstractNumId="78">
    <w:nsid w:val="65968C1C"/>
    <w:multiLevelType w:val="hybridMultilevel"/>
    <w:lvl w:ilvl="0">
      <w:lvlJc w:val="left"/>
      <w:lvlText w:val="(%1)"/>
      <w:numFmt w:val="lowerLetter"/>
      <w:start w:val="1"/>
    </w:lvl>
    <w:lvl w:ilvl="1">
      <w:lvlJc w:val="left"/>
      <w:lvlText w:val="(%2)"/>
      <w:numFmt w:val="lowerRoman"/>
      <w:start w:val="1"/>
    </w:lvl>
  </w:abstractNum>
  <w:abstractNum w:abstractNumId="79">
    <w:nsid w:val="46263DE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80">
    <w:nsid w:val="260D8C4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81">
    <w:nsid w:val="73D4D3C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82">
    <w:nsid w:val="746F2E3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83">
    <w:nsid w:val="6FDE8AF6"/>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84">
    <w:nsid w:val="3FC32E20"/>
    <w:multiLevelType w:val="hybridMultilevel"/>
    <w:lvl w:ilvl="0">
      <w:lvlJc w:val="left"/>
      <w:lvlText w:val="(%1)"/>
      <w:numFmt w:val="lowerLetter"/>
      <w:start w:val="8"/>
    </w:lvl>
  </w:abstractNum>
  <w:abstractNum w:abstractNumId="85">
    <w:nsid w:val="49C0E823"/>
    <w:multiLevelType w:val="hybridMultilevel"/>
    <w:lvl w:ilvl="0">
      <w:lvlJc w:val="left"/>
      <w:lvlText w:val="(%1)"/>
      <w:numFmt w:val="lowerLetter"/>
      <w:start w:val="1"/>
    </w:lvl>
  </w:abstractNum>
  <w:abstractNum w:abstractNumId="86">
    <w:nsid w:val="14D53685"/>
    <w:multiLevelType w:val="hybridMultilevel"/>
    <w:lvl w:ilvl="0">
      <w:lvlJc w:val="left"/>
      <w:lvlText w:val="(%1)"/>
      <w:numFmt w:val="lowerLetter"/>
      <w:start w:val="2"/>
    </w:lvl>
    <w:lvl w:ilvl="1">
      <w:lvlJc w:val="left"/>
      <w:lvlText w:val="(%2)"/>
      <w:numFmt w:val="lowerRoman"/>
      <w:start w:val="1"/>
    </w:lvl>
  </w:abstractNum>
  <w:abstractNum w:abstractNumId="87">
    <w:nsid w:val="230F856C"/>
    <w:multiLevelType w:val="hybridMultilevel"/>
    <w:lvl w:ilvl="0">
      <w:lvlJc w:val="left"/>
      <w:lvlText w:val="(%1)"/>
      <w:numFmt w:val="lowerLetter"/>
      <w:start w:val="1"/>
    </w:lvl>
    <w:lvl w:ilvl="1">
      <w:lvlJc w:val="left"/>
      <w:lvlText w:val="(%2)"/>
      <w:numFmt w:val="lowerRoman"/>
      <w:start w:val="1"/>
    </w:lvl>
  </w:abstractNum>
  <w:abstractNum w:abstractNumId="88">
    <w:nsid w:val="6EAA85FB"/>
    <w:multiLevelType w:val="hybridMultilevel"/>
    <w:lvl w:ilvl="0">
      <w:lvlJc w:val="left"/>
      <w:lvlText w:val="(%1)"/>
      <w:numFmt w:val="lowerLetter"/>
      <w:start w:val="2"/>
    </w:lvl>
  </w:abstractNum>
  <w:abstractNum w:abstractNumId="89">
    <w:nsid w:val="3F06ECB2"/>
    <w:multiLevelType w:val="hybridMultilevel"/>
    <w:lvl w:ilvl="0">
      <w:lvlJc w:val="left"/>
      <w:lvlText w:val="(%1)"/>
      <w:numFmt w:val="lowerLetter"/>
      <w:start w:val="1"/>
    </w:lvl>
  </w:abstractNum>
  <w:abstractNum w:abstractNumId="90">
    <w:nsid w:val="3B594807"/>
    <w:multiLevelType w:val="hybridMultilevel"/>
    <w:lvl w:ilvl="0">
      <w:lvlJc w:val="left"/>
      <w:lvlText w:val="(%1)"/>
      <w:numFmt w:val="lowerLetter"/>
      <w:start w:val="1"/>
    </w:lvl>
  </w:abstractNum>
  <w:abstractNum w:abstractNumId="91">
    <w:nsid w:val="6CAA2304"/>
    <w:multiLevelType w:val="hybridMultilevel"/>
    <w:lvl w:ilvl="0">
      <w:lvlJc w:val="left"/>
      <w:lvlText w:val="(%1)"/>
      <w:numFmt w:val="lowerLetter"/>
      <w:start w:val="1"/>
    </w:lvl>
  </w:abstractNum>
  <w:abstractNum w:abstractNumId="92">
    <w:nsid w:val="3F7C2FF4"/>
    <w:multiLevelType w:val="hybridMultilevel"/>
    <w:lvl w:ilvl="0">
      <w:lvlJc w:val="left"/>
      <w:lvlText w:val="(%1)"/>
      <w:numFmt w:val="lowerLetter"/>
      <w:start w:val="3"/>
    </w:lvl>
    <w:lvl w:ilvl="1">
      <w:lvlJc w:val="left"/>
      <w:lvlText w:val="(%2)"/>
      <w:numFmt w:val="lowerRoman"/>
      <w:start w:val="1"/>
    </w:lvl>
  </w:abstractNum>
  <w:abstractNum w:abstractNumId="93">
    <w:nsid w:val="25413BEC"/>
    <w:multiLevelType w:val="hybridMultilevel"/>
    <w:lvl w:ilvl="0">
      <w:lvlJc w:val="left"/>
      <w:lvlText w:val="(%1)"/>
      <w:numFmt w:val="lowerLetter"/>
      <w:start w:val="1"/>
    </w:lvl>
  </w:abstractNum>
  <w:abstractNum w:abstractNumId="94">
    <w:nsid w:val="17180B0B"/>
    <w:multiLevelType w:val="hybridMultilevel"/>
    <w:lvl w:ilvl="0">
      <w:lvlJc w:val="left"/>
      <w:lvlText w:val="(%1)"/>
      <w:numFmt w:val="lowerRoman"/>
      <w:start w:val="2"/>
    </w:lvl>
  </w:abstractNum>
  <w:abstractNum w:abstractNumId="95">
    <w:nsid w:val="579328B9"/>
    <w:multiLevelType w:val="hybridMultilevel"/>
    <w:lvl w:ilvl="0">
      <w:lvlJc w:val="left"/>
      <w:lvlText w:val="(%1)"/>
      <w:numFmt w:val="lowerLetter"/>
      <w:start w:val="1"/>
    </w:lvl>
  </w:abstractNum>
  <w:abstractNum w:abstractNumId="96">
    <w:nsid w:val="5D205E20"/>
    <w:multiLevelType w:val="hybridMultilevel"/>
    <w:lvl w:ilvl="0">
      <w:lvlJc w:val="left"/>
      <w:lvlText w:val="(%1)"/>
      <w:numFmt w:val="lowerLetter"/>
      <w:start w:val="1"/>
    </w:lvl>
  </w:abstractNum>
  <w:abstractNum w:abstractNumId="97">
    <w:nsid w:val="11CCA8BA"/>
    <w:multiLevelType w:val="hybridMultilevel"/>
    <w:lvl w:ilvl="0">
      <w:lvlJc w:val="left"/>
      <w:lvlText w:val="(%1)"/>
      <w:numFmt w:val="lowerLetter"/>
      <w:start w:val="1"/>
    </w:lvl>
  </w:abstractNum>
  <w:abstractNum w:abstractNumId="98">
    <w:nsid w:val="4D32AB86"/>
    <w:multiLevelType w:val="hybridMultilevel"/>
    <w:lvl w:ilvl="0">
      <w:lvlJc w:val="left"/>
      <w:lvlText w:val="(%1)"/>
      <w:numFmt w:val="lowerLetter"/>
      <w:start w:val="2"/>
    </w:lvl>
  </w:abstractNum>
  <w:abstractNum w:abstractNumId="99">
    <w:nsid w:val="3F07ACC3"/>
    <w:multiLevelType w:val="hybridMultilevel"/>
    <w:lvl w:ilvl="0">
      <w:lvlJc w:val="left"/>
      <w:lvlText w:val="(%1)"/>
      <w:numFmt w:val="lowerLetter"/>
      <w:start w:val="1"/>
    </w:lvl>
  </w:abstractNum>
  <w:abstractNum w:abstractNumId="100">
    <w:nsid w:val="6B47F63E"/>
    <w:multiLevelType w:val="hybridMultilevel"/>
    <w:lvl w:ilvl="0">
      <w:lvlJc w:val="left"/>
      <w:lvlText w:val="(%1)"/>
      <w:numFmt w:val="lowerRoman"/>
      <w:start w:val="4"/>
    </w:lvl>
  </w:abstractNum>
  <w:abstractNum w:abstractNumId="101">
    <w:nsid w:val="5CB44A05"/>
    <w:multiLevelType w:val="hybridMultilevel"/>
    <w:lvl w:ilvl="0">
      <w:lvlJc w:val="left"/>
      <w:lvlText w:val="%1"/>
      <w:numFmt w:val="lowerLetter"/>
      <w:start w:val="1"/>
    </w:lvl>
    <w:lvl w:ilvl="1">
      <w:lvlJc w:val="left"/>
      <w:lvlText w:val="(%2)"/>
      <w:numFmt w:val="lowerLetter"/>
      <w:start w:val="1"/>
    </w:lvl>
  </w:abstractNum>
  <w:abstractNum w:abstractNumId="102">
    <w:nsid w:val="16CF80F1"/>
    <w:multiLevelType w:val="hybridMultilevel"/>
    <w:lvl w:ilvl="0">
      <w:lvlJc w:val="left"/>
      <w:lvlText w:val="(%1)"/>
      <w:numFmt w:val="lowerLetter"/>
      <w:start w:val="61"/>
    </w:lvl>
    <w:lvl w:ilvl="1">
      <w:lvlJc w:val="left"/>
      <w:lvlText w:val="%2"/>
      <w:numFmt w:val="lowerLetter"/>
      <w:start w:val="1"/>
    </w:lvl>
  </w:abstractNum>
  <w:abstractNum w:abstractNumId="103">
    <w:nsid w:val="1C695DEC"/>
    <w:multiLevelType w:val="hybridMultilevel"/>
    <w:lvl w:ilvl="0">
      <w:lvlJc w:val="left"/>
      <w:lvlText w:val="(%1)"/>
      <w:numFmt w:val="lowerLetter"/>
      <w:start w:val="2"/>
    </w:lvl>
  </w:abstractNum>
  <w:abstractNum w:abstractNumId="104">
    <w:nsid w:val="3FCFAED9"/>
    <w:multiLevelType w:val="hybridMultilevel"/>
    <w:lvl w:ilvl="0">
      <w:lvlJc w:val="left"/>
      <w:lvlText w:val="(%1)"/>
      <w:numFmt w:val="lowerLetter"/>
      <w:start w:val="1"/>
    </w:lvl>
  </w:abstractNum>
  <w:abstractNum w:abstractNumId="105">
    <w:nsid w:val="F856867"/>
    <w:multiLevelType w:val="hybridMultilevel"/>
    <w:lvl w:ilvl="0">
      <w:lvlJc w:val="left"/>
      <w:lvlText w:val="(%1)"/>
      <w:numFmt w:val="lowerLetter"/>
      <w:start w:val="1"/>
    </w:lvl>
  </w:abstractNum>
  <w:abstractNum w:abstractNumId="106">
    <w:nsid w:val="11B1CC33"/>
    <w:multiLevelType w:val="hybridMultilevel"/>
    <w:lvl w:ilvl="0">
      <w:lvlJc w:val="left"/>
      <w:lvlText w:val="(%1)"/>
      <w:numFmt w:val="lowerLetter"/>
      <w:start w:val="1"/>
    </w:lvl>
  </w:abstractNum>
  <w:abstractNum w:abstractNumId="107">
    <w:nsid w:val="2E22FBB7"/>
    <w:multiLevelType w:val="hybridMultilevel"/>
    <w:lvl w:ilvl="0">
      <w:lvlJc w:val="left"/>
      <w:lvlText w:val="(%1)"/>
      <w:numFmt w:val="lowerLetter"/>
      <w:start w:val="3"/>
    </w:lvl>
  </w:abstractNum>
  <w:abstractNum w:abstractNumId="108">
    <w:nsid w:val="29934699"/>
    <w:multiLevelType w:val="hybridMultilevel"/>
    <w:lvl w:ilvl="0">
      <w:lvlJc w:val="left"/>
      <w:lvlText w:val="(%1)"/>
      <w:numFmt w:val="lowerLetter"/>
      <w:start w:val="1"/>
    </w:lvl>
  </w:abstractNum>
  <w:abstractNum w:abstractNumId="109">
    <w:nsid w:val="77485850"/>
    <w:multiLevelType w:val="hybridMultilevel"/>
    <w:lvl w:ilvl="0">
      <w:lvlJc w:val="left"/>
      <w:lvlText w:val="(%1)"/>
      <w:numFmt w:val="lowerLetter"/>
      <w:start w:val="7"/>
    </w:lvl>
  </w:abstractNum>
  <w:abstractNum w:abstractNumId="110">
    <w:nsid w:val="744939A3"/>
    <w:multiLevelType w:val="hybridMultilevel"/>
    <w:lvl w:ilvl="0">
      <w:lvlJc w:val="left"/>
      <w:lvlText w:val="(%1)"/>
      <w:numFmt w:val="upperLetter"/>
      <w:start w:val="3"/>
    </w:lvl>
  </w:abstractNum>
  <w:abstractNum w:abstractNumId="111">
    <w:nsid w:val="4FA0D2E3"/>
    <w:multiLevelType w:val="hybridMultilevel"/>
    <w:lvl w:ilvl="0">
      <w:lvlJc w:val="left"/>
      <w:lvlText w:val="(%1)"/>
      <w:numFmt w:val="lowerLetter"/>
      <w:start w:val="1"/>
    </w:lvl>
  </w:abstractNum>
  <w:abstractNum w:abstractNumId="112">
    <w:nsid w:val="6B1D2C14"/>
    <w:multiLevelType w:val="hybridMultilevel"/>
    <w:lvl w:ilvl="0">
      <w:lvlJc w:val="left"/>
      <w:lvlText w:val="(%1)"/>
      <w:numFmt w:val="lowerLetter"/>
      <w:start w:val="1"/>
    </w:lvl>
  </w:abstractNum>
  <w:abstractNum w:abstractNumId="113">
    <w:nsid w:val="68B867D3"/>
    <w:multiLevelType w:val="hybridMultilevel"/>
    <w:lvl w:ilvl="0">
      <w:lvlJc w:val="left"/>
      <w:lvlText w:val="(%1)"/>
      <w:numFmt w:val="lowerLetter"/>
      <w:start w:val="1"/>
    </w:lvl>
  </w:abstractNum>
  <w:abstractNum w:abstractNumId="114">
    <w:nsid w:val="3F7F5DD9"/>
    <w:multiLevelType w:val="hybridMultilevel"/>
    <w:lvl w:ilvl="0">
      <w:lvlJc w:val="left"/>
      <w:lvlText w:val="(%1)"/>
      <w:numFmt w:val="lowerLetter"/>
      <w:start w:val="1"/>
    </w:lvl>
  </w:abstractNum>
  <w:abstractNum w:abstractNumId="115">
    <w:nsid w:val="2AE05A34"/>
    <w:multiLevelType w:val="hybridMultilevel"/>
    <w:lvl w:ilvl="0">
      <w:lvlJc w:val="left"/>
      <w:lvlText w:val="%1"/>
      <w:numFmt w:val="lowerLetter"/>
      <w:start w:val="1"/>
    </w:lvl>
    <w:lvl w:ilvl="1">
      <w:lvlJc w:val="left"/>
      <w:lvlText w:val="(%2)"/>
      <w:numFmt w:val="lowerLetter"/>
      <w:start w:val="2"/>
    </w:lvl>
  </w:abstractNum>
  <w:abstractNum w:abstractNumId="116">
    <w:nsid w:val="32794FF7"/>
    <w:multiLevelType w:val="hybridMultilevel"/>
    <w:lvl w:ilvl="0">
      <w:lvlJc w:val="left"/>
      <w:lvlText w:val="(%1)"/>
      <w:numFmt w:val="lowerLetter"/>
      <w:start w:val="35"/>
    </w:lvl>
    <w:lvl w:ilvl="1">
      <w:lvlJc w:val="left"/>
      <w:lvlText w:val="%2"/>
      <w:numFmt w:val="lowerLetter"/>
      <w:start w:val="1"/>
    </w:lvl>
  </w:abstractNum>
  <w:abstractNum w:abstractNumId="117">
    <w:nsid w:val="5454945E"/>
    <w:multiLevelType w:val="hybridMultilevel"/>
    <w:lvl w:ilvl="0">
      <w:lvlJc w:val="left"/>
      <w:lvlText w:val="(%1)"/>
      <w:numFmt w:val="lowerLetter"/>
      <w:start w:val="1"/>
    </w:lvl>
  </w:abstractNum>
  <w:abstractNum w:abstractNumId="118">
    <w:nsid w:val="4DEFDFA0"/>
    <w:multiLevelType w:val="hybridMultilevel"/>
    <w:lvl w:ilvl="0">
      <w:lvlJc w:val="left"/>
      <w:lvlText w:val="(%1)"/>
      <w:numFmt w:val="lowerLetter"/>
      <w:start w:val="1"/>
    </w:lvl>
  </w:abstractNum>
  <w:abstractNum w:abstractNumId="119">
    <w:nsid w:val="2123D5F2"/>
    <w:multiLevelType w:val="hybridMultilevel"/>
    <w:lvl w:ilvl="0">
      <w:lvlJc w:val="left"/>
      <w:lvlText w:val="(%1)"/>
      <w:numFmt w:val="lowerLetter"/>
      <w:start w:val="8"/>
    </w:lvl>
  </w:abstractNum>
  <w:abstractNum w:abstractNumId="120">
    <w:nsid w:val="135B8110"/>
    <w:multiLevelType w:val="hybridMultilevel"/>
    <w:lvl w:ilvl="0">
      <w:lvlJc w:val="left"/>
      <w:lvlText w:val="(%1)"/>
      <w:numFmt w:val="lowerLetter"/>
      <w:start w:val="22"/>
    </w:lvl>
  </w:abstractNum>
  <w:abstractNum w:abstractNumId="121">
    <w:nsid w:val="94927A8"/>
    <w:multiLevelType w:val="hybridMultilevel"/>
    <w:lvl w:ilvl="0">
      <w:lvlJc w:val="left"/>
      <w:lvlText w:val="(%1)"/>
      <w:numFmt w:val="lowerLetter"/>
      <w:start w:val="27"/>
    </w:lvl>
  </w:abstractNum>
  <w:abstractNum w:abstractNumId="122">
    <w:nsid w:val="DCDF8F6"/>
    <w:multiLevelType w:val="hybridMultilevel"/>
    <w:lvl w:ilvl="0">
      <w:lvlJc w:val="left"/>
      <w:lvlText w:val="(%1)"/>
      <w:numFmt w:val="lowerLetter"/>
      <w:start w:val="1"/>
    </w:lvl>
  </w:abstractNum>
  <w:abstractNum w:abstractNumId="123">
    <w:nsid w:val="52D7B105"/>
    <w:multiLevelType w:val="hybridMultilevel"/>
    <w:lvl w:ilvl="0">
      <w:lvlJc w:val="left"/>
      <w:lvlText w:val="(%1)"/>
      <w:numFmt w:val="lowerLetter"/>
      <w:start w:val="4"/>
    </w:lvl>
  </w:abstractNum>
  <w:abstractNum w:abstractNumId="124">
    <w:nsid w:val="2E8A6394"/>
    <w:multiLevelType w:val="hybridMultilevel"/>
    <w:lvl w:ilvl="0">
      <w:lvlJc w:val="left"/>
      <w:lvlText w:val="(%1)"/>
      <w:numFmt w:val="lowerLetter"/>
      <w:start w:val="16"/>
    </w:lvl>
  </w:abstractNum>
  <w:abstractNum w:abstractNumId="125">
    <w:nsid w:val="24E60401"/>
    <w:multiLevelType w:val="hybridMultilevel"/>
    <w:lvl w:ilvl="0">
      <w:lvlJc w:val="left"/>
      <w:lvlText w:val="(%1)"/>
      <w:numFmt w:val="lowerLetter"/>
      <w:start w:val="1"/>
    </w:lvl>
  </w:abstractNum>
  <w:abstractNum w:abstractNumId="126">
    <w:nsid w:val="2A6AD9BE"/>
    <w:multiLevelType w:val="hybridMultilevel"/>
    <w:lvl w:ilvl="0">
      <w:lvlJc w:val="left"/>
      <w:lvlText w:val="(%1)"/>
      <w:numFmt w:val="lowerLetter"/>
      <w:start w:val="9"/>
    </w:lvl>
  </w:abstractNum>
  <w:abstractNum w:abstractNumId="127">
    <w:nsid w:val="BAAC1B4"/>
    <w:multiLevelType w:val="hybridMultilevel"/>
    <w:lvl w:ilvl="0">
      <w:lvlJc w:val="left"/>
      <w:lvlText w:val="(%1)"/>
      <w:numFmt w:val="lowerLetter"/>
      <w:start w:val="1"/>
    </w:lvl>
  </w:abstractNum>
  <w:abstractNum w:abstractNumId="128">
    <w:nsid w:val="36B2ACBC"/>
    <w:multiLevelType w:val="hybridMultilevel"/>
    <w:lvl w:ilvl="0">
      <w:lvlJc w:val="left"/>
      <w:lvlText w:val="(%1)"/>
      <w:numFmt w:val="lowerLetter"/>
      <w:start w:val="1"/>
    </w:lvl>
  </w:abstractNum>
  <w:abstractNum w:abstractNumId="129">
    <w:nsid w:val="779D8544"/>
    <w:multiLevelType w:val="hybridMultilevel"/>
    <w:lvl w:ilvl="0">
      <w:lvlJc w:val="left"/>
      <w:lvlText w:val="(%1)"/>
      <w:numFmt w:val="lowerLetter"/>
      <w:start w:val="7"/>
    </w:lvl>
  </w:abstractNum>
  <w:abstractNum w:abstractNumId="130">
    <w:nsid w:val="4AB26E78"/>
    <w:multiLevelType w:val="hybridMultilevel"/>
    <w:lvl w:ilvl="0">
      <w:lvlJc w:val="left"/>
      <w:lvlText w:val="%1"/>
      <w:numFmt w:val="lowerLetter"/>
      <w:start w:val="1"/>
    </w:lvl>
    <w:lvl w:ilvl="1">
      <w:lvlJc w:val="left"/>
      <w:lvlText w:val="(%2)"/>
      <w:numFmt w:val="lowerLetter"/>
      <w:start w:val="1"/>
    </w:lvl>
  </w:abstractNum>
  <w:abstractNum w:abstractNumId="131">
    <w:nsid w:val="21FAA2FA"/>
    <w:multiLevelType w:val="hybridMultilevel"/>
    <w:lvl w:ilvl="0">
      <w:lvlJc w:val="left"/>
      <w:lvlText w:val="(%1)"/>
      <w:numFmt w:val="lowerLetter"/>
      <w:start w:val="35"/>
    </w:lvl>
    <w:lvl w:ilvl="1">
      <w:lvlJc w:val="left"/>
      <w:lvlText w:val="(%2)"/>
      <w:numFmt w:val="lowerLetter"/>
      <w:start w:val="5"/>
    </w:lvl>
  </w:abstractNum>
  <w:abstractNum w:abstractNumId="132">
    <w:nsid w:val="5451CF49"/>
    <w:multiLevelType w:val="hybridMultilevel"/>
    <w:lvl w:ilvl="0">
      <w:lvlJc w:val="left"/>
      <w:lvlText w:val="(%1)"/>
      <w:numFmt w:val="upperLetter"/>
      <w:start w:val="5"/>
    </w:lvl>
  </w:abstractNum>
  <w:abstractNum w:abstractNumId="133">
    <w:nsid w:val="6181EF69"/>
    <w:multiLevelType w:val="hybridMultilevel"/>
    <w:lvl w:ilvl="0">
      <w:lvlJc w:val="left"/>
      <w:lvlText w:val="(%1)"/>
      <w:numFmt w:val="lowerLetter"/>
      <w:start w:val="1"/>
    </w:lvl>
  </w:abstractNum>
  <w:abstractNum w:abstractNumId="134">
    <w:nsid w:val="3E6400E6"/>
    <w:multiLevelType w:val="hybridMultilevel"/>
    <w:lvl w:ilvl="0">
      <w:lvlJc w:val="left"/>
      <w:lvlText w:val="(%1)"/>
      <w:numFmt w:val="lowerLetter"/>
      <w:start w:val="2"/>
    </w:lvl>
  </w:abstractNum>
  <w:abstractNum w:abstractNumId="135">
    <w:nsid w:val="14217E23"/>
    <w:multiLevelType w:val="hybridMultilevel"/>
    <w:lvl w:ilvl="0">
      <w:lvlJc w:val="left"/>
      <w:lvlText w:val="(%1)"/>
      <w:numFmt w:val="lowerLetter"/>
      <w:start w:val="1"/>
    </w:lvl>
  </w:abstractNum>
  <w:abstractNum w:abstractNumId="136">
    <w:nsid w:val="710757D0"/>
    <w:multiLevelType w:val="hybridMultilevel"/>
    <w:lvl w:ilvl="0">
      <w:lvlJc w:val="left"/>
      <w:lvlText w:val="(%1)"/>
      <w:numFmt w:val="lowerLetter"/>
      <w:start w:val="1"/>
    </w:lvl>
  </w:abstractNum>
  <w:abstractNum w:abstractNumId="137">
    <w:nsid w:val="5015CD1A"/>
    <w:multiLevelType w:val="hybridMultilevel"/>
    <w:lvl w:ilvl="0">
      <w:lvlJc w:val="left"/>
      <w:lvlText w:val="%1"/>
      <w:numFmt w:val="decimal"/>
      <w:start w:val="1"/>
    </w:lvl>
    <w:lvl w:ilvl="1">
      <w:lvlJc w:val="left"/>
      <w:lvlText w:val="(%2)"/>
      <w:numFmt w:val="lowerLetter"/>
      <w:start w:val="6"/>
    </w:lvl>
  </w:abstractNum>
  <w:abstractNum w:abstractNumId="138">
    <w:nsid w:val="424479DA"/>
    <w:multiLevelType w:val="hybridMultilevel"/>
    <w:lvl w:ilvl="0">
      <w:lvlJc w:val="left"/>
      <w:lvlText w:val="(%1)"/>
      <w:numFmt w:val="decimal"/>
      <w:start w:val="60"/>
    </w:lvl>
    <w:lvl w:ilvl="1">
      <w:lvlJc w:val="left"/>
      <w:lvlText w:val="(%2)"/>
      <w:numFmt w:val="lowerLetter"/>
      <w:start w:val="8"/>
    </w:lvl>
  </w:abstractNum>
  <w:abstractNum w:abstractNumId="139">
    <w:nsid w:val="1A9A9E69"/>
    <w:multiLevelType w:val="hybridMultilevel"/>
    <w:lvl w:ilvl="0">
      <w:lvlJc w:val="left"/>
      <w:lvlText w:val="(%1)"/>
      <w:numFmt w:val="upperLetter"/>
      <w:start w:val="1"/>
    </w:lvl>
    <w:lvl w:ilvl="1">
      <w:lvlJc w:val="left"/>
      <w:lvlText w:val="(%2)"/>
      <w:numFmt w:val="lowerLetter"/>
      <w:start w:val="9"/>
    </w:lvl>
  </w:abstractNum>
  <w:abstractNum w:abstractNumId="140">
    <w:nsid w:val="475E256A"/>
    <w:multiLevelType w:val="hybridMultilevel"/>
    <w:lvl w:ilvl="0">
      <w:lvlJc w:val="left"/>
      <w:lvlText w:val="(%1)"/>
      <w:numFmt w:val="lowerLetter"/>
      <w:start w:val="1"/>
    </w:lvl>
  </w:abstractNum>
  <w:abstractNum w:abstractNumId="141">
    <w:nsid w:val="368DB37E"/>
    <w:multiLevelType w:val="hybridMultilevel"/>
    <w:lvl w:ilvl="0">
      <w:lvlJc w:val="left"/>
      <w:lvlText w:val="(%1)"/>
      <w:numFmt w:val="lowerLetter"/>
      <w:start w:val="1"/>
    </w:lvl>
  </w:abstractNum>
  <w:abstractNum w:abstractNumId="142">
    <w:nsid w:val="6A3B714C"/>
    <w:multiLevelType w:val="hybridMultilevel"/>
    <w:lvl w:ilvl="0">
      <w:lvlJc w:val="left"/>
      <w:lvlText w:val="(%1)"/>
      <w:numFmt w:val="lowerLetter"/>
      <w:start w:val="1"/>
    </w:lvl>
    <w:lvl w:ilvl="1">
      <w:lvlJc w:val="left"/>
      <w:lvlText w:val="(%2)"/>
      <w:numFmt w:val="lowerRoman"/>
      <w:start w:val="1"/>
    </w:lvl>
  </w:abstractNum>
  <w:abstractNum w:abstractNumId="143">
    <w:nsid w:val="327B517E"/>
    <w:multiLevelType w:val="hybridMultilevel"/>
    <w:lvl w:ilvl="0">
      <w:lvlJc w:val="left"/>
      <w:lvlText w:val="(%1)"/>
      <w:numFmt w:val="lowerLetter"/>
      <w:start w:val="3"/>
    </w:lvl>
  </w:abstractNum>
  <w:abstractNum w:abstractNumId="144">
    <w:nsid w:val="1F461B51"/>
    <w:multiLevelType w:val="hybridMultilevel"/>
    <w:lvl w:ilvl="0">
      <w:lvlJc w:val="left"/>
      <w:lvlText w:val="(%1)"/>
      <w:numFmt w:val="lowerLetter"/>
      <w:start w:val="1"/>
    </w:lvl>
  </w:abstractNum>
  <w:abstractNum w:abstractNumId="145">
    <w:nsid w:val="29BACF25"/>
    <w:multiLevelType w:val="hybridMultilevel"/>
    <w:lvl w:ilvl="0">
      <w:lvlJc w:val="left"/>
      <w:lvlText w:val="(%1)"/>
      <w:numFmt w:val="upperLetter"/>
      <w:start w:val="1"/>
    </w:lvl>
    <w:lvl w:ilvl="1">
      <w:lvlJc w:val="left"/>
      <w:lvlText w:val="(%2)"/>
      <w:numFmt w:val="lowerLetter"/>
      <w:start w:val="4"/>
    </w:lvl>
  </w:abstractNum>
  <w:abstractNum w:abstractNumId="146">
    <w:nsid w:val="5D5BABB3"/>
    <w:multiLevelType w:val="hybridMultilevel"/>
    <w:lvl w:ilvl="0">
      <w:lvlJc w:val="left"/>
      <w:lvlText w:val="(%1)"/>
      <w:numFmt w:val="lowerLetter"/>
      <w:start w:val="1"/>
    </w:lvl>
    <w:lvl w:ilvl="1">
      <w:lvlJc w:val="left"/>
      <w:lvlText w:val="(%2)"/>
      <w:numFmt w:val="lowerRoman"/>
      <w:start w:val="1"/>
    </w:lvl>
  </w:abstractNum>
  <w:abstractNum w:abstractNumId="147">
    <w:nsid w:val="51BF6B48"/>
    <w:multiLevelType w:val="hybridMultilevel"/>
    <w:lvl w:ilvl="0">
      <w:lvlJc w:val="left"/>
      <w:lvlText w:val="(%1)"/>
      <w:numFmt w:val="lowerLetter"/>
      <w:start w:val="4"/>
    </w:lvl>
  </w:abstractNum>
  <w:abstractNum w:abstractNumId="148">
    <w:nsid w:val="7E0F6384"/>
    <w:multiLevelType w:val="hybridMultilevel"/>
    <w:lvl w:ilvl="0">
      <w:lvlJc w:val="left"/>
      <w:lvlText w:val="(%1)"/>
      <w:numFmt w:val="lowerLetter"/>
      <w:start w:val="1"/>
    </w:lvl>
    <w:lvl w:ilvl="1">
      <w:lvlJc w:val="left"/>
      <w:lvlText w:val="(%2)"/>
      <w:numFmt w:val="lowerRoman"/>
      <w:start w:val="1"/>
    </w:lvl>
  </w:abstractNum>
  <w:abstractNum w:abstractNumId="149">
    <w:nsid w:val="2B4B8B53"/>
    <w:multiLevelType w:val="hybridMultilevel"/>
    <w:lvl w:ilvl="0">
      <w:lvlJc w:val="left"/>
      <w:lvlText w:val="(%1)"/>
      <w:numFmt w:val="lowerLetter"/>
      <w:start w:val="9"/>
    </w:lvl>
    <w:lvl w:ilvl="1">
      <w:lvlJc w:val="left"/>
      <w:lvlText w:val="(%2)"/>
      <w:numFmt w:val="lowerRoman"/>
      <w:start w:val="2"/>
    </w:lvl>
  </w:abstractNum>
  <w:abstractNum w:abstractNumId="150">
    <w:nsid w:val="72E3413A"/>
    <w:multiLevelType w:val="hybridMultilevel"/>
    <w:lvl w:ilvl="0">
      <w:lvlJc w:val="left"/>
      <w:lvlText w:val="(%1)"/>
      <w:numFmt w:val="lowerLetter"/>
      <w:start w:val="2"/>
    </w:lvl>
    <w:lvl w:ilvl="1">
      <w:lvlJc w:val="left"/>
      <w:lvlText w:val="%2"/>
      <w:numFmt w:val="lowerRoman"/>
      <w:start w:val="1"/>
    </w:lvl>
  </w:abstractNum>
  <w:abstractNum w:abstractNumId="151">
    <w:nsid w:val="116AE494"/>
    <w:multiLevelType w:val="hybridMultilevel"/>
    <w:lvl w:ilvl="0">
      <w:lvlJc w:val="left"/>
      <w:lvlText w:val="(%1)"/>
      <w:numFmt w:val="lowerLetter"/>
      <w:start w:val="4"/>
    </w:lvl>
  </w:abstractNum>
  <w:abstractNum w:abstractNumId="152">
    <w:nsid w:val="3494B2FB"/>
    <w:multiLevelType w:val="hybridMultilevel"/>
    <w:lvl w:ilvl="0">
      <w:lvlJc w:val="left"/>
      <w:lvlText w:val="(%1)"/>
      <w:numFmt w:val="lowerLetter"/>
      <w:start w:val="1"/>
    </w:lvl>
    <w:lvl w:ilvl="1">
      <w:lvlJc w:val="left"/>
      <w:lvlText w:val="(%2)"/>
      <w:numFmt w:val="lowerRoman"/>
      <w:start w:val="1"/>
    </w:lvl>
  </w:abstractNum>
  <w:abstractNum w:abstractNumId="153">
    <w:nsid w:val="B13A31"/>
    <w:multiLevelType w:val="hybridMultilevel"/>
    <w:lvl w:ilvl="0">
      <w:lvlJc w:val="left"/>
      <w:lvlText w:val="%1"/>
      <w:numFmt w:val="lowerLetter"/>
      <w:start w:val="1"/>
    </w:lvl>
    <w:lvl w:ilvl="1">
      <w:lvlJc w:val="left"/>
      <w:lvlText w:val="(%2)"/>
      <w:numFmt w:val="lowerRoman"/>
      <w:start w:val="4"/>
    </w:lvl>
  </w:abstractNum>
  <w:abstractNum w:abstractNumId="154">
    <w:nsid w:val="64429599"/>
    <w:multiLevelType w:val="hybridMultilevel"/>
    <w:lvl w:ilvl="0">
      <w:lvlJc w:val="left"/>
      <w:lvlText w:val="(%1)"/>
      <w:numFmt w:val="lowerLetter"/>
      <w:start w:val="2"/>
    </w:lvl>
    <w:lvl w:ilvl="1">
      <w:lvlJc w:val="left"/>
      <w:lvlText w:val="%2"/>
      <w:numFmt w:val="lowerRoman"/>
      <w:start w:val="1"/>
    </w:lvl>
  </w:abstractNum>
  <w:abstractNum w:abstractNumId="155">
    <w:nsid w:val="631F1690"/>
    <w:multiLevelType w:val="hybridMultilevel"/>
    <w:lvl w:ilvl="0">
      <w:lvlJc w:val="left"/>
      <w:lvlText w:val="(%1)"/>
      <w:numFmt w:val="lowerLetter"/>
      <w:start w:val="2"/>
    </w:lvl>
  </w:abstractNum>
  <w:abstractNum w:abstractNumId="156">
    <w:nsid w:val="25973E3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57">
    <w:nsid w:val="EAD6F5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58">
    <w:nsid w:val="6EC9D844"/>
    <w:multiLevelType w:val="hybridMultilevel"/>
    <w:lvl w:ilvl="0">
      <w:lvlJc w:val="left"/>
      <w:lvlText w:val="(%1)"/>
      <w:numFmt w:val="lowerRoman"/>
      <w:start w:val="5"/>
    </w:lvl>
  </w:abstractNum>
  <w:abstractNum w:abstractNumId="159">
    <w:nsid w:val="5C49EAEE"/>
    <w:multiLevelType w:val="hybridMultilevel"/>
    <w:lvl w:ilvl="0">
      <w:lvlJc w:val="left"/>
      <w:lvlText w:val="(%1)"/>
      <w:numFmt w:val="lowerLetter"/>
      <w:start w:val="2"/>
    </w:lvl>
    <w:lvl w:ilvl="1">
      <w:lvlJc w:val="left"/>
      <w:lvlText w:val="(%2)"/>
      <w:numFmt w:val="lowerLetter"/>
      <w:start w:val="9"/>
    </w:lvl>
  </w:abstractNum>
  <w:abstractNum w:abstractNumId="160">
    <w:nsid w:val="64AF49B"/>
    <w:multiLevelType w:val="hybridMultilevel"/>
    <w:lvl w:ilvl="0">
      <w:lvlJc w:val="left"/>
      <w:lvlText w:val="(%1)"/>
      <w:numFmt w:val="lowerRoman"/>
      <w:start w:val="2"/>
    </w:lvl>
  </w:abstractNum>
  <w:abstractNum w:abstractNumId="161">
    <w:nsid w:val="397C46BC"/>
    <w:multiLevelType w:val="hybridMultilevel"/>
    <w:lvl w:ilvl="0">
      <w:lvlJc w:val="left"/>
      <w:lvlText w:val="(%1)"/>
      <w:numFmt w:val="lowerLetter"/>
      <w:start w:val="1"/>
    </w:lvl>
    <w:lvl w:ilvl="1">
      <w:lvlJc w:val="left"/>
      <w:lvlText w:val="(%2)"/>
      <w:numFmt w:val="lowerRoman"/>
      <w:start w:val="1"/>
    </w:lvl>
  </w:abstractNum>
  <w:abstractNum w:abstractNumId="162">
    <w:nsid w:val="7E448DE9"/>
    <w:multiLevelType w:val="hybridMultilevel"/>
    <w:lvl w:ilvl="0">
      <w:lvlJc w:val="left"/>
      <w:lvlText w:val="(%1)"/>
      <w:numFmt w:val="lowerLetter"/>
      <w:start w:val="2"/>
    </w:lvl>
  </w:abstractNum>
  <w:abstractNum w:abstractNumId="163">
    <w:nsid w:val="5A9CC3E5"/>
    <w:multiLevelType w:val="hybridMultilevel"/>
    <w:lvl w:ilvl="0">
      <w:lvlJc w:val="left"/>
      <w:lvlText w:val="%1"/>
      <w:numFmt w:val="lowerLetter"/>
      <w:start w:val="1"/>
    </w:lvl>
    <w:lvl w:ilvl="1">
      <w:lvlJc w:val="left"/>
      <w:lvlText w:val="(%2)"/>
      <w:numFmt w:val="lowerRoman"/>
      <w:start w:val="1"/>
    </w:lvl>
  </w:abstractNum>
  <w:abstractNum w:abstractNumId="164">
    <w:nsid w:val="1AFE3625"/>
    <w:multiLevelType w:val="hybridMultilevel"/>
    <w:lvl w:ilvl="0">
      <w:lvlJc w:val="left"/>
      <w:lvlText w:val="(%1)"/>
      <w:numFmt w:val="lowerLetter"/>
      <w:start w:val="3"/>
    </w:lvl>
    <w:lvl w:ilvl="1">
      <w:lvlJc w:val="left"/>
      <w:lvlText w:val="%2"/>
      <w:numFmt w:val="lowerRoman"/>
      <w:start w:val="1"/>
    </w:lvl>
  </w:abstractNum>
  <w:abstractNum w:abstractNumId="165">
    <w:nsid w:val="3CA88ECF"/>
    <w:multiLevelType w:val="hybridMultilevel"/>
    <w:lvl w:ilvl="0">
      <w:lvlJc w:val="left"/>
      <w:lvlText w:val="(%1)"/>
      <w:numFmt w:val="lowerLetter"/>
      <w:start w:val="5"/>
    </w:lvl>
  </w:abstractNum>
  <w:abstractNum w:abstractNumId="166">
    <w:nsid w:val="6EBE4208"/>
    <w:multiLevelType w:val="hybridMultilevel"/>
    <w:lvl w:ilvl="0">
      <w:lvlJc w:val="left"/>
      <w:lvlText w:val="(%1)"/>
      <w:numFmt w:val="lowerLetter"/>
      <w:start w:val="1"/>
    </w:lvl>
  </w:abstractNum>
  <w:abstractNum w:abstractNumId="167">
    <w:nsid w:val="C058DF5"/>
    <w:multiLevelType w:val="hybridMultilevel"/>
    <w:lvl w:ilvl="0">
      <w:lvlJc w:val="left"/>
      <w:lvlText w:val="(%1)"/>
      <w:numFmt w:val="lowerLetter"/>
      <w:start w:val="1"/>
    </w:lvl>
  </w:abstractNum>
  <w:abstractNum w:abstractNumId="168">
    <w:nsid w:val="CBE5BE9"/>
    <w:multiLevelType w:val="hybridMultilevel"/>
    <w:lvl w:ilvl="0">
      <w:lvlJc w:val="left"/>
      <w:lvlText w:val="(%1)"/>
      <w:numFmt w:val="lowerLetter"/>
      <w:start w:val="1"/>
    </w:lvl>
  </w:abstractNum>
  <w:abstractNum w:abstractNumId="169">
    <w:nsid w:val="3102BBE2"/>
    <w:multiLevelType w:val="hybridMultilevel"/>
    <w:lvl w:ilvl="0">
      <w:lvlJc w:val="left"/>
      <w:lvlText w:val="(%1)"/>
      <w:numFmt w:val="lowerLetter"/>
      <w:start w:val="3"/>
    </w:lvl>
  </w:abstractNum>
  <w:abstractNum w:abstractNumId="170">
    <w:nsid w:val="26A02C5E"/>
    <w:multiLevelType w:val="hybridMultilevel"/>
    <w:lvl w:ilvl="0">
      <w:lvlJc w:val="left"/>
      <w:lvlText w:val="(%1)"/>
      <w:numFmt w:val="lowerLetter"/>
      <w:start w:val="1"/>
    </w:lvl>
  </w:abstractNum>
  <w:abstractNum w:abstractNumId="171">
    <w:nsid w:val="541C815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2">
    <w:nsid w:val="67906F60"/>
    <w:multiLevelType w:val="hybridMultilevel"/>
    <w:lvl w:ilvl="0">
      <w:lvlJc w:val="left"/>
      <w:lvlText w:val="%1"/>
      <w:numFmt w:val="lowerRoman"/>
      <w:start w:val="1"/>
    </w:lvl>
    <w:lvl w:ilvl="1">
      <w:lvlJc w:val="left"/>
      <w:lvlText w:val="(%2)"/>
      <w:numFmt w:val="upperLetter"/>
      <w:start w:val="2"/>
    </w:lvl>
  </w:abstractNum>
  <w:abstractNum w:abstractNumId="173">
    <w:nsid w:val="10DB9DAA"/>
    <w:multiLevelType w:val="hybridMultilevel"/>
    <w:lvl w:ilvl="0">
      <w:lvlJc w:val="left"/>
      <w:lvlText w:val="(%1)"/>
      <w:numFmt w:val="lowerRoman"/>
      <w:start w:val="4"/>
    </w:lvl>
    <w:lvl w:ilvl="1">
      <w:lvlJc w:val="left"/>
      <w:lvlText w:val="%2"/>
      <w:numFmt w:val="upperLetter"/>
      <w:start w:val="1"/>
    </w:lvl>
  </w:abstractNum>
  <w:abstractNum w:abstractNumId="174">
    <w:nsid w:val="697D2D2"/>
    <w:multiLevelType w:val="hybridMultilevel"/>
    <w:lvl w:ilvl="0">
      <w:lvlJc w:val="left"/>
      <w:lvlText w:val="(%1)"/>
      <w:numFmt w:val="lowerLetter"/>
      <w:start w:val="3"/>
    </w:lvl>
    <w:lvl w:ilvl="1">
      <w:lvlJc w:val="left"/>
      <w:lvlText w:val="(%2)"/>
      <w:numFmt w:val="lowerRoman"/>
      <w:start w:val="1"/>
    </w:lvl>
  </w:abstractNum>
  <w:abstractNum w:abstractNumId="175">
    <w:nsid w:val="6D68AB2"/>
    <w:multiLevelType w:val="hybridMultilevel"/>
    <w:lvl w:ilvl="0">
      <w:lvlJc w:val="left"/>
      <w:lvlText w:val="(%1)"/>
      <w:numFmt w:val="lowerLetter"/>
      <w:start w:val="5"/>
    </w:lvl>
    <w:lvl w:ilvl="1">
      <w:lvlJc w:val="left"/>
      <w:lvlText w:val="(%2)"/>
      <w:numFmt w:val="lowerLetter"/>
      <w:start w:val="9"/>
    </w:lvl>
  </w:abstractNum>
  <w:abstractNum w:abstractNumId="176">
    <w:nsid w:val="3A966CD0"/>
    <w:multiLevelType w:val="hybridMultilevel"/>
    <w:lvl w:ilvl="0">
      <w:lvlJc w:val="left"/>
      <w:lvlText w:val="%1"/>
      <w:numFmt w:val="decimal"/>
      <w:start w:val="1"/>
    </w:lvl>
    <w:lvl w:ilvl="1">
      <w:lvlJc w:val="left"/>
      <w:lvlText w:val="(%2)"/>
      <w:numFmt w:val="lowerRoman"/>
      <w:start w:val="2"/>
    </w:lvl>
  </w:abstractNum>
  <w:abstractNum w:abstractNumId="177">
    <w:nsid w:val="63F37E85"/>
    <w:multiLevelType w:val="hybridMultilevel"/>
    <w:lvl w:ilvl="0">
      <w:lvlJc w:val="left"/>
      <w:lvlText w:val="(%1)"/>
      <w:numFmt w:val="decimal"/>
      <w:start w:val="1"/>
    </w:lvl>
    <w:lvl w:ilvl="1">
      <w:lvlJc w:val="left"/>
      <w:lvlText w:val="(%2)"/>
      <w:numFmt w:val="lowerRoman"/>
      <w:start w:val="3"/>
    </w:lvl>
  </w:abstractNum>
  <w:abstractNum w:abstractNumId="178">
    <w:nsid w:val="5895F5FA"/>
    <w:multiLevelType w:val="hybridMultilevel"/>
    <w:lvl w:ilvl="0">
      <w:lvlJc w:val="left"/>
      <w:lvlText w:val="(%1)"/>
      <w:numFmt w:val="decimal"/>
      <w:start w:val="1"/>
    </w:lvl>
    <w:lvl w:ilvl="1">
      <w:lvlJc w:val="left"/>
      <w:lvlText w:val="%2"/>
      <w:numFmt w:val="lowerRoman"/>
      <w:start w:val="1"/>
    </w:lvl>
  </w:abstractNum>
  <w:abstractNum w:abstractNumId="179">
    <w:nsid w:val="38A5D054"/>
    <w:multiLevelType w:val="hybridMultilevel"/>
    <w:lvl w:ilvl="0">
      <w:lvlJc w:val="left"/>
      <w:lvlText w:val="(%1)"/>
      <w:numFmt w:val="lowerRoman"/>
      <w:start w:val="4"/>
    </w:lvl>
  </w:abstractNum>
  <w:abstractNum w:abstractNumId="180">
    <w:nsid w:val="F3F09D8"/>
    <w:multiLevelType w:val="hybridMultilevel"/>
    <w:lvl w:ilvl="0">
      <w:lvlJc w:val="left"/>
      <w:lvlText w:val="(%1)"/>
      <w:numFmt w:val="lowerLetter"/>
      <w:start w:val="1"/>
    </w:lvl>
  </w:abstractNum>
  <w:abstractNum w:abstractNumId="181">
    <w:nsid w:val="4B793735"/>
    <w:multiLevelType w:val="hybridMultilevel"/>
    <w:lvl w:ilvl="0">
      <w:lvlJc w:val="left"/>
      <w:lvlText w:val="(%1)"/>
      <w:numFmt w:val="lowerLetter"/>
      <w:start w:val="2"/>
    </w:lvl>
  </w:abstractNum>
  <w:abstractNum w:abstractNumId="182">
    <w:nsid w:val="4A10B4E8"/>
    <w:multiLevelType w:val="hybridMultilevel"/>
    <w:lvl w:ilvl="0">
      <w:lvlJc w:val="left"/>
      <w:lvlText w:val="(%1)"/>
      <w:numFmt w:val="lowerLetter"/>
      <w:start w:val="1"/>
    </w:lvl>
  </w:abstractNum>
  <w:abstractNum w:abstractNumId="183">
    <w:nsid w:val="43D3BCD4"/>
    <w:multiLevelType w:val="hybridMultilevel"/>
    <w:lvl w:ilvl="0">
      <w:lvlJc w:val="left"/>
      <w:lvlText w:val="(%1)"/>
      <w:numFmt w:val="lowerLetter"/>
      <w:start w:val="1"/>
    </w:lvl>
  </w:abstractNum>
  <w:abstractNum w:abstractNumId="184">
    <w:nsid w:val="4C2A7166"/>
    <w:multiLevelType w:val="hybridMultilevel"/>
    <w:lvl w:ilvl="0">
      <w:lvlJc w:val="left"/>
      <w:lvlText w:val="(%1)"/>
      <w:numFmt w:val="lowerLetter"/>
      <w:start w:val="1"/>
    </w:lvl>
  </w:abstractNum>
  <w:abstractNum w:abstractNumId="185">
    <w:nsid w:val="2E534A82"/>
    <w:multiLevelType w:val="hybridMultilevel"/>
    <w:lvl w:ilvl="0">
      <w:lvlJc w:val="left"/>
      <w:lvlText w:val="%1"/>
      <w:numFmt w:val="lowerLetter"/>
      <w:start w:val="1"/>
    </w:lvl>
    <w:lvl w:ilvl="1">
      <w:lvlJc w:val="left"/>
      <w:lvlText w:val="(%2)"/>
      <w:numFmt w:val="lowerRoman"/>
      <w:start w:val="1"/>
    </w:lvl>
  </w:abstractNum>
  <w:abstractNum w:abstractNumId="186">
    <w:nsid w:val="26F2D364"/>
    <w:multiLevelType w:val="hybridMultilevel"/>
    <w:lvl w:ilvl="0">
      <w:lvlJc w:val="left"/>
      <w:lvlText w:val="(%1)"/>
      <w:numFmt w:val="lowerLetter"/>
      <w:start w:val="2"/>
    </w:lvl>
    <w:lvl w:ilvl="1">
      <w:lvlJc w:val="left"/>
      <w:lvlText w:val="%2"/>
      <w:numFmt w:val="lowerRoman"/>
      <w:start w:val="1"/>
    </w:lvl>
  </w:abstractNum>
  <w:abstractNum w:abstractNumId="187">
    <w:nsid w:val="71C1AF98"/>
    <w:multiLevelType w:val="hybridMultilevel"/>
    <w:lvl w:ilvl="0">
      <w:lvlJc w:val="left"/>
      <w:lvlText w:val="(%1)"/>
      <w:numFmt w:val="lowerLetter"/>
      <w:start w:val="1"/>
    </w:lvl>
  </w:abstractNum>
  <w:abstractNum w:abstractNumId="188">
    <w:nsid w:val="3D00B9D9"/>
    <w:multiLevelType w:val="hybridMultilevel"/>
    <w:lvl w:ilvl="0">
      <w:lvlJc w:val="left"/>
      <w:lvlText w:val="(%1)"/>
      <w:numFmt w:val="lowerLetter"/>
      <w:start w:val="2"/>
    </w:lvl>
  </w:abstractNum>
  <w:abstractNum w:abstractNumId="189">
    <w:nsid w:val="15BCABA8"/>
    <w:multiLevelType w:val="hybridMultilevel"/>
    <w:lvl w:ilvl="0">
      <w:lvlJc w:val="left"/>
      <w:lvlText w:val="(%1)"/>
      <w:numFmt w:val="lowerLetter"/>
      <w:start w:val="1"/>
    </w:lvl>
    <w:lvl w:ilvl="1">
      <w:lvlJc w:val="left"/>
      <w:lvlText w:val="(%2)"/>
      <w:numFmt w:val="lowerRoman"/>
      <w:start w:val="1"/>
    </w:lvl>
  </w:abstractNum>
  <w:abstractNum w:abstractNumId="190">
    <w:nsid w:val="4E0B9A87"/>
    <w:multiLevelType w:val="hybridMultilevel"/>
    <w:lvl w:ilvl="0">
      <w:lvlJc w:val="left"/>
      <w:lvlText w:val="%1."/>
      <w:numFmt w:val="decimal"/>
      <w:start w:val="1"/>
    </w:lvl>
  </w:abstractNum>
  <w:abstractNum w:abstractNumId="191">
    <w:nsid w:val="434BAE75"/>
    <w:multiLevelType w:val="hybridMultilevel"/>
    <w:lvl w:ilvl="0">
      <w:lvlJc w:val="left"/>
      <w:lvlText w:val="%1."/>
      <w:numFmt w:val="decimal"/>
      <w:start w:val="1"/>
    </w:lvl>
  </w:abstractNum>
  <w:abstractNum w:abstractNumId="192">
    <w:nsid w:val="4F38F265"/>
    <w:multiLevelType w:val="hybridMultilevel"/>
    <w:lvl w:ilvl="0">
      <w:lvlJc w:val="left"/>
      <w:lvlText w:val="%1."/>
      <w:numFmt w:val="decimal"/>
      <w:start w:val="1"/>
    </w:lvl>
  </w:abstractNum>
  <w:abstractNum w:abstractNumId="193">
    <w:nsid w:val="4C502870"/>
    <w:multiLevelType w:val="hybridMultilevel"/>
    <w:lvl w:ilvl="0">
      <w:lvlJc w:val="left"/>
      <w:lvlText w:val="%1."/>
      <w:numFmt w:val="decimal"/>
      <w:start w:val="1"/>
    </w:lvl>
  </w:abstractNum>
  <w:abstractNum w:abstractNumId="194">
    <w:nsid w:val="1DE8725A"/>
    <w:multiLevelType w:val="hybridMultilevel"/>
    <w:lvl w:ilvl="0">
      <w:lvlJc w:val="left"/>
      <w:lvlText w:val=","/>
      <w:numFmt w:val="bullet"/>
      <w:start w:val="1"/>
    </w:lvl>
  </w:abstractNum>
  <w:abstractNum w:abstractNumId="195">
    <w:nsid w:val="6A37288A"/>
    <w:multiLevelType w:val="hybridMultilevel"/>
    <w:lvl w:ilvl="0">
      <w:lvlJc w:val="left"/>
      <w:lvlText w:val="1"/>
      <w:numFmt w:val="bullet"/>
      <w:start w:val="1"/>
    </w:lvl>
  </w:abstractNum>
  <w:abstractNum w:abstractNumId="196">
    <w:nsid w:val="8F8B73F"/>
    <w:multiLevelType w:val="hybridMultilevel"/>
    <w:lvl w:ilvl="0">
      <w:lvlJc w:val="left"/>
      <w:lvlText w:val="2"/>
      <w:numFmt w:val="bullet"/>
      <w:start w:val="1"/>
    </w:lvl>
  </w:abstractNum>
  <w:abstractNum w:abstractNumId="197">
    <w:nsid w:val="CA6B462"/>
    <w:multiLevelType w:val="hybridMultilevel"/>
    <w:lvl w:ilvl="0">
      <w:lvlJc w:val="left"/>
      <w:lvlText w:val="3"/>
      <w:numFmt w:val="bullet"/>
      <w:start w:val="1"/>
    </w:lvl>
  </w:abstractNum>
  <w:abstractNum w:abstractNumId="198">
    <w:nsid w:val="763CB680"/>
    <w:multiLevelType w:val="hybridMultilevel"/>
    <w:lvl w:ilvl="0">
      <w:lvlJc w:val="left"/>
      <w:lvlText w:val="4"/>
      <w:numFmt w:val="bullet"/>
      <w:start w:val="1"/>
    </w:lvl>
  </w:abstractNum>
  <w:abstractNum w:abstractNumId="199">
    <w:nsid w:val="15B71329"/>
    <w:multiLevelType w:val="hybridMultilevel"/>
    <w:lvl w:ilvl="0">
      <w:lvlJc w:val="left"/>
      <w:lvlText w:val="5"/>
      <w:numFmt w:val="bullet"/>
      <w:start w:val="1"/>
    </w:lvl>
  </w:abstractNum>
  <w:abstractNum w:abstractNumId="200">
    <w:nsid w:val="3DA97044"/>
    <w:multiLevelType w:val="hybridMultilevel"/>
    <w:lvl w:ilvl="0">
      <w:lvlJc w:val="left"/>
      <w:lvlText w:val="1"/>
      <w:numFmt w:val="bullet"/>
      <w:start w:val="1"/>
    </w:lvl>
  </w:abstractNum>
  <w:abstractNum w:abstractNumId="201">
    <w:nsid w:val="1CDCE2DE"/>
    <w:multiLevelType w:val="hybridMultilevel"/>
    <w:lvl w:ilvl="0">
      <w:lvlJc w:val="left"/>
      <w:lvlText w:val="2"/>
      <w:numFmt w:val="bullet"/>
      <w:start w:val="1"/>
    </w:lvl>
  </w:abstractNum>
  <w:abstractNum w:abstractNumId="202">
    <w:nsid w:val="69D3947C"/>
    <w:multiLevelType w:val="hybridMultilevel"/>
    <w:lvl w:ilvl="0">
      <w:lvlJc w:val="left"/>
      <w:lvlText w:val="1"/>
      <w:numFmt w:val="bullet"/>
      <w:start w:val="1"/>
    </w:lvl>
  </w:abstractNum>
  <w:abstractNum w:abstractNumId="203">
    <w:nsid w:val="2539DFA5"/>
    <w:multiLevelType w:val="hybridMultilevel"/>
    <w:lvl w:ilvl="0">
      <w:lvlJc w:val="left"/>
      <w:lvlText w:val="2"/>
      <w:numFmt w:val="bullet"/>
      <w:start w:val="1"/>
    </w:lvl>
  </w:abstractNum>
  <w:abstractNum w:abstractNumId="204">
    <w:nsid w:val="2DB88089"/>
    <w:multiLevelType w:val="hybridMultilevel"/>
    <w:lvl w:ilvl="0">
      <w:lvlJc w:val="left"/>
      <w:lvlText w:val="%1."/>
      <w:numFmt w:val="decimal"/>
      <w:start w:val="1"/>
    </w:lvl>
  </w:abstractNum>
  <w:abstractNum w:abstractNumId="205">
    <w:nsid w:val="706B674E"/>
    <w:multiLevelType w:val="hybridMultilevel"/>
    <w:lvl w:ilvl="0">
      <w:lvlJc w:val="left"/>
      <w:lvlText w:val="%1."/>
      <w:numFmt w:val="decimal"/>
      <w:start w:val="1"/>
    </w:lvl>
  </w:abstractNum>
  <w:abstractNum w:abstractNumId="206">
    <w:nsid w:val="2C106A57"/>
    <w:multiLevelType w:val="hybridMultilevel"/>
    <w:lvl w:ilvl="0">
      <w:lvlJc w:val="left"/>
      <w:lvlText w:val="%1."/>
      <w:numFmt w:val="decimal"/>
      <w:start w:val="1"/>
    </w:lvl>
  </w:abstractNum>
  <w:abstractNum w:abstractNumId="207">
    <w:nsid w:val="684EED59"/>
    <w:multiLevelType w:val="hybridMultilevel"/>
    <w:lvl w:ilvl="0">
      <w:lvlJc w:val="left"/>
      <w:lvlText w:val="%1."/>
      <w:numFmt w:val="decimal"/>
      <w:start w:val="3"/>
    </w:lvl>
  </w:abstractNum>
  <w:abstractNum w:abstractNumId="208">
    <w:nsid w:val="545EE5D3"/>
    <w:multiLevelType w:val="hybridMultilevel"/>
    <w:lvl w:ilvl="0">
      <w:lvlJc w:val="left"/>
      <w:lvlText w:val="%1."/>
      <w:numFmt w:val="decimal"/>
      <w:start w:val="4"/>
    </w:lvl>
  </w:abstractNum>
  <w:abstractNum w:abstractNumId="209">
    <w:nsid w:val="4A66051"/>
    <w:multiLevelType w:val="hybridMultilevel"/>
    <w:lvl w:ilvl="0">
      <w:lvlJc w:val="left"/>
      <w:lvlText w:val="1"/>
      <w:numFmt w:val="bullet"/>
      <w:start w:val="1"/>
    </w:lvl>
  </w:abstractNum>
  <w:abstractNum w:abstractNumId="210">
    <w:nsid w:val="20F4BDAD"/>
    <w:multiLevelType w:val="hybridMultilevel"/>
    <w:lvl w:ilvl="0">
      <w:lvlJc w:val="left"/>
      <w:lvlText w:val="%1."/>
      <w:numFmt w:val="decimal"/>
      <w:start w:val="1"/>
    </w:lvl>
  </w:abstractNum>
  <w:abstractNum w:abstractNumId="211">
    <w:nsid w:val="639DEFAC"/>
    <w:multiLevelType w:val="hybridMultilevel"/>
    <w:lvl w:ilvl="0">
      <w:lvlJc w:val="left"/>
      <w:lvlText w:val="%1."/>
      <w:numFmt w:val="decimal"/>
      <w:start w:val="5"/>
    </w:lvl>
  </w:abstractNum>
  <w:abstractNum w:abstractNumId="212">
    <w:nsid w:val="501F9786"/>
    <w:multiLevelType w:val="hybridMultilevel"/>
    <w:lvl w:ilvl="0">
      <w:lvlJc w:val="left"/>
      <w:lvlText w:val="%1."/>
      <w:numFmt w:val="decimal"/>
      <w:start w:val="1"/>
    </w:lvl>
  </w:abstractNum>
  <w:abstractNum w:abstractNumId="213">
    <w:nsid w:val="6B057295"/>
    <w:multiLevelType w:val="hybridMultilevel"/>
    <w:lvl w:ilvl="0">
      <w:lvlJc w:val="left"/>
      <w:lvlText w:val="%1"/>
      <w:numFmt w:val="decimal"/>
      <w:start w:val="12"/>
    </w:lvl>
  </w:abstractNum>
  <w:abstractNum w:abstractNumId="214">
    <w:nsid w:val="2771AC80"/>
    <w:multiLevelType w:val="hybridMultilevel"/>
    <w:lvl w:ilvl="0">
      <w:lvlJc w:val="left"/>
      <w:lvlText w:val="%1."/>
      <w:numFmt w:val="decimal"/>
      <w:start w:val="3"/>
    </w:lvl>
  </w:abstractNum>
  <w:abstractNum w:abstractNumId="215">
    <w:nsid w:val="1C4A08EC"/>
    <w:multiLevelType w:val="hybridMultilevel"/>
    <w:lvl w:ilvl="0">
      <w:lvlJc w:val="left"/>
      <w:lvlText w:val="%1"/>
      <w:numFmt w:val="decimal"/>
      <w:start w:val="16"/>
    </w:lvl>
  </w:abstractNum>
  <w:abstractNum w:abstractNumId="216">
    <w:nsid w:val="1958BD17"/>
    <w:multiLevelType w:val="hybridMultilevel"/>
    <w:lvl w:ilvl="0">
      <w:lvlJc w:val="left"/>
      <w:lvlText w:val="%1"/>
      <w:numFmt w:val="decimal"/>
      <w:start w:val="22"/>
    </w:lvl>
  </w:abstractNum>
  <w:abstractNum w:abstractNumId="217">
    <w:nsid w:val="4E647FE4"/>
    <w:multiLevelType w:val="hybridMultilevel"/>
    <w:lvl w:ilvl="0">
      <w:lvlJc w:val="left"/>
      <w:lvlText w:val="%1."/>
      <w:numFmt w:val="decimal"/>
      <w:start w:val="1"/>
    </w:lvl>
  </w:abstractNum>
  <w:abstractNum w:abstractNumId="218">
    <w:nsid w:val="E0BB885"/>
    <w:multiLevelType w:val="hybridMultilevel"/>
    <w:lvl w:ilvl="0">
      <w:lvlJc w:val="left"/>
      <w:lvlText w:val="(%1)"/>
      <w:numFmt w:val="lowerRoman"/>
      <w:start w:val="1"/>
    </w:lvl>
    <w:lvl w:ilvl="1">
      <w:lvlJc w:val="left"/>
      <w:lvlText w:val="%2."/>
      <w:numFmt w:val="decimal"/>
      <w:start w:val="2"/>
    </w:lvl>
  </w:abstractNum>
  <w:abstractNum w:abstractNumId="219">
    <w:nsid w:val="565976F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2024-10-30T05:17:44Z</dcterms:created>
  <dcterms:modified xsi:type="dcterms:W3CDTF">2024-10-30T05:17:44Z</dcterms:modified>
</cp:coreProperties>
</file>