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3" w:lineRule="exact"/>
        <w:rPr>
          <w:sz w:val="24"/>
          <w:szCs w:val="24"/>
          <w:color w:val="auto"/>
        </w:rPr>
      </w:pPr>
    </w:p>
    <w:p>
      <w:pPr>
        <w:ind w:left="4240" w:right="1820" w:hanging="2411"/>
        <w:spacing w:after="0" w:line="272" w:lineRule="auto"/>
        <w:tabs>
          <w:tab w:leader="none" w:pos="2098"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July 31, 2024</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4" w:lineRule="exact"/>
        <w:rPr>
          <w:rFonts w:ascii="MS PGothic" w:cs="MS PGothic" w:eastAsia="MS PGothic" w:hAnsi="MS PGothic"/>
          <w:sz w:val="14"/>
          <w:szCs w:val="14"/>
          <w:color w:val="auto"/>
        </w:rPr>
      </w:pPr>
    </w:p>
    <w:p>
      <w:pPr>
        <w:ind w:left="4460" w:right="1820" w:hanging="2635"/>
        <w:spacing w:after="0" w:line="260" w:lineRule="auto"/>
        <w:tabs>
          <w:tab w:leader="none" w:pos="2106"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tbl>
      <w:tblPr>
        <w:tblLayout w:type="fixed"/>
        <w:tblInd w:w="0" w:type="dxa"/>
        <w:tblCellMar>
          <w:top w:w="0" w:type="dxa"/>
          <w:left w:w="0" w:type="dxa"/>
          <w:bottom w:w="0" w:type="dxa"/>
          <w:right w:w="0" w:type="dxa"/>
        </w:tblCellMar>
      </w:tblPr>
      <w:tr>
        <w:trPr>
          <w:trHeight w:val="238"/>
        </w:trPr>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99"/>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31"/>
                <w:szCs w:val="31"/>
                <w:b w:val="1"/>
                <w:bCs w:val="1"/>
                <w:color w:val="auto"/>
                <w:w w:val="99"/>
              </w:rPr>
              <w:t>nCino, Inc.</w:t>
            </w: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1340" w:type="dxa"/>
            <w:vAlign w:val="bottom"/>
          </w:tcPr>
          <w:p>
            <w:pPr>
              <w:spacing w:after="0"/>
              <w:rPr>
                <w:sz w:val="21"/>
                <w:szCs w:val="21"/>
                <w:color w:val="auto"/>
              </w:rPr>
            </w:pPr>
          </w:p>
        </w:tc>
        <w:tc>
          <w:tcPr>
            <w:tcW w:w="232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4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3660" w:type="dxa"/>
            <w:vAlign w:val="bottom"/>
            <w:gridSpan w:val="3"/>
          </w:tcPr>
          <w:p>
            <w:pPr>
              <w:jc w:val="center"/>
              <w:ind w:left="4"/>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3660" w:type="dxa"/>
            <w:vAlign w:val="bottom"/>
            <w:gridSpan w:val="3"/>
          </w:tcPr>
          <w:p>
            <w:pPr>
              <w:jc w:val="center"/>
              <w:ind w:left="2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1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36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80"/>
        </w:trPr>
        <w:tc>
          <w:tcPr>
            <w:tcW w:w="1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0" w:type="dxa"/>
            <w:vAlign w:val="bottom"/>
            <w:gridSpan w:val="3"/>
          </w:tcPr>
          <w:p>
            <w:pPr>
              <w:jc w:val="center"/>
              <w:ind w:right="60"/>
              <w:spacing w:after="0" w:line="180" w:lineRule="exact"/>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98"/>
        </w:trPr>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gridSpan w:val="2"/>
          </w:tcPr>
          <w:p>
            <w:pPr>
              <w:jc w:val="center"/>
              <w:ind w:left="1334"/>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36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6"/>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13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4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40" w:type="dxa"/>
            <w:vAlign w:val="bottom"/>
            <w:gridSpan w:val="2"/>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660" w:type="dxa"/>
            <w:vAlign w:val="bottom"/>
            <w:gridSpan w:val="3"/>
          </w:tcPr>
          <w:p>
            <w:pPr>
              <w:jc w:val="center"/>
              <w:ind w:left="4"/>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380" w:type="dxa"/>
            <w:vAlign w:val="bottom"/>
          </w:tcPr>
          <w:p>
            <w:pPr>
              <w:spacing w:after="0"/>
              <w:rPr>
                <w:sz w:val="18"/>
                <w:szCs w:val="18"/>
                <w:color w:val="auto"/>
              </w:rPr>
            </w:pPr>
          </w:p>
        </w:tc>
        <w:tc>
          <w:tcPr>
            <w:tcW w:w="2620" w:type="dxa"/>
            <w:vAlign w:val="bottom"/>
            <w:gridSpan w:val="2"/>
          </w:tcPr>
          <w:p>
            <w:pPr>
              <w:jc w:val="center"/>
              <w:ind w:right="1480"/>
              <w:spacing w:after="0"/>
              <w:rPr>
                <w:sz w:val="20"/>
                <w:szCs w:val="20"/>
                <w:color w:val="auto"/>
              </w:rPr>
            </w:pPr>
            <w:r>
              <w:rPr>
                <w:rFonts w:ascii="Times New Roman" w:cs="Times New Roman" w:eastAsia="Times New Roman" w:hAnsi="Times New Roman"/>
                <w:sz w:val="14"/>
                <w:szCs w:val="14"/>
                <w:color w:val="auto"/>
              </w:rPr>
              <w:t>NCNO</w:t>
            </w: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325"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3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3"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9"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343"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59" w:lineRule="exact"/>
        <w:rPr>
          <w:sz w:val="24"/>
          <w:szCs w:val="24"/>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56"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115,559,517 shares of common stock, $0.0005 par value per share, as of August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106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479"/>
        </w:trPr>
        <w:tc>
          <w:tcPr>
            <w:tcW w:w="2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6440" w:type="dxa"/>
            <w:vAlign w:val="bottom"/>
            <w:gridSpan w:val="14"/>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7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6"/>
          </w:tcPr>
          <w:p>
            <w:pPr>
              <w:spacing w:after="0"/>
              <w:rPr>
                <w:sz w:val="18"/>
                <w:szCs w:val="18"/>
                <w:color w:val="auto"/>
              </w:rPr>
            </w:pPr>
          </w:p>
        </w:tc>
        <w:tc>
          <w:tcPr>
            <w:tcW w:w="37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January 31, 2024 and July 31, 2024 (Unaudited)</w:t>
            </w:r>
          </w:p>
        </w:tc>
        <w:tc>
          <w:tcPr>
            <w:tcW w:w="28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Operations for the Three and Six Months Ended July 31, 2023 and 2024</w:t>
            </w:r>
          </w:p>
        </w:tc>
        <w:tc>
          <w:tcPr>
            <w:tcW w:w="84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Comprehensive Loss for the Three and Six Months Ended July 31, 2023 and 2024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Stockholders' Equity for the Three and Six Months Ended July 31, 2023 and 2024</w:t>
            </w:r>
          </w:p>
        </w:tc>
        <w:tc>
          <w:tcPr>
            <w:tcW w:w="14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1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for the Six Months Ended July 31, 2023 and 2024</w:t>
            </w:r>
          </w:p>
        </w:tc>
        <w:tc>
          <w:tcPr>
            <w:tcW w:w="156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4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4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7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20" w:type="dxa"/>
            <w:vAlign w:val="bottom"/>
            <w:gridSpan w:val="12"/>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6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440" w:type="dxa"/>
            <w:vAlign w:val="bottom"/>
            <w:gridSpan w:val="6"/>
          </w:tcPr>
          <w:p>
            <w:pPr>
              <w:spacing w:after="0"/>
              <w:rPr>
                <w:sz w:val="18"/>
                <w:szCs w:val="18"/>
                <w:color w:val="auto"/>
              </w:rPr>
            </w:pPr>
          </w:p>
        </w:tc>
        <w:tc>
          <w:tcPr>
            <w:tcW w:w="2060" w:type="dxa"/>
            <w:vAlign w:val="bottom"/>
            <w:tcBorders>
              <w:top w:val="single" w:sz="8" w:color="0000FF"/>
            </w:tcBorders>
            <w:gridSpan w:val="4"/>
          </w:tcPr>
          <w:p>
            <w:pPr>
              <w:spacing w:after="0"/>
              <w:rPr>
                <w:sz w:val="18"/>
                <w:szCs w:val="18"/>
                <w:color w:val="auto"/>
              </w:rPr>
            </w:pPr>
          </w:p>
        </w:tc>
        <w:tc>
          <w:tcPr>
            <w:tcW w:w="386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360" w:type="dxa"/>
            <w:vAlign w:val="bottom"/>
            <w:gridSpan w:val="11"/>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38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940" w:type="dxa"/>
            <w:vAlign w:val="bottom"/>
            <w:gridSpan w:val="16"/>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100" w:type="dxa"/>
            <w:vAlign w:val="bottom"/>
            <w:gridSpan w:val="2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1040"/>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w:t>
      </w:r>
    </w:p>
    <w:p>
      <w:pPr>
        <w:spacing w:after="0" w:line="180"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6"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“nCino,” the “Company,” “we,” “us,” and “our” mean nCino, Inc. and its subsidiaries unless the context indicates otherwise.</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80" w:type="dxa"/>
            <w:vAlign w:val="bottom"/>
          </w:tcPr>
          <w:p>
            <w:pPr>
              <w:spacing w:after="0"/>
              <w:rPr>
                <w:sz w:val="16"/>
                <w:szCs w:val="16"/>
                <w:color w:val="auto"/>
              </w:rPr>
            </w:pPr>
          </w:p>
        </w:tc>
        <w:tc>
          <w:tcPr>
            <w:tcW w:w="11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31, 2024</w:t>
            </w:r>
          </w:p>
        </w:tc>
      </w:tr>
      <w:tr>
        <w:trPr>
          <w:trHeight w:val="23"/>
        </w:trPr>
        <w:tc>
          <w:tcPr>
            <w:tcW w:w="8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8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$2,277 and $1,963 at January 31, 2024 and July 31, 2024, respectively)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121,410</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 less allowances of $1,451 and $1,204 at January 31, 2024 and July 31, 2024, respectively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78,819</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11,565</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250,775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228,751</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76,785</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908,000</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(related party $2,500 at January 31, 2024 and July 31, 2024)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1,408,747</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r>
      <w:tr>
        <w:trPr>
          <w:trHeight w:val="229"/>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r>
      <w:tr>
        <w:trPr>
          <w:trHeight w:val="230"/>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172,038</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210,977</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r>
      <w:tr>
        <w:trPr>
          <w:trHeight w:val="223"/>
        </w:trPr>
        <w:tc>
          <w:tcPr>
            <w:tcW w:w="85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287,826</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329,759</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5"/>
        </w:trPr>
        <w:tc>
          <w:tcPr>
            <w:tcW w:w="856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as of</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31, 2024 and July 31, 2024</w:t>
            </w:r>
          </w:p>
        </w:tc>
        <w:tc>
          <w:tcPr>
            <w:tcW w:w="12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6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as of January 31, 2024 and July 31, 2024;</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4"/>
        </w:trPr>
        <w:tc>
          <w:tcPr>
            <w:tcW w:w="8560" w:type="dxa"/>
            <w:vAlign w:val="bottom"/>
            <w:shd w:val="clear" w:color="auto" w:fill="CCEEFF"/>
          </w:tcPr>
          <w:p>
            <w:pPr>
              <w:ind w:left="620"/>
              <w:spacing w:after="0" w:line="184" w:lineRule="exact"/>
              <w:rPr>
                <w:sz w:val="20"/>
                <w:szCs w:val="20"/>
                <w:color w:val="auto"/>
              </w:rPr>
            </w:pPr>
            <w:r>
              <w:rPr>
                <w:rFonts w:ascii="Times New Roman" w:cs="Times New Roman" w:eastAsia="Times New Roman" w:hAnsi="Times New Roman"/>
                <w:sz w:val="18"/>
                <w:szCs w:val="18"/>
                <w:color w:val="auto"/>
              </w:rPr>
              <w:t>113,684,299 and 115,387,309 shares issued and outstanding as of January 31, 2024 and July 31, 2024,</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8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1,439,245</w:t>
            </w:r>
          </w:p>
        </w:tc>
      </w:tr>
      <w:tr>
        <w:trPr>
          <w:trHeight w:val="230"/>
        </w:trPr>
        <w:tc>
          <w:tcPr>
            <w:tcW w:w="8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30"/>
        </w:trPr>
        <w:tc>
          <w:tcPr>
            <w:tcW w:w="8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(365,855)</w:t>
            </w:r>
          </w:p>
        </w:tc>
      </w:tr>
      <w:tr>
        <w:trPr>
          <w:trHeight w:val="223"/>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1,074,855</w:t>
            </w:r>
          </w:p>
        </w:tc>
      </w:tr>
      <w:tr>
        <w:trPr>
          <w:trHeight w:val="223"/>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1,340,430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1,408,747</w:t>
            </w:r>
          </w:p>
        </w:tc>
      </w:tr>
      <w:tr>
        <w:trPr>
          <w:trHeight w:val="21"/>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260,490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155,379</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59,758</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3"/>
        </w:trPr>
        <w:tc>
          <w:tcPr>
            <w:tcW w:w="524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(Note</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176"/>
        </w:trPr>
        <w:tc>
          <w:tcPr>
            <w:tcW w:w="52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(Note 3)</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loss attributable to nCino,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nCino, Inc.: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112,396,716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115,180,130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112,262,527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114,694,001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(13,320)</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5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3"/>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(12,911)</w:t>
            </w:r>
          </w:p>
        </w:tc>
      </w:tr>
      <w:tr>
        <w:trPr>
          <w:trHeight w:val="156"/>
        </w:trPr>
        <w:tc>
          <w:tcPr>
            <w:tcW w:w="5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Less comprehensive loss attributable to redeemable non-controlling</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2"/>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175"/>
        </w:trPr>
        <w:tc>
          <w:tcPr>
            <w:tcW w:w="53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attributable to redeemable non-</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controlling interest</w:t>
            </w:r>
          </w:p>
        </w:tc>
        <w:tc>
          <w:tcPr>
            <w:tcW w:w="3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1"/>
        </w:trPr>
        <w:tc>
          <w:tcPr>
            <w:tcW w:w="5320" w:type="dxa"/>
            <w:vAlign w:val="bottom"/>
            <w:tcBorders>
              <w:top w:val="single" w:sz="8" w:color="CCEEFF"/>
            </w:tcBorders>
            <w:shd w:val="clear" w:color="auto" w:fill="CCEEFF"/>
          </w:tcPr>
          <w:p>
            <w:pPr>
              <w:ind w:left="680"/>
              <w:spacing w:after="0" w:line="201" w:lineRule="exact"/>
              <w:rPr>
                <w:sz w:val="20"/>
                <w:szCs w:val="20"/>
                <w:color w:val="auto"/>
              </w:rPr>
            </w:pPr>
            <w:r>
              <w:rPr>
                <w:rFonts w:ascii="Times New Roman" w:cs="Times New Roman" w:eastAsia="Times New Roman" w:hAnsi="Times New Roman"/>
                <w:sz w:val="18"/>
                <w:szCs w:val="18"/>
                <w:b w:val="1"/>
                <w:bCs w:val="1"/>
                <w:color w:val="auto"/>
              </w:rPr>
              <w:t>Comprehensive loss attributable to redeemable non-</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65"/>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53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 attributable to nCino,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w:t>
            </w: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 2023</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12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40" w:type="dxa"/>
            <w:vAlign w:val="bottom"/>
          </w:tcPr>
          <w:p>
            <w:pPr>
              <w:spacing w:after="0"/>
              <w:rPr>
                <w:sz w:val="8"/>
                <w:szCs w:val="8"/>
                <w:color w:val="auto"/>
              </w:rPr>
            </w:pPr>
          </w:p>
        </w:tc>
        <w:tc>
          <w:tcPr>
            <w:tcW w:w="21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restart"/>
          </w:tcPr>
          <w:p>
            <w:pPr>
              <w:jc w:val="center"/>
              <w:ind w:right="18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60" w:type="dxa"/>
            <w:vAlign w:val="bottom"/>
          </w:tcPr>
          <w:p>
            <w:pPr>
              <w:spacing w:after="0"/>
              <w:rPr>
                <w:sz w:val="8"/>
                <w:szCs w:val="8"/>
                <w:color w:val="auto"/>
              </w:rPr>
            </w:pPr>
          </w:p>
        </w:tc>
        <w:tc>
          <w:tcPr>
            <w:tcW w:w="1080" w:type="dxa"/>
            <w:vAlign w:val="bottom"/>
            <w:gridSpan w:val="2"/>
            <w:vMerge w:val="restart"/>
          </w:tcPr>
          <w:p>
            <w:pPr>
              <w:ind w:left="4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4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30, 2023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112,200,481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(321,705)</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1,025,419</w:t>
            </w:r>
          </w:p>
        </w:tc>
        <w:tc>
          <w:tcPr>
            <w:tcW w:w="0" w:type="dxa"/>
            <w:vAlign w:val="bottom"/>
          </w:tcPr>
          <w:p>
            <w:pPr>
              <w:spacing w:after="0"/>
              <w:rPr>
                <w:sz w:val="1"/>
                <w:szCs w:val="1"/>
                <w:color w:val="auto"/>
              </w:rPr>
            </w:pPr>
          </w:p>
        </w:tc>
      </w:tr>
      <w:tr>
        <w:trPr>
          <w:trHeight w:val="229"/>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247,945</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120,084</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0" w:type="dxa"/>
            <w:vAlign w:val="bottom"/>
          </w:tcPr>
          <w:p>
            <w:pPr>
              <w:spacing w:after="0"/>
              <w:rPr>
                <w:sz w:val="1"/>
                <w:szCs w:val="1"/>
                <w:color w:val="auto"/>
              </w:rPr>
            </w:pPr>
          </w:p>
        </w:tc>
      </w:tr>
      <w:tr>
        <w:trPr>
          <w:trHeight w:val="234"/>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2343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377190"/>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ind w:left="520" w:hanging="161"/>
        <w:spacing w:after="0" w:line="230" w:lineRule="auto"/>
        <w:rPr>
          <w:sz w:val="20"/>
          <w:szCs w:val="20"/>
          <w:color w:val="auto"/>
        </w:rPr>
      </w:pPr>
      <w:r>
        <w:rPr>
          <w:rFonts w:ascii="Times New Roman" w:cs="Times New Roman" w:eastAsia="Times New Roman" w:hAnsi="Times New Roman"/>
          <w:sz w:val="17"/>
          <w:szCs w:val="17"/>
          <w:color w:val="auto"/>
        </w:rPr>
        <w:t>Net loss attributable to nCino, Inc., including adjustment to redeemable non-controlling</w:t>
      </w:r>
    </w:p>
    <w:p>
      <w:pPr>
        <w:ind w:left="520"/>
        <w:spacing w:after="0"/>
        <w:rPr>
          <w:sz w:val="20"/>
          <w:szCs w:val="20"/>
          <w:color w:val="auto"/>
        </w:rPr>
      </w:pPr>
      <w:r>
        <w:rPr>
          <w:rFonts w:ascii="Times New Roman" w:cs="Times New Roman" w:eastAsia="Times New Roman" w:hAnsi="Times New Roman"/>
          <w:sz w:val="18"/>
          <w:szCs w:val="18"/>
          <w:color w:val="auto"/>
        </w:rPr>
        <w:t>interest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July 31, 2023</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0" w:type="dxa"/>
            <w:vAlign w:val="bottom"/>
          </w:tcPr>
          <w:p>
            <w:pPr>
              <w:spacing w:after="0"/>
              <w:rPr>
                <w:sz w:val="1"/>
                <w:szCs w:val="1"/>
                <w:color w:val="auto"/>
              </w:rPr>
            </w:pP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112,661,660</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1,364,757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1,028,141</w:t>
            </w:r>
          </w:p>
        </w:tc>
        <w:tc>
          <w:tcPr>
            <w:tcW w:w="0" w:type="dxa"/>
            <w:vAlign w:val="bottom"/>
          </w:tcPr>
          <w:p>
            <w:pPr>
              <w:spacing w:after="0"/>
              <w:rPr>
                <w:sz w:val="1"/>
                <w:szCs w:val="1"/>
                <w:color w:val="auto"/>
              </w:rPr>
            </w:pP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 2024</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ind w:left="26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5"/>
                <w:szCs w:val="5"/>
                <w:color w:val="auto"/>
              </w:rPr>
            </w:pPr>
          </w:p>
        </w:tc>
        <w:tc>
          <w:tcPr>
            <w:tcW w:w="10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line="20" w:lineRule="exact"/>
              <w:rPr>
                <w:sz w:val="1"/>
                <w:szCs w:val="1"/>
                <w:color w:val="auto"/>
              </w:rPr>
            </w:pPr>
          </w:p>
        </w:tc>
      </w:tr>
      <w:tr>
        <w:trPr>
          <w:trHeight w:val="188"/>
        </w:trPr>
        <w:tc>
          <w:tcPr>
            <w:tcW w:w="12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240"/>
            <w:col w:w="7380"/>
          </w:cols>
          <w:pgMar w:left="320" w:top="117" w:right="35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April 30,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114,339,887</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1,417,838</w:t>
            </w: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(354,890)</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1,063,877</w:t>
            </w: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940,029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3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r>
      <w:tr>
        <w:trPr>
          <w:trHeight w:val="230"/>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175"/>
        </w:trPr>
        <w:tc>
          <w:tcPr>
            <w:tcW w:w="38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84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r>
      <w:tr>
        <w:trPr>
          <w:trHeight w:val="22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July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115,387,309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1,439,245</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(365,855)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1,074,855</w:t>
            </w:r>
          </w:p>
        </w:tc>
      </w:tr>
      <w:tr>
        <w:trPr>
          <w:trHeight w:val="20"/>
        </w:trPr>
        <w:tc>
          <w:tcPr>
            <w:tcW w:w="3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 2023</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210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color w:val="auto"/>
              </w:rPr>
              <w:t>Common Stock</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40"/>
              <w:spacing w:after="0" w:line="118" w:lineRule="exact"/>
              <w:rPr>
                <w:sz w:val="20"/>
                <w:szCs w:val="20"/>
                <w:color w:val="auto"/>
              </w:rPr>
            </w:pPr>
            <w:r>
              <w:rPr>
                <w:rFonts w:ascii="Times New Roman" w:cs="Times New Roman" w:eastAsia="Times New Roman" w:hAnsi="Times New Roman"/>
                <w:sz w:val="13"/>
                <w:szCs w:val="13"/>
                <w:color w:val="auto"/>
              </w:rPr>
              <w:t>Paid-in</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00"/>
              <w:spacing w:after="0" w:line="118" w:lineRule="exact"/>
              <w:rPr>
                <w:sz w:val="20"/>
                <w:szCs w:val="20"/>
                <w:color w:val="auto"/>
              </w:rPr>
            </w:pPr>
            <w:r>
              <w:rPr>
                <w:rFonts w:ascii="Times New Roman" w:cs="Times New Roman" w:eastAsia="Times New Roman" w:hAnsi="Times New Roman"/>
                <w:sz w:val="13"/>
                <w:szCs w:val="13"/>
                <w:color w:val="auto"/>
              </w:rPr>
              <w:t>Comprehensive</w:t>
            </w:r>
          </w:p>
        </w:tc>
        <w:tc>
          <w:tcPr>
            <w:tcW w:w="140" w:type="dxa"/>
            <w:vAlign w:val="bottom"/>
          </w:tcPr>
          <w:p>
            <w:pPr>
              <w:spacing w:after="0"/>
              <w:rPr>
                <w:sz w:val="8"/>
                <w:szCs w:val="8"/>
                <w:color w:val="auto"/>
              </w:rPr>
            </w:pPr>
          </w:p>
        </w:tc>
        <w:tc>
          <w:tcPr>
            <w:tcW w:w="1100" w:type="dxa"/>
            <w:vAlign w:val="bottom"/>
            <w:gridSpan w:val="2"/>
            <w:vMerge w:val="restart"/>
          </w:tcPr>
          <w:p>
            <w:pPr>
              <w:ind w:left="60"/>
              <w:spacing w:after="0" w:line="118" w:lineRule="exact"/>
              <w:rPr>
                <w:sz w:val="20"/>
                <w:szCs w:val="20"/>
                <w:color w:val="auto"/>
              </w:rPr>
            </w:pPr>
            <w:r>
              <w:rPr>
                <w:rFonts w:ascii="Times New Roman" w:cs="Times New Roman" w:eastAsia="Times New Roman" w:hAnsi="Times New Roman"/>
                <w:sz w:val="13"/>
                <w:szCs w:val="13"/>
                <w:color w:val="auto"/>
              </w:rPr>
              <w:t>Accumulated</w:t>
            </w: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Income (Loss)</w:t>
            </w:r>
          </w:p>
        </w:tc>
        <w:tc>
          <w:tcPr>
            <w:tcW w:w="14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7"/>
                <w:szCs w:val="17"/>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2023</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111,424,132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(310,341)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1,024,078</w:t>
            </w: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340,668</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776,776</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120,084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w:t>
            </w:r>
          </w:p>
        </w:tc>
        <w:tc>
          <w:tcPr>
            <w:tcW w:w="0" w:type="dxa"/>
            <w:vAlign w:val="bottom"/>
          </w:tcPr>
          <w:p>
            <w:pPr>
              <w:spacing w:after="0"/>
              <w:rPr>
                <w:sz w:val="1"/>
                <w:szCs w:val="1"/>
                <w:color w:val="auto"/>
              </w:rPr>
            </w:pPr>
          </w:p>
        </w:tc>
      </w:tr>
      <w:tr>
        <w:trPr>
          <w:trHeight w:val="234"/>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ind w:left="520" w:hanging="161"/>
        <w:spacing w:after="0" w:line="230" w:lineRule="auto"/>
        <w:rPr>
          <w:sz w:val="20"/>
          <w:szCs w:val="20"/>
          <w:color w:val="auto"/>
        </w:rPr>
      </w:pPr>
      <w:r>
        <w:rPr>
          <w:rFonts w:ascii="Times New Roman" w:cs="Times New Roman" w:eastAsia="Times New Roman" w:hAnsi="Times New Roman"/>
          <w:sz w:val="17"/>
          <w:szCs w:val="17"/>
          <w:color w:val="auto"/>
        </w:rPr>
        <w:t>Net loss attributable to nCino, Inc., including adjustment to redeemable non-controlling</w:t>
      </w:r>
    </w:p>
    <w:p>
      <w:pPr>
        <w:ind w:left="520"/>
        <w:spacing w:after="0"/>
        <w:rPr>
          <w:sz w:val="20"/>
          <w:szCs w:val="20"/>
          <w:color w:val="auto"/>
        </w:rPr>
      </w:pPr>
      <w:r>
        <w:rPr>
          <w:rFonts w:ascii="Times New Roman" w:cs="Times New Roman" w:eastAsia="Times New Roman" w:hAnsi="Times New Roman"/>
          <w:sz w:val="18"/>
          <w:szCs w:val="18"/>
          <w:color w:val="auto"/>
        </w:rPr>
        <w:t>interest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July 31, 2023</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112,661,660</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1,364,757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(337,516)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1,028,141</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July 31, 2024</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100" w:type="dxa"/>
            <w:vAlign w:val="bottom"/>
            <w:gridSpan w:val="3"/>
            <w:vMerge w:val="restart"/>
          </w:tcPr>
          <w:p>
            <w:pPr>
              <w:jc w:val="right"/>
              <w:ind w:right="399"/>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1"/>
                <w:szCs w:val="11"/>
                <w:color w:val="auto"/>
              </w:rPr>
            </w:pPr>
          </w:p>
        </w:tc>
        <w:tc>
          <w:tcPr>
            <w:tcW w:w="11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10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color w:val="auto"/>
              </w:rPr>
              <w:t>Paid-in</w:t>
            </w:r>
          </w:p>
        </w:tc>
        <w:tc>
          <w:tcPr>
            <w:tcW w:w="1260" w:type="dxa"/>
            <w:vAlign w:val="bottom"/>
            <w:gridSpan w:val="3"/>
            <w:vMerge w:val="restart"/>
          </w:tcPr>
          <w:p>
            <w:pPr>
              <w:jc w:val="center"/>
              <w:ind w:right="160"/>
              <w:spacing w:after="0" w:line="122"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8"/>
                <w:szCs w:val="8"/>
                <w:color w:val="auto"/>
              </w:rPr>
            </w:pPr>
          </w:p>
        </w:tc>
        <w:tc>
          <w:tcPr>
            <w:tcW w:w="1100" w:type="dxa"/>
            <w:vAlign w:val="bottom"/>
            <w:gridSpan w:val="2"/>
            <w:vMerge w:val="restart"/>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2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00" w:space="220"/>
            <w:col w:w="74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113,684,299</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1,049,176</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 restricted stock</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1,396,317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8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 employee stock</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35,033</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175"/>
        </w:trPr>
        <w:tc>
          <w:tcPr>
            <w:tcW w:w="38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 Inc., including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5"/>
        </w:trPr>
        <w:tc>
          <w:tcPr>
            <w:tcW w:w="38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adjustment to redeemable non-controlling</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3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July 31, 2024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115,387,309</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1,439,245</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(365,855)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1,074,855</w:t>
            </w:r>
          </w:p>
        </w:tc>
      </w:tr>
      <w:tr>
        <w:trPr>
          <w:trHeight w:val="21"/>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33655</wp:posOffset>
            </wp:positionV>
            <wp:extent cx="1791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5" w:lineRule="exact"/>
        <w:rPr>
          <w:sz w:val="20"/>
          <w:szCs w:val="20"/>
          <w:color w:val="auto"/>
        </w:rPr>
      </w:pPr>
    </w:p>
    <w:p>
      <w:pPr>
        <w:jc w:val="both"/>
        <w:ind w:left="896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2024</w:t>
      </w:r>
    </w:p>
    <w:p>
      <w:pPr>
        <w:sectPr>
          <w:pgSz w:w="11900" w:h="16838" w:orient="portrait"/>
          <w:cols w:equalWidth="0" w:num="1">
            <w:col w:w="11240"/>
          </w:cols>
          <w:pgMar w:left="320" w:top="22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Net loss attributable to nCino, Inc.</w:t>
      </w:r>
    </w:p>
    <w:p>
      <w:pPr>
        <w:spacing w:after="0" w:line="46" w:lineRule="exact"/>
        <w:rPr>
          <w:sz w:val="20"/>
          <w:szCs w:val="20"/>
          <w:color w:val="auto"/>
        </w:rPr>
      </w:pPr>
    </w:p>
    <w:p>
      <w:pPr>
        <w:ind w:left="360" w:right="2500"/>
        <w:spacing w:after="0" w:line="299" w:lineRule="auto"/>
        <w:rPr>
          <w:sz w:val="20"/>
          <w:szCs w:val="20"/>
          <w:color w:val="auto"/>
        </w:rPr>
      </w:pPr>
      <w:r>
        <w:rPr>
          <w:rFonts w:ascii="Times New Roman" w:cs="Times New Roman" w:eastAsia="Times New Roman" w:hAnsi="Times New Roman"/>
          <w:sz w:val="16"/>
          <w:szCs w:val="16"/>
          <w:color w:val="auto"/>
        </w:rPr>
        <w:t>Net loss and adjustment attributable to redeemable non-controlling interest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costs capitalized to obtain revenue contracts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Provision for bad debt</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Net foreign currency losses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Loss on disposal of long-lived assets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Costs capitalized to obtain revenue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Accrued expenses and other liabilities</w:t>
      </w:r>
    </w:p>
    <w:p>
      <w:pPr>
        <w:spacing w:after="0" w:line="4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Acquisition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Purchases of property and equipment</w:t>
      </w:r>
    </w:p>
    <w:p>
      <w:pPr>
        <w:spacing w:after="0" w:line="5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on revolving credit facility</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Exercise of stock options</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Stock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Principal payments on financing obligations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(14,016)</w:t>
            </w:r>
          </w:p>
        </w:tc>
      </w:tr>
      <w:tr>
        <w:trPr>
          <w:trHeight w:val="219"/>
        </w:trPr>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w:t>
            </w:r>
          </w:p>
        </w:tc>
      </w:tr>
      <w:tr>
        <w:trPr>
          <w:trHeight w:val="220"/>
        </w:trPr>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(13,320)</w:t>
            </w:r>
          </w:p>
        </w:tc>
      </w:tr>
      <w:tr>
        <w:trPr>
          <w:trHeight w:val="432"/>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17,219</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35,044</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59"/>
        </w:trPr>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37,778</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(8,382)</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r>
      <w:tr>
        <w:trPr>
          <w:trHeight w:val="243"/>
        </w:trPr>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w:t>
            </w:r>
          </w:p>
        </w:tc>
      </w:tr>
      <w:tr>
        <w:trPr>
          <w:trHeight w:val="216"/>
        </w:trPr>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(2,572)</w:t>
            </w:r>
          </w:p>
        </w:tc>
      </w:tr>
      <w:tr>
        <w:trPr>
          <w:trHeight w:val="246"/>
        </w:trPr>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r>
      <w:tr>
        <w:trPr>
          <w:trHeight w:val="210"/>
        </w:trPr>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43,267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59,441</w:t>
            </w:r>
          </w:p>
        </w:tc>
      </w:tr>
    </w:tbl>
    <w:p>
      <w:pPr>
        <w:spacing w:after="0" w:line="2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—(90,839)</w:t>
      </w:r>
    </w:p>
    <w:p>
      <w:pPr>
        <w:spacing w:after="0" w:line="59" w:lineRule="exact"/>
        <w:rPr>
          <w:sz w:val="20"/>
          <w:szCs w:val="20"/>
          <w:color w:val="auto"/>
        </w:rPr>
      </w:pPr>
    </w:p>
    <w:p>
      <w:pPr>
        <w:ind w:left="2440" w:hanging="1456"/>
        <w:spacing w:after="0"/>
        <w:tabs>
          <w:tab w:leader="none" w:pos="24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(2,464)</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(91,925)</w:t>
            </w:r>
          </w:p>
        </w:tc>
      </w:tr>
      <w:tr>
        <w:trPr>
          <w:trHeight w:val="463"/>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w:t>
            </w:r>
          </w:p>
        </w:tc>
      </w:tr>
      <w:tr>
        <w:trPr>
          <w:trHeight w:val="243"/>
        </w:trPr>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r>
    </w:tbl>
    <w:p>
      <w:pPr>
        <w:spacing w:after="0" w:line="33" w:lineRule="exact"/>
        <w:rPr>
          <w:sz w:val="20"/>
          <w:szCs w:val="20"/>
          <w:color w:val="auto"/>
        </w:rPr>
      </w:pPr>
    </w:p>
    <w:p>
      <w:pPr>
        <w:ind w:left="2440" w:hanging="1456"/>
        <w:spacing w:after="0"/>
        <w:tabs>
          <w:tab w:leader="none" w:pos="2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(722)</w:t>
      </w:r>
    </w:p>
    <w:p>
      <w:pPr>
        <w:spacing w:after="0" w:line="26" w:lineRule="exact"/>
        <w:rPr>
          <w:sz w:val="20"/>
          <w:szCs w:val="20"/>
          <w:color w:val="auto"/>
        </w:rPr>
      </w:pPr>
    </w:p>
    <w:p>
      <w:pPr>
        <w:sectPr>
          <w:pgSz w:w="11900" w:h="16838" w:orient="portrait"/>
          <w:cols w:equalWidth="0" w:num="2">
            <w:col w:w="7700" w:space="720"/>
            <w:col w:w="282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84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43,159</w:t>
            </w:r>
          </w:p>
        </w:tc>
      </w:tr>
      <w:tr>
        <w:trPr>
          <w:trHeight w:val="22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cash equivalents, and restricted cash</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20"/>
        </w:trPr>
        <w:tc>
          <w:tcPr>
            <w:tcW w:w="842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w:t>
            </w:r>
          </w:p>
        </w:tc>
      </w:tr>
      <w:tr>
        <w:trPr>
          <w:trHeight w:val="24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87,418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117,444</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103,369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126,765</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end of period: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98,003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121,410</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Restricted cash included in long-term prepaid expenses and other assets</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w:t>
            </w:r>
          </w:p>
        </w:tc>
      </w:tr>
      <w:tr>
        <w:trPr>
          <w:trHeight w:val="21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 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103,369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126,765</w:t>
            </w:r>
          </w:p>
        </w:tc>
      </w:tr>
      <w:tr>
        <w:trPr>
          <w:trHeight w:val="21"/>
        </w:trPr>
        <w:tc>
          <w:tcPr>
            <w:tcW w:w="8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8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taxes, net of refunds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Purchase of property and equipment, accrued but not paid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40"/>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costs, accrued but not paid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46"/>
        </w:trPr>
        <w:tc>
          <w:tcPr>
            <w:tcW w:w="8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Receivables from exercise of stock options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4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purchase price related to acquisitions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a software-as-a-service ("SaaS") company that provides software applications to financial institutions to streamline employee and client interactions. The Company is headquartered in Wilmington, North Carolina and has various locations in the U.S., North America, Europe, Asia Pacific, and South Africa.</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fiscal year ends on January 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as set forth in the Financial Accounting Standards Board ("FASB") Accounting Standards Codification ("ASC") and applicable rules and regulations of the Securities Exchange Commission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in the Company's Annual Report on Form 10-K for the fiscal year ended January 31, 2024 filed with the SEC on March 26, 2024. The unaudited condensed consolidated financial statements include accounts of the Company’s wholly-owned subsidiaries, as well as a variable interest entity in which the Company is the primary beneficiary. All intercompany accounts and transactions are eliminated.</w:t>
      </w:r>
    </w:p>
    <w:p>
      <w:pPr>
        <w:spacing w:after="0" w:line="19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76"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2025 or any future period.</w:t>
      </w:r>
    </w:p>
    <w:p>
      <w:pPr>
        <w:spacing w:after="0" w:line="172"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See Note 3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72" w:lineRule="exact"/>
        <w:rPr>
          <w:sz w:val="20"/>
          <w:szCs w:val="20"/>
          <w:color w:val="auto"/>
        </w:rPr>
      </w:pPr>
    </w:p>
    <w:p>
      <w:pPr>
        <w:ind w:right="4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unaudited condensed consolidated financial statements in conformity with GAAP requires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2024 and July 31, 2024. The Company maintains its cash, cash equivalents and restricted cash with high-credit-quality financial institutions.</w:t>
      </w:r>
    </w:p>
    <w:p>
      <w:pPr>
        <w:spacing w:after="0" w:line="180"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2024 and July 31, 2024, no individual customer represented 10% of accounts receivable. For the three and six months ended July 31, 2023 and 2024, no individual customer represented more than 10% of the Company’s total revenues.</w:t>
      </w:r>
    </w:p>
    <w:p>
      <w:pPr>
        <w:spacing w:after="0" w:line="158" w:lineRule="exact"/>
        <w:rPr>
          <w:sz w:val="20"/>
          <w:szCs w:val="20"/>
          <w:color w:val="auto"/>
        </w:rPr>
      </w:pPr>
    </w:p>
    <w:p>
      <w:pPr>
        <w:ind w:right="12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primarily consists of a minimum cash balance the Company maintains with a lender under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revolving credit facility. The remaining restricted cash consists of deposits held as collateral for the Company's bank guarantees issued in place of security deposits for certain property leases and credit cards. Restricted cash is included in long-term prepaid expenses and other assets at January 31, 2024 and July 31, 2024 on the unaudited condensed consolidated balance sheets.</w:t>
      </w:r>
    </w:p>
    <w:p>
      <w:pPr>
        <w:spacing w:after="0" w:line="176" w:lineRule="exact"/>
        <w:rPr>
          <w:sz w:val="20"/>
          <w:szCs w:val="20"/>
          <w:color w:val="auto"/>
        </w:rPr>
      </w:pPr>
    </w:p>
    <w:p>
      <w:pPr>
        <w:ind w:right="80" w:firstLine="891"/>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Allowances: </w:t>
      </w:r>
      <w:r>
        <w:rPr>
          <w:rFonts w:ascii="Times New Roman" w:cs="Times New Roman" w:eastAsia="Times New Roman" w:hAnsi="Times New Roman"/>
          <w:sz w:val="17"/>
          <w:szCs w:val="17"/>
          <w:color w:val="auto"/>
        </w:rPr>
        <w:t>The Company records allowances for doubtful accounts based upon the credit worthiness of customers, historical experience,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unaudited condensed consolidated statements of operations, included in general and administrative expenses, up to the amount of revenues recognized to date. Any incremental allowance is recorded as an offset to deferred revenue on the unaudited condensed consolidated balance sheets. Receivables are written off and charged against the recorded allowance when the Company has exhausted collection efforts without success.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8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observable price changes are recognized currently in the Company's unaudited condensed consolidated statements of operations. The Company assesses the investments whenever events or changes in circumstances indicate that the carrying value of the investments may not be recoverable.</w:t>
      </w:r>
    </w:p>
    <w:p>
      <w:pPr>
        <w:spacing w:after="0" w:line="158"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The guidance includes amendments to improve reportable segment disclosure requirements, primarily through enhanced disclosures about significant segment expenses. The ASU is effective for fiscal years beginning after December 15, 2023 on a retrospective basis, and interim periods within fiscal years beginning after December 15, 2024. Early adoption is permitted. The Company is currently evaluating the impact that the adoption of this standard will have on the Company’s unaudited condensed consolidated financial statements.</w:t>
      </w:r>
    </w:p>
    <w:p>
      <w:pPr>
        <w:spacing w:after="0" w:line="18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is currently evaluating the impact that the adoption of this standard will have on the Company’s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Variable Interest Entity and Redeemable Non-Controlling Interest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 in the investment, organization, management, and operation of nCino K.K. that is focused on the distribution of the Company’s products in 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2019, the Company initially contributed $4.7 million in cash in exchange for 51% of the outstanding common stock of nCino K.K.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 the Company controls a majority of the outstanding common stock in nCino K.K. In October 2023, the Company made a further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nCino K.K. of $1.0 million that, including additional investments in nCino K.K. of $1.0 million by existing third-party investors in October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maintained the Company's ownership of 51%.</w:t>
      </w:r>
    </w:p>
    <w:p>
      <w:pPr>
        <w:spacing w:after="0" w:line="207" w:lineRule="exact"/>
        <w:rPr>
          <w:sz w:val="20"/>
          <w:szCs w:val="20"/>
          <w:color w:val="auto"/>
        </w:rPr>
      </w:pPr>
    </w:p>
    <w:p>
      <w:pPr>
        <w:ind w:right="40" w:firstLine="891"/>
        <w:spacing w:after="0" w:line="277" w:lineRule="auto"/>
        <w:rPr>
          <w:sz w:val="20"/>
          <w:szCs w:val="20"/>
          <w:color w:val="auto"/>
        </w:rPr>
      </w:pPr>
      <w:r>
        <w:rPr>
          <w:rFonts w:ascii="Times New Roman" w:cs="Times New Roman" w:eastAsia="Times New Roman" w:hAnsi="Times New Roman"/>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2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175"/>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 redeemable non-controlling interest (excluding</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non-controlling interest)</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540" w:right="4720" w:hanging="5532"/>
        <w:spacing w:after="0" w:line="904" w:lineRule="auto"/>
        <w:tabs>
          <w:tab w:leader="none" w:pos="11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nCino K.K. stock options granted in accordance with nCino K.K.'s equity incentive plan.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which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2024 and July 31, 2024 because of the relatively short duration of these instruments.</w:t>
      </w:r>
    </w:p>
    <w:p>
      <w:pPr>
        <w:spacing w:after="0" w:line="162"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2024 and July 31, 2024 and indicates the fair value hierarchy of the valuation: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Time deposits (included in long-term prepaid expenses and other assets)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Time deposits (included in long-term prepaid expenses and other assets)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31, 2024</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top w:val="single" w:sz="8" w:color="auto"/>
            </w:tcBorders>
            <w:gridSpan w:val="2"/>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top w:val="single" w:sz="8" w:color="auto"/>
            </w:tcBorders>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11"/>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July</w:t>
            </w:r>
          </w:p>
        </w:tc>
      </w:tr>
      <w:tr>
        <w:trPr>
          <w:trHeight w:val="196"/>
        </w:trPr>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0"/>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30,835</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20"/>
          </w:cols>
          <w:pgMar w:left="320" w:top="121" w:right="339" w:bottom="1440" w:gutter="0" w:footer="0" w:header="0"/>
          <w:type w:val="continuous"/>
        </w:sectPr>
      </w:pPr>
    </w:p>
    <w:p>
      <w:pPr>
        <w:spacing w:after="0" w:line="7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There was no adjustment or impairment recognized for the three and six months ended July 31, 2023 and 2024.</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Geographic Area</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207,166</w:t>
            </w:r>
          </w:p>
        </w:tc>
      </w:tr>
      <w:tr>
        <w:trPr>
          <w:trHeight w:val="229"/>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53,324</w:t>
            </w:r>
          </w:p>
        </w:tc>
      </w:tr>
      <w:tr>
        <w:trPr>
          <w:trHeight w:val="248"/>
        </w:trPr>
        <w:tc>
          <w:tcPr>
            <w:tcW w:w="5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revenues from contracts with customers by geographic location. Revenues by geography are determined based on the region of the Company’s contracting entity, which may be different than the region of the customer. For the three and six months ended July 31, 2023 and 2024, no country outside the United States represented 10% or more of total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2024 and July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0" w:type="dxa"/>
            <w:vAlign w:val="bottom"/>
          </w:tcPr>
          <w:p>
            <w:pPr>
              <w:spacing w:after="0"/>
              <w:rPr>
                <w:sz w:val="13"/>
                <w:szCs w:val="13"/>
                <w:color w:val="auto"/>
              </w:rPr>
            </w:pPr>
          </w:p>
        </w:tc>
        <w:tc>
          <w:tcPr>
            <w:tcW w:w="13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66,411</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which were offset by decreases due to revenues recognized in the period. During the six months ended July 31, 2024, $134.3 million of revenues were recognized out of the deferred revenue balance as of January 31, 2024.</w:t>
      </w:r>
    </w:p>
    <w:p>
      <w:pPr>
        <w:spacing w:after="0" w:line="176" w:lineRule="exact"/>
        <w:rPr>
          <w:sz w:val="20"/>
          <w:szCs w:val="20"/>
          <w:color w:val="auto"/>
        </w:rPr>
      </w:pPr>
    </w:p>
    <w:p>
      <w:pPr>
        <w:ind w:right="480" w:firstLine="891"/>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were $1.04 billion as of July 31, 2024. The Company expects to recognize approximately 67% of its remaining performance obligation as revenues in the next 24 months, approximately 27% more in the following 25 to 48 months, and the remainder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0" w:type="dxa"/>
            <w:vAlign w:val="bottom"/>
          </w:tcPr>
          <w:p>
            <w:pPr>
              <w:spacing w:after="0"/>
              <w:rPr>
                <w:sz w:val="13"/>
                <w:szCs w:val="13"/>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0" w:type="dxa"/>
            <w:vAlign w:val="bottom"/>
          </w:tcPr>
          <w:p>
            <w:pPr>
              <w:spacing w:after="0"/>
              <w:rPr>
                <w:sz w:val="1"/>
                <w:szCs w:val="1"/>
                <w:color w:val="auto"/>
              </w:rPr>
            </w:pPr>
          </w:p>
        </w:tc>
      </w:tr>
      <w:tr>
        <w:trPr>
          <w:trHeight w:val="195"/>
        </w:trPr>
        <w:tc>
          <w:tcPr>
            <w:tcW w:w="82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104,184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(27,399)</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76,785</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2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1"/>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DocFox, Inc. (“DocFox”)</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On March 20, 2024 (the "DocFox Acquisition Date"), the Company acquired through a merger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 for the three months ended April 30, 2024.</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was recorded as transaction cost immediately following the acquisition and not in consideration transferred. The $2.0 million is included within general and administrative expense for the three months ended April 30, 2024. The estimated fair value of the consideration transferred was $72.4 million on the DocFox Acquisition Date.</w:t>
      </w:r>
    </w:p>
    <w:p>
      <w:pPr>
        <w:spacing w:after="0" w:line="187"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198,505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DocFox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57,430</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2025, but no later than one year from the DocFox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(iv) finalizing our estimate of the impact of acquisition accounting on deferred income taxes or liabilities, including uncertain tax positions, and (v)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7"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0" w:firstLine="891"/>
        <w:spacing w:after="0" w:line="266"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DocFox's technology. Customer relationships represent the preliminary fair value of the underlying relationships with DocFox's customers. Trade names represents the preliminary fair value of DocFox’s company name. The Company continues to assess the rates used in the preliminary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valuation methods such as, but not limited to, the discount rates for developed technology, customer relationships and trade name and customer attrition rate for customer relationships.</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DocFox since the DocFox Acquisition Date are included in the Company's unaudited condensed consolidated financial statements and are not material to the Company. The Company has not disclosed pro-forma revenue and earnings attributable to DocFox as they did not have a material effect on the Company’s unaudited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Lending Technologies, LLC (“ILT”)</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On April 1, 2024 (the "ILT Acquisition Date”), the Company acquired all outstanding membership interests of ILT, which provides consumer loan origination software that streamlines direct and indirect lending operations. The Company acquired ILT for its complementary products and believes this will provide greater value for new and existing customers. The Company has included the financial results of ILT in the consolidated statements of operations from the ILT Acquisition Date. Transaction costs associated with the ILT acquisition were approximately $0.9 million and were recorded in general and administrative expenses for the three months ended April 30, 2024.</w:t>
      </w:r>
    </w:p>
    <w:p>
      <w:pPr>
        <w:spacing w:after="0" w:line="183"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fair value of the consideration transferred was $19.9 million and paid in cash on the ILT Acquisition Date, subject to a net working capital adjustment. The net working capital adjustment was finalized in July 2024, resulting in an increase to the purchase price of $0.1 million which was recorded to goodwill.</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July 31,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ILT Acquisition Date. Any excess consideration over the fair value of the assets acquired and liabilities assumed was recognized as goodwill and is subject to revision as the purchase price allocation is completed. The Company determined the acquisition date contract assets and liabilities in accordance with ASC 606.</w:t>
      </w:r>
    </w:p>
    <w:p>
      <w:pPr>
        <w:spacing w:after="0" w:line="180"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Due to the timing of the transaction, initial accounting for the acquisition is not complete, and further measurement period adjustments may occur in fiscal year 2025, but no later than one year from the ILT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and valuations are finalized.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and (iii) finalizing the Company’s review of the acquired contracts and related contract assets and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6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estimated fair value of ILT’s technology. Customer relationships represent the preliminary estimated fair value of the underlying relationships with ILT’s customers. Trade name represents the preliminary estimated fair value of ILT’s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jc w:val="both"/>
        <w:ind w:right="28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$11.1 million is expected to be deductible for tax purposes.</w:t>
      </w:r>
    </w:p>
    <w:p>
      <w:pPr>
        <w:spacing w:after="0" w:line="16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ILT since the ILT Acquisition Date are included in the Company's unaudited condensed consolidated financial statements and are not material to the Company. The Company has not disclosed pro-forma revenue and earnings attributable to ILT as they did not have a material effect on the Company’s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July 31, 2024</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908,000</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July 31, 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47,516</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87,001</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48"/>
        </w:trPr>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204,109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During the six months ended July 31, 2024, the Company wrote off approximately $20.6 million of fully amortized intangible assets and the corresponding accumulated amortization.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5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14,149</w:t>
            </w: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14,031</w:t>
            </w:r>
          </w:p>
        </w:tc>
      </w:tr>
      <w:tr>
        <w:trPr>
          <w:trHeight w:val="20"/>
        </w:trPr>
        <w:tc>
          <w:tcPr>
            <w:tcW w:w="5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891"/>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the Company rebranded the SimpleNexus solution to nCino Mortgage, resulting in a change to the trade name useful life and recorded incremental amortization of $10.1 million to fully amortize the remaining trade name intangible asset.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July 31, 2024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7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w:t>
            </w: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28,878</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27,610</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30"/>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six months ended July 31, 2024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52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CCEEFF"/>
            </w:tcBorders>
          </w:tcPr>
          <w:p>
            <w:pPr>
              <w:spacing w:after="0"/>
              <w:rPr>
                <w:sz w:val="16"/>
                <w:szCs w:val="16"/>
                <w:color w:val="auto"/>
              </w:rPr>
            </w:pPr>
          </w:p>
        </w:tc>
        <w:tc>
          <w:tcPr>
            <w:tcW w:w="36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2024</w:t>
            </w:r>
          </w:p>
        </w:tc>
        <w:tc>
          <w:tcPr>
            <w:tcW w:w="36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36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5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5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(212,711)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July 31, 2024</w:t>
            </w:r>
          </w:p>
        </w:tc>
        <w:tc>
          <w:tcPr>
            <w:tcW w:w="366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998,618</w:t>
            </w:r>
          </w:p>
        </w:tc>
        <w:tc>
          <w:tcPr>
            <w:tcW w:w="3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July 31, 2024</w:t>
            </w:r>
          </w:p>
        </w:tc>
        <w:tc>
          <w:tcPr>
            <w:tcW w:w="366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998,618</w:t>
            </w:r>
          </w:p>
        </w:tc>
        <w:tc>
          <w:tcPr>
            <w:tcW w:w="300" w:type="dxa"/>
            <w:vAlign w:val="bottom"/>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or expected to vest, July 31, 2024</w:t>
            </w:r>
          </w:p>
        </w:tc>
        <w:tc>
          <w:tcPr>
            <w:tcW w:w="36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998,618</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17</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RSU activity during the six months ended July 31, 2024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July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6,362,337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July 31, 2024, total unrecognized compensation expense related to non-vested RSUs was $178.6 million, adjusted for estimated forfeitures, based on the estimated fair value of the Company’s common stock at the time of grant. That cost is expected to be recognized over a weighted average period of 2.93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Employee Stock Purchase Plan ("ESPP") began on July 1, 2021 and ended on December 31, 2021. Thereafter, offering periods begin each year on January 1 and July 1.</w:t>
      </w:r>
    </w:p>
    <w:p>
      <w:pPr>
        <w:spacing w:after="0" w:line="16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 fair value of ESPP shares during the six months ended July 31, 2023 and 2024 was estimated at the date of grant using the Black-Scholes option valuation model based on assumptions as follows for ESPP awards: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0.50</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61.66% - 61.86%</w:t>
            </w:r>
          </w:p>
        </w:tc>
        <w:tc>
          <w:tcPr>
            <w:tcW w:w="10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38.70% - 38.91%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4.77% - 5.53%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5.24% - 5.37%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unaudited condensed consolidated statements of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15,281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35,044</w:t>
            </w:r>
          </w:p>
        </w:tc>
      </w:tr>
      <w:tr>
        <w:trPr>
          <w:trHeight w:val="21"/>
        </w:trPr>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98"/>
        </w:trPr>
        <w:tc>
          <w:tcPr>
            <w:tcW w:w="5240" w:type="dxa"/>
            <w:vAlign w:val="bottom"/>
          </w:tcPr>
          <w:p>
            <w:pPr>
              <w:spacing w:after="0"/>
              <w:rPr>
                <w:sz w:val="24"/>
                <w:szCs w:val="24"/>
                <w:color w:val="auto"/>
              </w:rPr>
            </w:pPr>
          </w:p>
        </w:tc>
        <w:tc>
          <w:tcPr>
            <w:tcW w:w="8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non-cancellable agreements, which expire at various times through December 2033, some of which include options to extend for up to five years.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20"/>
        </w:trPr>
        <w:tc>
          <w:tcPr>
            <w:tcW w:w="676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2"/>
        </w:trPr>
        <w:tc>
          <w:tcPr>
            <w:tcW w:w="5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operating lease liabilities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r>
      <w:tr>
        <w:trPr>
          <w:trHeight w:val="23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and operating lease liabilities disposed of</w:t>
            </w: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r>
    </w:tbl>
    <w:p>
      <w:pPr>
        <w:spacing w:after="0" w:line="279"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July 31, 2024 were 6.21 years and 6.8%,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Future minimum lease payments as of July 31, 2024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2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0" w:type="dxa"/>
            <w:vAlign w:val="bottom"/>
          </w:tcPr>
          <w:p>
            <w:pPr>
              <w:spacing w:after="0"/>
              <w:rPr>
                <w:sz w:val="1"/>
                <w:szCs w:val="1"/>
                <w:color w:val="auto"/>
              </w:rPr>
            </w:pP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2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6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current obligations</w:t>
            </w:r>
          </w:p>
        </w:tc>
        <w:tc>
          <w:tcPr>
            <w:tcW w:w="60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6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Revolving Credit Facility</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provided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83"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On February 9, 2024, the Company entered into a First Amendment to extend the existing maturity date of the Credit Facility provided for under the Credit Agreement to February 11, 2025.</w:t>
      </w:r>
    </w:p>
    <w:p>
      <w:pPr>
        <w:spacing w:after="0" w:line="16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which increased our borrowing availability to $100.0 million and extended the existing maturity date of the Credit Facility under the Credit Facility to March 17, 2029.</w:t>
      </w:r>
    </w:p>
    <w:p>
      <w:pPr>
        <w:spacing w:after="0" w:line="162"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Borrowings under the Credit Facility bear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The Company is also required to pay an unused commitment fee to the Lender of 0.30% of the average daily unutilized commitments (with a step down based on achievement of a certain leverage ratio). The Company must also pay customary letter of credit fees.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any time without penalty. Borrowings under the Credit Facility may be reborrowed.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Credit Agreement contains representations and warranties, affirmative, negative and financial covenants, and events of default that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customary for loans of this type. The financial covenants require the Company and its subsidiaries on a consolidated basis to maintain (i) a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Leverage Ratio not in excess of 2.50:1.00 as of the end of any fiscal quarter, and (ii) a Consolidated Interest Coverage Ratio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3.00:1.00 as of the end of any fiscal quarter beginning with the second quarter of fiscal year 2025. The Company is also required to maintain at least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of the Company's cash and/or marketable securities with the Lender which is considered restricted cash and is included in long-term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assets as of January 31, 2024 and July 31, 2024 on the Company's unaudited condensed consolidated balance sheets.</w:t>
      </w:r>
    </w:p>
    <w:p>
      <w:pPr>
        <w:spacing w:after="0" w:line="207"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80"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The Company had $0.0 million and $40.0 million outstanding and no letters of credit issued under the Credit Facility and was in compliance with all covenants as of January 31, 2024 and July 31, 2024, respectively. As of July 31, 2024, the applicable interest rate was 7.38%. The available borrowing capacity under the Credit Facility was $60.0 million as of July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9"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10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non-cancellable agreements to purchase goods and services, primarily licenses and hosting services, entered into in the ordinary course of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 The leases will be analyzed for applicable lease accounting upon expiration of the purchase option, if not exercised.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July 31, 2024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2"/>
                <w:szCs w:val="12"/>
                <w:color w:val="auto"/>
              </w:rPr>
            </w:pPr>
          </w:p>
        </w:tc>
        <w:tc>
          <w:tcPr>
            <w:tcW w:w="1240" w:type="dxa"/>
            <w:vAlign w:val="bottom"/>
          </w:tcPr>
          <w:p>
            <w:pPr>
              <w:jc w:val="right"/>
              <w:ind w:right="172"/>
              <w:spacing w:after="0" w:line="127" w:lineRule="exact"/>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940" w:type="dxa"/>
            <w:vAlign w:val="bottom"/>
            <w:tcBorders>
              <w:top w:val="single" w:sz="8" w:color="auto"/>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July 31, 2024 was 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On September 26, 2022, a purported stockholder of the Company filed a complaint in the Delaware Court of Chancery in connection with the series of mergers in which the Company became the parent of nCino OpCo and SimpleNexus. The complaint, captioned City of Hialeah Employees’ Retirement System, Derivatively on Behalf of Nominal Defendants nCINO, INC. (f/k/a Penny HoldCo, Inc.) and nCINO OpCo, Inc. (f/k/a nCino, Inc.) v. INSIGHT VENTURE PARTNERS, LLC, et al., C.A. No. 2022-0846-MTZ, names as defendants, Insight Ventures Partners, LLC., Insight Holdings Group, LLC., the Company’s directors and certain officers, along with nCino, Inc. and nCino OpCo, Inc. as nominal defendants, and alleges that the members of the board of directors, controlling stockholders, and officers violated their fiduciary duties in the course of negotiating and approving the series of mergers. The complaint alleges damages in an unspecified amount. Pursuant to the rights in its bylaws and Delaware law, the Company is advancing the costs incurred by the director and officer defendants in this action, and the defendants may assert indemnification rights in respect of an adverse judgment or settlement of the action, if any. Given the uncertainty and preliminary stages of this matter, the Company is unable to reasonably estimate any possible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loss or range of loss that may result. Therefore, the Company has not made an accrual for the above matter in the unaudited condensed consolidated financial statements. On December 28, 2023, the Delaware Court of Chancery granted in full defendants' motions to dismiss the complaint. On January 25, 2024, the plaintiff filed a notice of appeal.</w:t>
      </w:r>
    </w:p>
    <w:p>
      <w:pPr>
        <w:spacing w:after="0" w:line="176"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The Company does not presently believe the above matter will have a material adverse effect on its day-to-day operations or the quality of the services, products or innovation it continues to provide to its customers. However, regardless of the outcome, legal proceedings can have an adverse impact on the Company because of the related expenses,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Related-Party Transactions</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November 1, 2022, the Company's wholly-owned subsidiary, nCino OpCo, acquired preferred shares of ZestFinance, Inc. (d/b/a ZEST AI) ("Zest AI"), a private company, for $2.5 million and is included in investments as of January 31, 2024 and July 31, 2024 on the Company's unaudited condensed consolidated balance sheets. The investment is considered a related party transaction as entities affiliated with Insight Partners, a beneficial owner of the Company, own greater than ten percent of Zest AI. On May 23, 2023, the Company announced a strategic partnership with Zest AI to build an integration into the Company's consumer banking solution to enable lenders with streamlined access to consumer credit lending insights.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Basic and Diluted Loss per Share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Basic loss per share is computed by dividing net loss attributable to nCino, Inc. by the weighted-average number of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for the fiscal period. Diluted loss per share is computed by giving effect to all potential weighted average dilutive common stock,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issued and outstanding, nonvested RSUs issued and outstanding, and shares issuable pursuant to the ESPP. The dilutive effect of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is reflected in diluted earnings per share by application of the treasury stock method. Diluted loss per share for the three and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2023 and 2024 is the same as the basic loss per share as there was a net loss for those periods, and inclusion of potentially issuable shares was 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dilutive.</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loss per share for periods presented are as follows (in thousands, except share and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66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112,396,716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115,180,130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112,262,527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114,694,001</w:t>
            </w:r>
          </w:p>
        </w:tc>
      </w:tr>
      <w:tr>
        <w:trPr>
          <w:trHeight w:val="234"/>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 loss per share attributable to nCino, Inc.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900"/>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loss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96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24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424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0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1,664,830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998,618</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54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5,784,062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6,362,337</w:t>
            </w: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54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16,994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81,048</w:t>
            </w:r>
          </w:p>
        </w:tc>
      </w:tr>
      <w:tr>
        <w:trPr>
          <w:trHeight w:val="905"/>
        </w:trPr>
        <w:tc>
          <w:tcPr>
            <w:tcW w:w="4240" w:type="dxa"/>
            <w:vAlign w:val="bottom"/>
          </w:tcPr>
          <w:p>
            <w:pPr>
              <w:spacing w:after="0"/>
              <w:rPr>
                <w:sz w:val="24"/>
                <w:szCs w:val="24"/>
                <w:color w:val="auto"/>
              </w:rPr>
            </w:pPr>
          </w:p>
        </w:tc>
        <w:tc>
          <w:tcPr>
            <w:tcW w:w="404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consolidated financial statements and related notes and other financial information included in this Quarterly Report on Form 10-Q and our Annual Report on Form 10-K for the fiscal year ended January 31, 2024 filed with the SEC on March 26, 2024.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Quarterly Report on Form 10-Q and in our Annual Report on Form 10-K, particularly in the section titled “Risk Factors.” Our historical results are not necessarily indicative of the results that may be expected for any period in the future. Our fiscal year ends on January 31 of each year and references in this Quarterly Report on Form 10-Q to a fiscal year mean the year in which that fiscal year ends. For example, references in this Quarterly Report on Form 10-Q to "fiscal 2025" refer to the fiscal year ended January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Through its single software-as-a-service ("SaaS") platform, nCino helps financial institutions ("FI") serving corporate and commercial, small business, consumer, and mortgage customers modernize and more effectively onboard clients, open accounts, make loans and navigate the loan lifecycle, and effectively monitor and manage their portfolio. With the nCino Bank Operating System, FIs can:</w:t>
      </w:r>
    </w:p>
    <w:p>
      <w:pPr>
        <w:spacing w:after="0" w:line="176"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digitally serve their clients across lines of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experience and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more effectively,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active data, audit, and business intelligence hub,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the value of intelligent automation and uncover data-driven insights.</w:t>
      </w:r>
    </w:p>
    <w:p>
      <w:pPr>
        <w:spacing w:after="0" w:line="225"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nCino was originally founded in a bank to improve that FI’s operations and client service. After realizing that the same problems— cumbersome legacy technology, fragmented data, disconnected business functions, and a disengaged workforce made it difficult to maintain relevancy in their clients' lives—were endemic across the financial services industry, nCino spun out as a separate company in late 2011. This heritage is the foundation of our deep banking domain expertise, which differentiates us, continues to drive our strategy, and makes us uniquely qualified to help FIs become more efficient by providing an end-to-end platform that spans business lines and combines capabilities for a seamless experience.</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The nCino Bank Operating System was initially designed to help transform commercial and small business lending for community and regional banks. This solution was introduced to enterprise banks in the United States ("U.S.") in 2014, and then internationally in 2017, and has subsequently expanded across North America, Europe, the Middle East, South Africa and Asia-Pacific. Throughout this market expansion, we broadened the nCino Bank Operating System by adding functionality for consumer lending, client onboarding, deposit account opening, analytics and artificial intelligence and machine learning. In fiscal 2020, we made two acquisitions as part of our strategy to build out our nIQ capabilities and we established our nCino K.K joint venture to facilitate our entry into the Japanese market. An acquisition in fiscal 2022 expanded our capabilities to the U.S. point-of-sale mortgage market.</w:t>
      </w:r>
    </w:p>
    <w:p>
      <w:pPr>
        <w:spacing w:after="0" w:line="189" w:lineRule="exact"/>
        <w:rPr>
          <w:sz w:val="20"/>
          <w:szCs w:val="20"/>
          <w:color w:val="auto"/>
        </w:rPr>
      </w:pPr>
    </w:p>
    <w:p>
      <w:pPr>
        <w:ind w:right="240" w:firstLine="891"/>
        <w:spacing w:after="0" w:line="258" w:lineRule="auto"/>
        <w:rPr>
          <w:sz w:val="20"/>
          <w:szCs w:val="20"/>
          <w:color w:val="auto"/>
        </w:rPr>
      </w:pPr>
      <w:r>
        <w:rPr>
          <w:rFonts w:ascii="Times New Roman" w:cs="Times New Roman" w:eastAsia="Times New Roman" w:hAnsi="Times New Roman"/>
          <w:sz w:val="18"/>
          <w:szCs w:val="18"/>
          <w:color w:val="auto"/>
        </w:rPr>
        <w:t>On March 20, 2024 (the "DocFox Acquisition Date"), we acquired DocFox, Inc. ("DocFox") which provides a solution for automating onboarding experiences for commercial and business banking, for an aggregate preliminary purchase price of $74.3 million. We funded the purchase consideration with $75.0 million borrowed under the Credit Facility as further described in Note 11 "Revolving Credit Facility" of the notes to our unaudited condensed consolidated financial statements included in Part I, Item 1 of this Quarterly Report on Form 10-Q. We have included the financial results of DocFox in our unaudited condensed consolidated financial statements from the DocFox Acquisition Date.</w:t>
      </w:r>
    </w:p>
    <w:p>
      <w:pPr>
        <w:spacing w:after="0" w:line="183" w:lineRule="exact"/>
        <w:rPr>
          <w:sz w:val="20"/>
          <w:szCs w:val="20"/>
          <w:color w:val="auto"/>
        </w:rPr>
      </w:pPr>
    </w:p>
    <w:p>
      <w:pPr>
        <w:ind w:right="340" w:firstLine="891"/>
        <w:spacing w:after="0" w:line="282" w:lineRule="auto"/>
        <w:rPr>
          <w:sz w:val="20"/>
          <w:szCs w:val="20"/>
          <w:color w:val="auto"/>
        </w:rPr>
      </w:pPr>
      <w:r>
        <w:rPr>
          <w:rFonts w:ascii="Times New Roman" w:cs="Times New Roman" w:eastAsia="Times New Roman" w:hAnsi="Times New Roman"/>
          <w:sz w:val="18"/>
          <w:szCs w:val="18"/>
          <w:color w:val="auto"/>
        </w:rPr>
        <w:t>We acquired Integrated Lending Technologies, LLC ("ILT") on April 1, 2024 (the "ILT Acquisition Date"), which provides consumer loan origination software that streamlines direct and indirect lending operations, for an aggregate purchase</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price of $20.0 million in cash. We have included the financial results of ILT in our unaudited condensed consolidated financial statements from the ILT Acquisition Date.</w:t>
      </w:r>
    </w:p>
    <w:p>
      <w:pPr>
        <w:spacing w:after="0" w:line="162"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See Note 7 "Business Combinations" of the notes to our unaudited condensed consolidated financial statements included in Part I, Item 1 of this Quarterly Report on Form 10-Q for more information on the DocFox and ILT acquisitions.</w:t>
      </w:r>
    </w:p>
    <w:p>
      <w:pPr>
        <w:spacing w:after="0" w:line="162" w:lineRule="exact"/>
        <w:rPr>
          <w:sz w:val="20"/>
          <w:szCs w:val="20"/>
          <w:color w:val="auto"/>
        </w:rPr>
      </w:pPr>
    </w:p>
    <w:p>
      <w:pPr>
        <w:ind w:right="280" w:firstLine="891"/>
        <w:spacing w:after="0" w:line="266" w:lineRule="auto"/>
        <w:rPr>
          <w:sz w:val="20"/>
          <w:szCs w:val="20"/>
          <w:color w:val="auto"/>
        </w:rPr>
      </w:pPr>
      <w:r>
        <w:rPr>
          <w:rFonts w:ascii="Times New Roman" w:cs="Times New Roman" w:eastAsia="Times New Roman" w:hAnsi="Times New Roman"/>
          <w:sz w:val="18"/>
          <w:szCs w:val="18"/>
          <w:color w:val="auto"/>
        </w:rPr>
        <w:t>We generally offer the nCino Bank Operating System on a subscription basis pursuant to non-cancellable multi-year contracts that typically range from three to five years, and we employ a “land and expand” business model. The nCino Bank Operating System is designed to scale with our customers, and once our solution is deployed, we seek to have our customers expand adoption within and across lines of business.</w:t>
      </w:r>
    </w:p>
    <w:p>
      <w:pPr>
        <w:spacing w:after="0" w:line="176" w:lineRule="exact"/>
        <w:rPr>
          <w:sz w:val="20"/>
          <w:szCs w:val="20"/>
          <w:color w:val="auto"/>
        </w:rPr>
      </w:pPr>
    </w:p>
    <w:p>
      <w:pPr>
        <w:jc w:val="both"/>
        <w:ind w:right="320" w:firstLine="891"/>
        <w:spacing w:after="0" w:line="266" w:lineRule="auto"/>
        <w:rPr>
          <w:sz w:val="20"/>
          <w:szCs w:val="20"/>
          <w:color w:val="auto"/>
        </w:rPr>
      </w:pPr>
      <w:r>
        <w:rPr>
          <w:rFonts w:ascii="Times New Roman" w:cs="Times New Roman" w:eastAsia="Times New Roman" w:hAnsi="Times New Roman"/>
          <w:sz w:val="18"/>
          <w:szCs w:val="18"/>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July 31, 2024, we had 206 sales and sales support personnel in the U.S. and 88 sales and support personnel in offices outside the U.S.</w:t>
      </w:r>
    </w:p>
    <w:p>
      <w:pPr>
        <w:spacing w:after="0" w:line="176"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system integration ("SI") partners such as Accenture, Deloitte, and PwC for the delivery of professional services for the nCino Bank Operating System. For regional FIs, we work with SIs such as West Monroe Partners, and for community banks, we work with SIs or perform configuration and implementation ourselves. We expect enterprise FIs to make up a greater proportion of our nCino Bank Operating System sales.</w:t>
      </w:r>
    </w:p>
    <w:p>
      <w:pPr>
        <w:spacing w:after="0" w:line="183"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For the three months ended July 31, 2023 and 2024, our total revenues were $117.2 million and $132.4 million, respectively, representing a 12.9% increase. For the three months ended July 31, 2023 and 2024, our subscription revenues were $99.9 million and $113.9 million, respectively, representing a 14.0% increase. Due to our investments in growth, we recorded net losses attributable to nCino, Inc. of $15.9 million and $11.0 million for the three months ended July 31, 2023 and 2024, respectively. For the six months ended July 31, 2023 and 2024, our total revenues were $230.9 million and $260.5 million, respectively, representing a 12.8% increase. For the six months ended July 31, 2023 and 2024, our subscription revenues were $197.2 million and $224.3 million, respectively, representing a 13.7% increase. Due to our investments in growth, we recorded net losses attributable to nCino, Inc. of $27.1 million and $14.0 million for the six months ended July 31, 2023 and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In addition, growing our customer base will require us to increasingly penetrate markets outside the U.S., which accounted for 20.8% of total revenues for the three months ended July 31, 2024 and 20.5% for the six months ended July 31, 2024.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88" w:lineRule="exact"/>
        <w:rPr>
          <w:sz w:val="20"/>
          <w:szCs w:val="20"/>
          <w:color w:val="auto"/>
        </w:rPr>
      </w:pPr>
    </w:p>
    <w:p>
      <w:pPr>
        <w:ind w:right="12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range from three months to 18 months, depending on the scope. As a result,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subscription revenues will make up an increasing proportion of our total revenues as our overall business grows.</w:t>
      </w:r>
    </w:p>
    <w:p>
      <w:pPr>
        <w:spacing w:after="0" w:line="182" w:lineRule="exact"/>
        <w:rPr>
          <w:sz w:val="20"/>
          <w:szCs w:val="20"/>
          <w:color w:val="auto"/>
        </w:rPr>
      </w:pPr>
    </w:p>
    <w:p>
      <w:pPr>
        <w:ind w:right="60" w:firstLine="89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Macroeconomic Environment. </w:t>
      </w:r>
      <w:r>
        <w:rPr>
          <w:rFonts w:ascii="Times New Roman" w:cs="Times New Roman" w:eastAsia="Times New Roman" w:hAnsi="Times New Roman"/>
          <w:sz w:val="18"/>
          <w:szCs w:val="18"/>
          <w:color w:val="auto"/>
        </w:rPr>
        <w:t>We are currently operating in a higher interest rate environment as the U.S. Federal Reserve has raised interest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rates as a means to manage inflation. These rate increases have had an impact on the real estate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market in the U.S. and specifically, the demand for mortgages and mortgage-related products and services, which has had a negative impact on our nCino Mortgage business.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21" w:lineRule="exact"/>
        <w:rPr>
          <w:sz w:val="20"/>
          <w:szCs w:val="20"/>
          <w:color w:val="auto"/>
        </w:rPr>
      </w:pPr>
    </w:p>
    <w:p>
      <w:pPr>
        <w:ind w:right="6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Continued Investment in Innovation and Growth</w:t>
      </w:r>
      <w:r>
        <w:rPr>
          <w:rFonts w:ascii="Times New Roman" w:cs="Times New Roman" w:eastAsia="Times New Roman" w:hAnsi="Times New Roman"/>
          <w:sz w:val="18"/>
          <w:szCs w:val="18"/>
          <w:color w:val="auto"/>
        </w:rPr>
        <w:t>. 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ind w:right="12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Subscription Revenues</w:t>
      </w:r>
      <w:r>
        <w:rPr>
          <w:rFonts w:ascii="Times New Roman" w:cs="Times New Roman" w:eastAsia="Times New Roman" w:hAnsi="Times New Roman"/>
          <w:sz w:val="18"/>
          <w:szCs w:val="18"/>
          <w:color w:val="auto"/>
        </w:rPr>
        <w:t>. Our subscription revenues consist principally of fees from customers for accessing our solutions and maintenance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services that we generally offer under non-cancellable multi-year contracts, which typically range from three to five years for the nCino Bank Operating System and one to three years for nCino Mortgage. Specifically, we offer:</w:t>
      </w:r>
    </w:p>
    <w:p>
      <w:pPr>
        <w:spacing w:after="0" w:line="175" w:lineRule="exact"/>
        <w:rPr>
          <w:sz w:val="20"/>
          <w:szCs w:val="20"/>
          <w:color w:val="auto"/>
        </w:rPr>
      </w:pPr>
    </w:p>
    <w:p>
      <w:pPr>
        <w:ind w:left="1300" w:right="30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applications targeted at a FI’s commercial, small business, and retail lines of business,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nIQ for which we generally charge based on the asset size of the customer or on a usage basis.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nCino Mortgage, a digital homeownership solution uniting people, systems, and stages of the mortgage process into a seamless end-to-end journey for which we generally charge on a per seat basis.</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162"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nCino Mortgage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86"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Bank Operating System, for which these SI partners bill our customers directly. We have historically delivered professional services ourselves for community banks and smaller credit unions and nCino Mortgage has historically provided professional services directly to its customers.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83"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personnel costs of our sales and marketing employees,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decrease as a percentage of revenues as we leverage the investments we have made to date.</w:t>
      </w:r>
    </w:p>
    <w:p>
      <w:pPr>
        <w:spacing w:after="0" w:line="182"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0"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as well as acquisition-related expenses, which are primarily related to legal, consulting and other professional services fees. We expect general and administrative expenses will decrease as a percentage of revenues over the long term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5" w:lineRule="exact"/>
        <w:rPr>
          <w:sz w:val="20"/>
          <w:szCs w:val="20"/>
          <w:color w:val="auto"/>
        </w:rPr>
      </w:pPr>
    </w:p>
    <w:p>
      <w:pPr>
        <w:ind w:right="6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w:t>
      </w:r>
    </w:p>
    <w:p>
      <w:pPr>
        <w:spacing w:after="0" w:line="158" w:lineRule="exact"/>
        <w:rPr>
          <w:sz w:val="20"/>
          <w:szCs w:val="20"/>
          <w:color w:val="auto"/>
        </w:rPr>
      </w:pPr>
    </w:p>
    <w:p>
      <w:pPr>
        <w:ind w:right="2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intercompany transactions denominated in currencies other than the underlying functional currency of the applicable entity.</w:t>
      </w:r>
    </w:p>
    <w:p>
      <w:pPr>
        <w:spacing w:after="0" w:line="158" w:lineRule="exact"/>
        <w:rPr>
          <w:sz w:val="20"/>
          <w:szCs w:val="20"/>
          <w:color w:val="auto"/>
        </w:rPr>
      </w:pPr>
    </w:p>
    <w:p>
      <w:pPr>
        <w:ind w:right="4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consists of federal and state income taxes in the U.S. and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Quarterly Report on Form 10-Q. The following tables present our selected unaudited condensed consolidated statements of operations data for three and six months ended July 31, 2023 and 2024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6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0" w:type="dxa"/>
            <w:vAlign w:val="bottom"/>
          </w:tcPr>
          <w:p>
            <w:pPr>
              <w:spacing w:after="0"/>
              <w:rPr>
                <w:sz w:val="1"/>
                <w:szCs w:val="1"/>
                <w:color w:val="auto"/>
              </w:rPr>
            </w:pPr>
          </w:p>
        </w:tc>
      </w:tr>
      <w:tr>
        <w:trPr>
          <w:trHeight w:val="223"/>
        </w:trPr>
        <w:tc>
          <w:tcPr>
            <w:tcW w:w="5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260,490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94,235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105,111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155,379</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59,758</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23"/>
        </w:trPr>
        <w:tc>
          <w:tcPr>
            <w:tcW w:w="52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loss attributable to nCino,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nCino, Inc.: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112,396,716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115,180,130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112,262,527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114,694,001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960" w:type="dxa"/>
            <w:vAlign w:val="bottom"/>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20" w:type="dxa"/>
            <w:vAlign w:val="bottom"/>
            <w:vMerge w:val="continue"/>
          </w:tcPr>
          <w:p>
            <w:pPr>
              <w:spacing w:after="0"/>
              <w:rPr>
                <w:sz w:val="15"/>
                <w:szCs w:val="15"/>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8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14,031</w:t>
            </w:r>
          </w:p>
        </w:tc>
      </w:tr>
      <w:tr>
        <w:trPr>
          <w:trHeight w:val="21"/>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2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10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23"/>
        </w:trPr>
        <w:tc>
          <w:tcPr>
            <w:tcW w:w="49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86.1 %</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4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r>
      <w:tr>
        <w:trPr>
          <w:trHeight w:val="184"/>
        </w:trPr>
        <w:tc>
          <w:tcPr>
            <w:tcW w:w="4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234"/>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110.5</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40.4</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59.6</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4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49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4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5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4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9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5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98"/>
        </w:trPr>
        <w:tc>
          <w:tcPr>
            <w:tcW w:w="4940" w:type="dxa"/>
            <w:vAlign w:val="bottom"/>
          </w:tcPr>
          <w:p>
            <w:pPr>
              <w:spacing w:after="0"/>
              <w:rPr>
                <w:sz w:val="24"/>
                <w:szCs w:val="24"/>
                <w:color w:val="auto"/>
              </w:rPr>
            </w:pPr>
          </w:p>
        </w:tc>
        <w:tc>
          <w:tcPr>
            <w:tcW w:w="150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July 31, 2023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224,317</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86.1 %</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Professional services and other</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11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3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260,490</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120" w:firstLine="891"/>
        <w:spacing w:after="0" w:line="255" w:lineRule="auto"/>
        <w:rPr>
          <w:sz w:val="20"/>
          <w:szCs w:val="20"/>
          <w:color w:val="auto"/>
        </w:rPr>
      </w:pPr>
      <w:r>
        <w:rPr>
          <w:rFonts w:ascii="Times New Roman" w:cs="Times New Roman" w:eastAsia="Times New Roman" w:hAnsi="Times New Roman"/>
          <w:sz w:val="18"/>
          <w:szCs w:val="18"/>
          <w:color w:val="auto"/>
        </w:rPr>
        <w:t>Subscription revenues increased $14.0 million for the three months ended July 31, 2024 compared to the three months ended July 31, 2023, due to initial revenues from customers who did not contribute to subscription revenues during the prior period, and growth from existing customers within and across lines of business. Of the increase, 52.0% was attributable to increased revenues from existing customers as additional seats were activated in accordance with contractual terms and customers expanded their adoption of our solutions, and 48.0% was attributable to initial revenues from customers who did not contribute to subscription revenues during the three months ended July 31, 2023. Subscription revenues were 86.0% of total revenues for the three months ended July 31, 2024 compared to 85.2% of total revenues for the three months ended July 31, 2023, primarily due to growth in our installed base.</w:t>
      </w:r>
    </w:p>
    <w:p>
      <w:pPr>
        <w:spacing w:after="0" w:line="189" w:lineRule="exact"/>
        <w:rPr>
          <w:sz w:val="20"/>
          <w:szCs w:val="20"/>
          <w:color w:val="auto"/>
        </w:rPr>
      </w:pPr>
    </w:p>
    <w:p>
      <w:pPr>
        <w:ind w:right="100" w:firstLine="891"/>
        <w:spacing w:after="0" w:line="274" w:lineRule="auto"/>
        <w:rPr>
          <w:sz w:val="20"/>
          <w:szCs w:val="20"/>
          <w:color w:val="auto"/>
        </w:rPr>
      </w:pPr>
      <w:r>
        <w:rPr>
          <w:rFonts w:ascii="Times New Roman" w:cs="Times New Roman" w:eastAsia="Times New Roman" w:hAnsi="Times New Roman"/>
          <w:sz w:val="17"/>
          <w:szCs w:val="17"/>
          <w:color w:val="auto"/>
        </w:rPr>
        <w:t>Subscription revenues increased $27.1 million for the six months ended July 31, 2024 compared to the six months ended July 31, 2023, due to initial revenues from customers who did not contribute to subscription revenues during the prior period, and growth from existing customers within and across lines of business. Of the increase, 57.1% was attributable to increased revenues from existing customers as additional seats were activated in accordance with contractual terms and customers expanded their adoption of our solutions, and 42.9% was attributable to initial revenues from customers who did not contribute to subscription revenues during the six months ended July 31, 2023. Subscription revenues were 86.1% of total revenues for the six months ended July 31, 2024 compared to 85.4% of total revenues for the six months ended July 31, 2023, primarily due to growth in our installed base.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$1.2 million for the three months ended July 31, 2024 compared to the three months ended July 31, 2023, primarily due to the addition of new customers as well as expanded adoption by existing customers within and across lines of business where implementation, configuration, and training services were required.</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increased $2.5 million for the six months ended July 31, 2024 compared to the six months ended July 31, 2023, primarily due to the addition of new customers as well as expanded adoption by existing customers within and across lines of business where implementation, configuration, and training services were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Cost of revenues (percentage shown in</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comparison to related revenues):</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33,367</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Cost of professional services and other</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20,564</w:t>
            </w: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60" w:type="dxa"/>
            <w:vAlign w:val="bottom"/>
            <w:tcBorders>
              <w:bottom w:val="single" w:sz="8" w:color="auto"/>
            </w:tcBorders>
            <w:shd w:val="clear" w:color="auto" w:fill="CCEEFF"/>
          </w:tcPr>
          <w:p>
            <w:pPr>
              <w:spacing w:after="0"/>
              <w:rPr>
                <w:sz w:val="21"/>
                <w:szCs w:val="21"/>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23"/>
        </w:trPr>
        <w:tc>
          <w:tcPr>
            <w:tcW w:w="3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34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53,931</w:t>
            </w:r>
          </w:p>
        </w:tc>
        <w:tc>
          <w:tcPr>
            <w:tcW w:w="3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94,235</w:t>
            </w:r>
          </w:p>
        </w:tc>
        <w:tc>
          <w:tcPr>
            <w:tcW w:w="26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105,111</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2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69,189</w:t>
            </w:r>
          </w:p>
        </w:tc>
        <w:tc>
          <w:tcPr>
            <w:tcW w:w="3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78,472</w:t>
            </w:r>
          </w:p>
        </w:tc>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155,379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Cost of subscription revenues increased $3.6 million for the three months ended July 31, 2024 compared to the three months ended July 31, 2023, generating a gross margin for subscription revenues of 70.7% compared to a gross margin of 70.3% for the three months ended July 31, 2023. Other costs of subscription revenues increased $1.7 million due to costs associated with access to other platforms and data center costs, and costs related to Salesforce user fees increased $0.8 million as we continued to add new customers and sell additional functionality to existing customers. Personnel costs, including stock-based compensation expense, increased $1.0 million, mainly from an increase in headcount. We expect the cost of subscription revenues will continue to increase in absolute dollars as the number of users of the nCino Bank Operating System grows.</w:t>
      </w:r>
    </w:p>
    <w:p>
      <w:pPr>
        <w:spacing w:after="0" w:line="18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Cost of subscription revenues increased $6.3 million for the six months ended July 31, 2024 compared to the six months ended July 31, 2023, generating a gross margin for subscription revenues of 71.0% compared to a gross margin of 70.1% for the six months ended July 31, 2023. Costs related to Salesforce user fees increased $2.1 million as we continued to add new customers and sell additional functionality to existing customers, and other costs of subscription revenues increased $2.1 million due to costs associated with access to other platforms and data center costs. Personnel costs, including stock-based compensation expense, increased $2.1 million, mainly from an increase in headcount. We expect the cost of subscription revenues will continue to increase in absolute dollars as the number of users of the nCino Bank Operating System grows.</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$2.2 million for the three months ended July 31, 2024 compared to the three months ended July 31, 2023, generating a gross margin for professional services and other revenues of (11.2)% compared to a gross margin of (5.7)% for the three months ended July 31, 2023. For the three months ended July 31, 2024, personnel costs, including stock-based compensation expense, increased $1.8 million for professional services compared to the three months ended July 31, 2023, mainly from an increase in headcount. The increase in cost of professional services and other revenues also included a $0.4 million increase for third-party costs of professional services.</w:t>
      </w:r>
    </w:p>
    <w:p>
      <w:pPr>
        <w:spacing w:after="0" w:line="18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$4.6 million for the six months ended July 31, 2024 compared to the six months ended July 31, 2023, generating a gross margin for professional services and other revenues of (10.5)% compared to a gross margin of (5.0)% for the six months ended July 31, 2023. For the six months ended July 31, 2024, personnel costs, including stock-based compensation expense, increased $4.3 million for professional services compared to the six months ended July 31, 2023, mainly from an increase in headcount. The increase in cost of professional services and other revenues also included a $0.4 million increase for third-party professional services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31,713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26.9 %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29,889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34,271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21,930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20,394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3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83,983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86,378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3"/>
        </w:trPr>
        <w:tc>
          <w:tcPr>
            <w:tcW w:w="30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(7,906)</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9"/>
              </w:rPr>
              <w:t>(10.2)%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40" w:firstLine="891"/>
        <w:spacing w:after="0" w:line="255" w:lineRule="auto"/>
        <w:rPr>
          <w:sz w:val="20"/>
          <w:szCs w:val="20"/>
          <w:color w:val="auto"/>
        </w:rPr>
      </w:pPr>
      <w:r>
        <w:rPr>
          <w:rFonts w:ascii="Times New Roman" w:cs="Times New Roman" w:eastAsia="Times New Roman" w:hAnsi="Times New Roman"/>
          <w:sz w:val="18"/>
          <w:szCs w:val="18"/>
          <w:color w:val="auto"/>
        </w:rPr>
        <w:t>Sales and marketing expenses decreased $0.5 million for the three months ended July 31, 2024 compared to the three months ended July 31, 2023, primarily due to a decrease of $1.3 million in sales and marketing personnel costs due to a decrease in headcount and a decrease in expatriate tax equalization expenses, partially offset by an increase in stock-based compensation expense. Amortization expense was comparable for the three months ended July 31, 2024 compared to the three months ended July 31, 2023 due to no amortization for the SimpleNexus trade name intangible asset as a result of the rebranding of the SimpleNexus solution to nCino Mortgage during the third quarter of fiscal 2024 offset by increased amortization expense for the DocFox and ILT acquisitions. The decrease in sales and marketing expenses was partially offset by an increase of $0.6 million in marketing costs and an increase of $0.2 million in third-party professional fees.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Sales and marketing expenses decreased $2.3 million for the six months ended July 31, 2024 compared to the six months ended July 31, 2023, primarily due to a decrease of $1.4 million in personnel costs due to a decrease in headcount and a decrease in expatriate tax equalization expenses, partially offset by an increase in stock-based compensation expense. The decrease in sales and marketing expenses also included a decrease of $0.6 million in sales-related travel costs and a decrease of $0.3 million in third-party professional fees. Amortization expense was comparable for the six months ended July 31, 2024 compared to the six months ended July 31, 2023 due to no amortization for the SimpleNexus trade name intangible asset as a result of the rebranding of the SimpleNexus solution to nCino Mortgage during the third quarter of fiscal 2024 offset by increased amortization expense for the DocFox and ILT acquisitions. The decrease in sales and marketing expenses was partially offset by an increase of $0.3 million in marketing costs.</w:t>
      </w:r>
    </w:p>
    <w:p>
      <w:pPr>
        <w:spacing w:after="0" w:line="189"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Our sales and marketing headcount decreased by 10 from July 31, 2023 to July 31, 2024. We expect sales and marketing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$4.4 million for the three months ended July 31, 2024 compared to the three months ended July 31, 2023, primarily due to an increase of $3.3 million in personnel costs, mainly from an increase in headcount and an increase in stock-based compensation expense. The increase in research and development also included an increase of $1.1 million in third-party professional fees primarily attributable to increased contract research and development spend.</w:t>
      </w:r>
    </w:p>
    <w:p>
      <w:pPr>
        <w:spacing w:after="0" w:line="180"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$6.2 million for the six months ended July 31, 2024 compared to the six months ended July 31, 2023, primarily due to an increase of $5.3 million in personnel costs, mainly from the increase in headcount and an increase in stock-based compensation expense. The increase in research and development also included an increase of $0.9 million in third-party professional fees primarily attributable to increased contract research and development spend.</w:t>
      </w:r>
    </w:p>
    <w:p>
      <w:pPr>
        <w:spacing w:after="0" w:line="180"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Our research and development headcount increased by 10 from July 31, 2023 to July 31, 2024. We expect research and development expenses will decrease as a percentage of revenues as we leverage the investments we have made to date.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$1.5 million for the three months ended July 31, 2024 compared to the three months ended July 31, 2023, primarily due to a decrease of $2.4 million in third-party professional fees and expenses related to other litigation expenses, partially offset by an increase for acquisition-related expenses for DocFox and ILT. The decrease in general and administrative expenses for the three months ended July 31, 2024 compared to the three months ended July 31, 2023 also included a decrease of $0.9 million in allocated overhead and other general and administrative costs. The decrease in general and administrative expenses was partially offset by an increase of $1.6 million in personnel costs, mostly attributable to a $1.4 million increase in stock-based compensation expense.</w:t>
      </w:r>
    </w:p>
    <w:p>
      <w:pPr>
        <w:spacing w:after="0" w:line="18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$3.0 million for the six months ended July 31, 2024 compared to the six months ended July 31, 2023, primarily due to an increase of $3.7 million in personnel costs, mostly attributable to a $3.3 million increase in stock-based compensation expense. The increase in general and administrative spend also included an increase of $0.6 million in third party professional fees for the six months ended July 31, 2024 compared to the six months ended July 31, 2023, mostly attributable to an increase in third party professional fees and acquisition-related expenses for DocFox and ILT, offset by a decrease in fees and expenses related to other litigation expenses. The increase in general and administrative expenses was partially offset by a decrease of $1.4 million in allocated overhead and other general and administrative costs.</w:t>
      </w:r>
    </w:p>
    <w:p>
      <w:pPr>
        <w:spacing w:after="0" w:line="187"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decreased by 2 from July 31, 2023 to July 31, 2024. We expect general and administrative expenses will decrease as a percentage of revenues as we leverage the investments we have made to date.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8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835</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321</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0.2 %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1,372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926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(1,044)</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(1,835)</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(2,423)</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(3,312)</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7"/>
              <w:spacing w:after="0"/>
              <w:rPr>
                <w:sz w:val="20"/>
                <w:szCs w:val="20"/>
                <w:color w:val="auto"/>
              </w:rPr>
            </w:pPr>
            <w:r>
              <w:rPr>
                <w:rFonts w:ascii="Times New Roman" w:cs="Times New Roman" w:eastAsia="Times New Roman" w:hAnsi="Times New Roman"/>
                <w:sz w:val="18"/>
                <w:szCs w:val="18"/>
                <w:color w:val="auto"/>
              </w:rPr>
              <w:t>469</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(313)</w:t>
            </w: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(594)</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Interest income decreased $0.5 million for the three months ended July 31, 2024 compared to the three months ended July 31, 2023, due to a decrease in our accounts earning interest. Interest expense increased $0.8 million for the three months ended July 31, 2024 compared to the three months ended July 31, 2023, due to borrowing on our revolving credit facility. The decrease of $0.3 million in other income, net for the three months ended July 31, 2024 compared to the three months ended July 31, 2023, was primarily driven by intercompany loans and transactions that are denominated in currencies other than the underlying functional currency of the applicable entity.</w:t>
      </w:r>
    </w:p>
    <w:p>
      <w:pPr>
        <w:spacing w:after="0" w:line="18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Interest income decreased $0.4 million for the six months ended July 31, 2024 compared to the six months ended July 31, 2023, due to a decrease in our accounts earning interest. Interest expense increased $0.9 million for the six months ended July 31, 2024 compared to the six months ended July 31, 2023, due to borrowing on our revolving credit facility. The increase of $0.3 million in other expense, net for the six months ended July 31, 2024 compared to the six months ended July 31, 2023, was primarily driven by intercompany loans and transactions that are denominated in currencies other than the underlying functional currency of the applicable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5"/>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1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8"/>
                <w:szCs w:val="18"/>
                <w:color w:val="auto"/>
              </w:rPr>
              <w:t>1,545</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1,753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2,938</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   (1,229)</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Income tax provision was $1.8 million for the three months ended July 31, 2024 compared to a provision of $1.5 million for the three months ended July 31, 2023, and resulted in an effective tax rate of (18.9)% and (10.6)%, respectively.</w:t>
      </w:r>
    </w:p>
    <w:p>
      <w:pPr>
        <w:spacing w:after="0" w:line="162"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Income tax benefit was $1.2 million for the six months ended July 31, 2024 compared to a provision of $2.9 million for the six months ended July 31, 2023, and resulted in an effective tax rate of 8.4% and (11.9)%, respectively. The change in the effective tax rate for the six months ended July 31, 2024 compared to the effective tax rate for the six months ended July 31, 2023 was primarily due to a reduction of our valuation allowance.</w:t>
      </w:r>
    </w:p>
    <w:p>
      <w:pPr>
        <w:spacing w:after="0" w:line="176"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Prior to the DocFox acquisition, we continued to maintain a valuation allowance against our deferred tax assets in several jurisdictions, including the U.S. On the DocFox Acquisition Date, the Company measured and recorded net U.S. deferred tax liabilities, most of which relate to identifiable intangible assets. The deferred tax liabilities recognized provide additional positive evidence that a portion of the Company's U.S. deferred tax assets are realizable. As a result, the Company reduced the valuation allowance by $3.6 million during the first quarter of the Company’s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3" w:lineRule="exact"/>
        <w:rPr>
          <w:sz w:val="20"/>
          <w:szCs w:val="20"/>
          <w:color w:val="auto"/>
        </w:rPr>
      </w:pPr>
    </w:p>
    <w:p>
      <w:pPr>
        <w:ind w:right="300" w:firstLine="891"/>
        <w:spacing w:after="0" w:line="258"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companies, many of which use a similar non-GAAP financial measure to supplement their GAAP results in their public disclosures. This non-GAAP financial measure is non-GAAP operating income, as discussed below.</w:t>
      </w:r>
    </w:p>
    <w:p>
      <w:pPr>
        <w:spacing w:after="0" w:line="160"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operating income. </w:t>
      </w:r>
      <w:r>
        <w:rPr>
          <w:rFonts w:ascii="Times New Roman" w:cs="Times New Roman" w:eastAsia="Times New Roman" w:hAnsi="Times New Roman"/>
          <w:sz w:val="18"/>
          <w:szCs w:val="18"/>
          <w:color w:val="auto"/>
        </w:rPr>
        <w:t>Non-GAAP operating income is defined as loss from operations as reported in our unaudited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 excluding the impact of amortization of intangible assets, stock-based compensation expense, acquisition-related expenses, legal expenses related to certain litigation, and restructuring and related charges. Non-GAAP operating income is widely used by securities analysts, investors, and other interested parties to evaluate the profitability of companies. Non-GAAP operating income eliminates potential differences in performance caused by these items that are not indicative of the Company's ongoing operating performance and hinders comparability with prior and future performance.</w:t>
      </w:r>
    </w:p>
    <w:p>
      <w:pPr>
        <w:spacing w:after="0" w:line="184"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74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loss from operations, the most directly comparable financial measure, calculated and presented in accordance with GAAP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40" w:type="dxa"/>
            <w:vAlign w:val="bottom"/>
          </w:tcPr>
          <w:p>
            <w:pPr>
              <w:spacing w:after="0"/>
              <w:rPr>
                <w:sz w:val="16"/>
                <w:szCs w:val="16"/>
                <w:color w:val="auto"/>
              </w:rPr>
            </w:pPr>
          </w:p>
        </w:tc>
        <w:tc>
          <w:tcPr>
            <w:tcW w:w="26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loss from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Litigation expenses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45,544</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Represents legal expenses related to a closed government antitrust investigation and related settled civil action and a shareholder derivative lawsuit.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20" w:firstLine="891"/>
        <w:spacing w:after="0" w:line="266" w:lineRule="auto"/>
        <w:rPr>
          <w:sz w:val="20"/>
          <w:szCs w:val="20"/>
          <w:color w:val="auto"/>
        </w:rPr>
      </w:pPr>
      <w:r>
        <w:rPr>
          <w:rFonts w:ascii="Times New Roman" w:cs="Times New Roman" w:eastAsia="Times New Roman" w:hAnsi="Times New Roman"/>
          <w:sz w:val="18"/>
          <w:szCs w:val="18"/>
          <w:color w:val="auto"/>
        </w:rPr>
        <w:t>As of July 31, 2024, we had $121.4 million in cash and cash equivalents, and an accumulated deficit of $365.9 million. Our net losses have been driven by our investments in developing the nCino Bank Operating System and scaling our sales and marketing organization and finance and administrative functions to support our rapid growth.</w:t>
      </w:r>
    </w:p>
    <w:p>
      <w:pPr>
        <w:spacing w:after="0" w:line="176"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To date, we have funded our capital needs through issuances of common stock including our initial public offering in July 2020, operating cash flows, and starting fiscal 2023,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0"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On March 17, 2024, the Company entered into the Second Amendment for the Credit Facility which, among other things, increased our borrowing availability to $100.0 million. In March 2024, we borrowed $75.0 million under the Credit Facility to fund the acquisition of DocFox. In April 2024 and July 2024, we repaid $20.0 million and $15.0 million, respectively, under the Credit Facility. As of July 31, 2024, the applicable interest rate was 7.38%. The Company had $40.0 million outstanding and no letters of credit issued under the Credit Facility and was in compliance with all covenants as of July 31, 2024. See Note 11 "Revolving Credit Facility" of the notes to our unaudited condensed consolidated financial statements included in Part I, Item I of this Quarterly Report on Form 10-Q for more information.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capital expenditure requirements, and any potential future acquisitions. We expect to incur capital expenditures in fiscal 2025 for planned office build-outs to accommodate our growth, primarily for an international office, which we estimate to be approximately $8.0 million.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73" w:lineRule="auto"/>
        <w:rPr>
          <w:sz w:val="20"/>
          <w:szCs w:val="20"/>
          <w:color w:val="auto"/>
        </w:rPr>
      </w:pPr>
      <w:r>
        <w:rPr>
          <w:rFonts w:ascii="Times New Roman" w:cs="Times New Roman" w:eastAsia="Times New Roman" w:hAnsi="Times New Roman"/>
          <w:sz w:val="17"/>
          <w:szCs w:val="17"/>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2024 and July 31, 2024, the redeemable non-controlling interest was $3.4 million and $4.1 million, respectively.</w:t>
      </w:r>
    </w:p>
    <w:p>
      <w:pPr>
        <w:spacing w:after="0" w:line="171"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As part of our joint venture obligations, we made an additional cash capital contribution of $1.0 million to nCino K.K. during the third quarter of fiscal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the six months ended July 31, 2023 and 2024 are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59,441</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(91,925)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43,159</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The $59.4 million provided by operating activities in the six months ended July 31, 2024 reflects our net loss of $13.3 million, offset by $58.4 million in non-cash charges and $14.3 million generated by changes in working capital accounts. Non-cash charges primarily consisted of stock-based compensation, depreciation and amortization, amortization of costs capitalized to obtain revenue contracts, non-cash operating lease costs, foreign currency losses related to intercompany loans and transactions, partially offset by deferred income taxes. Cash generated by working capital accounts was principally a function of a $37.8 million decrease in accounts receivable due to the timing of billings and collections from customers, and a $0.8 million increase in accounts payable. The cash generated by working capital accounts was partially offset by an $8.6 million decrease in accrued expenses and other liabilities primarily due to the payout of bonuses and commissions, an increase of $8.4 million of capitalized costs to obtain revenue contracts, which consisted primarily of sales commissions, a $2.6 million decrease in deferred revenue due to the timing of billings and revenue recognition, a $2.4 million increase in prepaid expenses and other assets, and a $2.2 million decrease in operating lease liabilities.</w:t>
      </w:r>
    </w:p>
    <w:p>
      <w:pPr>
        <w:spacing w:after="0" w:line="188"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The $43.3 million provided by operating activities in the six months ended July 31, 2023 reflects our net loss of $27.7 million, offset by $53.5 million in non-cash charges and $17.5 million generated by changes in working capital accounts. Non-cash charges primarily consisted of stock-based compensation, depreciation and amortization, amortization of costs capitalized to obtain revenue contracts, non-cash operating lease costs, deferred income taxes, and provision for bad debt. Cash generated by working capital accounts was principally a function of a $18.4 million decrease in accounts receivable due to timing of billings and collections from customers and a $13.8 million increase in deferred revenue, as we expanded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customer base and renewed existing customers, and a $1.1 million decrease in prepaid expenses and other assets. The cash generated by working capital accounts was partially offset by a $9.3 million decrease in accrued expenses and other liabilities which includes payments of approximately $5.0 million for severance and other employee costs associated with restructuring. Additional offsets were payments of $3.0 million of capitalized costs to obtain revenue contracts, which consisted primarily of sales commissions, a $2.0 million decrease in operating lease liabilities, and a $1.4 million decrease in accounts payable.</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$91.9 million used in investing activities in the six months ended July 31, 2024 was comprised of $90.8 million used for the acquisitions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DocFox and ILT, $0.8 million for the purchase of property and equipment and leasehold improvements to support the expansion of our business,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 million for an asset acquisition. The $2.8 million used in investing activities in the six months ended July 31, 2023 was comprised of $2.5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of property and equipment and leasehold improvements to support the expansion of our business and $0.4 million for the final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relating to an asset acquisition completed in August 2022.</w:t>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The $43.2 million provided by financing activities in the six months ended July 31, 2024 was comprised principally of $75.0 million proceeds from borrowings on the Credit Facility to fund the acquisition of DocFox, $2.5 million of proceeds from stock issuances under the employee stock purchase plan, and $1.7 million of proceeds from the exercise of stock options. The cash provided by financing activities was partially offset by payments of $35.0 million on the Credit Facility, principal payments of $0.7 million on financing obligations, and payments of debt issuance costs of $0.4 million. The $25.7 million used in financing activities in the six months ended July 31, 2023 was comprised principally of payments of $30.0 million on the Credit Facility and principal payments of $0.6 million on financing obligations, partially offset by $2.7 million of proceeds from stock issuances under the employee stock purchase plan, and $2.2 million of proceeds from the exercise of stock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380" w:firstLine="891"/>
        <w:spacing w:after="0" w:line="261"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and the Credit Facility. See Note 10 "Leases," Note 11 "Revolving Credit Facility," and Note 12 "Commitments and Contingencies" of the notes to our unaudited condensed consolidated financial statements included in Part I, Item 1 of this Quarterly Report on Form 10-Q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87"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or estimates as compared to those disclosed in the Annual Report on Form 10-K for the fiscal year ended January 31, 2024 filed with the SEC on March 26,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120" w:firstLine="891"/>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unaudited condensed consolidated financial statements included in Part I, Item 1 of this Quarterly Report on Form 10-Q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32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At July 31, 2024, we had cash, cash equivalents and restricted cash of $126.8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Quarterly Report on Form 10-Q. We do not enter into investments for trading or speculative purposes and have not used any derivative financial instruments to manage our interest rate risk exposure.</w:t>
      </w:r>
    </w:p>
    <w:p>
      <w:pPr>
        <w:spacing w:after="0" w:line="183"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On February 11, 2022, we entered into a senior secured revolving credit facility of up to $50.0 million. On March 17, 2024, the Company entered into the Second Amendment which, among other things, increased our borrowing availability to $100.0 million. Borrowings bear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 down based on achievement of a certain leverage ratio. As a result, we are exposed to increased interest rate risk as we make draws. At July 31, 2024, we had $40.0 million outstanding under the Credit Facility. A hypothetical 100 basis point change in interest rates would not have had a material impact on our financial results included in this Quarterly Report on Form 10-Q. See Note 11 "Revolving Credit Facility" of the notes to our unaudited condensed consolidated financial statements included in Part I, Item 1 of this Quarterly Report on Form 10-Q for additional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unaudited condensed consolidated statements of operations. Furthermore,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88" w:lineRule="exact"/>
        <w:rPr>
          <w:sz w:val="20"/>
          <w:szCs w:val="20"/>
          <w:color w:val="auto"/>
        </w:rPr>
      </w:pPr>
    </w:p>
    <w:p>
      <w:pPr>
        <w:jc w:val="both"/>
        <w:ind w:right="260" w:firstLine="891"/>
        <w:spacing w:after="0" w:line="266" w:lineRule="auto"/>
        <w:rPr>
          <w:sz w:val="20"/>
          <w:szCs w:val="20"/>
          <w:color w:val="auto"/>
        </w:rPr>
      </w:pPr>
      <w:r>
        <w:rPr>
          <w:rFonts w:ascii="Times New Roman" w:cs="Times New Roman" w:eastAsia="Times New Roman" w:hAnsi="Times New Roman"/>
          <w:sz w:val="18"/>
          <w:szCs w:val="18"/>
          <w:color w:val="auto"/>
        </w:rPr>
        <w:t>At July 31, 2024, based on the balances of our cash, cash equivalents, and restricted cash denominated in foreign currencies, a hypothetical 10% increase or decrease in foreign currency exchange rates would have had an impact of approximately $7.0 million on our cash, cash equivalents and restricted cash at July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July 31, 2024, the last day of the period covered by this Quarterly Report on Form 10-Q. Based on this evaluation, our Chief Executive Officer and Chief Financial Officer have concluded that, at July 31, 2024, our disclosure controls and procedures were effective at the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on Form 10-Q that has materially affected, or is reasonably likely to materially affect, our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See Note 12 "Commitments and Contingencies" of the notes to our unaudited condensed consolidated financial statements included in Part I, Item 1 of this Quarterly Report on Form 10-Q for information regarding certain legal proceedings in which we are involved, which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60" w:firstLine="881"/>
        <w:spacing w:after="0" w:line="255" w:lineRule="auto"/>
        <w:rPr>
          <w:sz w:val="20"/>
          <w:szCs w:val="20"/>
          <w:color w:val="auto"/>
        </w:rPr>
      </w:pPr>
      <w:r>
        <w:rPr>
          <w:rFonts w:ascii="Times New Roman" w:cs="Times New Roman" w:eastAsia="Times New Roman" w:hAnsi="Times New Roman"/>
          <w:sz w:val="18"/>
          <w:szCs w:val="18"/>
          <w:color w:val="auto"/>
        </w:rPr>
        <w:t>There are no material changes to the risk factors in the Company's Annual Report on Form 10-K for the fiscal year ended January 31, 2024 filed with the SEC on March 26, 2024 under the heading "Risk Factors." You should consider and read carefully these risks, as well as other information included in this Quarterly Report on Form 10-Q, including the section titled "Management's Discussion and Analysis of Financial Condition and Results of Operations" and our unaudited condensed consolidated financial statements and related notes before making an investment decision with respect to our common stock. Those risks are not the only ones we face. The occurrence of any of those risks or additional risks and uncertainties not presently known to us or that we currently believe to be immaterial could materially and adversely affect our business, financial condition, and results of operation. In such case, the trading price of our common stock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right="520"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the following Section 16 officer adopted, modified or terminated a “Rule 10b5-1 trading arrangement” as defined in Item 408 of Regulation S-K, as follows:</w:t>
      </w:r>
    </w:p>
    <w:p>
      <w:pPr>
        <w:spacing w:after="0" w:line="162" w:lineRule="exact"/>
        <w:rPr>
          <w:sz w:val="20"/>
          <w:szCs w:val="20"/>
          <w:color w:val="auto"/>
        </w:rPr>
      </w:pPr>
    </w:p>
    <w:p>
      <w:pPr>
        <w:jc w:val="both"/>
        <w:ind w:firstLine="891"/>
        <w:spacing w:after="0" w:line="266" w:lineRule="auto"/>
        <w:rPr>
          <w:sz w:val="20"/>
          <w:szCs w:val="20"/>
          <w:color w:val="auto"/>
        </w:rPr>
      </w:pPr>
      <w:r>
        <w:rPr>
          <w:rFonts w:ascii="Times New Roman" w:cs="Times New Roman" w:eastAsia="Times New Roman" w:hAnsi="Times New Roman"/>
          <w:sz w:val="18"/>
          <w:szCs w:val="18"/>
          <w:color w:val="auto"/>
        </w:rPr>
        <w:t>On July 16, 2024, Sean Desmond, Chief Product Officer, adopted a Rule 10b5-1 trading arrangement providing for the sale from time to time of an aggregate of up to 60,000 shares of our common stock. The trading arrangement is intended to satisfy the affirmative defense in Rule 10b5-1(c). The duration of the trading arrangement is until December 31, 2024, or earlier if all transactions under the trading arrangement are completed.</w:t>
      </w:r>
    </w:p>
    <w:p>
      <w:pPr>
        <w:spacing w:after="0" w:line="12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3300" w:type="dxa"/>
            <w:vAlign w:val="bottom"/>
            <w:gridSpan w:val="1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1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8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4280" w:type="dxa"/>
            <w:vAlign w:val="bottom"/>
            <w:gridSpan w:val="13"/>
          </w:tcPr>
          <w:p>
            <w:pPr>
              <w:spacing w:after="0" w:line="188"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Second Amended and Restated Certificate of</w:t>
              </w:r>
            </w:hyperlink>
          </w:p>
        </w:tc>
        <w:tc>
          <w:tcPr>
            <w:tcW w:w="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June 24, 2024</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324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Incorporation</w:t>
              </w:r>
            </w:hyperlink>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Amended and Restated Bylaws</w:t>
              </w:r>
            </w:hyperlink>
          </w:p>
        </w:tc>
        <w:tc>
          <w:tcPr>
            <w:tcW w:w="2020" w:type="dxa"/>
            <w:vAlign w:val="bottom"/>
            <w:gridSpan w:val="11"/>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001-41211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2022</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80" w:type="dxa"/>
            <w:vAlign w:val="bottom"/>
            <w:tcBorders>
              <w:top w:val="single" w:sz="8" w:color="0000FF"/>
            </w:tcBorders>
            <w:gridSpan w:val="3"/>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240" w:type="dxa"/>
            <w:vAlign w:val="bottom"/>
            <w:tcBorders>
              <w:top w:val="single" w:sz="8" w:color="0000FF"/>
            </w:tcBorders>
          </w:tcPr>
          <w:p>
            <w:pPr>
              <w:spacing w:after="0"/>
              <w:rPr>
                <w:sz w:val="13"/>
                <w:szCs w:val="13"/>
                <w:color w:val="auto"/>
              </w:rPr>
            </w:pP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28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1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140" w:type="dxa"/>
            <w:vAlign w:val="bottom"/>
            <w:gridSpan w:val="3"/>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2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720" w:type="dxa"/>
            <w:vAlign w:val="bottom"/>
            <w:gridSpan w:val="10"/>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2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2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428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28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980" w:right="300" w:hanging="954"/>
        <w:spacing w:after="0" w:line="23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Quarterly Report on Form 10-Q and will not be deemed "filed" for purpose of Section 18 of the Securities Exchange Act of 1934, as amended, except to the extent that the registrant specifically incorporates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2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40" w:type="dxa"/>
            <w:vAlign w:val="bottom"/>
            <w:gridSpan w:val="2"/>
          </w:tcPr>
          <w:p>
            <w:pPr>
              <w:ind w:left="274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27, 2024</w:t>
            </w:r>
          </w:p>
        </w:tc>
        <w:tc>
          <w:tcPr>
            <w:tcW w:w="3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Pierre Naudé</w:t>
            </w:r>
          </w:p>
        </w:tc>
      </w:tr>
      <w:tr>
        <w:trPr>
          <w:trHeight w:val="218"/>
        </w:trPr>
        <w:tc>
          <w:tcPr>
            <w:tcW w:w="3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Pierre Naudé</w:t>
            </w:r>
          </w:p>
        </w:tc>
      </w:tr>
      <w:tr>
        <w:trPr>
          <w:trHeight w:val="230"/>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27, 2024</w:t>
            </w:r>
          </w:p>
        </w:tc>
        <w:tc>
          <w:tcPr>
            <w:tcW w:w="326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5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29"/>
        </w:trPr>
        <w:tc>
          <w:tcPr>
            <w:tcW w:w="35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5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04"/>
        </w:trPr>
        <w:tc>
          <w:tcPr>
            <w:tcW w:w="3580" w:type="dxa"/>
            <w:vAlign w:val="bottom"/>
          </w:tcPr>
          <w:p>
            <w:pPr>
              <w:spacing w:after="0"/>
              <w:rPr>
                <w:sz w:val="24"/>
                <w:szCs w:val="24"/>
                <w:color w:val="auto"/>
              </w:rPr>
            </w:pPr>
          </w:p>
        </w:tc>
        <w:tc>
          <w:tcPr>
            <w:tcW w:w="3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41</w:t>
            </w:r>
          </w:p>
        </w:tc>
        <w:tc>
          <w:tcPr>
            <w:tcW w:w="43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Pierre Naudé, certify that:</w:t>
      </w:r>
    </w:p>
    <w:p>
      <w:pPr>
        <w:spacing w:after="0" w:line="25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5" w:name="page46"/>
    <w:bookmarkEnd w:id="45"/>
    <w:p>
      <w:pPr>
        <w:ind w:left="652" w:hanging="652"/>
        <w:spacing w:after="0" w:line="261" w:lineRule="auto"/>
        <w:tabs>
          <w:tab w:leader="none" w:pos="65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260" w:hanging="644"/>
        <w:spacing w:after="0" w:line="261" w:lineRule="auto"/>
        <w:tabs>
          <w:tab w:leader="none" w:pos="1282"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5" w:lineRule="exact"/>
        <w:rPr>
          <w:rFonts w:ascii="Times New Roman" w:cs="Times New Roman" w:eastAsia="Times New Roman" w:hAnsi="Times New Roman"/>
          <w:sz w:val="20"/>
          <w:szCs w:val="20"/>
          <w:color w:val="auto"/>
        </w:rPr>
      </w:pPr>
    </w:p>
    <w:p>
      <w:pPr>
        <w:ind w:left="1292" w:right="680" w:hanging="644"/>
        <w:spacing w:after="0" w:line="245" w:lineRule="auto"/>
        <w:tabs>
          <w:tab w:leader="none" w:pos="128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9" w:lineRule="exact"/>
        <w:rPr>
          <w:sz w:val="20"/>
          <w:szCs w:val="20"/>
          <w:color w:val="auto"/>
        </w:rPr>
      </w:pPr>
    </w:p>
    <w:p>
      <w:pPr>
        <w:ind w:left="12"/>
        <w:spacing w:after="0"/>
        <w:tabs>
          <w:tab w:leader="none" w:pos="5312" w:val="left"/>
          <w:tab w:leader="none" w:pos="7772" w:val="left"/>
        </w:tabs>
        <w:rPr>
          <w:sz w:val="20"/>
          <w:szCs w:val="20"/>
          <w:color w:val="auto"/>
        </w:rPr>
      </w:pPr>
      <w:r>
        <w:rPr>
          <w:rFonts w:ascii="Times New Roman" w:cs="Times New Roman" w:eastAsia="Times New Roman" w:hAnsi="Times New Roman"/>
          <w:sz w:val="20"/>
          <w:szCs w:val="20"/>
          <w:color w:val="auto"/>
        </w:rPr>
        <w:t>Date: August 27,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1"/>
          <w:szCs w:val="21"/>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41275</wp:posOffset>
            </wp:positionV>
            <wp:extent cx="33261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71"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Pierre Naudé</w:t>
      </w:r>
    </w:p>
    <w:p>
      <w:pPr>
        <w:spacing w:after="0" w:line="58"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22"/>
          <w:szCs w:val="22"/>
          <w:color w:val="auto"/>
        </w:rPr>
        <w:t>Chairman and Chief Executive Officer</w:t>
      </w:r>
    </w:p>
    <w:p>
      <w:pPr>
        <w:sectPr>
          <w:pgSz w:w="11900" w:h="16838" w:orient="portrait"/>
          <w:cols w:equalWidth="0" w:num="1">
            <w:col w:w="11152"/>
          </w:cols>
          <w:pgMar w:left="328" w:top="1413" w:right="4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56"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1300" w:right="100" w:hanging="644"/>
        <w:spacing w:after="0" w:line="261" w:lineRule="auto"/>
        <w:tabs>
          <w:tab w:leader="none" w:pos="129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9"/>
          <w:szCs w:val="19"/>
          <w:color w:val="auto"/>
        </w:rPr>
      </w:pPr>
    </w:p>
    <w:p>
      <w:pPr>
        <w:jc w:val="both"/>
        <w:ind w:left="1300" w:right="80" w:hanging="644"/>
        <w:spacing w:after="0" w:line="268" w:lineRule="auto"/>
        <w:tabs>
          <w:tab w:leader="none" w:pos="129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47" w:name="page48"/>
    <w:bookmarkEnd w:id="47"/>
    <w:p>
      <w:pPr>
        <w:ind w:left="652" w:right="80" w:hanging="652"/>
        <w:spacing w:after="0" w:line="261" w:lineRule="auto"/>
        <w:tabs>
          <w:tab w:leader="none" w:pos="65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292" w:right="340" w:hanging="644"/>
        <w:spacing w:after="0" w:line="261" w:lineRule="auto"/>
        <w:tabs>
          <w:tab w:leader="none" w:pos="128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292" w:right="760" w:hanging="644"/>
        <w:spacing w:after="0" w:line="269" w:lineRule="auto"/>
        <w:tabs>
          <w:tab w:leader="none" w:pos="128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 w:type="dxa"/>
        <w:tblCellMar>
          <w:top w:w="0" w:type="dxa"/>
          <w:left w:w="0" w:type="dxa"/>
          <w:bottom w:w="0" w:type="dxa"/>
          <w:right w:w="0" w:type="dxa"/>
        </w:tblCellMar>
      </w:tblPr>
      <w:tr>
        <w:trPr>
          <w:trHeight w:val="26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27, 2024</w:t>
            </w:r>
          </w:p>
        </w:tc>
        <w:tc>
          <w:tcPr>
            <w:tcW w:w="2320" w:type="dxa"/>
            <w:vAlign w:val="bottom"/>
          </w:tcPr>
          <w:p>
            <w:pPr>
              <w:ind w:left="17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ectPr>
          <w:pgSz w:w="11900" w:h="16838" w:orient="portrait"/>
          <w:cols w:equalWidth="0" w:num="1">
            <w:col w:w="11232"/>
          </w:cols>
          <w:pgMar w:left="328" w:top="141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July 31, 2024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27, 2024</w:t>
            </w:r>
          </w:p>
        </w:tc>
        <w:tc>
          <w:tcPr>
            <w:tcW w:w="2300" w:type="dxa"/>
            <w:vAlign w:val="bottom"/>
          </w:tcPr>
          <w:p>
            <w:pPr>
              <w:ind w:left="1760"/>
              <w:spacing w:after="0"/>
              <w:rPr>
                <w:sz w:val="20"/>
                <w:szCs w:val="20"/>
                <w:color w:val="auto"/>
              </w:rPr>
            </w:pPr>
            <w:r>
              <w:rPr>
                <w:rFonts w:ascii="Times New Roman" w:cs="Times New Roman" w:eastAsia="Times New Roman" w:hAnsi="Times New Roman"/>
                <w:sz w:val="20"/>
                <w:szCs w:val="20"/>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Pierre Naudé</w:t>
            </w:r>
          </w:p>
        </w:tc>
      </w:tr>
      <w:tr>
        <w:trPr>
          <w:trHeight w:val="244"/>
        </w:trPr>
        <w:tc>
          <w:tcPr>
            <w:tcW w:w="356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Pierre Naudé</w:t>
            </w:r>
          </w:p>
        </w:tc>
      </w:tr>
      <w:tr>
        <w:trPr>
          <w:trHeight w:val="258"/>
        </w:trPr>
        <w:tc>
          <w:tcPr>
            <w:tcW w:w="35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and Chief Executive Officer</w:t>
            </w:r>
          </w:p>
        </w:tc>
      </w:tr>
    </w:tbl>
    <w:p>
      <w:pPr>
        <w:sectPr>
          <w:pgSz w:w="11900" w:h="16838" w:orient="portrait"/>
          <w:cols w:equalWidth="0" w:num="1">
            <w:col w:w="11240"/>
          </w:cols>
          <w:pgMar w:left="320" w:top="141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00" w:firstLine="516"/>
        <w:spacing w:after="0" w:line="261" w:lineRule="auto"/>
        <w:rPr>
          <w:sz w:val="20"/>
          <w:szCs w:val="20"/>
          <w:color w:val="auto"/>
        </w:rPr>
      </w:pPr>
      <w:r>
        <w:rPr>
          <w:rFonts w:ascii="Times New Roman" w:cs="Times New Roman" w:eastAsia="Times New Roman" w:hAnsi="Times New Roman"/>
          <w:sz w:val="20"/>
          <w:szCs w:val="20"/>
          <w:color w:val="auto"/>
        </w:rPr>
        <w:t>In connection with the Quarterly Report of nCino, Inc. (the “Company”) on Form 10-Q for the period ending July 31, 2024 as filed with the Securities and Exchange Commission on the date hereof (the “Report”), I certify, pursuant to 18 U.S.C. § 1350, as adopted pursuant to § 906 of the Sarbanes-Oxley Act of 2002, that, to my knowledge:</w:t>
      </w:r>
    </w:p>
    <w:p>
      <w:pPr>
        <w:spacing w:after="0" w:line="181" w:lineRule="exact"/>
        <w:rPr>
          <w:sz w:val="20"/>
          <w:szCs w:val="20"/>
          <w:color w:val="auto"/>
        </w:rPr>
      </w:pPr>
    </w:p>
    <w:p>
      <w:pPr>
        <w:ind w:left="1300" w:hanging="776"/>
        <w:spacing w:after="0"/>
        <w:tabs>
          <w:tab w:leader="none" w:pos="13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776"/>
        <w:spacing w:after="0" w:line="283" w:lineRule="auto"/>
        <w:tabs>
          <w:tab w:leader="none" w:pos="129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35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27, 2024</w:t>
            </w:r>
          </w:p>
        </w:tc>
        <w:tc>
          <w:tcPr>
            <w:tcW w:w="2320" w:type="dxa"/>
            <w:vAlign w:val="bottom"/>
          </w:tcPr>
          <w:p>
            <w:pPr>
              <w:ind w:left="1760"/>
              <w:spacing w:after="0"/>
              <w:rPr>
                <w:sz w:val="20"/>
                <w:szCs w:val="20"/>
                <w:color w:val="auto"/>
              </w:rPr>
            </w:pPr>
            <w:r>
              <w:rPr>
                <w:rFonts w:ascii="Times New Roman" w:cs="Times New Roman" w:eastAsia="Times New Roman" w:hAnsi="Times New Roman"/>
                <w:sz w:val="20"/>
                <w:szCs w:val="20"/>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Gregory D. Orenstein</w:t>
            </w:r>
          </w:p>
        </w:tc>
      </w:tr>
      <w:tr>
        <w:trPr>
          <w:trHeight w:val="244"/>
        </w:trPr>
        <w:tc>
          <w:tcPr>
            <w:tcW w:w="35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Gregory D. Orenstein</w:t>
            </w:r>
          </w:p>
        </w:tc>
      </w:tr>
      <w:tr>
        <w:trPr>
          <w:trHeight w:val="258"/>
        </w:trPr>
        <w:tc>
          <w:tcPr>
            <w:tcW w:w="35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emdash "/>
      <w:numFmt w:val="bullet"/>
      <w:start w:val="1"/>
    </w:lvl>
  </w:abstractNum>
  <w:abstractNum w:abstractNumId="2">
    <w:nsid w:val="515F007C"/>
    <w:multiLevelType w:val="hybridMultilevel"/>
    <w:lvl w:ilvl="0">
      <w:lvlJc w:val="left"/>
      <w:lvlText w:val="(%1)"/>
      <w:numFmt w:val="decimal"/>
      <w:start w:val="356"/>
    </w:lvl>
  </w:abstractNum>
  <w:abstractNum w:abstractNumId="3">
    <w:nsid w:val="5BD062C2"/>
    <w:multiLevelType w:val="hybridMultilevel"/>
    <w:lvl w:ilvl="0">
      <w:lvlJc w:val="left"/>
      <w:lvlText w:val="(%1)"/>
      <w:numFmt w:val="decimal"/>
      <w:start w:val="564"/>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lvl w:ilvl="1">
      <w:lvlJc w:val="left"/>
      <w:lvlText w:val="(%2)"/>
      <w:numFmt w:val="lowerLetter"/>
      <w:start w:val="1"/>
    </w:lvl>
  </w:abstractNum>
  <w:abstractNum w:abstractNumId="9">
    <w:nsid w:val="66EF438D"/>
    <w:multiLevelType w:val="hybridMultilevel"/>
    <w:lvl w:ilvl="0">
      <w:lvlJc w:val="left"/>
      <w:lvlText w:val="%1."/>
      <w:numFmt w:val="decimal"/>
      <w:start w:val="5"/>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4" Type="http://schemas.openxmlformats.org/officeDocument/2006/relationships/hyperlink" Target="https://www.sec.gov/Archives/edgar/data/1902733/000190273324000139/secondamendedandrestatedce.htm" TargetMode="External"/><Relationship Id="rId85" Type="http://schemas.openxmlformats.org/officeDocument/2006/relationships/hyperlink" Target="https://www.sec.gov/Archives/edgar/data/1902733/000190273322000031/amendedandrestated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2024-08-27T16:55:49Z</dcterms:created>
  <dcterms:modified xsi:type="dcterms:W3CDTF">2024-08-27T16:55:49Z</dcterms:modified>
</cp:coreProperties>
</file>