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27, 2026</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nCino,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204" w:right="339" w:bottom="1440" w:gutter="0" w:footer="0" w:header="0"/>
        </w:sectPr>
      </w:pPr>
    </w:p>
    <w:p>
      <w:pPr>
        <w:spacing w:after="0" w:line="3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001-41211</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87-4154342</w:t>
      </w:r>
    </w:p>
    <w:p>
      <w:pPr>
        <w:spacing w:after="0" w:line="50" w:lineRule="exact"/>
        <w:rPr>
          <w:sz w:val="24"/>
          <w:szCs w:val="24"/>
          <w:color w:val="auto"/>
        </w:rPr>
      </w:pPr>
    </w:p>
    <w:p>
      <w:pPr>
        <w:sectPr>
          <w:pgSz w:w="11900" w:h="16838" w:orient="portrait"/>
          <w:cols w:equalWidth="0" w:num="3">
            <w:col w:w="4520" w:space="720"/>
            <w:col w:w="2940" w:space="720"/>
            <w:col w:w="2340"/>
          </w:cols>
          <w:pgMar w:left="320" w:top="1204"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9" w:lineRule="exact"/>
        <w:rPr>
          <w:sz w:val="24"/>
          <w:szCs w:val="24"/>
          <w:color w:val="auto"/>
        </w:rPr>
      </w:pPr>
    </w:p>
    <w:p>
      <w:pPr>
        <w:sectPr>
          <w:pgSz w:w="11900" w:h="16838" w:orient="portrait"/>
          <w:cols w:equalWidth="0" w:num="3">
            <w:col w:w="4060" w:space="720"/>
            <w:col w:w="3340" w:space="720"/>
            <w:col w:w="2400"/>
          </w:cols>
          <w:pgMar w:left="320" w:top="1204"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8020" w:space="720"/>
            <w:col w:w="2500"/>
          </w:cols>
          <w:pgMar w:left="320" w:top="12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(888) 676-2466</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04"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499"/>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$0.0005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NCNO</w:t>
            </w: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57"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5" w:lineRule="exact"/>
        <w:rPr>
          <w:sz w:val="24"/>
          <w:szCs w:val="24"/>
          <w:color w:val="auto"/>
        </w:rPr>
      </w:pPr>
    </w:p>
    <w:p>
      <w:pPr>
        <w:ind w:right="58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27, 2026, nCino, Inc. (the “Company”) issued a press release announcing its financial results for its first quarter ended April 30, 2026. A copy of the press release is furnished herewith as Exhibit 99.1 to this Current Report on Form 8-K and is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unless expressly incorporated by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1"/>
                <w:szCs w:val="21"/>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nCino, Inc. dated May 27, 2026 (furnished and not filed).</w:t>
            </w:r>
          </w:p>
        </w:tc>
        <w:tc>
          <w:tcPr>
            <w:tcW w:w="4600" w:type="dxa"/>
            <w:vAlign w:val="bottom"/>
          </w:tcPr>
          <w:p>
            <w:pPr>
              <w:spacing w:after="0"/>
              <w:rPr>
                <w:sz w:val="21"/>
                <w:szCs w:val="2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67" w:lineRule="exact"/>
        <w:rPr>
          <w:sz w:val="20"/>
          <w:szCs w:val="20"/>
          <w:color w:val="auto"/>
        </w:rPr>
      </w:pPr>
    </w:p>
    <w:p>
      <w:pPr>
        <w:ind w:left="20"/>
        <w:spacing w:after="0"/>
        <w:tabs>
          <w:tab w:leader="none" w:pos="6800" w:val="left"/>
          <w:tab w:leader="none" w:pos="738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34290</wp:posOffset>
            </wp:positionV>
            <wp:extent cx="2392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Gregory D. Orenstein</w:t>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78308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nCino Reports First Quarter Fiscal Year 2027 Financial Results</w:t>
      </w:r>
    </w:p>
    <w:p>
      <w:pPr>
        <w:spacing w:after="0" w:line="264" w:lineRule="exact"/>
        <w:rPr>
          <w:sz w:val="20"/>
          <w:szCs w:val="20"/>
          <w:color w:val="auto"/>
        </w:rPr>
      </w:pPr>
    </w:p>
    <w:p>
      <w:pPr>
        <w:ind w:left="3140" w:hanging="287"/>
        <w:spacing w:after="0"/>
        <w:tabs>
          <w:tab w:leader="none" w:pos="3140" w:val="left"/>
        </w:tabs>
        <w:numPr>
          <w:ilvl w:val="3"/>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Total Revenues of $159.4M, up 11% year-over-year</w:t>
      </w:r>
    </w:p>
    <w:p>
      <w:pPr>
        <w:spacing w:after="0" w:line="30" w:lineRule="exact"/>
        <w:rPr>
          <w:rFonts w:ascii="Arial" w:cs="Arial" w:eastAsia="Arial" w:hAnsi="Arial"/>
          <w:sz w:val="22"/>
          <w:szCs w:val="22"/>
          <w:i w:val="1"/>
          <w:iCs w:val="1"/>
          <w:color w:val="auto"/>
        </w:rPr>
      </w:pPr>
    </w:p>
    <w:p>
      <w:pPr>
        <w:ind w:left="2780" w:hanging="299"/>
        <w:spacing w:after="0"/>
        <w:tabs>
          <w:tab w:leader="none" w:pos="2780" w:val="left"/>
        </w:tabs>
        <w:numPr>
          <w:ilvl w:val="2"/>
          <w:numId w:val="2"/>
        </w:numPr>
        <w:rPr>
          <w:rFonts w:ascii="Arial" w:cs="Arial" w:eastAsia="Arial" w:hAnsi="Arial"/>
          <w:sz w:val="22"/>
          <w:szCs w:val="22"/>
          <w:color w:val="auto"/>
        </w:rPr>
      </w:pPr>
      <w:r>
        <w:rPr>
          <w:rFonts w:ascii="Arial" w:cs="Arial" w:eastAsia="Arial" w:hAnsi="Arial"/>
          <w:sz w:val="22"/>
          <w:szCs w:val="22"/>
          <w:i w:val="1"/>
          <w:iCs w:val="1"/>
          <w:color w:val="auto"/>
        </w:rPr>
        <w:t>Subscription Revenues of $140.9M, up 12% year-over-year</w:t>
      </w:r>
    </w:p>
    <w:p>
      <w:pPr>
        <w:spacing w:after="0" w:line="10" w:lineRule="exact"/>
        <w:rPr>
          <w:rFonts w:ascii="Arial" w:cs="Arial" w:eastAsia="Arial" w:hAnsi="Arial"/>
          <w:sz w:val="22"/>
          <w:szCs w:val="22"/>
          <w:color w:val="auto"/>
        </w:rPr>
      </w:pPr>
    </w:p>
    <w:p>
      <w:pPr>
        <w:ind w:left="2260" w:hanging="284"/>
        <w:spacing w:after="0"/>
        <w:tabs>
          <w:tab w:leader="none" w:pos="226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GAAP Operating Margin of 13%, up 1,400 basis points year-over-year</w:t>
      </w:r>
    </w:p>
    <w:p>
      <w:pPr>
        <w:spacing w:after="0" w:line="3" w:lineRule="exact"/>
        <w:rPr>
          <w:rFonts w:ascii="Arial" w:cs="Arial" w:eastAsia="Arial" w:hAnsi="Arial"/>
          <w:sz w:val="22"/>
          <w:szCs w:val="22"/>
          <w:i w:val="1"/>
          <w:iCs w:val="1"/>
          <w:color w:val="auto"/>
        </w:rPr>
      </w:pPr>
    </w:p>
    <w:p>
      <w:pPr>
        <w:ind w:left="2040" w:hanging="298"/>
        <w:spacing w:after="0"/>
        <w:tabs>
          <w:tab w:leader="none" w:pos="20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Non-GAAP Operating Margin of 28%, up 1,100 basis points year-over-year</w:t>
      </w:r>
    </w:p>
    <w:p>
      <w:pPr>
        <w:spacing w:after="0" w:line="198" w:lineRule="exact"/>
        <w:rPr>
          <w:sz w:val="20"/>
          <w:szCs w:val="20"/>
          <w:color w:val="auto"/>
        </w:rPr>
      </w:pPr>
    </w:p>
    <w:p>
      <w:pPr>
        <w:ind w:right="860"/>
        <w:spacing w:after="0" w:line="274" w:lineRule="auto"/>
        <w:rPr>
          <w:sz w:val="20"/>
          <w:szCs w:val="20"/>
          <w:color w:val="auto"/>
        </w:rPr>
      </w:pPr>
      <w:r>
        <w:rPr>
          <w:rFonts w:ascii="Arial" w:cs="Arial" w:eastAsia="Arial" w:hAnsi="Arial"/>
          <w:sz w:val="22"/>
          <w:szCs w:val="22"/>
          <w:b w:val="1"/>
          <w:bCs w:val="1"/>
          <w:color w:val="auto"/>
        </w:rPr>
        <w:t xml:space="preserve">WILMINGTON, N.C., May 27, 2026 </w:t>
      </w:r>
      <w:r>
        <w:rPr>
          <w:rFonts w:ascii="Arial" w:cs="Arial" w:eastAsia="Arial" w:hAnsi="Arial"/>
          <w:sz w:val="22"/>
          <w:szCs w:val="22"/>
          <w:color w:val="auto"/>
        </w:rPr>
        <w:t>-- nCino, Inc. (NASDAQ: NCNO), the platform for agentic banking,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financial results for the first quarter of fiscal year 2027, ended April 30, 2026.</w:t>
      </w:r>
    </w:p>
    <w:p>
      <w:pPr>
        <w:spacing w:after="0" w:line="167"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"We delivered an exceptional first quarter, again outperforming all of our financial guidance. Our customers continue to validate our AI product strategy and are demonstrating their confidence in nCino as their long-term technology partner by deepening their investments in our platform and embracing our AI capabilities. These results are a direct reflection of the tangible value our customers are realizing with our platform, and we remain deeply committed to delivering that value at scale globally," said Sean Desmond, CEO at nCino.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39" w:lineRule="exact"/>
        <w:rPr>
          <w:sz w:val="20"/>
          <w:szCs w:val="20"/>
          <w:color w:val="auto"/>
        </w:rPr>
      </w:pPr>
    </w:p>
    <w:p>
      <w:pPr>
        <w:ind w:left="660" w:right="60" w:hanging="328"/>
        <w:spacing w:after="0" w:line="243"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Revenues: </w:t>
      </w:r>
      <w:r>
        <w:rPr>
          <w:rFonts w:ascii="Arial" w:cs="Arial" w:eastAsia="Arial" w:hAnsi="Arial"/>
          <w:sz w:val="22"/>
          <w:szCs w:val="22"/>
          <w:color w:val="auto"/>
        </w:rPr>
        <w:t>Total revenues for the first quarter of fiscal 2027 were $159.4 million, an 11% increase from $144.1</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first quarter of fiscal 2026. Subscription revenues for the first quarter of fiscal 2027 were $140.9 million, up from $125.6 million one year ago, an increase of 12%.</w:t>
      </w:r>
    </w:p>
    <w:p>
      <w:pPr>
        <w:spacing w:after="0" w:line="1" w:lineRule="exact"/>
        <w:rPr>
          <w:rFonts w:ascii="Arial" w:cs="Arial" w:eastAsia="Arial" w:hAnsi="Arial"/>
          <w:sz w:val="22"/>
          <w:szCs w:val="22"/>
          <w:color w:val="auto"/>
        </w:rPr>
      </w:pPr>
    </w:p>
    <w:p>
      <w:pPr>
        <w:ind w:left="660" w:right="60" w:hanging="328"/>
        <w:spacing w:after="0" w:line="246"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Income (Loss) from Operations: </w:t>
      </w:r>
      <w:r>
        <w:rPr>
          <w:rFonts w:ascii="Arial" w:cs="Arial" w:eastAsia="Arial" w:hAnsi="Arial"/>
          <w:sz w:val="22"/>
          <w:szCs w:val="22"/>
          <w:color w:val="auto"/>
        </w:rPr>
        <w:t>GAAP income (loss) from operations in the first quarter of fiscal 2027 was</w:t>
      </w:r>
      <w:r>
        <w:rPr>
          <w:rFonts w:ascii="Arial" w:cs="Arial" w:eastAsia="Arial" w:hAnsi="Arial"/>
          <w:sz w:val="22"/>
          <w:szCs w:val="22"/>
          <w:b w:val="1"/>
          <w:bCs w:val="1"/>
          <w:color w:val="auto"/>
        </w:rPr>
        <w:t xml:space="preserve"> </w:t>
      </w:r>
      <w:r>
        <w:rPr>
          <w:rFonts w:ascii="Arial" w:cs="Arial" w:eastAsia="Arial" w:hAnsi="Arial"/>
          <w:sz w:val="22"/>
          <w:szCs w:val="22"/>
          <w:color w:val="auto"/>
        </w:rPr>
        <w:t>$21.1 million compared to $(1.5) million in the same quarter of fiscal 2026. Non-GAAP operating income in the first quarter of fiscal 2027 was $44.5 million compared to $24.8 million in the first quarter of fiscal 2026, an increase of 79%.</w:t>
      </w:r>
    </w:p>
    <w:p>
      <w:pPr>
        <w:spacing w:after="0" w:line="2" w:lineRule="exact"/>
        <w:rPr>
          <w:rFonts w:ascii="Arial" w:cs="Arial" w:eastAsia="Arial" w:hAnsi="Arial"/>
          <w:sz w:val="22"/>
          <w:szCs w:val="22"/>
          <w:color w:val="auto"/>
        </w:rPr>
      </w:pPr>
    </w:p>
    <w:p>
      <w:pPr>
        <w:jc w:val="both"/>
        <w:ind w:left="660" w:right="40" w:hanging="328"/>
        <w:spacing w:after="0" w:line="245"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Cash: </w:t>
      </w:r>
      <w:r>
        <w:rPr>
          <w:rFonts w:ascii="Arial" w:cs="Arial" w:eastAsia="Arial" w:hAnsi="Arial"/>
          <w:sz w:val="22"/>
          <w:szCs w:val="22"/>
          <w:color w:val="auto"/>
        </w:rPr>
        <w:t>Cash, cash equivalents, and restricted cash were $103.1 million as of April 30, 2026, and $262.8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was outstanding under the Company's credit facility. Free cash flow in the first quarter of fiscal 2027 was $80.8 million compared to $52.6 million in the first quarter of fiscal 2026, an increase of 54%.</w:t>
      </w:r>
    </w:p>
    <w:p>
      <w:pPr>
        <w:spacing w:after="0" w:line="1" w:lineRule="exact"/>
        <w:rPr>
          <w:rFonts w:ascii="Arial" w:cs="Arial" w:eastAsia="Arial" w:hAnsi="Arial"/>
          <w:sz w:val="22"/>
          <w:szCs w:val="22"/>
          <w:color w:val="auto"/>
        </w:rPr>
      </w:pPr>
    </w:p>
    <w:p>
      <w:pPr>
        <w:ind w:left="660" w:right="20" w:hanging="328"/>
        <w:spacing w:after="0" w:line="246"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Share Repurchases: </w:t>
      </w:r>
      <w:r>
        <w:rPr>
          <w:rFonts w:ascii="Arial" w:cs="Arial" w:eastAsia="Arial" w:hAnsi="Arial"/>
          <w:sz w:val="22"/>
          <w:szCs w:val="22"/>
          <w:color w:val="auto"/>
        </w:rPr>
        <w:t>In the first quarter ended April 30, 2026, nCino repurchased approximately 6.1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the Company's outstanding common stock under the December 2025 Stock Repurchase Program and the $100 million March 2026 Accelerated Share Repurchase (ASR) Program at an average price of $15.20 per share totaling approximately $93.1 million, including an initial delivery of 5.5 million shares received upfront under the ASR. $65.0 million remains available for future repurchases under the December 2025 Stock Repurchase Program.</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Highlights</w:t>
      </w:r>
    </w:p>
    <w:p>
      <w:pPr>
        <w:spacing w:after="0" w:line="12" w:lineRule="exact"/>
        <w:rPr>
          <w:sz w:val="20"/>
          <w:szCs w:val="20"/>
          <w:color w:val="auto"/>
        </w:rPr>
      </w:pPr>
    </w:p>
    <w:p>
      <w:pPr>
        <w:jc w:val="both"/>
        <w:ind w:left="660" w:right="440" w:hanging="328"/>
        <w:spacing w:after="0" w:line="217" w:lineRule="auto"/>
        <w:tabs>
          <w:tab w:leader="none" w:pos="628"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Renewed a top-5 Canadian bank by assets: </w:t>
      </w:r>
      <w:r>
        <w:rPr>
          <w:rFonts w:ascii="Arial" w:cs="Arial" w:eastAsia="Arial" w:hAnsi="Arial"/>
          <w:sz w:val="22"/>
          <w:szCs w:val="22"/>
          <w:color w:val="auto"/>
        </w:rPr>
        <w:t>Secured a five-year renewal with a top-5 Canadian bank by</w:t>
      </w:r>
      <w:r>
        <w:rPr>
          <w:rFonts w:ascii="Arial" w:cs="Arial" w:eastAsia="Arial" w:hAnsi="Arial"/>
          <w:sz w:val="22"/>
          <w:szCs w:val="22"/>
          <w:b w:val="1"/>
          <w:bCs w:val="1"/>
          <w:color w:val="auto"/>
        </w:rPr>
        <w:t xml:space="preserve"> </w:t>
      </w:r>
      <w:r>
        <w:rPr>
          <w:rFonts w:ascii="Arial" w:cs="Arial" w:eastAsia="Arial" w:hAnsi="Arial"/>
          <w:sz w:val="22"/>
          <w:szCs w:val="22"/>
          <w:color w:val="auto"/>
        </w:rPr>
        <w:t>assets, expanding use cases for Commercial Lending and adding nCino AI capabilities to broaden nCino's footprint within the institution.</w:t>
      </w:r>
    </w:p>
    <w:p>
      <w:pPr>
        <w:spacing w:after="0" w:line="2" w:lineRule="exact"/>
        <w:rPr>
          <w:rFonts w:ascii="Arial" w:cs="Arial" w:eastAsia="Arial" w:hAnsi="Arial"/>
          <w:sz w:val="22"/>
          <w:szCs w:val="22"/>
          <w:b w:val="1"/>
          <w:bCs w:val="1"/>
          <w:color w:val="auto"/>
        </w:rPr>
      </w:pPr>
    </w:p>
    <w:p>
      <w:pPr>
        <w:ind w:left="660" w:right="160" w:hanging="328"/>
        <w:spacing w:after="0" w:line="233" w:lineRule="auto"/>
        <w:tabs>
          <w:tab w:leader="none" w:pos="628"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Increased committed loan volume with a top-25 IMB by over 100%: </w:t>
      </w:r>
      <w:r>
        <w:rPr>
          <w:rFonts w:ascii="Arial" w:cs="Arial" w:eastAsia="Arial" w:hAnsi="Arial"/>
          <w:sz w:val="22"/>
          <w:szCs w:val="22"/>
          <w:color w:val="auto"/>
        </w:rPr>
        <w:t>A top-25 independent mortgage bank</w:t>
      </w:r>
      <w:r>
        <w:rPr>
          <w:rFonts w:ascii="Arial" w:cs="Arial" w:eastAsia="Arial" w:hAnsi="Arial"/>
          <w:sz w:val="22"/>
          <w:szCs w:val="22"/>
          <w:b w:val="1"/>
          <w:bCs w:val="1"/>
          <w:color w:val="auto"/>
        </w:rPr>
        <w:t xml:space="preserve"> </w:t>
      </w:r>
      <w:r>
        <w:rPr>
          <w:rFonts w:ascii="Arial" w:cs="Arial" w:eastAsia="Arial" w:hAnsi="Arial"/>
          <w:sz w:val="22"/>
          <w:szCs w:val="22"/>
          <w:color w:val="auto"/>
        </w:rPr>
        <w:t>(IMB) more than doubled its committed loan volume with a</w:t>
      </w:r>
    </w:p>
    <w:p>
      <w:pPr>
        <w:sectPr>
          <w:pgSz w:w="11900" w:h="16838" w:orient="portrait"/>
          <w:cols w:equalWidth="0" w:num="1">
            <w:col w:w="11240"/>
          </w:cols>
          <w:pgMar w:left="320" w:top="98" w:right="339" w:bottom="1440" w:gutter="0" w:footer="0" w:header="0"/>
        </w:sectPr>
      </w:pPr>
    </w:p>
    <w:bookmarkStart w:id="4" w:name="page5"/>
    <w:bookmarkEnd w:id="4"/>
    <w:p>
      <w:pPr>
        <w:spacing w:after="0" w:line="1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five-year renewal, positioning nCino's Mortgage Solution as a key enabler of the institution's growth strategy.</w:t>
      </w:r>
    </w:p>
    <w:p>
      <w:pPr>
        <w:spacing w:after="0" w:line="8" w:lineRule="exact"/>
        <w:rPr>
          <w:sz w:val="20"/>
          <w:szCs w:val="20"/>
          <w:color w:val="auto"/>
        </w:rPr>
      </w:pPr>
    </w:p>
    <w:p>
      <w:pPr>
        <w:ind w:left="660" w:hanging="328"/>
        <w:spacing w:after="0" w:line="222" w:lineRule="auto"/>
        <w:tabs>
          <w:tab w:leader="none" w:pos="62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Largest new logo win by Credit Union team: </w:t>
      </w:r>
      <w:r>
        <w:rPr>
          <w:rFonts w:ascii="Arial" w:cs="Arial" w:eastAsia="Arial" w:hAnsi="Arial"/>
          <w:sz w:val="22"/>
          <w:szCs w:val="22"/>
          <w:color w:val="auto"/>
        </w:rPr>
        <w:t>The nCino Credit Union team signed their largest new logo</w:t>
      </w:r>
      <w:r>
        <w:rPr>
          <w:rFonts w:ascii="Arial" w:cs="Arial" w:eastAsia="Arial" w:hAnsi="Arial"/>
          <w:sz w:val="22"/>
          <w:szCs w:val="22"/>
          <w:b w:val="1"/>
          <w:bCs w:val="1"/>
          <w:color w:val="auto"/>
        </w:rPr>
        <w:t xml:space="preserve"> </w:t>
      </w:r>
      <w:r>
        <w:rPr>
          <w:rFonts w:ascii="Arial" w:cs="Arial" w:eastAsia="Arial" w:hAnsi="Arial"/>
          <w:sz w:val="22"/>
          <w:szCs w:val="22"/>
          <w:color w:val="auto"/>
        </w:rPr>
        <w:t>deal to date with a $6.5 billion credit union selecting nCino for Commercial Lending, Small Business Lending, Commercial Pricing &amp; Profitability, and Portfolio Analytics.</w:t>
      </w:r>
    </w:p>
    <w:p>
      <w:pPr>
        <w:ind w:left="660" w:right="160" w:hanging="328"/>
        <w:spacing w:after="0" w:line="239" w:lineRule="auto"/>
        <w:tabs>
          <w:tab w:leader="none" w:pos="62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Hosted nSight 2026: </w:t>
      </w:r>
      <w:r>
        <w:rPr>
          <w:rFonts w:ascii="Arial" w:cs="Arial" w:eastAsia="Arial" w:hAnsi="Arial"/>
          <w:sz w:val="21"/>
          <w:szCs w:val="21"/>
          <w:color w:val="auto"/>
        </w:rPr>
        <w:t>Welcomed over 1,600 attendees to nSight, the Company's annual user conference,</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 record number of customer and prospect institutions, to showcase the Company's latest product innovations and reinforce nCino's position at the forefront of financial services technology.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nCino is providing guidance for its second quarter ending July 31, 2026, as follows:</w:t>
      </w:r>
    </w:p>
    <w:p>
      <w:pPr>
        <w:spacing w:after="0" w:line="4"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Total revenues between $157.75 million and $159.75 million.</w:t>
      </w:r>
    </w:p>
    <w:p>
      <w:pPr>
        <w:spacing w:after="0" w:line="10" w:lineRule="exact"/>
        <w:rPr>
          <w:rFonts w:ascii="Arial" w:cs="Arial" w:eastAsia="Arial" w:hAnsi="Arial"/>
          <w:sz w:val="22"/>
          <w:szCs w:val="22"/>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Subscription revenues between $140.25 million and $142.25 million.</w:t>
      </w:r>
    </w:p>
    <w:p>
      <w:pPr>
        <w:spacing w:after="0" w:line="10" w:lineRule="exact"/>
        <w:rPr>
          <w:rFonts w:ascii="Arial" w:cs="Arial" w:eastAsia="Arial" w:hAnsi="Arial"/>
          <w:sz w:val="22"/>
          <w:szCs w:val="22"/>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Non-GAAP operating income between $35.5 million and $37.5 million.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nCino is providing guidance for its fiscal year 2027 ending January 31, 2027, as follows:</w:t>
      </w:r>
    </w:p>
    <w:p>
      <w:pPr>
        <w:spacing w:after="0" w:line="26" w:lineRule="exact"/>
        <w:rPr>
          <w:sz w:val="20"/>
          <w:szCs w:val="20"/>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Total revenues between $642.0 million and $646.0 million.</w:t>
      </w:r>
    </w:p>
    <w:p>
      <w:pPr>
        <w:spacing w:after="0" w:line="3" w:lineRule="exact"/>
        <w:rPr>
          <w:rFonts w:ascii="Arial" w:cs="Arial" w:eastAsia="Arial" w:hAnsi="Arial"/>
          <w:sz w:val="22"/>
          <w:szCs w:val="22"/>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Subscription revenues between $571.5 million and $575.5 million.</w:t>
      </w:r>
    </w:p>
    <w:p>
      <w:pPr>
        <w:spacing w:after="0" w:line="10" w:lineRule="exact"/>
        <w:rPr>
          <w:rFonts w:ascii="Arial" w:cs="Arial" w:eastAsia="Arial" w:hAnsi="Arial"/>
          <w:sz w:val="22"/>
          <w:szCs w:val="22"/>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Non-GAAP operating income between $166.0 million and $171.0 million.</w:t>
      </w:r>
    </w:p>
    <w:p>
      <w:pPr>
        <w:spacing w:after="0" w:line="10" w:lineRule="exact"/>
        <w:rPr>
          <w:rFonts w:ascii="Arial" w:cs="Arial" w:eastAsia="Arial" w:hAnsi="Arial"/>
          <w:sz w:val="22"/>
          <w:szCs w:val="22"/>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Free Cash Flow between $135.0 million and $140.0 million.</w:t>
      </w:r>
    </w:p>
    <w:p>
      <w:pPr>
        <w:spacing w:after="0" w:line="3" w:lineRule="exact"/>
        <w:rPr>
          <w:rFonts w:ascii="Arial" w:cs="Arial" w:eastAsia="Arial" w:hAnsi="Arial"/>
          <w:sz w:val="22"/>
          <w:szCs w:val="22"/>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Annual Contract Value (ACV) between $662.5 million and $667.5 million.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6" w:lineRule="exact"/>
        <w:rPr>
          <w:sz w:val="20"/>
          <w:szCs w:val="20"/>
          <w:color w:val="auto"/>
        </w:rPr>
      </w:pPr>
    </w:p>
    <w:p>
      <w:pPr>
        <w:ind w:right="200"/>
        <w:spacing w:after="0" w:line="254" w:lineRule="auto"/>
        <w:rPr>
          <w:sz w:val="20"/>
          <w:szCs w:val="20"/>
          <w:color w:val="auto"/>
        </w:rPr>
      </w:pPr>
      <w:r>
        <w:rPr>
          <w:rFonts w:ascii="Arial" w:cs="Arial" w:eastAsia="Arial" w:hAnsi="Arial"/>
          <w:sz w:val="22"/>
          <w:szCs w:val="22"/>
          <w:color w:val="auto"/>
        </w:rPr>
        <w:t xml:space="preserve">nCino will host a conference call at 4:30 p.m. ET today to discuss its financial results and outlook. The conference call will be available via live webcast and replay at the Investor Relations section of nCino’s website: </w:t>
      </w:r>
      <w:r>
        <w:rPr>
          <w:rFonts w:ascii="Arial" w:cs="Arial" w:eastAsia="Arial" w:hAnsi="Arial"/>
          <w:sz w:val="22"/>
          <w:szCs w:val="22"/>
          <w:color w:val="0000FF"/>
        </w:rPr>
        <w:t>https://investor.ncino.com/news-events/events-and-presentations</w:t>
      </w:r>
      <w:r>
        <w:rPr>
          <w:rFonts w:ascii="Arial" w:cs="Arial" w:eastAsia="Arial" w:hAnsi="Arial"/>
          <w:sz w:val="22"/>
          <w:szCs w:val="22"/>
          <w:color w:val="000000"/>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nCino</w:t>
      </w:r>
    </w:p>
    <w:p>
      <w:pPr>
        <w:spacing w:after="0" w:line="1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nCino (NASDAQ: NCNO) is the platform for agentic banking. With over 2,700 customers worldwide - including community banks, credit unions, independent mortgage banks, and the largest financial entities globally - nCino offers a trusted agentic platform purpose-built for financial services and regulated industries. By deploying AI agents alongside human teams, nCino's dual workforce enables institutions to eliminate inefficiencies, sharpen decision-making and deliver better outcomes for the customers they serve. For more information, visit</w:t>
      </w:r>
    </w:p>
    <w:p>
      <w:pPr>
        <w:spacing w:after="0" w:line="230" w:lineRule="auto"/>
        <w:rPr>
          <w:sz w:val="20"/>
          <w:szCs w:val="20"/>
          <w:color w:val="auto"/>
        </w:rPr>
      </w:pPr>
      <w:r>
        <w:rPr>
          <w:rFonts w:ascii="Arial" w:cs="Arial" w:eastAsia="Arial" w:hAnsi="Arial"/>
          <w:sz w:val="22"/>
          <w:szCs w:val="22"/>
          <w:color w:val="0000FF"/>
        </w:rPr>
        <w:t>www.ncino.com</w:t>
      </w:r>
    </w:p>
    <w:p>
      <w:pPr>
        <w:spacing w:after="0" w:line="226" w:lineRule="auto"/>
        <w:rPr>
          <w:sz w:val="20"/>
          <w:szCs w:val="20"/>
          <w:color w:val="auto"/>
        </w:rPr>
      </w:pPr>
      <w:r>
        <w:rPr>
          <w:rFonts w:ascii="Arial" w:cs="Arial" w:eastAsia="Arial" w:hAnsi="Arial"/>
          <w:sz w:val="19"/>
          <w:szCs w:val="19"/>
          <w:color w:val="auto"/>
        </w:rPr>
        <w:t>.</w:t>
      </w:r>
    </w:p>
    <w:p>
      <w:pPr>
        <w:spacing w:after="0" w:line="230" w:lineRule="auto"/>
        <w:rPr>
          <w:sz w:val="20"/>
          <w:szCs w:val="20"/>
          <w:color w:val="auto"/>
        </w:rPr>
      </w:pPr>
      <w:r>
        <w:rPr>
          <w:rFonts w:ascii="Arial" w:cs="Arial" w:eastAsia="Arial" w:hAnsi="Arial"/>
          <w:sz w:val="22"/>
          <w:szCs w:val="22"/>
          <w:b w:val="1"/>
          <w:bCs w:val="1"/>
          <w:color w:val="auto"/>
        </w:rPr>
        <w:t>INVESTOR CONTACT</w:t>
      </w:r>
    </w:p>
    <w:p>
      <w:pPr>
        <w:spacing w:after="0" w:line="231" w:lineRule="auto"/>
        <w:rPr>
          <w:sz w:val="20"/>
          <w:szCs w:val="20"/>
          <w:color w:val="auto"/>
        </w:rPr>
      </w:pPr>
      <w:r>
        <w:rPr>
          <w:rFonts w:ascii="Arial" w:cs="Arial" w:eastAsia="Arial" w:hAnsi="Arial"/>
          <w:sz w:val="22"/>
          <w:szCs w:val="22"/>
          <w:color w:val="0000FF"/>
        </w:rPr>
        <w:t>investor@ncino.com</w:t>
      </w:r>
    </w:p>
    <w:p>
      <w:pPr>
        <w:spacing w:after="0" w:line="230" w:lineRule="auto"/>
        <w:rPr>
          <w:sz w:val="20"/>
          <w:szCs w:val="20"/>
          <w:color w:val="auto"/>
        </w:rPr>
      </w:pPr>
      <w:r>
        <w:rPr>
          <w:rFonts w:ascii="Arial" w:cs="Arial" w:eastAsia="Arial" w:hAnsi="Arial"/>
          <w:sz w:val="22"/>
          <w:szCs w:val="22"/>
          <w:b w:val="1"/>
          <w:bCs w:val="1"/>
          <w:color w:val="auto"/>
        </w:rPr>
        <w:t>MEDIA CONTACT</w:t>
      </w:r>
      <w:r>
        <w:rPr>
          <w:rFonts w:ascii="Arial" w:cs="Arial" w:eastAsia="Arial" w:hAnsi="Arial"/>
          <w:sz w:val="22"/>
          <w:szCs w:val="22"/>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press@ncino.com</w:t>
      </w:r>
      <w:r>
        <w:rPr>
          <w:rFonts w:ascii="Arial" w:cs="Arial" w:eastAsia="Arial" w:hAnsi="Arial"/>
          <w:sz w:val="22"/>
          <w:szCs w:val="22"/>
          <w:color w:val="000000"/>
        </w:rPr>
        <w:t> </w:t>
      </w:r>
    </w:p>
    <w:p>
      <w:pPr>
        <w:sectPr>
          <w:pgSz w:w="11900" w:h="16838" w:orient="portrait"/>
          <w:cols w:equalWidth="0" w:num="1">
            <w:col w:w="11060"/>
          </w:cols>
          <w:pgMar w:left="320" w:top="1440" w:right="519" w:bottom="1440" w:gutter="0" w:footer="0" w:header="0"/>
        </w:sectPr>
      </w:pPr>
    </w:p>
    <w:bookmarkStart w:id="5" w:name="page6"/>
    <w:bookmarkEnd w:id="5"/>
    <w:p>
      <w:pPr>
        <w:spacing w:after="0" w:line="143" w:lineRule="exact"/>
        <w:rPr>
          <w:sz w:val="20"/>
          <w:szCs w:val="20"/>
          <w:color w:val="auto"/>
        </w:rPr>
      </w:pPr>
    </w:p>
    <w:p>
      <w:pPr>
        <w:spacing w:after="0" w:line="241" w:lineRule="auto"/>
        <w:rPr>
          <w:sz w:val="20"/>
          <w:szCs w:val="20"/>
          <w:color w:val="auto"/>
        </w:rPr>
      </w:pPr>
      <w:r>
        <w:rPr>
          <w:rFonts w:ascii="Arial" w:cs="Arial" w:eastAsia="Arial" w:hAnsi="Arial"/>
          <w:sz w:val="21"/>
          <w:szCs w:val="21"/>
          <w:b w:val="1"/>
          <w:bCs w:val="1"/>
          <w:color w:val="auto"/>
        </w:rPr>
        <w:t xml:space="preserve">Forward-Looking Statements: </w:t>
      </w:r>
      <w:r>
        <w:rPr>
          <w:rFonts w:ascii="Arial" w:cs="Arial" w:eastAsia="Arial" w:hAnsi="Arial"/>
          <w:sz w:val="21"/>
          <w:szCs w:val="21"/>
          <w:color w:val="auto"/>
        </w:rPr>
        <w:t>This press release contains forward-looking statements about nCino's financial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operating results, which include statements regarding nCino’s future performance, outlook, guidance, the benefits from the use of nCino’s solutions, our strategies, and general business conditions. Forward-looking statements generally include actions, events, results, strategies and expectations and are often identifiable by use of the words “aim,” “anticipates,” “believes,” “continues,” “could,” “estimates,” “expects,” “goal,” “intends,” “may,” “might,” “plans”, “potential,” “predicts,” “projects,” “seeks,” “should,” “strive,” “will,” or “would” or similar expressions and the negatives thereof. Any forward-looking statements contained in this press release are based upon nCino’s historical performance and its current plans, estimates, and expectations and are not a representation that such plans, estimates, or expectations will be achieved. These forward-looking statements represent nCino’s expectations as of the date of this press release.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including, but not limited to risks associated with (i) repurchases of our common stock under our stock repurchase programs or the decision to terminate or suspend any repurchases; (ii) variations between our actual operating results and the expectations of securities analysts, investors and the financial community; (iii) adverse changes in the financial services industry, including as a result of customer consolidation or bank failures; (iv) adverse changes in economic, regulatory, or market conditions, including as a direct or indirect consequence of higher interest rates; (v) our ability to successfully develop, offer and drive customer acceptance of AI-driven solutions for the banking industry; (vi) breaches in our security measures or unauthorized access to our customers’ or their clients' data; (vii) the accuracy of management’s assumptions and estimates; (viii) our ability to attract new customers and succeed in having current customers expand their use of our solution, including in connection with our migration to an asset-based pricing model; (ix) competitive factors, including pricing pressures and migration to asset-based pricing, consolidation among competitors, entry of new competitors, the launch of new products and marketing initiatives by our competitors, and difficulty securing rights to access or integrate with third party products or data used by our customers; (x) the rate of adoption of our newer solutions and the results of our efforts to sustain or expand the use and adoption of our more established solutions; (xi) fluctuation of our results of operations, which may make period-to-period comparisons less meaningful; (xii) our ability to manage our growth effectively including expanding outside of the United States; (xiii) adverse changes in our relationship with Salesforce;</w:t>
      </w:r>
    </w:p>
    <w:p>
      <w:pPr>
        <w:ind w:left="480" w:hanging="472"/>
        <w:spacing w:after="0"/>
        <w:tabs>
          <w:tab w:leader="none" w:pos="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risks associated with the acquisitions we have completed or may undertake; (xv) the loss of one or more</w:t>
      </w:r>
    </w:p>
    <w:p>
      <w:pPr>
        <w:spacing w:after="0" w:line="232" w:lineRule="auto"/>
        <w:rPr>
          <w:rFonts w:ascii="Arial" w:cs="Arial" w:eastAsia="Arial" w:hAnsi="Arial"/>
          <w:sz w:val="22"/>
          <w:szCs w:val="22"/>
          <w:color w:val="auto"/>
        </w:rPr>
      </w:pPr>
      <w:r>
        <w:rPr>
          <w:rFonts w:ascii="Arial" w:cs="Arial" w:eastAsia="Arial" w:hAnsi="Arial"/>
          <w:sz w:val="22"/>
          <w:szCs w:val="22"/>
          <w:color w:val="auto"/>
        </w:rPr>
        <w:t>customers, particularly any of our larger customers, or a reduction in the number of users our customers purchase access and use rights for; (xvi) system unavailability, system performance problems, or loss of data due to disruptions or other problems with our computing infrastructure or the infrastructure we rely on that is operated by third parties; and (xvii) our ability to maintain our corporate culture and attract and retain highly skilled employees.</w:t>
      </w:r>
    </w:p>
    <w:p>
      <w:pPr>
        <w:sectPr>
          <w:pgSz w:w="11900" w:h="16838" w:orient="portrait"/>
          <w:cols w:equalWidth="0" w:num="1">
            <w:col w:w="11220"/>
          </w:cols>
          <w:pgMar w:left="320" w:top="1440" w:right="359" w:bottom="1440" w:gutter="0" w:footer="0" w:header="0"/>
        </w:sectPr>
      </w:pPr>
    </w:p>
    <w:bookmarkStart w:id="6" w:name="page7"/>
    <w:bookmarkEnd w:id="6"/>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37"/>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8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25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102,813</w:t>
            </w:r>
          </w:p>
        </w:tc>
      </w:tr>
      <w:tr>
        <w:trPr>
          <w:trHeight w:val="41"/>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124,742</w:t>
            </w:r>
          </w:p>
        </w:tc>
      </w:tr>
      <w:tr>
        <w:trPr>
          <w:trHeight w:val="25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41"/>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r>
      <w:tr>
        <w:trPr>
          <w:trHeight w:val="250"/>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293,503</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267,427</w:t>
            </w:r>
          </w:p>
        </w:tc>
      </w:tr>
      <w:tr>
        <w:trPr>
          <w:trHeight w:val="41"/>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29,639</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1,076,098</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126,215</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r>
      <w:tr>
        <w:trPr>
          <w:trHeight w:val="284"/>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1,607,830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r>
      <w:tr>
        <w:trPr>
          <w:trHeight w:val="25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225,049</w:t>
            </w:r>
          </w:p>
        </w:tc>
      </w:tr>
      <w:tr>
        <w:trPr>
          <w:trHeight w:val="25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current portion, net</w:t>
            </w:r>
          </w:p>
        </w:tc>
        <w:tc>
          <w:tcPr>
            <w:tcW w:w="16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5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40"/>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70"/>
        </w:trPr>
        <w:tc>
          <w:tcPr>
            <w:tcW w:w="8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299,861</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noncurrent, net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253,007</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w:t>
            </w:r>
          </w:p>
        </w:tc>
      </w:tr>
      <w:tr>
        <w:trPr>
          <w:trHeight w:val="40"/>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50"/>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579,454</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623,384</w:t>
            </w:r>
          </w:p>
        </w:tc>
      </w:tr>
      <w:tr>
        <w:trPr>
          <w:trHeight w:val="40"/>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5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r>
      <w:tr>
        <w:trPr>
          <w:trHeight w:val="41"/>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r>
        <w:trPr>
          <w:trHeight w:val="256"/>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(219,255)</w:t>
            </w:r>
          </w:p>
        </w:tc>
      </w:tr>
      <w:tr>
        <w:trPr>
          <w:trHeight w:val="256"/>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1,546,967</w:t>
            </w:r>
          </w:p>
        </w:tc>
      </w:tr>
      <w:tr>
        <w:trPr>
          <w:trHeight w:val="41"/>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56"/>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(361,429)</w:t>
            </w:r>
          </w:p>
        </w:tc>
      </w:tr>
      <w:tr>
        <w:trPr>
          <w:trHeight w:val="40"/>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1"/>
        </w:trPr>
        <w:tc>
          <w:tcPr>
            <w:tcW w:w="8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970,359</w:t>
            </w:r>
          </w:p>
        </w:tc>
      </w:tr>
      <w:tr>
        <w:trPr>
          <w:trHeight w:val="284"/>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1,607,830</w:t>
            </w:r>
          </w:p>
        </w:tc>
      </w:tr>
      <w:tr>
        <w:trPr>
          <w:trHeight w:val="27"/>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31" w:right="339" w:bottom="1440" w:gutter="0" w:footer="0" w:header="0"/>
        </w:sectPr>
      </w:pPr>
    </w:p>
    <w:bookmarkStart w:id="7" w:name="page8"/>
    <w:bookmarkEnd w:id="7"/>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37"/>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125,588</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140,929</w:t>
            </w: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18,485</w:t>
            </w:r>
          </w:p>
        </w:tc>
        <w:tc>
          <w:tcPr>
            <w:tcW w:w="0" w:type="dxa"/>
            <w:vAlign w:val="bottom"/>
          </w:tcPr>
          <w:p>
            <w:pPr>
              <w:spacing w:after="0"/>
              <w:rPr>
                <w:sz w:val="1"/>
                <w:szCs w:val="1"/>
                <w:color w:val="auto"/>
              </w:rPr>
            </w:pPr>
          </w:p>
        </w:tc>
      </w:tr>
      <w:tr>
        <w:trPr>
          <w:trHeight w:val="25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144,137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159,414</w:t>
            </w: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39,244</w:t>
            </w: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5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57,695</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58,476</w:t>
            </w:r>
          </w:p>
        </w:tc>
        <w:tc>
          <w:tcPr>
            <w:tcW w:w="0" w:type="dxa"/>
            <w:vAlign w:val="bottom"/>
          </w:tcPr>
          <w:p>
            <w:pPr>
              <w:spacing w:after="0"/>
              <w:rPr>
                <w:sz w:val="1"/>
                <w:szCs w:val="1"/>
                <w:color w:val="auto"/>
              </w:rPr>
            </w:pPr>
          </w:p>
        </w:tc>
      </w:tr>
      <w:tr>
        <w:trPr>
          <w:trHeight w:val="41"/>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80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100,938</w:t>
            </w:r>
          </w:p>
        </w:tc>
        <w:tc>
          <w:tcPr>
            <w:tcW w:w="0" w:type="dxa"/>
            <w:vAlign w:val="bottom"/>
          </w:tcPr>
          <w:p>
            <w:pPr>
              <w:spacing w:after="0"/>
              <w:rPr>
                <w:sz w:val="1"/>
                <w:szCs w:val="1"/>
                <w:color w:val="auto"/>
              </w:rPr>
            </w:pPr>
          </w:p>
        </w:tc>
      </w:tr>
      <w:tr>
        <w:trPr>
          <w:trHeight w:val="250"/>
        </w:trPr>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33,725</w:t>
            </w:r>
          </w:p>
        </w:tc>
        <w:tc>
          <w:tcPr>
            <w:tcW w:w="0" w:type="dxa"/>
            <w:vAlign w:val="bottom"/>
          </w:tcPr>
          <w:p>
            <w:pPr>
              <w:spacing w:after="0"/>
              <w:rPr>
                <w:sz w:val="1"/>
                <w:szCs w:val="1"/>
                <w:color w:val="auto"/>
              </w:rPr>
            </w:pPr>
          </w:p>
        </w:tc>
      </w:tr>
      <w:tr>
        <w:trPr>
          <w:trHeight w:val="40"/>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28,865</w:t>
            </w: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17,229</w:t>
            </w:r>
          </w:p>
        </w:tc>
        <w:tc>
          <w:tcPr>
            <w:tcW w:w="0" w:type="dxa"/>
            <w:vAlign w:val="bottom"/>
          </w:tcPr>
          <w:p>
            <w:pPr>
              <w:spacing w:after="0"/>
              <w:rPr>
                <w:sz w:val="1"/>
                <w:szCs w:val="1"/>
                <w:color w:val="auto"/>
              </w:rPr>
            </w:pPr>
          </w:p>
        </w:tc>
      </w:tr>
      <w:tr>
        <w:trPr>
          <w:trHeight w:val="40"/>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87,955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79,819</w:t>
            </w:r>
          </w:p>
        </w:tc>
        <w:tc>
          <w:tcPr>
            <w:tcW w:w="0" w:type="dxa"/>
            <w:vAlign w:val="bottom"/>
          </w:tcPr>
          <w:p>
            <w:pPr>
              <w:spacing w:after="0"/>
              <w:rPr>
                <w:sz w:val="1"/>
                <w:szCs w:val="1"/>
                <w:color w:val="auto"/>
              </w:rPr>
            </w:pPr>
          </w:p>
        </w:tc>
      </w:tr>
      <w:tr>
        <w:trPr>
          <w:trHeight w:val="250"/>
        </w:trPr>
        <w:tc>
          <w:tcPr>
            <w:tcW w:w="80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40"/>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40"/>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5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16,097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40"/>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57"/>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40"/>
        </w:trPr>
        <w:tc>
          <w:tcPr>
            <w:tcW w:w="8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80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57"/>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0"/>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84"/>
        </w:trPr>
        <w:tc>
          <w:tcPr>
            <w:tcW w:w="80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Net income attributable to nCino,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nCino, Inc.:</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114,781,654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108,502,547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116,578,848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109,458,472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8" w:name="page9"/>
    <w:bookmarkEnd w:id="8"/>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2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0"/>
        </w:trPr>
        <w:tc>
          <w:tcPr>
            <w:tcW w:w="8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8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60"/>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nCino, Inc.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8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r>
      <w:tr>
        <w:trPr>
          <w:trHeight w:val="28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and adjustment attributable to redeemable non-controlling interest</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5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14,991</w:t>
            </w:r>
          </w:p>
        </w:tc>
      </w:tr>
      <w:tr>
        <w:trPr>
          <w:trHeight w:val="26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Provision for (recovery of) bad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foreign currency losses (gains)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0"/>
        </w:trPr>
        <w:tc>
          <w:tcPr>
            <w:tcW w:w="82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41,208</w:t>
            </w:r>
          </w:p>
        </w:tc>
      </w:tr>
      <w:tr>
        <w:trPr>
          <w:trHeight w:val="260"/>
        </w:trPr>
        <w:tc>
          <w:tcPr>
            <w:tcW w:w="82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r>
      <w:tr>
        <w:trPr>
          <w:trHeight w:val="260"/>
        </w:trPr>
        <w:tc>
          <w:tcPr>
            <w:tcW w:w="82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80"/>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60"/>
        </w:trPr>
        <w:tc>
          <w:tcPr>
            <w:tcW w:w="82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w:t>
            </w:r>
          </w:p>
        </w:tc>
      </w:tr>
      <w:tr>
        <w:trPr>
          <w:trHeight w:val="280"/>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14,895</w:t>
            </w:r>
          </w:p>
        </w:tc>
      </w:tr>
      <w:tr>
        <w:trPr>
          <w:trHeight w:val="223"/>
        </w:trPr>
        <w:tc>
          <w:tcPr>
            <w:tcW w:w="82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47"/>
        </w:trPr>
        <w:tc>
          <w:tcPr>
            <w:tcW w:w="8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7"/>
        </w:trPr>
        <w:tc>
          <w:tcPr>
            <w:tcW w:w="828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81,405</w:t>
            </w:r>
          </w:p>
        </w:tc>
      </w:tr>
      <w:tr>
        <w:trPr>
          <w:trHeight w:val="47"/>
        </w:trPr>
        <w:tc>
          <w:tcPr>
            <w:tcW w:w="8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0"/>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6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Sale of investment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82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(48,297)</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(110,083)</w:t>
            </w:r>
          </w:p>
        </w:tc>
      </w:tr>
      <w:tr>
        <w:trPr>
          <w:trHeight w:val="260"/>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60"/>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term loan, net of debt issuance costs</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199,346</w:t>
            </w:r>
          </w:p>
        </w:tc>
      </w:tr>
      <w:tr>
        <w:trPr>
          <w:trHeight w:val="28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60"/>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7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64"/>
        </w:trPr>
        <w:tc>
          <w:tcPr>
            <w:tcW w:w="828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(65,885)</w:t>
            </w:r>
          </w:p>
        </w:tc>
      </w:tr>
      <w:tr>
        <w:trPr>
          <w:trHeight w:val="26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60"/>
        </w:trPr>
        <w:tc>
          <w:tcPr>
            <w:tcW w:w="828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14,447</w:t>
            </w:r>
          </w:p>
        </w:tc>
      </w:tr>
      <w:tr>
        <w:trPr>
          <w:trHeight w:val="27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121,267</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88,685</w:t>
            </w:r>
          </w:p>
        </w:tc>
      </w:tr>
      <w:tr>
        <w:trPr>
          <w:trHeight w:val="270"/>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133,580</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103,132</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2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0"/>
        </w:trPr>
        <w:tc>
          <w:tcPr>
            <w:tcW w:w="8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8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0"/>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133,230</w:t>
            </w:r>
          </w:p>
        </w:tc>
        <w:tc>
          <w:tcPr>
            <w:tcW w:w="8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102,813</w:t>
            </w:r>
          </w:p>
        </w:tc>
      </w:tr>
      <w:tr>
        <w:trPr>
          <w:trHeight w:val="28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6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95"/>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133,580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Non-GAAP Financial Measures</w:t>
      </w:r>
    </w:p>
    <w:p>
      <w:pPr>
        <w:spacing w:after="0" w:line="26" w:lineRule="exact"/>
        <w:rPr>
          <w:sz w:val="20"/>
          <w:szCs w:val="20"/>
          <w:color w:val="auto"/>
        </w:rPr>
      </w:pPr>
    </w:p>
    <w:p>
      <w:pPr>
        <w:ind w:right="180"/>
        <w:spacing w:after="0" w:line="260" w:lineRule="auto"/>
        <w:rPr>
          <w:sz w:val="20"/>
          <w:szCs w:val="20"/>
          <w:color w:val="auto"/>
        </w:rPr>
      </w:pPr>
      <w:r>
        <w:rPr>
          <w:rFonts w:ascii="Arial" w:cs="Arial" w:eastAsia="Arial" w:hAnsi="Arial"/>
          <w:sz w:val="21"/>
          <w:szCs w:val="21"/>
          <w:color w:val="auto"/>
        </w:rPr>
        <w:t>In nCino’s public disclosures, nCino has provided non-GAAP measures, which are measurements of financial performance that have not been prepared in accordance with generally accepted accounting principles in the United States, or GAAP. In addition to its GAAP measures, nCino uses these non-GAAP financial measures internally for budgeting and resource allocation purposes and in analyzing our financial results. For the reasons set forth below, nCino believes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214" w:lineRule="exact"/>
        <w:rPr>
          <w:sz w:val="20"/>
          <w:szCs w:val="20"/>
          <w:color w:val="auto"/>
        </w:rPr>
      </w:pPr>
    </w:p>
    <w:p>
      <w:pPr>
        <w:ind w:left="660" w:hanging="328"/>
        <w:spacing w:after="0" w:line="24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Amortization of Purchased Intangibles. nCino incurs amortization expense for purchased intangible assets in connection with certain mergers 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spacing w:after="0" w:line="212" w:lineRule="exact"/>
        <w:rPr>
          <w:rFonts w:ascii="Arial" w:cs="Arial" w:eastAsia="Arial" w:hAnsi="Arial"/>
          <w:sz w:val="22"/>
          <w:szCs w:val="22"/>
          <w:color w:val="auto"/>
        </w:rPr>
      </w:pPr>
    </w:p>
    <w:p>
      <w:pPr>
        <w:ind w:left="660" w:right="40" w:hanging="328"/>
        <w:spacing w:after="0" w:line="251"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Stock-Based Compensation Expenses. nCino excludes stock-based compensation expenses primarily because they are non-cash expenses that 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spacing w:after="0" w:line="205" w:lineRule="exact"/>
        <w:rPr>
          <w:rFonts w:ascii="Arial" w:cs="Arial" w:eastAsia="Arial" w:hAnsi="Arial"/>
          <w:sz w:val="22"/>
          <w:szCs w:val="22"/>
          <w:color w:val="auto"/>
        </w:rPr>
      </w:pPr>
    </w:p>
    <w:p>
      <w:pPr>
        <w:ind w:left="660" w:right="80" w:hanging="328"/>
        <w:spacing w:after="0" w:line="250"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Transaction-Related Expenses. nCino excludes expenses related to mergers and acquisitions or divestitures as they limit comparability of operating results with prior periods. Transaction-related expenses include but are not limited to, costs incurred from third-party professional services firms, change in fair value of contingent consideration, and one-time integration activities. We believe these costs are non-recurring in nature and outside the ordinary course of business.</w:t>
      </w:r>
    </w:p>
    <w:p>
      <w:pPr>
        <w:spacing w:after="0" w:line="221" w:lineRule="exact"/>
        <w:rPr>
          <w:rFonts w:ascii="Arial" w:cs="Arial" w:eastAsia="Arial" w:hAnsi="Arial"/>
          <w:sz w:val="22"/>
          <w:szCs w:val="22"/>
          <w:color w:val="auto"/>
        </w:rPr>
      </w:pPr>
    </w:p>
    <w:p>
      <w:pPr>
        <w:ind w:left="660" w:right="240" w:hanging="328"/>
        <w:spacing w:after="0" w:line="25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Litigation Expenses. nCino excludes fees and expenses related to litigation expenses incurred from legal matters outside the ordinary course of our business as we believe their exclusion from non-GAAP operating expenses will facilitate a more meaningful explanation of operating results and comparisons with prior period results.</w:t>
      </w:r>
    </w:p>
    <w:p>
      <w:pPr>
        <w:spacing w:after="0" w:line="202" w:lineRule="exact"/>
        <w:rPr>
          <w:rFonts w:ascii="Arial" w:cs="Arial" w:eastAsia="Arial" w:hAnsi="Arial"/>
          <w:sz w:val="22"/>
          <w:szCs w:val="22"/>
          <w:color w:val="auto"/>
        </w:rPr>
      </w:pPr>
    </w:p>
    <w:p>
      <w:pPr>
        <w:ind w:left="660" w:right="140" w:hanging="328"/>
        <w:spacing w:after="0" w:line="282"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21"/>
          <w:szCs w:val="21"/>
          <w:color w:val="auto"/>
        </w:rPr>
        <w:t>Restructuring Costs. nCino excludes costs incurred related to bespoke restructuring plans and other one-time costs, if any, that are fundamentally different in strategic nature and frequency from ongoing initiatives. We believe excluding these costs facilitates a more consistent comparison of operating performance over time.</w:t>
      </w:r>
    </w:p>
    <w:p>
      <w:pPr>
        <w:sectPr>
          <w:pgSz w:w="11900" w:h="16838" w:orient="portrait"/>
          <w:cols w:equalWidth="0" w:num="1">
            <w:col w:w="11240"/>
          </w:cols>
          <w:pgMar w:left="320" w:top="1394" w:right="339" w:bottom="1440" w:gutter="0" w:footer="0" w:header="0"/>
        </w:sectPr>
      </w:pPr>
    </w:p>
    <w:bookmarkStart w:id="11" w:name="page12"/>
    <w:bookmarkEnd w:id="11"/>
    <w:p>
      <w:pPr>
        <w:spacing w:after="0" w:line="248" w:lineRule="auto"/>
        <w:rPr>
          <w:sz w:val="20"/>
          <w:szCs w:val="20"/>
          <w:color w:val="auto"/>
        </w:rPr>
      </w:pPr>
      <w:r>
        <w:rPr>
          <w:rFonts w:ascii="Arial" w:cs="Arial" w:eastAsia="Arial" w:hAnsi="Arial"/>
          <w:sz w:val="22"/>
          <w:szCs w:val="22"/>
          <w:color w:val="auto"/>
        </w:rPr>
        <w:t>There are limitations to using non-GAAP financial measures because non-GAAP financial measures are not prepared in accordance with GAAP and may be different from non-GAAP financial measures provided by other companies. The non-GAAP financial measures are limited in value because they exclude certain items that may have a material impact upon our reported financial results. In addition, they are subject to inherent limitations as they reflect the exercise of judgments by nCino’s management about which items are adjusted to calculate its non-GAAP financial measures. nCino compensates for these limitations by analyzing current and future results on a GAAP basis as well as a non-GAAP basis and also by providing GAAP measures in its public disclosures. Non-GAAP financial measures should not be considered in isolation from, or as a substitute for, financial information prepared in accordance with GAAP. nCino encourages investors and others to review our financial information in its entirety, not to rely on any single financial measure to evaluate our business, and to view our non-GAAP financial measures in conjunction with the most directly comparable GAAP financial measures. A reconciliation of GAAP to the non-GAAP financial measures has been provided in the tables below.</w:t>
      </w:r>
    </w:p>
    <w:p>
      <w:pPr>
        <w:sectPr>
          <w:pgSz w:w="11900" w:h="16838" w:orient="portrait"/>
          <w:cols w:equalWidth="0" w:num="1">
            <w:col w:w="11220"/>
          </w:cols>
          <w:pgMar w:left="320" w:top="1180" w:right="359" w:bottom="1440" w:gutter="0" w:footer="0" w:header="0"/>
        </w:sectPr>
      </w:pPr>
    </w:p>
    <w:bookmarkStart w:id="12" w:name="page13"/>
    <w:bookmarkEnd w:id="12"/>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9"/>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total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144,137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159,414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cost of subscription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39,244</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 - developed technology</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(5,113)</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(655)</w:t>
            </w:r>
          </w:p>
        </w:tc>
      </w:tr>
      <w:tr>
        <w:trPr>
          <w:trHeight w:val="28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cost of subscription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30,386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33,476</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cost of professional services and other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21,570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19,232</w:t>
            </w:r>
          </w:p>
        </w:tc>
      </w:tr>
      <w:tr>
        <w:trPr>
          <w:trHeight w:val="41"/>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 other</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(2,624)</w:t>
            </w:r>
          </w:p>
        </w:tc>
      </w:tr>
      <w:tr>
        <w:trPr>
          <w:trHeight w:val="41"/>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cost of professional services and other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100,938</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 - developed technology</w:t>
            </w: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5,113</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 other</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3,279</w:t>
            </w:r>
          </w:p>
        </w:tc>
      </w:tr>
      <w:tr>
        <w:trPr>
          <w:trHeight w:val="40"/>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95,017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109,330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table sets forth reconciling items as a percentage of total revenue for the periods presented.</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margin %</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 developed technology</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40"/>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 %</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sales &amp; marketing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33,725</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 - customer relationships</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(3,643)</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 trade name</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 - other</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(3,161)</w:t>
            </w:r>
          </w:p>
        </w:tc>
      </w:tr>
      <w:tr>
        <w:trPr>
          <w:trHeight w:val="257"/>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sales &amp; marketing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26,884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research &amp; development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28,865</w:t>
            </w:r>
          </w:p>
        </w:tc>
      </w:tr>
      <w:tr>
        <w:trPr>
          <w:trHeight w:val="25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(3,069)</w:t>
            </w:r>
          </w:p>
        </w:tc>
      </w:tr>
      <w:tr>
        <w:trPr>
          <w:trHeight w:val="40"/>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(358)</w:t>
            </w:r>
          </w:p>
        </w:tc>
      </w:tr>
      <w:tr>
        <w:trPr>
          <w:trHeight w:val="28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research &amp; development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29,136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25,438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general &amp; administrative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17,229</w:t>
            </w:r>
          </w:p>
        </w:tc>
      </w:tr>
      <w:tr>
        <w:trPr>
          <w:trHeight w:val="41"/>
        </w:trPr>
        <w:tc>
          <w:tcPr>
            <w:tcW w:w="8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(4,395)</w:t>
            </w:r>
          </w:p>
        </w:tc>
      </w:tr>
      <w:tr>
        <w:trPr>
          <w:trHeight w:val="25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(337)</w:t>
            </w:r>
          </w:p>
        </w:tc>
      </w:tr>
      <w:tr>
        <w:trPr>
          <w:trHeight w:val="41"/>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general &amp; administrative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12,497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9"/>
        </w:trPr>
        <w:tc>
          <w:tcPr>
            <w:tcW w:w="8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7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21,119</w:t>
            </w:r>
          </w:p>
        </w:tc>
      </w:tr>
      <w:tr>
        <w:trPr>
          <w:trHeight w:val="257"/>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2"/>
                <w:szCs w:val="22"/>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8,793</w:t>
            </w:r>
          </w:p>
        </w:tc>
      </w:tr>
      <w:tr>
        <w:trPr>
          <w:trHeight w:val="40"/>
        </w:trPr>
        <w:tc>
          <w:tcPr>
            <w:tcW w:w="8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13,904</w:t>
            </w:r>
          </w:p>
        </w:tc>
      </w:tr>
      <w:tr>
        <w:trPr>
          <w:trHeight w:val="257"/>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80" w:type="dxa"/>
            <w:vAlign w:val="bottom"/>
          </w:tcPr>
          <w:p>
            <w:pPr>
              <w:spacing w:after="0"/>
              <w:rPr>
                <w:sz w:val="22"/>
                <w:szCs w:val="22"/>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695</w:t>
            </w:r>
          </w:p>
        </w:tc>
      </w:tr>
      <w:tr>
        <w:trPr>
          <w:trHeight w:val="40"/>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0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24,830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44,511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table sets forth reconciling items as a percentage of total revenue for the periods presented.</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margin %</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41"/>
        </w:trPr>
        <w:tc>
          <w:tcPr>
            <w:tcW w:w="8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2"/>
                <w:szCs w:val="22"/>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41"/>
        </w:trPr>
        <w:tc>
          <w:tcPr>
            <w:tcW w:w="8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7"/>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margin %</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80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1"/>
        </w:trPr>
        <w:tc>
          <w:tcPr>
            <w:tcW w:w="8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7"/>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54,320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81,405</w:t>
            </w:r>
          </w:p>
        </w:tc>
      </w:tr>
      <w:tr>
        <w:trPr>
          <w:trHeight w:val="25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2"/>
                <w:szCs w:val="22"/>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(614)</w:t>
            </w:r>
          </w:p>
        </w:tc>
      </w:tr>
      <w:tr>
        <w:trPr>
          <w:trHeight w:val="40"/>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52,602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80,791</w:t>
            </w:r>
          </w:p>
        </w:tc>
      </w:tr>
      <w:tr>
        <w:trPr>
          <w:trHeight w:val="297"/>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financing obligations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(321)</w:t>
            </w:r>
          </w:p>
        </w:tc>
      </w:tr>
      <w:tr>
        <w:trPr>
          <w:trHeight w:val="30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less principal payments on financing obligations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52,192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80,470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Columns may not foot due to rounding.</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These amounts represent the non-interest component of payments towards financing obligations for facilities.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2026-05-27T15:14:27Z</dcterms:created>
  <dcterms:modified xsi:type="dcterms:W3CDTF">2026-05-27T15:14:27Z</dcterms:modified>
</cp:coreProperties>
</file>