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2" w:lineRule="exact"/>
        <w:rPr>
          <w:sz w:val="24"/>
          <w:szCs w:val="24"/>
          <w:color w:val="auto"/>
        </w:rPr>
      </w:pPr>
    </w:p>
    <w:p>
      <w:pPr>
        <w:jc w:val="center"/>
        <w:ind w:left="500" w:right="100"/>
        <w:spacing w:after="0" w:line="251" w:lineRule="auto"/>
        <w:rPr>
          <w:sz w:val="20"/>
          <w:szCs w:val="20"/>
          <w:color w:val="auto"/>
        </w:rPr>
      </w:pPr>
      <w:r>
        <w:rPr>
          <w:rFonts w:ascii="Times New Roman" w:cs="Times New Roman" w:eastAsia="Times New Roman" w:hAnsi="Times New Roman"/>
          <w:sz w:val="15"/>
          <w:szCs w:val="15"/>
          <w:b w:val="1"/>
          <w:bCs w:val="1"/>
          <w:color w:val="auto"/>
        </w:rPr>
        <w:t>Confidential draft submitted to the Securities and Exchange Commission on September 21, 2020. This draft registration statement has not been filed publicly with the Securities and Exchange Commission, and all information herein remains strictly confidential.</w:t>
      </w:r>
    </w:p>
    <w:p>
      <w:pPr>
        <w:spacing w:after="0" w:line="1" w:lineRule="exact"/>
        <w:rPr>
          <w:sz w:val="24"/>
          <w:szCs w:val="24"/>
          <w:color w:val="auto"/>
        </w:rPr>
      </w:pPr>
    </w:p>
    <w:p>
      <w:pPr>
        <w:ind w:left="9260"/>
        <w:spacing w:after="0"/>
        <w:rPr>
          <w:sz w:val="20"/>
          <w:szCs w:val="20"/>
          <w:color w:val="auto"/>
        </w:rPr>
      </w:pPr>
      <w:r>
        <w:rPr>
          <w:rFonts w:ascii="Times New Roman" w:cs="Times New Roman" w:eastAsia="Times New Roman" w:hAnsi="Times New Roman"/>
          <w:sz w:val="15"/>
          <w:szCs w:val="15"/>
          <w:b w:val="1"/>
          <w:bCs w:val="1"/>
          <w:color w:val="auto"/>
        </w:rPr>
        <w:t>Registration No. 333-</w:t>
      </w:r>
    </w:p>
    <w:p>
      <w:pPr>
        <w:spacing w:after="0" w:line="2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ind w:right="-159"/>
        <w:spacing w:after="0" w:line="235"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59"/>
        <w:spacing w:after="0" w:line="236" w:lineRule="auto"/>
        <w:rPr>
          <w:sz w:val="20"/>
          <w:szCs w:val="20"/>
          <w:color w:val="auto"/>
        </w:rPr>
      </w:pPr>
      <w:r>
        <w:rPr>
          <w:rFonts w:ascii="Times New Roman" w:cs="Times New Roman" w:eastAsia="Times New Roman" w:hAnsi="Times New Roman"/>
          <w:sz w:val="19"/>
          <w:szCs w:val="19"/>
          <w:b w:val="1"/>
          <w:bCs w:val="1"/>
          <w:color w:val="auto"/>
        </w:rPr>
        <w:t>Washington, D.C. 20549</w:t>
      </w:r>
    </w:p>
    <w:p>
      <w:pPr>
        <w:jc w:val="center"/>
        <w:ind w:right="-159"/>
        <w:spacing w:after="0"/>
        <w:rPr>
          <w:sz w:val="20"/>
          <w:szCs w:val="20"/>
          <w:color w:val="auto"/>
        </w:rPr>
      </w:pPr>
      <w:r>
        <w:rPr>
          <w:rFonts w:ascii="Times New Roman" w:cs="Times New Roman" w:eastAsia="Times New Roman" w:hAnsi="Times New Roman"/>
          <w:sz w:val="23"/>
          <w:szCs w:val="23"/>
          <w:b w:val="1"/>
          <w:bCs w:val="1"/>
          <w:color w:val="auto"/>
        </w:rPr>
        <w:t>FORM S-1</w:t>
      </w:r>
    </w:p>
    <w:p>
      <w:pPr>
        <w:spacing w:after="0" w:line="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0"/>
          <w:szCs w:val="30"/>
          <w:b w:val="1"/>
          <w:bCs w:val="1"/>
          <w:color w:val="auto"/>
        </w:rPr>
        <w:t>nCino, Inc.</w:t>
      </w:r>
    </w:p>
    <w:p>
      <w:pPr>
        <w:spacing w:after="0" w:line="3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7" w:lineRule="exact"/>
        <w:rPr>
          <w:sz w:val="24"/>
          <w:szCs w:val="24"/>
          <w:color w:val="auto"/>
        </w:rPr>
      </w:pPr>
    </w:p>
    <w:tbl>
      <w:tblPr>
        <w:tblLayout w:type="fixed"/>
        <w:tblInd w:w="1020" w:type="dxa"/>
        <w:tblCellMar>
          <w:top w:w="0" w:type="dxa"/>
          <w:left w:w="0" w:type="dxa"/>
          <w:bottom w:w="0" w:type="dxa"/>
          <w:right w:w="0" w:type="dxa"/>
        </w:tblCellMar>
      </w:tblPr>
      <w:tr>
        <w:trPr>
          <w:trHeight w:val="201"/>
        </w:trPr>
        <w:tc>
          <w:tcPr>
            <w:tcW w:w="2880" w:type="dxa"/>
            <w:vAlign w:val="bottom"/>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7372</w:t>
            </w:r>
          </w:p>
        </w:tc>
        <w:tc>
          <w:tcPr>
            <w:tcW w:w="2440" w:type="dxa"/>
            <w:vAlign w:val="bottom"/>
          </w:tcPr>
          <w:p>
            <w:pPr>
              <w:jc w:val="center"/>
              <w:ind w:left="860"/>
              <w:spacing w:after="0"/>
              <w:rPr>
                <w:sz w:val="20"/>
                <w:szCs w:val="20"/>
                <w:color w:val="auto"/>
              </w:rPr>
            </w:pPr>
            <w:r>
              <w:rPr>
                <w:rFonts w:ascii="Times New Roman" w:cs="Times New Roman" w:eastAsia="Times New Roman" w:hAnsi="Times New Roman"/>
                <w:sz w:val="16"/>
                <w:szCs w:val="16"/>
                <w:b w:val="1"/>
                <w:bCs w:val="1"/>
                <w:color w:val="auto"/>
              </w:rPr>
              <w:t>46-4353148</w:t>
            </w:r>
          </w:p>
        </w:tc>
      </w:tr>
      <w:tr>
        <w:trPr>
          <w:trHeight w:val="201"/>
        </w:trPr>
        <w:tc>
          <w:tcPr>
            <w:tcW w:w="2880" w:type="dxa"/>
            <w:vAlign w:val="bottom"/>
          </w:tcPr>
          <w:p>
            <w:pPr>
              <w:jc w:val="center"/>
              <w:ind w:right="800"/>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(Primary Standard Industrial</w:t>
            </w:r>
          </w:p>
        </w:tc>
        <w:tc>
          <w:tcPr>
            <w:tcW w:w="2440" w:type="dxa"/>
            <w:vAlign w:val="bottom"/>
          </w:tcPr>
          <w:p>
            <w:pPr>
              <w:jc w:val="center"/>
              <w:ind w:left="880"/>
              <w:spacing w:after="0"/>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1"/>
        </w:trPr>
        <w:tc>
          <w:tcPr>
            <w:tcW w:w="2880" w:type="dxa"/>
            <w:vAlign w:val="bottom"/>
          </w:tcPr>
          <w:p>
            <w:pPr>
              <w:jc w:val="center"/>
              <w:ind w:right="80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Classification Code Number)</w:t>
            </w:r>
          </w:p>
        </w:tc>
        <w:tc>
          <w:tcPr>
            <w:tcW w:w="2440" w:type="dxa"/>
            <w:vAlign w:val="bottom"/>
          </w:tcPr>
          <w:p>
            <w:pPr>
              <w:jc w:val="center"/>
              <w:ind w:left="880"/>
              <w:spacing w:after="0"/>
              <w:rPr>
                <w:sz w:val="20"/>
                <w:szCs w:val="20"/>
                <w:color w:val="auto"/>
              </w:rPr>
            </w:pPr>
            <w:r>
              <w:rPr>
                <w:rFonts w:ascii="Times New Roman" w:cs="Times New Roman" w:eastAsia="Times New Roman" w:hAnsi="Times New Roman"/>
                <w:sz w:val="16"/>
                <w:szCs w:val="16"/>
                <w:i w:val="1"/>
                <w:iCs w:val="1"/>
                <w:color w:val="auto"/>
              </w:rPr>
              <w:t>Identification Number)</w:t>
            </w:r>
          </w:p>
        </w:tc>
      </w:tr>
    </w:tbl>
    <w:p>
      <w:pPr>
        <w:spacing w:after="0" w:line="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6770 Parker Farm Drive</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Wilmington, North Carolina 28405</w:t>
      </w:r>
    </w:p>
    <w:p>
      <w:pPr>
        <w:spacing w:after="0" w:line="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(888) 676-2466</w:t>
      </w:r>
    </w:p>
    <w:p>
      <w:pPr>
        <w:spacing w:after="0" w:line="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i w:val="1"/>
          <w:iCs w:val="1"/>
          <w:color w:val="auto"/>
        </w:rPr>
        <w:t>(Address, including zip code, and telephone number, including area code, of Registrant’s principal executive offices)</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Pierre Naudé</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nCino, Inc.</w:t>
      </w:r>
    </w:p>
    <w:p>
      <w:pPr>
        <w:spacing w:after="0" w:line="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6770 Parker Farm Drive</w:t>
      </w:r>
    </w:p>
    <w:p>
      <w:pPr>
        <w:spacing w:after="0" w:line="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Wilmington, North Carolina 28405</w:t>
      </w:r>
    </w:p>
    <w:p>
      <w:pPr>
        <w:spacing w:after="0" w:line="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(888) 676-2466</w:t>
      </w:r>
    </w:p>
    <w:p>
      <w:pPr>
        <w:spacing w:after="0" w:line="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i w:val="1"/>
          <w:iCs w:val="1"/>
          <w:color w:val="auto"/>
        </w:rPr>
        <w:t>(Name, address, including zip code, and telephone number, including area code, of agent for service)</w:t>
      </w:r>
    </w:p>
    <w:p>
      <w:pPr>
        <w:spacing w:after="0" w:line="8" w:lineRule="exact"/>
        <w:rPr>
          <w:sz w:val="24"/>
          <w:szCs w:val="24"/>
          <w:color w:val="auto"/>
        </w:rPr>
      </w:pPr>
    </w:p>
    <w:tbl>
      <w:tblPr>
        <w:tblLayout w:type="fixed"/>
        <w:tblInd w:w="108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388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680" w:type="dxa"/>
            <w:vAlign w:val="bottom"/>
          </w:tcPr>
          <w:p>
            <w:pPr>
              <w:spacing w:after="0"/>
              <w:rPr>
                <w:sz w:val="16"/>
                <w:szCs w:val="16"/>
                <w:color w:val="auto"/>
              </w:rPr>
            </w:pPr>
          </w:p>
        </w:tc>
      </w:tr>
      <w:tr>
        <w:trPr>
          <w:trHeight w:val="208"/>
        </w:trPr>
        <w:tc>
          <w:tcPr>
            <w:tcW w:w="2680" w:type="dxa"/>
            <w:vAlign w:val="bottom"/>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9"/>
              </w:rPr>
              <w:t>Martin A. Wellington</w:t>
            </w:r>
          </w:p>
        </w:tc>
        <w:tc>
          <w:tcPr>
            <w:tcW w:w="3880" w:type="dxa"/>
            <w:vAlign w:val="bottom"/>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9"/>
              </w:rPr>
              <w:t>Gregory D. Orenstein</w:t>
            </w:r>
          </w:p>
        </w:tc>
        <w:tc>
          <w:tcPr>
            <w:tcW w:w="2680" w:type="dxa"/>
            <w:vAlign w:val="bottom"/>
          </w:tcPr>
          <w:p>
            <w:pPr>
              <w:jc w:val="center"/>
              <w:ind w:left="640"/>
              <w:spacing w:after="0"/>
              <w:rPr>
                <w:sz w:val="20"/>
                <w:szCs w:val="20"/>
                <w:color w:val="auto"/>
              </w:rPr>
            </w:pPr>
            <w:r>
              <w:rPr>
                <w:rFonts w:ascii="Times New Roman" w:cs="Times New Roman" w:eastAsia="Times New Roman" w:hAnsi="Times New Roman"/>
                <w:sz w:val="16"/>
                <w:szCs w:val="16"/>
                <w:b w:val="1"/>
                <w:bCs w:val="1"/>
                <w:color w:val="auto"/>
                <w:w w:val="97"/>
              </w:rPr>
              <w:t>Paul D. Tropp</w:t>
            </w:r>
          </w:p>
        </w:tc>
      </w:tr>
      <w:tr>
        <w:trPr>
          <w:trHeight w:val="201"/>
        </w:trPr>
        <w:tc>
          <w:tcPr>
            <w:tcW w:w="2680" w:type="dxa"/>
            <w:vAlign w:val="bottom"/>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9"/>
              </w:rPr>
              <w:t>Robert A. Ryan</w:t>
            </w:r>
          </w:p>
        </w:tc>
        <w:tc>
          <w:tcPr>
            <w:tcW w:w="3880" w:type="dxa"/>
            <w:vAlign w:val="bottom"/>
          </w:tcPr>
          <w:p>
            <w:pPr>
              <w:jc w:val="center"/>
              <w:ind w:left="1"/>
              <w:spacing w:after="0"/>
              <w:rPr>
                <w:sz w:val="20"/>
                <w:szCs w:val="20"/>
                <w:color w:val="auto"/>
              </w:rPr>
            </w:pPr>
            <w:r>
              <w:rPr>
                <w:rFonts w:ascii="Times New Roman" w:cs="Times New Roman" w:eastAsia="Times New Roman" w:hAnsi="Times New Roman"/>
                <w:sz w:val="16"/>
                <w:szCs w:val="16"/>
                <w:b w:val="1"/>
                <w:bCs w:val="1"/>
                <w:color w:val="auto"/>
              </w:rPr>
              <w:t>Chief Corporate Development &amp;</w:t>
            </w:r>
          </w:p>
        </w:tc>
        <w:tc>
          <w:tcPr>
            <w:tcW w:w="2680" w:type="dxa"/>
            <w:vAlign w:val="bottom"/>
          </w:tcPr>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Michael S. Pilo</w:t>
            </w:r>
          </w:p>
        </w:tc>
      </w:tr>
      <w:tr>
        <w:trPr>
          <w:trHeight w:val="201"/>
        </w:trPr>
        <w:tc>
          <w:tcPr>
            <w:tcW w:w="2680" w:type="dxa"/>
            <w:vAlign w:val="bottom"/>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8"/>
              </w:rPr>
              <w:t>Sidley Austin LLP</w:t>
            </w:r>
          </w:p>
        </w:tc>
        <w:tc>
          <w:tcPr>
            <w:tcW w:w="3880" w:type="dxa"/>
            <w:vAlign w:val="bottom"/>
          </w:tcPr>
          <w:p>
            <w:pPr>
              <w:jc w:val="center"/>
              <w:ind w:left="1"/>
              <w:spacing w:after="0"/>
              <w:rPr>
                <w:sz w:val="20"/>
                <w:szCs w:val="20"/>
                <w:color w:val="auto"/>
              </w:rPr>
            </w:pPr>
            <w:r>
              <w:rPr>
                <w:rFonts w:ascii="Times New Roman" w:cs="Times New Roman" w:eastAsia="Times New Roman" w:hAnsi="Times New Roman"/>
                <w:sz w:val="16"/>
                <w:szCs w:val="16"/>
                <w:b w:val="1"/>
                <w:bCs w:val="1"/>
                <w:color w:val="auto"/>
              </w:rPr>
              <w:t>Legal Officer and Secretary</w:t>
            </w:r>
          </w:p>
        </w:tc>
        <w:tc>
          <w:tcPr>
            <w:tcW w:w="2680" w:type="dxa"/>
            <w:vAlign w:val="bottom"/>
          </w:tcPr>
          <w:p>
            <w:pPr>
              <w:jc w:val="center"/>
              <w:ind w:left="620"/>
              <w:spacing w:after="0"/>
              <w:rPr>
                <w:sz w:val="20"/>
                <w:szCs w:val="20"/>
                <w:color w:val="auto"/>
              </w:rPr>
            </w:pPr>
            <w:r>
              <w:rPr>
                <w:rFonts w:ascii="Times New Roman" w:cs="Times New Roman" w:eastAsia="Times New Roman" w:hAnsi="Times New Roman"/>
                <w:sz w:val="16"/>
                <w:szCs w:val="16"/>
                <w:b w:val="1"/>
                <w:bCs w:val="1"/>
                <w:color w:val="auto"/>
              </w:rPr>
              <w:t>Ropes &amp; Gray LLP</w:t>
            </w:r>
          </w:p>
        </w:tc>
      </w:tr>
      <w:tr>
        <w:trPr>
          <w:trHeight w:val="201"/>
        </w:trPr>
        <w:tc>
          <w:tcPr>
            <w:tcW w:w="2680" w:type="dxa"/>
            <w:vAlign w:val="bottom"/>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8"/>
              </w:rPr>
              <w:t>787 Seventh Avenue</w:t>
            </w:r>
          </w:p>
        </w:tc>
        <w:tc>
          <w:tcPr>
            <w:tcW w:w="3880" w:type="dxa"/>
            <w:vAlign w:val="bottom"/>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9"/>
              </w:rPr>
              <w:t>nCino, Inc.</w:t>
            </w:r>
          </w:p>
        </w:tc>
        <w:tc>
          <w:tcPr>
            <w:tcW w:w="2680" w:type="dxa"/>
            <w:vAlign w:val="bottom"/>
          </w:tcPr>
          <w:p>
            <w:pPr>
              <w:jc w:val="center"/>
              <w:ind w:left="620"/>
              <w:spacing w:after="0"/>
              <w:rPr>
                <w:sz w:val="20"/>
                <w:szCs w:val="20"/>
                <w:color w:val="auto"/>
              </w:rPr>
            </w:pPr>
            <w:r>
              <w:rPr>
                <w:rFonts w:ascii="Times New Roman" w:cs="Times New Roman" w:eastAsia="Times New Roman" w:hAnsi="Times New Roman"/>
                <w:sz w:val="16"/>
                <w:szCs w:val="16"/>
                <w:b w:val="1"/>
                <w:bCs w:val="1"/>
                <w:color w:val="auto"/>
                <w:w w:val="99"/>
              </w:rPr>
              <w:t>1211 Avenue of the Americas</w:t>
            </w:r>
          </w:p>
        </w:tc>
      </w:tr>
      <w:tr>
        <w:trPr>
          <w:trHeight w:val="201"/>
        </w:trPr>
        <w:tc>
          <w:tcPr>
            <w:tcW w:w="2680" w:type="dxa"/>
            <w:vAlign w:val="bottom"/>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8"/>
              </w:rPr>
              <w:t>New York, New York 10019</w:t>
            </w:r>
          </w:p>
        </w:tc>
        <w:tc>
          <w:tcPr>
            <w:tcW w:w="3880" w:type="dxa"/>
            <w:vAlign w:val="bottom"/>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9"/>
              </w:rPr>
              <w:t>6770 Parker Farm Drive</w:t>
            </w:r>
          </w:p>
        </w:tc>
        <w:tc>
          <w:tcPr>
            <w:tcW w:w="2680" w:type="dxa"/>
            <w:vAlign w:val="bottom"/>
          </w:tcPr>
          <w:p>
            <w:pPr>
              <w:jc w:val="center"/>
              <w:ind w:left="640"/>
              <w:spacing w:after="0"/>
              <w:rPr>
                <w:sz w:val="20"/>
                <w:szCs w:val="20"/>
                <w:color w:val="auto"/>
              </w:rPr>
            </w:pPr>
            <w:r>
              <w:rPr>
                <w:rFonts w:ascii="Times New Roman" w:cs="Times New Roman" w:eastAsia="Times New Roman" w:hAnsi="Times New Roman"/>
                <w:sz w:val="16"/>
                <w:szCs w:val="16"/>
                <w:b w:val="1"/>
                <w:bCs w:val="1"/>
                <w:color w:val="auto"/>
                <w:w w:val="98"/>
              </w:rPr>
              <w:t>New York, New York 10036</w:t>
            </w:r>
          </w:p>
        </w:tc>
      </w:tr>
      <w:tr>
        <w:trPr>
          <w:trHeight w:val="201"/>
        </w:trPr>
        <w:tc>
          <w:tcPr>
            <w:tcW w:w="2680" w:type="dxa"/>
            <w:vAlign w:val="bottom"/>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9"/>
              </w:rPr>
              <w:t>(212) 839-5300</w:t>
            </w:r>
          </w:p>
        </w:tc>
        <w:tc>
          <w:tcPr>
            <w:tcW w:w="3880" w:type="dxa"/>
            <w:vAlign w:val="bottom"/>
          </w:tcPr>
          <w:p>
            <w:pPr>
              <w:jc w:val="center"/>
              <w:ind w:left="1"/>
              <w:spacing w:after="0"/>
              <w:rPr>
                <w:sz w:val="20"/>
                <w:szCs w:val="20"/>
                <w:color w:val="auto"/>
              </w:rPr>
            </w:pPr>
            <w:r>
              <w:rPr>
                <w:rFonts w:ascii="Times New Roman" w:cs="Times New Roman" w:eastAsia="Times New Roman" w:hAnsi="Times New Roman"/>
                <w:sz w:val="16"/>
                <w:szCs w:val="16"/>
                <w:b w:val="1"/>
                <w:bCs w:val="1"/>
                <w:color w:val="auto"/>
              </w:rPr>
              <w:t>Wilmington, North Carolina 28405</w:t>
            </w:r>
          </w:p>
        </w:tc>
        <w:tc>
          <w:tcPr>
            <w:tcW w:w="2680" w:type="dxa"/>
            <w:vAlign w:val="bottom"/>
          </w:tcPr>
          <w:p>
            <w:pPr>
              <w:jc w:val="center"/>
              <w:ind w:left="640"/>
              <w:spacing w:after="0"/>
              <w:rPr>
                <w:sz w:val="20"/>
                <w:szCs w:val="20"/>
                <w:color w:val="auto"/>
              </w:rPr>
            </w:pPr>
            <w:r>
              <w:rPr>
                <w:rFonts w:ascii="Times New Roman" w:cs="Times New Roman" w:eastAsia="Times New Roman" w:hAnsi="Times New Roman"/>
                <w:sz w:val="16"/>
                <w:szCs w:val="16"/>
                <w:b w:val="1"/>
                <w:bCs w:val="1"/>
                <w:color w:val="auto"/>
                <w:w w:val="99"/>
              </w:rPr>
              <w:t>(212) 596-9000</w:t>
            </w:r>
          </w:p>
        </w:tc>
      </w:tr>
      <w:tr>
        <w:trPr>
          <w:trHeight w:val="211"/>
        </w:trPr>
        <w:tc>
          <w:tcPr>
            <w:tcW w:w="2680" w:type="dxa"/>
            <w:vAlign w:val="bottom"/>
          </w:tcPr>
          <w:p>
            <w:pPr>
              <w:spacing w:after="0"/>
              <w:rPr>
                <w:sz w:val="18"/>
                <w:szCs w:val="18"/>
                <w:color w:val="auto"/>
              </w:rPr>
            </w:pPr>
          </w:p>
        </w:tc>
        <w:tc>
          <w:tcPr>
            <w:tcW w:w="3880" w:type="dxa"/>
            <w:vAlign w:val="bottom"/>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9"/>
              </w:rPr>
              <w:t>(888) 676-2466</w:t>
            </w:r>
          </w:p>
        </w:tc>
        <w:tc>
          <w:tcPr>
            <w:tcW w:w="2680" w:type="dxa"/>
            <w:vAlign w:val="bottom"/>
          </w:tcPr>
          <w:p>
            <w:pPr>
              <w:spacing w:after="0"/>
              <w:rPr>
                <w:sz w:val="18"/>
                <w:szCs w:val="18"/>
                <w:color w:val="auto"/>
              </w:rPr>
            </w:pPr>
          </w:p>
        </w:tc>
      </w:tr>
    </w:tbl>
    <w:p>
      <w:pPr>
        <w:spacing w:after="0" w:line="34"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As soon as practicable after the effective date of this Registration Statement.</w:t>
      </w:r>
    </w:p>
    <w:p>
      <w:pPr>
        <w:spacing w:after="0" w:line="26" w:lineRule="exact"/>
        <w:rPr>
          <w:sz w:val="24"/>
          <w:szCs w:val="24"/>
          <w:color w:val="auto"/>
        </w:rPr>
      </w:pPr>
    </w:p>
    <w:p>
      <w:pPr>
        <w:ind w:left="160" w:right="460" w:firstLine="873"/>
        <w:spacing w:after="0" w:line="17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ind w:left="160" w:right="140" w:firstLine="873"/>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160" w:right="300" w:firstLine="873"/>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160" w:right="300" w:firstLine="873"/>
        <w:spacing w:after="0" w:line="174"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160" w:right="380" w:firstLine="873"/>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60" w:type="dxa"/>
        <w:tblCellMar>
          <w:top w:w="0" w:type="dxa"/>
          <w:left w:w="0" w:type="dxa"/>
          <w:bottom w:w="0" w:type="dxa"/>
          <w:right w:w="0" w:type="dxa"/>
        </w:tblCellMar>
      </w:tblPr>
      <w:tr>
        <w:trPr>
          <w:trHeight w:val="172"/>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Accelerated filer</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4"/>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4"/>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ind w:left="160" w:right="140" w:firstLine="873"/>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CALCULATION OF REGISTRATION FEE</w:t>
      </w:r>
    </w:p>
    <w:p>
      <w:pPr>
        <w:spacing w:after="0" w:line="17" w:lineRule="exact"/>
        <w:rPr>
          <w:sz w:val="24"/>
          <w:szCs w:val="24"/>
          <w:color w:val="auto"/>
        </w:rPr>
      </w:pPr>
    </w:p>
    <w:tbl>
      <w:tblPr>
        <w:tblLayout w:type="fixed"/>
        <w:tblInd w:w="1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390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9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jc w:val="center"/>
              <w:ind w:left="21"/>
              <w:spacing w:after="0" w:line="94" w:lineRule="exact"/>
              <w:rPr>
                <w:sz w:val="20"/>
                <w:szCs w:val="20"/>
                <w:color w:val="auto"/>
              </w:rPr>
            </w:pPr>
            <w:r>
              <w:rPr>
                <w:rFonts w:ascii="Times New Roman" w:cs="Times New Roman" w:eastAsia="Times New Roman" w:hAnsi="Times New Roman"/>
                <w:sz w:val="10"/>
                <w:szCs w:val="10"/>
                <w:b w:val="1"/>
                <w:bCs w:val="1"/>
                <w:color w:val="auto"/>
              </w:rPr>
              <w:t>Proposed Maximum</w:t>
            </w:r>
          </w:p>
        </w:tc>
        <w:tc>
          <w:tcPr>
            <w:tcW w:w="1420" w:type="dxa"/>
            <w:vAlign w:val="bottom"/>
            <w:tcBorders>
              <w:right w:val="single" w:sz="8" w:color="auto"/>
            </w:tcBorders>
          </w:tcPr>
          <w:p>
            <w:pPr>
              <w:jc w:val="center"/>
              <w:ind w:left="21"/>
              <w:spacing w:after="0" w:line="94" w:lineRule="exact"/>
              <w:rPr>
                <w:sz w:val="20"/>
                <w:szCs w:val="20"/>
                <w:color w:val="auto"/>
              </w:rPr>
            </w:pPr>
            <w:r>
              <w:rPr>
                <w:rFonts w:ascii="Times New Roman" w:cs="Times New Roman" w:eastAsia="Times New Roman" w:hAnsi="Times New Roman"/>
                <w:sz w:val="10"/>
                <w:szCs w:val="10"/>
                <w:b w:val="1"/>
                <w:bCs w:val="1"/>
                <w:color w:val="auto"/>
              </w:rPr>
              <w:t>Proposed</w:t>
            </w:r>
          </w:p>
        </w:tc>
        <w:tc>
          <w:tcPr>
            <w:tcW w:w="118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b w:val="1"/>
                <w:bCs w:val="1"/>
                <w:color w:val="auto"/>
              </w:rPr>
              <w:t>Amount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900" w:type="dxa"/>
            <w:vAlign w:val="bottom"/>
            <w:tcBorders>
              <w:right w:val="single" w:sz="8" w:color="auto"/>
            </w:tcBorders>
          </w:tcPr>
          <w:p>
            <w:pPr>
              <w:jc w:val="center"/>
              <w:ind w:right="1974"/>
              <w:spacing w:after="0" w:line="128" w:lineRule="exact"/>
              <w:rPr>
                <w:sz w:val="20"/>
                <w:szCs w:val="20"/>
                <w:color w:val="auto"/>
              </w:rPr>
            </w:pPr>
            <w:r>
              <w:rPr>
                <w:rFonts w:ascii="Times New Roman" w:cs="Times New Roman" w:eastAsia="Times New Roman" w:hAnsi="Times New Roman"/>
                <w:sz w:val="12"/>
                <w:szCs w:val="12"/>
                <w:b w:val="1"/>
                <w:bCs w:val="1"/>
                <w:color w:val="auto"/>
              </w:rPr>
              <w:t>Title of Each Class of</w:t>
            </w:r>
          </w:p>
        </w:tc>
        <w:tc>
          <w:tcPr>
            <w:tcW w:w="980" w:type="dxa"/>
            <w:vAlign w:val="bottom"/>
            <w:tcBorders>
              <w:right w:val="single" w:sz="8" w:color="auto"/>
            </w:tcBorders>
          </w:tcPr>
          <w:p>
            <w:pPr>
              <w:jc w:val="center"/>
              <w:ind w:left="18"/>
              <w:spacing w:after="0" w:line="128" w:lineRule="exact"/>
              <w:rPr>
                <w:sz w:val="20"/>
                <w:szCs w:val="20"/>
                <w:color w:val="auto"/>
              </w:rPr>
            </w:pPr>
            <w:r>
              <w:rPr>
                <w:rFonts w:ascii="Times New Roman" w:cs="Times New Roman" w:eastAsia="Times New Roman" w:hAnsi="Times New Roman"/>
                <w:sz w:val="12"/>
                <w:szCs w:val="12"/>
                <w:b w:val="1"/>
                <w:bCs w:val="1"/>
                <w:color w:val="auto"/>
              </w:rPr>
              <w:t>Amount to be</w:t>
            </w:r>
          </w:p>
        </w:tc>
        <w:tc>
          <w:tcPr>
            <w:tcW w:w="1420" w:type="dxa"/>
            <w:vAlign w:val="bottom"/>
            <w:tcBorders>
              <w:right w:val="single" w:sz="8" w:color="auto"/>
            </w:tcBorders>
          </w:tcPr>
          <w:p>
            <w:pPr>
              <w:jc w:val="center"/>
              <w:ind w:left="21"/>
              <w:spacing w:after="0" w:line="128" w:lineRule="exact"/>
              <w:rPr>
                <w:sz w:val="20"/>
                <w:szCs w:val="20"/>
                <w:color w:val="auto"/>
              </w:rPr>
            </w:pPr>
            <w:r>
              <w:rPr>
                <w:rFonts w:ascii="Times New Roman" w:cs="Times New Roman" w:eastAsia="Times New Roman" w:hAnsi="Times New Roman"/>
                <w:sz w:val="12"/>
                <w:szCs w:val="12"/>
                <w:b w:val="1"/>
                <w:bCs w:val="1"/>
                <w:color w:val="auto"/>
              </w:rPr>
              <w:t>Offering</w:t>
            </w:r>
          </w:p>
        </w:tc>
        <w:tc>
          <w:tcPr>
            <w:tcW w:w="1420" w:type="dxa"/>
            <w:vAlign w:val="bottom"/>
            <w:tcBorders>
              <w:right w:val="single" w:sz="8" w:color="auto"/>
            </w:tcBorders>
          </w:tcPr>
          <w:p>
            <w:pPr>
              <w:jc w:val="center"/>
              <w:ind w:left="21"/>
              <w:spacing w:after="0" w:line="128" w:lineRule="exact"/>
              <w:rPr>
                <w:sz w:val="20"/>
                <w:szCs w:val="20"/>
                <w:color w:val="auto"/>
              </w:rPr>
            </w:pPr>
            <w:r>
              <w:rPr>
                <w:rFonts w:ascii="Times New Roman" w:cs="Times New Roman" w:eastAsia="Times New Roman" w:hAnsi="Times New Roman"/>
                <w:sz w:val="12"/>
                <w:szCs w:val="12"/>
                <w:b w:val="1"/>
                <w:bCs w:val="1"/>
                <w:color w:val="auto"/>
              </w:rPr>
              <w:t>Maximum Aggregate</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3900" w:type="dxa"/>
            <w:vAlign w:val="bottom"/>
            <w:tcBorders>
              <w:bottom w:val="single" w:sz="8" w:color="auto"/>
              <w:right w:val="single" w:sz="8" w:color="auto"/>
            </w:tcBorders>
          </w:tcPr>
          <w:p>
            <w:pPr>
              <w:jc w:val="center"/>
              <w:ind w:right="1974"/>
              <w:spacing w:after="0"/>
              <w:rPr>
                <w:sz w:val="20"/>
                <w:szCs w:val="20"/>
                <w:color w:val="auto"/>
              </w:rPr>
            </w:pPr>
            <w:r>
              <w:rPr>
                <w:rFonts w:ascii="Times New Roman" w:cs="Times New Roman" w:eastAsia="Times New Roman" w:hAnsi="Times New Roman"/>
                <w:sz w:val="12"/>
                <w:szCs w:val="12"/>
                <w:b w:val="1"/>
                <w:bCs w:val="1"/>
                <w:color w:val="auto"/>
              </w:rPr>
              <w:t>Securities To Be Registered</w:t>
            </w:r>
          </w:p>
        </w:tc>
        <w:tc>
          <w:tcPr>
            <w:tcW w:w="980" w:type="dxa"/>
            <w:vAlign w:val="bottom"/>
            <w:tcBorders>
              <w:bottom w:val="single" w:sz="8" w:color="auto"/>
              <w:right w:val="single" w:sz="8" w:color="auto"/>
            </w:tcBorders>
          </w:tcPr>
          <w:p>
            <w:pPr>
              <w:jc w:val="center"/>
              <w:ind w:left="18"/>
              <w:spacing w:after="0"/>
              <w:rPr>
                <w:sz w:val="20"/>
                <w:szCs w:val="20"/>
                <w:color w:val="auto"/>
              </w:rPr>
            </w:pPr>
            <w:r>
              <w:rPr>
                <w:rFonts w:ascii="Times New Roman" w:cs="Times New Roman" w:eastAsia="Times New Roman" w:hAnsi="Times New Roman"/>
                <w:sz w:val="12"/>
                <w:szCs w:val="12"/>
                <w:b w:val="1"/>
                <w:bCs w:val="1"/>
                <w:color w:val="auto"/>
              </w:rPr>
              <w:t>Registered</w:t>
            </w:r>
            <w:r>
              <w:rPr>
                <w:rFonts w:ascii="Times New Roman" w:cs="Times New Roman" w:eastAsia="Times New Roman" w:hAnsi="Times New Roman"/>
                <w:sz w:val="10"/>
                <w:szCs w:val="10"/>
                <w:b w:val="1"/>
                <w:bCs w:val="1"/>
                <w:color w:val="auto"/>
              </w:rPr>
              <w:t>(1)(2)</w:t>
            </w:r>
          </w:p>
        </w:tc>
        <w:tc>
          <w:tcPr>
            <w:tcW w:w="1420" w:type="dxa"/>
            <w:vAlign w:val="bottom"/>
            <w:tcBorders>
              <w:bottom w:val="single" w:sz="8" w:color="auto"/>
              <w:right w:val="single" w:sz="8" w:color="auto"/>
            </w:tcBorders>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rPr>
              <w:t>Price Per Share</w:t>
            </w:r>
            <w:r>
              <w:rPr>
                <w:rFonts w:ascii="Times New Roman" w:cs="Times New Roman" w:eastAsia="Times New Roman" w:hAnsi="Times New Roman"/>
                <w:sz w:val="10"/>
                <w:szCs w:val="10"/>
                <w:b w:val="1"/>
                <w:bCs w:val="1"/>
                <w:color w:val="auto"/>
              </w:rPr>
              <w:t>(2)</w:t>
            </w:r>
          </w:p>
        </w:tc>
        <w:tc>
          <w:tcPr>
            <w:tcW w:w="1420" w:type="dxa"/>
            <w:vAlign w:val="bottom"/>
            <w:tcBorders>
              <w:bottom w:val="single" w:sz="8" w:color="auto"/>
              <w:right w:val="single" w:sz="8" w:color="auto"/>
            </w:tcBorders>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rPr>
              <w:t>Offering Price</w:t>
            </w:r>
            <w:r>
              <w:rPr>
                <w:rFonts w:ascii="Times New Roman" w:cs="Times New Roman" w:eastAsia="Times New Roman" w:hAnsi="Times New Roman"/>
                <w:sz w:val="10"/>
                <w:szCs w:val="10"/>
                <w:b w:val="1"/>
                <w:bCs w:val="1"/>
                <w:color w:val="auto"/>
              </w:rPr>
              <w:t>(2)</w:t>
            </w:r>
          </w:p>
        </w:tc>
        <w:tc>
          <w:tcPr>
            <w:tcW w:w="118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2"/>
                <w:szCs w:val="12"/>
                <w:b w:val="1"/>
                <w:bCs w:val="1"/>
                <w:color w:val="auto"/>
              </w:rPr>
              <w:t>Registration Fee</w:t>
            </w:r>
          </w:p>
        </w:tc>
        <w:tc>
          <w:tcPr>
            <w:tcW w:w="0" w:type="dxa"/>
            <w:vAlign w:val="bottom"/>
          </w:tcPr>
          <w:p>
            <w:pPr>
              <w:spacing w:after="0"/>
              <w:rPr>
                <w:sz w:val="1"/>
                <w:szCs w:val="1"/>
                <w:color w:val="auto"/>
              </w:rPr>
            </w:pPr>
          </w:p>
        </w:tc>
      </w:tr>
      <w:tr>
        <w:trPr>
          <w:trHeight w:val="140"/>
        </w:trPr>
        <w:tc>
          <w:tcPr>
            <w:tcW w:w="20" w:type="dxa"/>
            <w:vAlign w:val="bottom"/>
            <w:tcBorders>
              <w:bottom w:val="single" w:sz="8" w:color="auto"/>
            </w:tcBorders>
          </w:tcPr>
          <w:p>
            <w:pPr>
              <w:spacing w:after="0"/>
              <w:rPr>
                <w:sz w:val="12"/>
                <w:szCs w:val="12"/>
                <w:color w:val="auto"/>
              </w:rPr>
            </w:pPr>
          </w:p>
        </w:tc>
        <w:tc>
          <w:tcPr>
            <w:tcW w:w="5900" w:type="dxa"/>
            <w:vAlign w:val="bottom"/>
            <w:tcBorders>
              <w:bottom w:val="single" w:sz="8" w:color="auto"/>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color w:val="auto"/>
              </w:rPr>
              <w:t>Common Stock, par value $0.0005 per share</w:t>
            </w:r>
          </w:p>
        </w:tc>
        <w:tc>
          <w:tcPr>
            <w:tcW w:w="98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28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2"/>
                <w:szCs w:val="12"/>
                <w:color w:val="auto"/>
              </w:rPr>
              <w:t>(1)</w:t>
            </w:r>
          </w:p>
        </w:tc>
        <w:tc>
          <w:tcPr>
            <w:tcW w:w="1720" w:type="dxa"/>
            <w:vAlign w:val="bottom"/>
            <w:tcBorders>
              <w:top w:val="single" w:sz="8" w:color="auto"/>
            </w:tcBorders>
          </w:tcPr>
          <w:p>
            <w:pPr>
              <w:ind w:left="140"/>
              <w:spacing w:after="0" w:line="118" w:lineRule="exact"/>
              <w:rPr>
                <w:sz w:val="20"/>
                <w:szCs w:val="20"/>
                <w:color w:val="auto"/>
              </w:rPr>
            </w:pPr>
            <w:r>
              <w:rPr>
                <w:rFonts w:ascii="Times New Roman" w:cs="Times New Roman" w:eastAsia="Times New Roman" w:hAnsi="Times New Roman"/>
                <w:sz w:val="13"/>
                <w:szCs w:val="13"/>
                <w:color w:val="auto"/>
              </w:rPr>
              <w:t>Includes an additional</w:t>
            </w:r>
          </w:p>
        </w:tc>
        <w:tc>
          <w:tcPr>
            <w:tcW w:w="6300" w:type="dxa"/>
            <w:vAlign w:val="bottom"/>
            <w:tcBorders>
              <w:top w:val="single" w:sz="8" w:color="auto"/>
            </w:tcBorders>
            <w:gridSpan w:val="3"/>
          </w:tcPr>
          <w:p>
            <w:pPr>
              <w:ind w:left="180"/>
              <w:spacing w:after="0" w:line="118" w:lineRule="exact"/>
              <w:rPr>
                <w:sz w:val="20"/>
                <w:szCs w:val="20"/>
                <w:color w:val="auto"/>
              </w:rPr>
            </w:pPr>
            <w:r>
              <w:rPr>
                <w:rFonts w:ascii="Times New Roman" w:cs="Times New Roman" w:eastAsia="Times New Roman" w:hAnsi="Times New Roman"/>
                <w:sz w:val="13"/>
                <w:szCs w:val="13"/>
                <w:color w:val="auto"/>
              </w:rPr>
              <w:t>shares of the Registrant’s common stock that the underwriters have the option to purchase.</w:t>
            </w:r>
          </w:p>
        </w:tc>
        <w:tc>
          <w:tcPr>
            <w:tcW w:w="14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w:t>
            </w:r>
          </w:p>
        </w:tc>
        <w:tc>
          <w:tcPr>
            <w:tcW w:w="172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Includes an aggregate of</w:t>
            </w:r>
          </w:p>
        </w:tc>
        <w:tc>
          <w:tcPr>
            <w:tcW w:w="8900" w:type="dxa"/>
            <w:vAlign w:val="bottom"/>
            <w:gridSpan w:val="5"/>
          </w:tcPr>
          <w:p>
            <w:pPr>
              <w:ind w:left="280"/>
              <w:spacing w:after="0" w:line="147" w:lineRule="exact"/>
              <w:rPr>
                <w:sz w:val="20"/>
                <w:szCs w:val="20"/>
                <w:color w:val="auto"/>
              </w:rPr>
            </w:pPr>
            <w:r>
              <w:rPr>
                <w:rFonts w:ascii="Times New Roman" w:cs="Times New Roman" w:eastAsia="Times New Roman" w:hAnsi="Times New Roman"/>
                <w:sz w:val="14"/>
                <w:szCs w:val="14"/>
                <w:color w:val="auto"/>
              </w:rPr>
              <w:t>shares of common stock underlying vested stock options held by certain employees of the Registrant that are selling stockholders, upon exercise of</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00" w:hanging="433"/>
        <w:spacing w:after="0" w:line="219" w:lineRule="auto"/>
        <w:tabs>
          <w:tab w:leader="none" w:pos="60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Estimated solely for the purpose of calculating the registration fee in accordance with Rule 457(c) of the Securities Act of 1933, as amended, based on the average of the high and low</w:t>
      </w:r>
    </w:p>
    <w:tbl>
      <w:tblPr>
        <w:tblLayout w:type="fixed"/>
        <w:tblInd w:w="600" w:type="dxa"/>
        <w:tblCellMar>
          <w:top w:w="0" w:type="dxa"/>
          <w:left w:w="0" w:type="dxa"/>
          <w:bottom w:w="0" w:type="dxa"/>
          <w:right w:w="0" w:type="dxa"/>
        </w:tblCellMar>
      </w:tblPr>
      <w:tr>
        <w:trPr>
          <w:trHeight w:val="185"/>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sales prices of the Registrant’s Common Stock as reported by the Nasdaq Global Select Market on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2020.</w:t>
            </w:r>
          </w:p>
        </w:tc>
      </w:tr>
    </w:tbl>
    <w:p>
      <w:pPr>
        <w:ind w:left="160" w:firstLine="873"/>
        <w:spacing w:after="0" w:line="231"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080"/>
          </w:cols>
          <w:pgMar w:left="320" w:top="227" w:right="49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CONFIDENTIAL TREATMENT REQUESTED</w:t>
      </w:r>
    </w:p>
    <w:p>
      <w:pPr>
        <w:spacing w:after="0" w:line="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7094855" cy="9171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CONFIDENTIAL TREATMENT REQUESTED</w:t>
      </w:r>
    </w:p>
    <w:p>
      <w:pPr>
        <w:spacing w:after="0" w:line="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64045" cy="9494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4045" cy="949452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CONFIDENTIAL TREATMENT REQUESTED</w:t>
      </w:r>
    </w:p>
    <w:p>
      <w:pPr>
        <w:spacing w:after="0" w:line="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64045" cy="9494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4045" cy="949452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CONFIDENTIAL TREATMENT REQUESTED</w:t>
      </w:r>
    </w:p>
    <w:p>
      <w:pPr>
        <w:spacing w:after="0" w:line="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64045" cy="906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4045" cy="906970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00"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105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Prospectus Summary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9"/>
        </w:trPr>
        <w:tc>
          <w:tcPr>
            <w:tcW w:w="105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Risk Factors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Cautionary Note Regarding Forward-Looking Statements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Market, Industry and Other Data</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Use of Proceeds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Dividend Policy</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Capitalization</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Selected Consolidated Financial and Other Data</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Business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Management</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Executive Compensation</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113">
              <w:r>
                <w:rPr>
                  <w:rFonts w:ascii="Times New Roman" w:cs="Times New Roman" w:eastAsia="Times New Roman" w:hAnsi="Times New Roman"/>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Principal and Selling Stockholders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Description of Capital Stock</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127">
              <w:r>
                <w:rPr>
                  <w:rFonts w:ascii="Times New Roman" w:cs="Times New Roman" w:eastAsia="Times New Roman" w:hAnsi="Times New Roman"/>
                  <w:sz w:val="18"/>
                  <w:szCs w:val="18"/>
                  <w:u w:val="single" w:color="auto"/>
                  <w:color w:val="0000EE"/>
                </w:rPr>
                <w:t>Material U.S. Federal Income Tax Consequences to Non-U.S. Holders of Our Common Stock</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131">
              <w:r>
                <w:rPr>
                  <w:rFonts w:ascii="Times New Roman" w:cs="Times New Roman" w:eastAsia="Times New Roman" w:hAnsi="Times New Roman"/>
                  <w:sz w:val="18"/>
                  <w:szCs w:val="18"/>
                  <w:u w:val="single" w:color="auto"/>
                  <w:color w:val="0000EE"/>
                </w:rPr>
                <w:t>Underwriting</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139">
              <w:r>
                <w:rPr>
                  <w:rFonts w:ascii="Times New Roman" w:cs="Times New Roman" w:eastAsia="Times New Roman" w:hAnsi="Times New Roman"/>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139">
              <w:r>
                <w:rPr>
                  <w:rFonts w:ascii="Times New Roman" w:cs="Times New Roman" w:eastAsia="Times New Roman" w:hAnsi="Times New Roman"/>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139">
              <w:r>
                <w:rPr>
                  <w:rFonts w:ascii="Times New Roman" w:cs="Times New Roman" w:eastAsia="Times New Roman" w:hAnsi="Times New Roman"/>
                  <w:sz w:val="18"/>
                  <w:szCs w:val="18"/>
                  <w:u w:val="single" w:color="auto"/>
                  <w:color w:val="0000EE"/>
                </w:rPr>
                <w:t>Where You Can Find Additional Information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3"/>
        </w:trPr>
        <w:tc>
          <w:tcPr>
            <w:tcW w:w="10540" w:type="dxa"/>
            <w:vAlign w:val="bottom"/>
          </w:tcPr>
          <w:p>
            <w:pPr>
              <w:spacing w:after="0"/>
              <w:rPr>
                <w:rFonts w:ascii="Times New Roman" w:cs="Times New Roman" w:eastAsia="Times New Roman" w:hAnsi="Times New Roman"/>
                <w:sz w:val="18"/>
                <w:szCs w:val="18"/>
                <w:u w:val="single" w:color="auto"/>
                <w:color w:val="0000EE"/>
              </w:rPr>
            </w:pPr>
            <w:hyperlink w:anchor="page140">
              <w:r>
                <w:rPr>
                  <w:rFonts w:ascii="Times New Roman" w:cs="Times New Roman" w:eastAsia="Times New Roman" w:hAnsi="Times New Roman"/>
                  <w:sz w:val="18"/>
                  <w:szCs w:val="18"/>
                  <w:u w:val="single" w:color="auto"/>
                  <w:color w:val="0000EE"/>
                </w:rPr>
                <w:t>Index to Financial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document or to which we have referred you. Neither we, the selling stockholders nor any of the underwriters have authorized anyone to provide you with information that is different than that in this document. This document may only be used in jurisdictions where it is legal to sell these securities. The information in this document may only be accurate as of the date of this document or such other date set forth in this document, regardless of the time of delivery of this prospectus or of any sale of shares of our common stock, and the information in any free writing prospectus that we may provide you in connection with this offering is accurate only as of the date of that free writing prospectus. Our business, financial condition, results of operations and future growth prospects may have changed since those dates.</w:t>
      </w:r>
    </w:p>
    <w:p>
      <w:pPr>
        <w:spacing w:after="0" w:line="188"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stock and the distribution of this prospectus outside of the United States.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ind w:left="160" w:right="380" w:firstLine="873"/>
        <w:spacing w:after="0" w:line="263" w:lineRule="auto"/>
        <w:rPr>
          <w:sz w:val="20"/>
          <w:szCs w:val="20"/>
          <w:color w:val="auto"/>
        </w:rPr>
      </w:pPr>
      <w:r>
        <w:rPr>
          <w:rFonts w:ascii="Times New Roman" w:cs="Times New Roman" w:eastAsia="Times New Roman" w:hAnsi="Times New Roman"/>
          <w:sz w:val="18"/>
          <w:szCs w:val="18"/>
          <w:color w:val="auto"/>
        </w:rPr>
        <w:t>Our fiscal year ends on January 31 of each year and references in this prospectus to a fiscal year mean the year in which that fiscal year ends. Accordingly, references in this prospectus to “fiscal 2018,” “fiscal 2019,” and “fiscal 2020” refer to the fiscal year ended January 31, 2018, January 31, 2019 and January 31, 2020, respectively.</w:t>
      </w:r>
    </w:p>
    <w:p>
      <w:pPr>
        <w:spacing w:after="0" w:line="175" w:lineRule="exact"/>
        <w:rPr>
          <w:sz w:val="20"/>
          <w:szCs w:val="20"/>
          <w:color w:val="auto"/>
        </w:rPr>
      </w:pPr>
    </w:p>
    <w:p>
      <w:pPr>
        <w:ind w:left="160" w:right="320" w:firstLine="873"/>
        <w:spacing w:after="0" w:line="278" w:lineRule="auto"/>
        <w:rPr>
          <w:sz w:val="20"/>
          <w:szCs w:val="20"/>
          <w:color w:val="auto"/>
        </w:rPr>
      </w:pPr>
      <w:r>
        <w:rPr>
          <w:rFonts w:ascii="Times New Roman" w:cs="Times New Roman" w:eastAsia="Times New Roman" w:hAnsi="Times New Roman"/>
          <w:sz w:val="18"/>
          <w:szCs w:val="18"/>
          <w:color w:val="auto"/>
        </w:rPr>
        <w:t>In this prospectus, when we refer to “Annual Contract Value” or “ACV” for any customer for any given period, we mean the annualized subscription fees from fully-activated subscription contracts in effect for such customers at the end of the applicable period.</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4" w:right="4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212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4200" cy="6212205"/>
                    </a:xfrm>
                    <a:prstGeom prst="rect">
                      <a:avLst/>
                    </a:prstGeom>
                    <a:noFill/>
                  </pic:spPr>
                </pic:pic>
              </a:graphicData>
            </a:graphic>
          </wp:anchor>
        </w:drawing>
      </w:r>
    </w:p>
    <w:p>
      <w:pPr>
        <w:spacing w:after="0" w:line="2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3" w:lineRule="exact"/>
        <w:rPr>
          <w:sz w:val="20"/>
          <w:szCs w:val="20"/>
          <w:color w:val="auto"/>
        </w:rPr>
      </w:pPr>
    </w:p>
    <w:p>
      <w:pPr>
        <w:ind w:left="340" w:firstLine="844"/>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buying shares in this offering. Therefore,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deciding whether to purchase our common stock. Unless the context requires otherwise, the words “we,” “us,” “our,” and “the Company” refer to nCino, Inc. and its subsidiaries.</w:t>
      </w:r>
    </w:p>
    <w:p>
      <w:pPr>
        <w:spacing w:after="0" w:line="1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Our mission is to transform financial services through innovation, reputation and speed.</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340" w:right="40" w:firstLine="844"/>
        <w:spacing w:after="0" w:line="251" w:lineRule="auto"/>
        <w:rPr>
          <w:sz w:val="20"/>
          <w:szCs w:val="20"/>
          <w:color w:val="auto"/>
        </w:rPr>
      </w:pPr>
      <w:r>
        <w:rPr>
          <w:rFonts w:ascii="Times New Roman" w:cs="Times New Roman" w:eastAsia="Times New Roman" w:hAnsi="Times New Roman"/>
          <w:sz w:val="18"/>
          <w:szCs w:val="18"/>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artificial intelligence and machine learning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92" w:lineRule="exact"/>
        <w:rPr>
          <w:sz w:val="20"/>
          <w:szCs w:val="20"/>
          <w:color w:val="auto"/>
        </w:rPr>
      </w:pPr>
    </w:p>
    <w:p>
      <w:pPr>
        <w:ind w:left="340" w:right="80" w:firstLine="844"/>
        <w:spacing w:after="0" w:line="278" w:lineRule="auto"/>
        <w:rPr>
          <w:sz w:val="20"/>
          <w:szCs w:val="20"/>
          <w:color w:val="auto"/>
        </w:rPr>
      </w:pPr>
      <w:r>
        <w:rPr>
          <w:rFonts w:ascii="Times New Roman" w:cs="Times New Roman" w:eastAsia="Times New Roman" w:hAnsi="Times New Roman"/>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89" w:lineRule="exact"/>
        <w:rPr>
          <w:sz w:val="20"/>
          <w:szCs w:val="20"/>
          <w:color w:val="auto"/>
        </w:rPr>
      </w:pPr>
    </w:p>
    <w:p>
      <w:pPr>
        <w:ind w:left="1580" w:hanging="296"/>
        <w:spacing w:after="0"/>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digitally serve their clients across commercial, small business and retail lines of business,</w:t>
      </w:r>
    </w:p>
    <w:p>
      <w:pPr>
        <w:spacing w:after="0" w:line="247" w:lineRule="exact"/>
        <w:rPr>
          <w:rFonts w:ascii="Times New Roman" w:cs="Times New Roman" w:eastAsia="Times New Roman" w:hAnsi="Times New Roman"/>
          <w:sz w:val="18"/>
          <w:szCs w:val="18"/>
          <w:color w:val="auto"/>
        </w:rPr>
      </w:pPr>
    </w:p>
    <w:p>
      <w:pPr>
        <w:ind w:left="1580" w:hanging="296"/>
        <w:spacing w:after="0"/>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financial results,</w:t>
      </w:r>
    </w:p>
    <w:p>
      <w:pPr>
        <w:spacing w:after="0" w:line="247" w:lineRule="exact"/>
        <w:rPr>
          <w:rFonts w:ascii="Times New Roman" w:cs="Times New Roman" w:eastAsia="Times New Roman" w:hAnsi="Times New Roman"/>
          <w:sz w:val="18"/>
          <w:szCs w:val="18"/>
          <w:color w:val="auto"/>
        </w:rPr>
      </w:pPr>
    </w:p>
    <w:p>
      <w:pPr>
        <w:ind w:left="1580" w:hanging="296"/>
        <w:spacing w:after="0"/>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more efficiently,</w:t>
      </w:r>
    </w:p>
    <w:p>
      <w:pPr>
        <w:spacing w:after="0" w:line="247" w:lineRule="exact"/>
        <w:rPr>
          <w:rFonts w:ascii="Times New Roman" w:cs="Times New Roman" w:eastAsia="Times New Roman" w:hAnsi="Times New Roman"/>
          <w:sz w:val="18"/>
          <w:szCs w:val="18"/>
          <w:color w:val="auto"/>
        </w:rPr>
      </w:pPr>
    </w:p>
    <w:p>
      <w:pPr>
        <w:ind w:left="1580" w:hanging="296"/>
        <w:spacing w:after="0"/>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and compliance more effectively, and</w:t>
      </w:r>
    </w:p>
    <w:p>
      <w:pPr>
        <w:spacing w:after="0" w:line="247" w:lineRule="exact"/>
        <w:rPr>
          <w:rFonts w:ascii="Times New Roman" w:cs="Times New Roman" w:eastAsia="Times New Roman" w:hAnsi="Times New Roman"/>
          <w:sz w:val="18"/>
          <w:szCs w:val="18"/>
          <w:color w:val="auto"/>
        </w:rPr>
      </w:pPr>
    </w:p>
    <w:p>
      <w:pPr>
        <w:ind w:left="1580" w:hanging="296"/>
        <w:spacing w:after="0"/>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data, audit and business intelligence hub.</w:t>
      </w:r>
    </w:p>
    <w:p>
      <w:pPr>
        <w:spacing w:after="0" w:line="221" w:lineRule="exact"/>
        <w:rPr>
          <w:sz w:val="20"/>
          <w:szCs w:val="20"/>
          <w:color w:val="auto"/>
        </w:rPr>
      </w:pPr>
    </w:p>
    <w:p>
      <w:pPr>
        <w:jc w:val="both"/>
        <w:ind w:left="340" w:right="40" w:firstLine="844"/>
        <w:spacing w:after="0" w:line="258" w:lineRule="auto"/>
        <w:rPr>
          <w:sz w:val="20"/>
          <w:szCs w:val="20"/>
          <w:color w:val="auto"/>
        </w:rPr>
      </w:pPr>
      <w:r>
        <w:rPr>
          <w:rFonts w:ascii="Times New Roman" w:cs="Times New Roman" w:eastAsia="Times New Roman" w:hAnsi="Times New Roman"/>
          <w:sz w:val="18"/>
          <w:szCs w:val="18"/>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4" w:right="6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127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34200" cy="6127115"/>
                    </a:xfrm>
                    <a:prstGeom prst="rect">
                      <a:avLst/>
                    </a:prstGeom>
                    <a:noFill/>
                  </pic:spPr>
                </pic:pic>
              </a:graphicData>
            </a:graphic>
          </wp:anchor>
        </w:drawing>
      </w:r>
    </w:p>
    <w:p>
      <w:pPr>
        <w:spacing w:after="0" w:line="302" w:lineRule="exact"/>
        <w:rPr>
          <w:sz w:val="20"/>
          <w:szCs w:val="20"/>
          <w:color w:val="auto"/>
        </w:rPr>
      </w:pPr>
    </w:p>
    <w:p>
      <w:pPr>
        <w:ind w:left="340" w:right="80"/>
        <w:spacing w:after="0" w:line="254" w:lineRule="auto"/>
        <w:rPr>
          <w:sz w:val="20"/>
          <w:szCs w:val="20"/>
          <w:color w:val="auto"/>
        </w:rPr>
      </w:pPr>
      <w:r>
        <w:rPr>
          <w:rFonts w:ascii="Times New Roman" w:cs="Times New Roman" w:eastAsia="Times New Roman" w:hAnsi="Times New Roman"/>
          <w:sz w:val="18"/>
          <w:szCs w:val="18"/>
          <w:color w:val="auto"/>
        </w:rPr>
        <w:t>regional banks. We introduced our solution to enterprise banks in the United States in 2014, and then internationally in 2017, and have subsequently expanded across North America, Europe and Asia-Pacific (“APAC”). Throughout this market expansion, we broadened our solution by adding functionality for retail lending, client onboarding, deposit account opening, analytics and AI/ML. Our holistic solution enables us to provide a single digital banking platform for financial institutions of all sizes on a global basis. We work with some of the world’s leading systems integrators (“SIs”) to help implement our solution, which has increased our capacity to deliver and deploy the nCino Bank Operating System and enabled us to scale more quickly.</w:t>
      </w:r>
    </w:p>
    <w:p>
      <w:pPr>
        <w:spacing w:after="0" w:line="184" w:lineRule="exact"/>
        <w:rPr>
          <w:sz w:val="20"/>
          <w:szCs w:val="20"/>
          <w:color w:val="auto"/>
        </w:rPr>
      </w:pPr>
    </w:p>
    <w:p>
      <w:pPr>
        <w:ind w:left="340" w:firstLine="844"/>
        <w:spacing w:after="0" w:line="251" w:lineRule="auto"/>
        <w:rPr>
          <w:sz w:val="20"/>
          <w:szCs w:val="20"/>
          <w:color w:val="auto"/>
        </w:rPr>
      </w:pPr>
      <w:r>
        <w:rPr>
          <w:rFonts w:ascii="Times New Roman" w:cs="Times New Roman" w:eastAsia="Times New Roman" w:hAnsi="Times New Roman"/>
          <w:sz w:val="18"/>
          <w:szCs w:val="18"/>
          <w:color w:val="auto"/>
        </w:rPr>
        <w:t>As a native cloud platform that utilizes a single code base regardless of the size and complexity of the financial institution, the nCino Bank Operating System is highly scalable and configurable for the specific needs of each of our customers. Once implemented, our solution becomes deeply embedded in our customers’ business processes, enabling mission critical workflow across the financial institution on a single platform and allowing our customers to serve their clients without locality or access constraints. The nCino Bank Operating System connects the front, middle and back office employees of a financial institution with clients and third parties across lines of business. We deliver data analytics and AI/ML capabilities through our nCino IQ (“nIQ”) application suite to provide our customers with automation and insights into their operations, such as tools for analyzing, measuring and managing credit risk, as well as to improve their ability to comply with regulatory requirements. Fundamental elements of the nCino Bank Operating System are built on the Salesforce platform (the “Salesforce Platform”), which allows us to focus our product development efforts on building deep vertical functionality specifically for banks and credit unions while leveraging the Salesforce Platform’s global infrastructure, reliability and scalability.</w:t>
      </w:r>
    </w:p>
    <w:p>
      <w:pPr>
        <w:spacing w:after="0" w:line="189" w:lineRule="exact"/>
        <w:rPr>
          <w:sz w:val="20"/>
          <w:szCs w:val="20"/>
          <w:color w:val="auto"/>
        </w:rPr>
      </w:pPr>
    </w:p>
    <w:p>
      <w:pPr>
        <w:ind w:left="340" w:firstLine="844"/>
        <w:spacing w:after="0" w:line="253" w:lineRule="auto"/>
        <w:rPr>
          <w:sz w:val="20"/>
          <w:szCs w:val="20"/>
          <w:color w:val="auto"/>
        </w:rPr>
      </w:pPr>
      <w:r>
        <w:rPr>
          <w:rFonts w:ascii="Times New Roman" w:cs="Times New Roman" w:eastAsia="Times New Roman" w:hAnsi="Times New Roman"/>
          <w:sz w:val="18"/>
          <w:szCs w:val="18"/>
          <w:color w:val="auto"/>
        </w:rPr>
        <w:t>We offer the nCino Bank Operating System on a subscription basis pursuant to non-cancellable multi-year contracts that typically range from three to five years, and we employ a “land and expand” business model. Our initial deployment with a customer generally focuses on implementing a client onboarding, loan origination and/or deposit account opening application in a specific line of business within the financial institution, such as commercial, small business or retail. The nCino Bank Operating System is designed to scale with our customers and once our solution is deployed, we seek to have our customers expand adoption within and across lines of business. The nCino Bank Operating System leverages common data sets and functionality across applications, which optimizes and accelerates the deployment of our solution throughout a financial institution.</w:t>
      </w:r>
    </w:p>
    <w:p>
      <w:pPr>
        <w:spacing w:after="0" w:line="184" w:lineRule="exact"/>
        <w:rPr>
          <w:sz w:val="20"/>
          <w:szCs w:val="20"/>
          <w:color w:val="auto"/>
        </w:rPr>
      </w:pPr>
    </w:p>
    <w:p>
      <w:pPr>
        <w:ind w:left="340" w:right="100" w:firstLine="844"/>
        <w:spacing w:after="0" w:line="255" w:lineRule="auto"/>
        <w:rPr>
          <w:sz w:val="20"/>
          <w:szCs w:val="20"/>
          <w:color w:val="auto"/>
        </w:rPr>
      </w:pPr>
      <w:r>
        <w:rPr>
          <w:rFonts w:ascii="Times New Roman" w:cs="Times New Roman" w:eastAsia="Times New Roman" w:hAnsi="Times New Roman"/>
          <w:sz w:val="18"/>
          <w:szCs w:val="18"/>
          <w:color w:val="auto"/>
        </w:rPr>
        <w:t>The nCino Bank Operating System serves a large addressable market opportunity globally as financial institutions make significant investments in information technology (“IT”) applications and infrastructure, with demand for cloud-based solutions in banking continuing to grow. According to Gartner, banking had the highest global enterprise IT spending of all industries with approximately $376 billion spent in 2018. Based on our internal analysis and experience, we estimate the current serviceable market for the nCino Bank Operating System to be greater than $10 billion.</w:t>
      </w:r>
    </w:p>
    <w:p>
      <w:pPr>
        <w:spacing w:after="0" w:line="184" w:lineRule="exact"/>
        <w:rPr>
          <w:sz w:val="20"/>
          <w:szCs w:val="20"/>
          <w:color w:val="auto"/>
        </w:rPr>
      </w:pPr>
    </w:p>
    <w:p>
      <w:pPr>
        <w:ind w:left="340" w:right="40" w:firstLine="844"/>
        <w:spacing w:after="0" w:line="253" w:lineRule="auto"/>
        <w:rPr>
          <w:sz w:val="20"/>
          <w:szCs w:val="20"/>
          <w:color w:val="auto"/>
        </w:rPr>
      </w:pPr>
      <w:r>
        <w:rPr>
          <w:rFonts w:ascii="Times New Roman" w:cs="Times New Roman" w:eastAsia="Times New Roman" w:hAnsi="Times New Roman"/>
          <w:sz w:val="18"/>
          <w:szCs w:val="18"/>
          <w:color w:val="auto"/>
        </w:rPr>
        <w:t>nCino has a diverse customer base ranging from global financial institutions, such as Bank of America, Barclays, Santander Bank and TD Bank, to enterprise banks, such as KeyBank, Allied Irish Bank, Truist Bank and US Bank, to regional and community banks, such as ConnectOne Bank, IBERIABANK, Pacific Western Bank and Coastal States Bank, to credit unions, such as Corning Credit Union, Navy Federal Credit Union, SAFE Credit Union and Wright-Patt Credit Union, to new market entrants, such as challenger banks like B-North, DBT Företagslån, Recognise Financial and Secure Trust Bank. These companies represent a cross-section of global financial institutions, enterprise banks, regional and community banks, credit unions and challenger banks, and each of these customers represents a substantial level of ACV in its respective category.</w:t>
      </w:r>
    </w:p>
    <w:p>
      <w:pPr>
        <w:spacing w:after="0" w:line="184" w:lineRule="exact"/>
        <w:rPr>
          <w:sz w:val="20"/>
          <w:szCs w:val="20"/>
          <w:color w:val="auto"/>
        </w:rPr>
      </w:pPr>
    </w:p>
    <w:p>
      <w:pPr>
        <w:jc w:val="both"/>
        <w:ind w:left="340" w:right="280" w:firstLine="844"/>
        <w:spacing w:after="0" w:line="263" w:lineRule="auto"/>
        <w:rPr>
          <w:sz w:val="20"/>
          <w:szCs w:val="20"/>
          <w:color w:val="auto"/>
        </w:rPr>
      </w:pPr>
      <w:r>
        <w:rPr>
          <w:rFonts w:ascii="Times New Roman" w:cs="Times New Roman" w:eastAsia="Times New Roman" w:hAnsi="Times New Roman"/>
          <w:sz w:val="18"/>
          <w:szCs w:val="18"/>
          <w:color w:val="auto"/>
        </w:rPr>
        <w:t>We ended fiscal 2020 with over 290 financial institutions that utilized the nCino Bank Operating System for client onboarding, loan origination and/or deposit account opening, of which 161 each generated more than $100,000 in annual subscription revenues in fiscal 2020. In addition, we have over 890 financial institutions that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320" w:top="454" w:right="6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311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34200" cy="5311775"/>
                    </a:xfrm>
                    <a:prstGeom prst="rect">
                      <a:avLst/>
                    </a:prstGeom>
                    <a:noFill/>
                  </pic:spPr>
                </pic:pic>
              </a:graphicData>
            </a:graphic>
          </wp:anchor>
        </w:drawing>
      </w:r>
    </w:p>
    <w:p>
      <w:pPr>
        <w:spacing w:after="0" w:line="302" w:lineRule="exact"/>
        <w:rPr>
          <w:sz w:val="20"/>
          <w:szCs w:val="20"/>
          <w:color w:val="auto"/>
        </w:rPr>
      </w:pPr>
    </w:p>
    <w:p>
      <w:pPr>
        <w:ind w:left="340" w:right="180"/>
        <w:spacing w:after="0" w:line="258" w:lineRule="auto"/>
        <w:rPr>
          <w:sz w:val="20"/>
          <w:szCs w:val="20"/>
          <w:color w:val="auto"/>
        </w:rPr>
      </w:pPr>
      <w:r>
        <w:rPr>
          <w:rFonts w:ascii="Times New Roman" w:cs="Times New Roman" w:eastAsia="Times New Roman" w:hAnsi="Times New Roman"/>
          <w:sz w:val="18"/>
          <w:szCs w:val="18"/>
          <w:color w:val="auto"/>
        </w:rPr>
        <w:t>use the portfolio analytics solution we acquired with the Visible Equity acquisition in fiscal 2020, which is now part of nIQ. In total, we had over 1,180 financial institution customers as of January 31, 2020. For fiscal 2020, we had a subscription revenue retention rate of 147%. See “Management’s Discussion and Analysis of Financial Condition and Results of Operations—Factors Affecting Our Operating Results— Subscription Revenue Retention Rate” for additional information on subscription revenue retention rates.</w:t>
      </w:r>
    </w:p>
    <w:p>
      <w:pPr>
        <w:spacing w:after="0" w:line="180" w:lineRule="exact"/>
        <w:rPr>
          <w:sz w:val="20"/>
          <w:szCs w:val="20"/>
          <w:color w:val="auto"/>
        </w:rPr>
      </w:pPr>
    </w:p>
    <w:p>
      <w:pPr>
        <w:ind w:left="340" w:firstLine="844"/>
        <w:spacing w:after="0" w:line="253" w:lineRule="auto"/>
        <w:rPr>
          <w:sz w:val="20"/>
          <w:szCs w:val="20"/>
          <w:color w:val="auto"/>
        </w:rPr>
      </w:pPr>
      <w:r>
        <w:rPr>
          <w:rFonts w:ascii="Times New Roman" w:cs="Times New Roman" w:eastAsia="Times New Roman" w:hAnsi="Times New Roman"/>
          <w:sz w:val="18"/>
          <w:szCs w:val="18"/>
          <w:color w:val="auto"/>
        </w:rPr>
        <w:t>Our business has achieved rapid growth since its inception. We plan to continue investing in expanding the breadth and depth of the nCino Bank Operating System and expanding internationally. We believe our product development and global expansion initiatives will continue to drive revenue and customer growth. Our total revenues were $138.2 million, $91.5 million and $58.1 million for fiscal 2020, 2019 and 2018, respectively, representing a 54.2% compound annual growth rate. We also had recurring, subscription-based revenues of $103.3 million,</w:t>
      </w:r>
    </w:p>
    <w:p>
      <w:pPr>
        <w:spacing w:after="0" w:line="2" w:lineRule="exact"/>
        <w:rPr>
          <w:sz w:val="20"/>
          <w:szCs w:val="20"/>
          <w:color w:val="auto"/>
        </w:rPr>
      </w:pPr>
    </w:p>
    <w:p>
      <w:pPr>
        <w:ind w:left="340" w:right="140"/>
        <w:spacing w:after="0" w:line="250" w:lineRule="auto"/>
        <w:rPr>
          <w:sz w:val="20"/>
          <w:szCs w:val="20"/>
          <w:color w:val="auto"/>
        </w:rPr>
      </w:pPr>
      <w:r>
        <w:rPr>
          <w:rFonts w:ascii="Times New Roman" w:cs="Times New Roman" w:eastAsia="Times New Roman" w:hAnsi="Times New Roman"/>
          <w:sz w:val="18"/>
          <w:szCs w:val="18"/>
          <w:color w:val="auto"/>
        </w:rPr>
        <w:t>$64.5 million and $38.0 million for fiscal 2020, 2019 and 2018, respectively, representing a 64.7% compound annual growth rate. Net losses attributable to nCino for fiscal 2020, 2019 and 2018 were $27.6 million, $22.3 million and $18.6 million, respectively. For the six months ended July 31, 2020 and 2019, our total revenues were $93.5 million and $61.8 million, respectively, representing a 51.2% annual growth rate, and our subscription revenues were $74.2 million and $44.1 million, respectively, representing a 68.1% annual growth rate. We had net losses attributable to nCino of $19.4 million and $11.9 million for the six months ended July 31, 2020 and 2019, respectively.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5" w:lineRule="exact"/>
        <w:rPr>
          <w:sz w:val="20"/>
          <w:szCs w:val="20"/>
          <w:color w:val="auto"/>
        </w:rPr>
      </w:pPr>
    </w:p>
    <w:p>
      <w:pPr>
        <w:ind w:left="340" w:right="40" w:firstLine="844"/>
        <w:spacing w:after="0" w:line="252" w:lineRule="auto"/>
        <w:rPr>
          <w:sz w:val="20"/>
          <w:szCs w:val="20"/>
          <w:color w:val="auto"/>
        </w:rPr>
      </w:pPr>
      <w:r>
        <w:rPr>
          <w:rFonts w:ascii="Times New Roman" w:cs="Times New Roman" w:eastAsia="Times New Roman" w:hAnsi="Times New Roman"/>
          <w:sz w:val="18"/>
          <w:szCs w:val="18"/>
          <w:color w:val="auto"/>
        </w:rPr>
        <w:t>With more than 28,000 financial institutions worldwide, banking is one of the largest and most complex industries in the global economy and is characterized by intense competition between incumbent financial institutions, as well as with new challenger banks and non-bank lenders. This competitive environment, combined with high levels of regulatory oversight and persistently low interest rates over the last several years, can make executing and delivering favorable financial results difficult for financial institutions. Furthermore, technologies like social media, mobile and online commerce are challenging financial institutions to engage with clients and employees more efficiently, intelligently and transparently through new channels. In response to these challenges, many financial institutions have embarked on digital transformations, investing in technology to make their operations more client focused, automated and agile. The most forward-thinking financial institutions are going a step further by adopting modern predictive analytics and AI/ML to become more truly data-driven organizations.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Institution Clients Increasingly Demand a Seamless, Modern and Transparent Experience</w:t>
      </w:r>
    </w:p>
    <w:p>
      <w:pPr>
        <w:spacing w:after="0" w:line="225" w:lineRule="exact"/>
        <w:rPr>
          <w:sz w:val="20"/>
          <w:szCs w:val="20"/>
          <w:color w:val="auto"/>
        </w:rPr>
      </w:pPr>
    </w:p>
    <w:p>
      <w:pPr>
        <w:jc w:val="both"/>
        <w:ind w:left="340" w:right="60" w:firstLine="844"/>
        <w:spacing w:after="0" w:line="268" w:lineRule="auto"/>
        <w:rPr>
          <w:sz w:val="20"/>
          <w:szCs w:val="20"/>
          <w:color w:val="auto"/>
        </w:rPr>
      </w:pPr>
      <w:r>
        <w:rPr>
          <w:rFonts w:ascii="Times New Roman" w:cs="Times New Roman" w:eastAsia="Times New Roman" w:hAnsi="Times New Roman"/>
          <w:sz w:val="17"/>
          <w:szCs w:val="17"/>
          <w:color w:val="auto"/>
        </w:rPr>
        <w:t>Evolving client expectations are driving the need for change across financial services. Today, a typical client expects to interact with a financial institution in a myriad of ways, from visiting a branch to logging in remotely from a variety of devices. These clients increasingly value a consistent and seamless experience across these diverse channels. According to a 2019 PricewaterhouseCoopers (“PwC”) survey, there has been a 21% increase since 2015 in consumers who use financial institutions that place more importance on experiential factors than interest rates.</w:t>
      </w:r>
    </w:p>
    <w:p>
      <w:pPr>
        <w:spacing w:after="0" w:line="2" w:lineRule="exact"/>
        <w:rPr>
          <w:sz w:val="20"/>
          <w:szCs w:val="20"/>
          <w:color w:val="auto"/>
        </w:rPr>
      </w:pPr>
    </w:p>
    <w:p>
      <w:pPr>
        <w:ind w:left="340" w:right="200"/>
        <w:spacing w:after="0" w:line="268" w:lineRule="auto"/>
        <w:rPr>
          <w:sz w:val="20"/>
          <w:szCs w:val="20"/>
          <w:color w:val="auto"/>
        </w:rPr>
      </w:pPr>
      <w:r>
        <w:rPr>
          <w:rFonts w:ascii="Times New Roman" w:cs="Times New Roman" w:eastAsia="Times New Roman" w:hAnsi="Times New Roman"/>
          <w:sz w:val="17"/>
          <w:szCs w:val="17"/>
          <w:color w:val="auto"/>
        </w:rPr>
        <w:t>Additionally, this survey notes that 35% of clients choose their financial institution based on ease of use and client service. Financial institutions, which have historically required clients to adapt to the institution’s operating structure, must increasingly adapt their operating structures to the needs of their clients. This transformation requires a flexible, scalable, agile and secure technology platform. According to a 2018 Accenture survey, 74% of bank operation leaders say that client experience is their top strategic priority, yet 69% believe they are not optimizing their data and capabilities to improve the client journey, with legacy environments most frequently cited as the greatest barrier to change.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320" w:top="454" w:right="6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059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34200" cy="6059170"/>
                    </a:xfrm>
                    <a:prstGeom prst="rect">
                      <a:avLst/>
                    </a:prstGeom>
                    <a:noFill/>
                  </pic:spPr>
                </pic:pic>
              </a:graphicData>
            </a:graphic>
          </wp:anchor>
        </w:drawing>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Digital Transformation is Driving Financial Institution Technology Spend Even Higher</w:t>
      </w:r>
    </w:p>
    <w:p>
      <w:pPr>
        <w:spacing w:after="0" w:line="225" w:lineRule="exact"/>
        <w:rPr>
          <w:sz w:val="20"/>
          <w:szCs w:val="20"/>
          <w:color w:val="auto"/>
        </w:rPr>
      </w:pPr>
    </w:p>
    <w:p>
      <w:pPr>
        <w:ind w:left="340" w:right="40" w:firstLine="844"/>
        <w:spacing w:after="0" w:line="252" w:lineRule="auto"/>
        <w:rPr>
          <w:sz w:val="20"/>
          <w:szCs w:val="20"/>
          <w:color w:val="auto"/>
        </w:rPr>
      </w:pPr>
      <w:r>
        <w:rPr>
          <w:rFonts w:ascii="Times New Roman" w:cs="Times New Roman" w:eastAsia="Times New Roman" w:hAnsi="Times New Roman"/>
          <w:sz w:val="18"/>
          <w:szCs w:val="18"/>
          <w:color w:val="auto"/>
        </w:rPr>
        <w:t>Financial institutions spend more on technology than any other industry and digital transformation is expected to accelerate this trend. According to a 2018 EY survey, 85% of banks are currently undertaking digital transformations to modernize their businesses and 60% of banks planned to increase their technology budgets by at least 10% over the next 12 months. While cloud computing is a key enabler of digital transformation, financial institutions have historically been slow to adopt cloud computing out of concerns over stability, security and control. As a result, financial institutions are generally in the early stages of their transition to the cloud, and accessing a highly reliable and secure platform for 24/7/365 “anywhere” operations is becoming increasingly important. In the 2018 EY survey, 60% to 80% of global banks said they planned to increase investment in cloud technology over the next three years. Additionally, according to a 2018 Celent report, financial services firms are expected to progressively abandon private data centers and triple the amount of data they upload to the cloud over the next three years.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Institutions Face Increased Regulatory Scrutiny</w:t>
      </w:r>
    </w:p>
    <w:p>
      <w:pPr>
        <w:spacing w:after="0" w:line="225" w:lineRule="exact"/>
        <w:rPr>
          <w:sz w:val="20"/>
          <w:szCs w:val="20"/>
          <w:color w:val="auto"/>
        </w:rPr>
      </w:pPr>
    </w:p>
    <w:p>
      <w:pPr>
        <w:ind w:left="340" w:firstLine="844"/>
        <w:spacing w:after="0" w:line="252" w:lineRule="auto"/>
        <w:rPr>
          <w:sz w:val="20"/>
          <w:szCs w:val="20"/>
          <w:color w:val="auto"/>
        </w:rPr>
      </w:pPr>
      <w:r>
        <w:rPr>
          <w:rFonts w:ascii="Times New Roman" w:cs="Times New Roman" w:eastAsia="Times New Roman" w:hAnsi="Times New Roman"/>
          <w:sz w:val="18"/>
          <w:szCs w:val="18"/>
          <w:color w:val="auto"/>
        </w:rPr>
        <w:t>Financial institutions are facing ever increasing regulatory requirements. The Dodd-Frank Wall Street Reform and Consumer Protection Act, the Basel capital requirement standards and the Current Expected Credit Loss (“CECL”) accounting standard have imposed stringent regulations pertaining to capital and leverage ratios and how financial institutions are required to estimate allowances for credit losses. Additionally, increased privacy regulations, such as the European Union’s General Data Protection Regulation (“GDPR”) and the California Consumer Privacy Act (“CCPA”), have imposed tougher data protection requirements. According to a Thomson Reuters report, compliance costs for financial institutions have increased 13% year over year since 2017 and the cost of non-compliance can be material. The overhang of this and other regulation is driving increased demand for technology solutions to help financial institutions standardize processes, enhance visibility, ease the burden of regulatory exams and ultimately reduce compliance costs.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Shift to Automation and Data-Driven Banking</w:t>
      </w:r>
    </w:p>
    <w:p>
      <w:pPr>
        <w:spacing w:after="0" w:line="225" w:lineRule="exact"/>
        <w:rPr>
          <w:sz w:val="20"/>
          <w:szCs w:val="20"/>
          <w:color w:val="auto"/>
        </w:rPr>
      </w:pPr>
    </w:p>
    <w:p>
      <w:pPr>
        <w:ind w:left="340" w:right="680" w:firstLine="844"/>
        <w:spacing w:after="0" w:line="278" w:lineRule="auto"/>
        <w:rPr>
          <w:sz w:val="20"/>
          <w:szCs w:val="20"/>
          <w:color w:val="auto"/>
        </w:rPr>
      </w:pPr>
      <w:r>
        <w:rPr>
          <w:rFonts w:ascii="Times New Roman" w:cs="Times New Roman" w:eastAsia="Times New Roman" w:hAnsi="Times New Roman"/>
          <w:sz w:val="18"/>
          <w:szCs w:val="18"/>
          <w:color w:val="auto"/>
        </w:rPr>
        <w:t>To accelerate digital transformation, financial institutions are focusing their technology investments on automation, actionable intelligence, predictive analytics and AI/ML.</w:t>
      </w:r>
    </w:p>
    <w:p>
      <w:pPr>
        <w:spacing w:after="0" w:line="185" w:lineRule="exact"/>
        <w:rPr>
          <w:sz w:val="20"/>
          <w:szCs w:val="20"/>
          <w:color w:val="auto"/>
        </w:rPr>
      </w:pPr>
    </w:p>
    <w:p>
      <w:pPr>
        <w:jc w:val="both"/>
        <w:ind w:left="1580" w:right="100" w:hanging="296"/>
        <w:spacing w:after="0" w:line="288" w:lineRule="auto"/>
        <w:tabs>
          <w:tab w:leader="none" w:pos="1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Automation. </w:t>
      </w:r>
      <w:r>
        <w:rPr>
          <w:rFonts w:ascii="Times New Roman" w:cs="Times New Roman" w:eastAsia="Times New Roman" w:hAnsi="Times New Roman"/>
          <w:sz w:val="17"/>
          <w:szCs w:val="17"/>
          <w:color w:val="auto"/>
        </w:rPr>
        <w:t>Financial institutions are marrying digital technologies and data to modernize and automate what were traditionally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manual processes. The automation opportunity is an institution-wide mandate where dynamic data models are increasingly being used to monitor business processes and automate tasks and decisions to drive organizational efficiency, scalability and speed.</w:t>
      </w:r>
    </w:p>
    <w:p>
      <w:pPr>
        <w:spacing w:after="0" w:line="178" w:lineRule="exact"/>
        <w:rPr>
          <w:rFonts w:ascii="Times New Roman" w:cs="Times New Roman" w:eastAsia="Times New Roman" w:hAnsi="Times New Roman"/>
          <w:sz w:val="17"/>
          <w:szCs w:val="17"/>
          <w:color w:val="auto"/>
        </w:rPr>
      </w:pPr>
    </w:p>
    <w:p>
      <w:pPr>
        <w:ind w:left="1580" w:right="600" w:hanging="296"/>
        <w:spacing w:after="0" w:line="313" w:lineRule="auto"/>
        <w:tabs>
          <w:tab w:leader="none" w:pos="1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Actionable Intelligence. </w:t>
      </w:r>
      <w:r>
        <w:rPr>
          <w:rFonts w:ascii="Times New Roman" w:cs="Times New Roman" w:eastAsia="Times New Roman" w:hAnsi="Times New Roman"/>
          <w:sz w:val="17"/>
          <w:szCs w:val="17"/>
          <w:color w:val="auto"/>
        </w:rPr>
        <w:t>Actionable intelligence technology offers the ability to synthesize disparate data sets into unified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reportable information and provides a recommended course of action to make more informed real-time decisions.</w:t>
      </w:r>
    </w:p>
    <w:p>
      <w:pPr>
        <w:spacing w:after="0" w:line="158" w:lineRule="exact"/>
        <w:rPr>
          <w:rFonts w:ascii="Times New Roman" w:cs="Times New Roman" w:eastAsia="Times New Roman" w:hAnsi="Times New Roman"/>
          <w:sz w:val="17"/>
          <w:szCs w:val="17"/>
          <w:color w:val="auto"/>
        </w:rPr>
      </w:pPr>
    </w:p>
    <w:p>
      <w:pPr>
        <w:jc w:val="both"/>
        <w:ind w:left="1580" w:right="260" w:hanging="296"/>
        <w:spacing w:after="0" w:line="265" w:lineRule="auto"/>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Predictive Analytics. </w:t>
      </w:r>
      <w:r>
        <w:rPr>
          <w:rFonts w:ascii="Times New Roman" w:cs="Times New Roman" w:eastAsia="Times New Roman" w:hAnsi="Times New Roman"/>
          <w:sz w:val="18"/>
          <w:szCs w:val="18"/>
          <w:color w:val="auto"/>
        </w:rPr>
        <w:t>Predictive analytics use cases in financial services include predicting fraud, modeling risk, personalizing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predicting client lifetime value, segmenting clients, enabling recommendation engines, predicting loan defaults and improving client support. The financial and operational benefits of these use cases can be substantial.</w:t>
      </w:r>
    </w:p>
    <w:p>
      <w:pPr>
        <w:spacing w:after="0" w:line="197" w:lineRule="exact"/>
        <w:rPr>
          <w:rFonts w:ascii="Times New Roman" w:cs="Times New Roman" w:eastAsia="Times New Roman" w:hAnsi="Times New Roman"/>
          <w:sz w:val="18"/>
          <w:szCs w:val="18"/>
          <w:color w:val="auto"/>
        </w:rPr>
      </w:pPr>
    </w:p>
    <w:p>
      <w:pPr>
        <w:ind w:left="1580" w:right="20" w:hanging="296"/>
        <w:spacing w:after="0" w:line="259" w:lineRule="auto"/>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AI/ML. </w:t>
      </w:r>
      <w:r>
        <w:rPr>
          <w:rFonts w:ascii="Times New Roman" w:cs="Times New Roman" w:eastAsia="Times New Roman" w:hAnsi="Times New Roman"/>
          <w:sz w:val="18"/>
          <w:szCs w:val="18"/>
          <w:color w:val="auto"/>
        </w:rPr>
        <w:t>AI/ML can be used to continually improve operating results by, for example, modeling credit exposure and estimating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of a downturn on a financial institution’s portfolios. Other AI/ML use cases in financial services include streamlining credit decisions, preventing fraud and providing personalized services. According to a 2018 Accenture report, AI/ML will allow banks to save 20% to 25% across IT operations, infrastructure, maintenance and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320" w:top="454" w:right="6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532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4200" cy="5532755"/>
                    </a:xfrm>
                    <a:prstGeom prst="rect">
                      <a:avLst/>
                    </a:prstGeom>
                    <a:noFill/>
                  </pic:spPr>
                </pic:pic>
              </a:graphicData>
            </a:graphic>
          </wp:anchor>
        </w:drawing>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Benefits of the nCino Bank Operating System</w:t>
      </w:r>
    </w:p>
    <w:p>
      <w:pPr>
        <w:spacing w:after="0" w:line="225" w:lineRule="exact"/>
        <w:rPr>
          <w:sz w:val="20"/>
          <w:szCs w:val="20"/>
          <w:color w:val="auto"/>
        </w:rPr>
      </w:pPr>
    </w:p>
    <w:p>
      <w:pPr>
        <w:ind w:left="340" w:right="20" w:firstLine="844"/>
        <w:spacing w:after="0" w:line="255" w:lineRule="auto"/>
        <w:rPr>
          <w:sz w:val="20"/>
          <w:szCs w:val="20"/>
          <w:color w:val="auto"/>
        </w:rPr>
      </w:pPr>
      <w:r>
        <w:rPr>
          <w:rFonts w:ascii="Times New Roman" w:cs="Times New Roman" w:eastAsia="Times New Roman" w:hAnsi="Times New Roman"/>
          <w:sz w:val="18"/>
          <w:szCs w:val="18"/>
          <w:color w:val="auto"/>
        </w:rPr>
        <w:t>The nCino Bank Operating System is a single, multi-tenant cloud platform that digitizes client onboarding, loan origination and deposit account opening across commercial, small business and retail lines of business. Our solution streamlines employee, client and third-party interactions and drives increased profitability, efficiency, transparency and regulatory compliance across a financial institution. The nCino Bank Operating System was designed by bankers who understand how financial institutions operate and delivers a significant and measurable return on investment by enabling them to:</w:t>
      </w:r>
    </w:p>
    <w:p>
      <w:pPr>
        <w:spacing w:after="0" w:line="207" w:lineRule="exact"/>
        <w:rPr>
          <w:sz w:val="20"/>
          <w:szCs w:val="20"/>
          <w:color w:val="auto"/>
        </w:rPr>
      </w:pPr>
    </w:p>
    <w:p>
      <w:pPr>
        <w:ind w:left="1580" w:right="80" w:hanging="296"/>
        <w:spacing w:after="0" w:line="256" w:lineRule="auto"/>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Digitally Serve Their Clients Across Commercial, Small Business and Retail Lines of Business. </w:t>
      </w:r>
      <w:r>
        <w:rPr>
          <w:rFonts w:ascii="Times New Roman" w:cs="Times New Roman" w:eastAsia="Times New Roman" w:hAnsi="Times New Roman"/>
          <w:sz w:val="18"/>
          <w:szCs w:val="18"/>
          <w:color w:val="auto"/>
        </w:rPr>
        <w:t>The nCino Bank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delivers a seamless experience across devices, channels and products, enabling a unified digital relationship between a financial institution, its employees, clients and third parties, such as appraisers, lawyers and regulators. This empowers financial institution employees to be more efficient and effective, and enhance relationships with their clients. Additionally, because nCino is cloud native, these employees are able to work from the office or remotely 24/7/365.</w:t>
      </w:r>
    </w:p>
    <w:p>
      <w:pPr>
        <w:spacing w:after="0" w:line="206" w:lineRule="exact"/>
        <w:rPr>
          <w:rFonts w:ascii="Times New Roman" w:cs="Times New Roman" w:eastAsia="Times New Roman" w:hAnsi="Times New Roman"/>
          <w:sz w:val="18"/>
          <w:szCs w:val="18"/>
          <w:color w:val="auto"/>
        </w:rPr>
      </w:pPr>
    </w:p>
    <w:p>
      <w:pPr>
        <w:ind w:left="1580" w:hanging="296"/>
        <w:spacing w:after="0" w:line="255" w:lineRule="auto"/>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Improve Financial Results. </w:t>
      </w:r>
      <w:r>
        <w:rPr>
          <w:rFonts w:ascii="Times New Roman" w:cs="Times New Roman" w:eastAsia="Times New Roman" w:hAnsi="Times New Roman"/>
          <w:sz w:val="18"/>
          <w:szCs w:val="18"/>
          <w:color w:val="auto"/>
        </w:rPr>
        <w:t>Our customers leverage nCino’s capabilities to drive revenue growth by digitally expanding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brand presence and reach, increasing access and convenience for their employees and clients, delivering new products to grow client wallet share, and improving client satisfaction and retention. Our SaaS platform can reduce total cost of ownership by eliminating redundant legacy systems and simplifying our customers’ internal information technology landscape. The nCino Bank Operating System increases transparency at all organizational levels across lines of business, enabling our customers to measure their operations and performance more effectively.</w:t>
      </w:r>
    </w:p>
    <w:p>
      <w:pPr>
        <w:spacing w:after="0" w:line="205" w:lineRule="exact"/>
        <w:rPr>
          <w:rFonts w:ascii="Times New Roman" w:cs="Times New Roman" w:eastAsia="Times New Roman" w:hAnsi="Times New Roman"/>
          <w:sz w:val="18"/>
          <w:szCs w:val="18"/>
          <w:color w:val="auto"/>
        </w:rPr>
      </w:pPr>
    </w:p>
    <w:p>
      <w:pPr>
        <w:ind w:left="1580" w:hanging="296"/>
        <w:spacing w:after="0" w:line="259" w:lineRule="auto"/>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Operate More Efficiently. </w:t>
      </w:r>
      <w:r>
        <w:rPr>
          <w:rFonts w:ascii="Times New Roman" w:cs="Times New Roman" w:eastAsia="Times New Roman" w:hAnsi="Times New Roman"/>
          <w:sz w:val="18"/>
          <w:szCs w:val="18"/>
          <w:color w:val="auto"/>
        </w:rPr>
        <w:t>Utilizing the nCino Bank Operating System’s automation, workflow and digitization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allows financial institutions and their employees to focus on value-add work, reduce time spent on clearing exceptions, reduce duplicative data entry and data rekeying, help eliminate manual processes, decrease the use of paper files and accelerate document collection.</w:t>
      </w:r>
    </w:p>
    <w:p>
      <w:pPr>
        <w:spacing w:after="0" w:line="203" w:lineRule="exact"/>
        <w:rPr>
          <w:rFonts w:ascii="Times New Roman" w:cs="Times New Roman" w:eastAsia="Times New Roman" w:hAnsi="Times New Roman"/>
          <w:sz w:val="18"/>
          <w:szCs w:val="18"/>
          <w:color w:val="auto"/>
        </w:rPr>
      </w:pPr>
    </w:p>
    <w:p>
      <w:pPr>
        <w:ind w:left="1580" w:right="100" w:hanging="296"/>
        <w:spacing w:after="0" w:line="256" w:lineRule="auto"/>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Manage Risk and Compliance More Effectively. </w:t>
      </w:r>
      <w:r>
        <w:rPr>
          <w:rFonts w:ascii="Times New Roman" w:cs="Times New Roman" w:eastAsia="Times New Roman" w:hAnsi="Times New Roman"/>
          <w:sz w:val="18"/>
          <w:szCs w:val="18"/>
          <w:color w:val="auto"/>
        </w:rPr>
        <w:t>The nCino Bank Operating System helps financial institutions reduce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regulatory, credit and operational risk through workflow and automation, data reporting, standardized risk rating calculations and financial modeling. For example, the content management, automated workflow and digital audit trail and snapshot functionality within the nCino Bank Operating System helps our customers more effectively and efficiently prepare for regulatory examinations.</w:t>
      </w:r>
    </w:p>
    <w:p>
      <w:pPr>
        <w:spacing w:after="0" w:line="206" w:lineRule="exact"/>
        <w:rPr>
          <w:rFonts w:ascii="Times New Roman" w:cs="Times New Roman" w:eastAsia="Times New Roman" w:hAnsi="Times New Roman"/>
          <w:sz w:val="18"/>
          <w:szCs w:val="18"/>
          <w:color w:val="auto"/>
        </w:rPr>
      </w:pPr>
    </w:p>
    <w:p>
      <w:pPr>
        <w:ind w:left="1580" w:right="140" w:hanging="296"/>
        <w:spacing w:after="0" w:line="255" w:lineRule="auto"/>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 a Data, Audit and Business Intelligence Hub</w:t>
      </w:r>
      <w:r>
        <w:rPr>
          <w:rFonts w:ascii="Times New Roman" w:cs="Times New Roman" w:eastAsia="Times New Roman" w:hAnsi="Times New Roman"/>
          <w:sz w:val="18"/>
          <w:szCs w:val="18"/>
          <w:color w:val="auto"/>
        </w:rPr>
        <w:t>. With an open application program interface (“API”)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framework and integrations with third-party data sources, financial institutions can use the nCino Bank Operating System to augment their client and operational data and create a paperless centralized data hub that enhances data-driven decision-making. This centralized hub enables data to be more easily accessed, modeled and analyzed to help deliver greater operational, portfolio and financial intelligence, a more complete client view, improved compliance monitoring and metrics, as well as the opportunity to more successfully leverage AI/ML.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320" w:top="454" w:right="6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685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34200" cy="5685790"/>
                    </a:xfrm>
                    <a:prstGeom prst="rect">
                      <a:avLst/>
                    </a:prstGeom>
                    <a:noFill/>
                  </pic:spPr>
                </pic:pic>
              </a:graphicData>
            </a:graphic>
          </wp:anchor>
        </w:drawing>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225" w:lineRule="exact"/>
        <w:rPr>
          <w:sz w:val="20"/>
          <w:szCs w:val="20"/>
          <w:color w:val="auto"/>
        </w:rPr>
      </w:pPr>
    </w:p>
    <w:p>
      <w:pPr>
        <w:ind w:left="340" w:right="120" w:firstLine="844"/>
        <w:spacing w:after="0" w:line="278" w:lineRule="auto"/>
        <w:rPr>
          <w:sz w:val="20"/>
          <w:szCs w:val="20"/>
          <w:color w:val="auto"/>
        </w:rPr>
      </w:pPr>
      <w:r>
        <w:rPr>
          <w:rFonts w:ascii="Times New Roman" w:cs="Times New Roman" w:eastAsia="Times New Roman" w:hAnsi="Times New Roman"/>
          <w:sz w:val="18"/>
          <w:szCs w:val="18"/>
          <w:color w:val="auto"/>
        </w:rPr>
        <w:t>We believe our position as a leading global provider of cloud banking software for financial institutions is built on a foundation of the following strengths:</w:t>
      </w:r>
    </w:p>
    <w:p>
      <w:pPr>
        <w:spacing w:after="0" w:line="185" w:lineRule="exact"/>
        <w:rPr>
          <w:sz w:val="20"/>
          <w:szCs w:val="20"/>
          <w:color w:val="auto"/>
        </w:rPr>
      </w:pPr>
    </w:p>
    <w:p>
      <w:pPr>
        <w:ind w:left="1580" w:right="280" w:hanging="296"/>
        <w:spacing w:after="0" w:line="259" w:lineRule="auto"/>
        <w:tabs>
          <w:tab w:leader="none" w:pos="1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Built by Bankers for Bankers. </w:t>
      </w:r>
      <w:r>
        <w:rPr>
          <w:rFonts w:ascii="Times New Roman" w:cs="Times New Roman" w:eastAsia="Times New Roman" w:hAnsi="Times New Roman"/>
          <w:sz w:val="18"/>
          <w:szCs w:val="18"/>
          <w:color w:val="auto"/>
        </w:rPr>
        <w:t>Our company was started by banking professionals who recognized the need for a single cloud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to address the endemic challenges faced by financial institutions. This heritage is the foundation of our deep banking domain expertise, which differentiates us and continues to drive our strategy to design software that addresses the unique challenges of our financial institution customers globally.</w:t>
      </w:r>
    </w:p>
    <w:p>
      <w:pPr>
        <w:spacing w:after="0" w:line="203" w:lineRule="exact"/>
        <w:rPr>
          <w:rFonts w:ascii="Times New Roman" w:cs="Times New Roman" w:eastAsia="Times New Roman" w:hAnsi="Times New Roman"/>
          <w:sz w:val="18"/>
          <w:szCs w:val="18"/>
          <w:color w:val="auto"/>
        </w:rPr>
      </w:pPr>
    </w:p>
    <w:p>
      <w:pPr>
        <w:ind w:left="1580" w:right="80" w:hanging="296"/>
        <w:spacing w:after="0" w:line="259" w:lineRule="auto"/>
        <w:tabs>
          <w:tab w:leader="none" w:pos="1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Cloud Banking Technology Pioneer and Market Leader. </w:t>
      </w:r>
      <w:r>
        <w:rPr>
          <w:rFonts w:ascii="Times New Roman" w:cs="Times New Roman" w:eastAsia="Times New Roman" w:hAnsi="Times New Roman"/>
          <w:sz w:val="18"/>
          <w:szCs w:val="18"/>
          <w:color w:val="auto"/>
        </w:rPr>
        <w:t>The nCino Bank Operating System was developed from inception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native cloud application and we believe our over eight year track record of technology innovation in digitally transforming financial institutions distinguishes us in the market. As a first mover in this sector, we have developed trusted relationships and a reputation for successfully implementing our solution with financial institutions of all sizes in multiple geographies.</w:t>
      </w:r>
    </w:p>
    <w:p>
      <w:pPr>
        <w:spacing w:after="0" w:line="203" w:lineRule="exact"/>
        <w:rPr>
          <w:rFonts w:ascii="Times New Roman" w:cs="Times New Roman" w:eastAsia="Times New Roman" w:hAnsi="Times New Roman"/>
          <w:sz w:val="18"/>
          <w:szCs w:val="18"/>
          <w:color w:val="auto"/>
        </w:rPr>
      </w:pPr>
    </w:p>
    <w:p>
      <w:pPr>
        <w:ind w:left="1580" w:hanging="296"/>
        <w:spacing w:after="0" w:line="259" w:lineRule="auto"/>
        <w:tabs>
          <w:tab w:leader="none" w:pos="1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Single SaaS Platform. </w:t>
      </w:r>
      <w:r>
        <w:rPr>
          <w:rFonts w:ascii="Times New Roman" w:cs="Times New Roman" w:eastAsia="Times New Roman" w:hAnsi="Times New Roman"/>
          <w:sz w:val="18"/>
          <w:szCs w:val="18"/>
          <w:color w:val="auto"/>
        </w:rPr>
        <w:t>We deliver a single SaaS platform that spans business lines and replaces point and other legacy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for client onboarding, loan origination and deposit account opening. This approach allows financial institutions to leverage common data sets and workflow across lines of business, providing a consistent and engaging digital experience for employees and clients and a more comprehensive view of client relationships.</w:t>
      </w:r>
    </w:p>
    <w:p>
      <w:pPr>
        <w:spacing w:after="0" w:line="203" w:lineRule="exact"/>
        <w:rPr>
          <w:rFonts w:ascii="Times New Roman" w:cs="Times New Roman" w:eastAsia="Times New Roman" w:hAnsi="Times New Roman"/>
          <w:sz w:val="18"/>
          <w:szCs w:val="18"/>
          <w:color w:val="auto"/>
        </w:rPr>
      </w:pPr>
    </w:p>
    <w:p>
      <w:pPr>
        <w:jc w:val="both"/>
        <w:ind w:left="1580" w:hanging="296"/>
        <w:spacing w:after="0" w:line="259" w:lineRule="auto"/>
        <w:tabs>
          <w:tab w:leader="none" w:pos="1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Measurable Return on Investment. </w:t>
      </w:r>
      <w:r>
        <w:rPr>
          <w:rFonts w:ascii="Times New Roman" w:cs="Times New Roman" w:eastAsia="Times New Roman" w:hAnsi="Times New Roman"/>
          <w:sz w:val="18"/>
          <w:szCs w:val="18"/>
          <w:color w:val="auto"/>
        </w:rPr>
        <w:t>The nCino Bank Operating System provides quantifiable results for our customers,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client growth and retention, loan volume and efficiency and reduced loan closing times, policy exceptions and operating costs. Our solution empowers our customers with data driven, real-time insights into their business performance, enabling them to better measure and manage their operations.</w:t>
      </w:r>
    </w:p>
    <w:p>
      <w:pPr>
        <w:spacing w:after="0" w:line="203" w:lineRule="exact"/>
        <w:rPr>
          <w:rFonts w:ascii="Times New Roman" w:cs="Times New Roman" w:eastAsia="Times New Roman" w:hAnsi="Times New Roman"/>
          <w:sz w:val="18"/>
          <w:szCs w:val="18"/>
          <w:color w:val="auto"/>
        </w:rPr>
      </w:pPr>
    </w:p>
    <w:p>
      <w:pPr>
        <w:ind w:left="1580" w:hanging="296"/>
        <w:spacing w:after="0" w:line="256" w:lineRule="auto"/>
        <w:tabs>
          <w:tab w:leader="none" w:pos="1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Empowering the Intelligent Enterprise. </w:t>
      </w:r>
      <w:r>
        <w:rPr>
          <w:rFonts w:ascii="Times New Roman" w:cs="Times New Roman" w:eastAsia="Times New Roman" w:hAnsi="Times New Roman"/>
          <w:sz w:val="18"/>
          <w:szCs w:val="18"/>
          <w:color w:val="auto"/>
        </w:rPr>
        <w:t>Through our nIQ applications, we leverage analytics and AI/ML to help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institutions become more predictive, personalized and proactive. nIQ automates data extraction and analysis, allowing our customers to focus on more value-add activities, and employs predictive analytics to, for example, assist in understanding risk and fair lending compliance. nIQ drives personalized experiences by embedding actionable information throughout the nCino Bank Operating System, which enables our customers to make more informed decisions in real time at the point of production.</w:t>
      </w:r>
    </w:p>
    <w:p>
      <w:pPr>
        <w:spacing w:after="0" w:line="206" w:lineRule="exact"/>
        <w:rPr>
          <w:rFonts w:ascii="Times New Roman" w:cs="Times New Roman" w:eastAsia="Times New Roman" w:hAnsi="Times New Roman"/>
          <w:sz w:val="18"/>
          <w:szCs w:val="18"/>
          <w:color w:val="auto"/>
        </w:rPr>
      </w:pPr>
    </w:p>
    <w:p>
      <w:pPr>
        <w:ind w:left="1580" w:hanging="296"/>
        <w:spacing w:after="0" w:line="253" w:lineRule="auto"/>
        <w:tabs>
          <w:tab w:leader="none" w:pos="1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Award-Winning Culture. </w:t>
      </w:r>
      <w:r>
        <w:rPr>
          <w:rFonts w:ascii="Times New Roman" w:cs="Times New Roman" w:eastAsia="Times New Roman" w:hAnsi="Times New Roman"/>
          <w:sz w:val="18"/>
          <w:szCs w:val="18"/>
          <w:color w:val="auto"/>
        </w:rPr>
        <w:t>We are in the business of fundamentally changing the way financial institutions operate. To transform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industry, we believe it is essential to have a company culture that not only empowers its employees to challenge the status quo, but also emboldens them to drive change and have a passion for customer success. For these reasons, we have built nCino with a cultural foundation based on our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awards, including being named the 2019 #1 Best Place to Work in Financial Technology by American Banker.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320" w:top="454" w:right="7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940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34200" cy="5940425"/>
                    </a:xfrm>
                    <a:prstGeom prst="rect">
                      <a:avLst/>
                    </a:prstGeom>
                    <a:noFill/>
                  </pic:spPr>
                </pic:pic>
              </a:graphicData>
            </a:graphic>
          </wp:anchor>
        </w:drawing>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How nCino Will Grow</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We intend to continue growing our business by executing on the following strategies:</w:t>
      </w:r>
    </w:p>
    <w:p>
      <w:pPr>
        <w:spacing w:after="0" w:line="244" w:lineRule="exact"/>
        <w:rPr>
          <w:sz w:val="20"/>
          <w:szCs w:val="20"/>
          <w:color w:val="auto"/>
        </w:rPr>
      </w:pPr>
    </w:p>
    <w:p>
      <w:pPr>
        <w:jc w:val="both"/>
        <w:ind w:left="1580" w:right="140" w:hanging="296"/>
        <w:spacing w:after="0" w:line="256" w:lineRule="auto"/>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Within and Across our Existing Customers. </w:t>
      </w:r>
      <w:r>
        <w:rPr>
          <w:rFonts w:ascii="Times New Roman" w:cs="Times New Roman" w:eastAsia="Times New Roman" w:hAnsi="Times New Roman"/>
          <w:sz w:val="18"/>
          <w:szCs w:val="18"/>
          <w:color w:val="auto"/>
        </w:rPr>
        <w:t>We believe there is a significant opportunity to further expand within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customer base both vertically within business lines and horizontally across business lines. As an example, we formally launched our solution in retail lending in May 2018 and, as of August 31, 2020, we had 40 customers contracted to use both our commercial and retail loan origination applications. Our revenues from existing customers continue to grow as additional users are added, creating strong customer cohort dynamics.</w:t>
      </w:r>
    </w:p>
    <w:p>
      <w:pPr>
        <w:spacing w:after="0" w:line="206" w:lineRule="exact"/>
        <w:rPr>
          <w:rFonts w:ascii="Times New Roman" w:cs="Times New Roman" w:eastAsia="Times New Roman" w:hAnsi="Times New Roman"/>
          <w:sz w:val="18"/>
          <w:szCs w:val="18"/>
          <w:color w:val="auto"/>
        </w:rPr>
      </w:pPr>
    </w:p>
    <w:p>
      <w:pPr>
        <w:ind w:left="1580" w:hanging="296"/>
        <w:spacing w:after="0" w:line="253" w:lineRule="auto"/>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Customer Base. </w:t>
      </w:r>
      <w:r>
        <w:rPr>
          <w:rFonts w:ascii="Times New Roman" w:cs="Times New Roman" w:eastAsia="Times New Roman" w:hAnsi="Times New Roman"/>
          <w:sz w:val="18"/>
          <w:szCs w:val="18"/>
          <w:color w:val="auto"/>
        </w:rPr>
        <w:t>We believe the global market for cloud banking is large and underserved. With banks and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unions needing to replace legacy point products with more efficient technology and banking services continuing to shift to digital, we believe there is a significant opportunity to deliver our solution and expand our customer base to financial institutions of all sizes and complexities around the world. Currently deployed in 10 countries, we have made significant investments to expand our presence in Europe, the Middle East and Africa (“EMEA”) and APAC, and our solution can currently support over 120 languages and over 140 currencies. We promote sales in North America out of our offices in the United States and Canada, in APAC out of our offices in Australia and Japan, and in EMEA out of our office in the United Kingdom (“UK”). For fiscal 2020, revenues generated in countries outside the United States were 8.0% of our total revenues.</w:t>
      </w:r>
    </w:p>
    <w:p>
      <w:pPr>
        <w:spacing w:after="0" w:line="207" w:lineRule="exact"/>
        <w:rPr>
          <w:rFonts w:ascii="Times New Roman" w:cs="Times New Roman" w:eastAsia="Times New Roman" w:hAnsi="Times New Roman"/>
          <w:sz w:val="18"/>
          <w:szCs w:val="18"/>
          <w:color w:val="auto"/>
        </w:rPr>
      </w:pPr>
    </w:p>
    <w:p>
      <w:pPr>
        <w:ind w:left="1580" w:hanging="296"/>
        <w:spacing w:after="0" w:line="253" w:lineRule="auto"/>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Strengthening and Extending our Product Functionality. </w:t>
      </w:r>
      <w:r>
        <w:rPr>
          <w:rFonts w:ascii="Times New Roman" w:cs="Times New Roman" w:eastAsia="Times New Roman" w:hAnsi="Times New Roman"/>
          <w:sz w:val="18"/>
          <w:szCs w:val="18"/>
          <w:color w:val="auto"/>
        </w:rPr>
        <w:t>We plan to extend the depth and breadth of the nCino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System’s client onboarding, loan origination and deposit account opening functionality across lines of business, while further enhancing its international capabilities. Additionally, we plan to continue to develop our portfolio analytics and credit modeling capabilities as well as our AI/ML capabilities through automation, predictive analytics, digital assistant services and data source integration. These innovations will further reduce the human resources required for routine but time-consuming tasks, allowing our customers’ employees the ability to spend more time on value creating activities. By continuing to expand the functionality of the nCino Bank Operating System, we can further help our customers improve financial results, operate more efficiently, manage risk and compliance more effectively, and establish a data, audit and business intelligence hub.</w:t>
      </w:r>
    </w:p>
    <w:p>
      <w:pPr>
        <w:spacing w:after="0" w:line="207" w:lineRule="exact"/>
        <w:rPr>
          <w:rFonts w:ascii="Times New Roman" w:cs="Times New Roman" w:eastAsia="Times New Roman" w:hAnsi="Times New Roman"/>
          <w:sz w:val="18"/>
          <w:szCs w:val="18"/>
          <w:color w:val="auto"/>
        </w:rPr>
      </w:pPr>
    </w:p>
    <w:p>
      <w:pPr>
        <w:ind w:left="1580" w:right="20" w:hanging="296"/>
        <w:spacing w:after="0" w:line="253" w:lineRule="auto"/>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Foster and Grow our SI and Technology Ecosystem. </w:t>
      </w:r>
      <w:r>
        <w:rPr>
          <w:rFonts w:ascii="Times New Roman" w:cs="Times New Roman" w:eastAsia="Times New Roman" w:hAnsi="Times New Roman"/>
          <w:sz w:val="18"/>
          <w:szCs w:val="18"/>
          <w:color w:val="auto"/>
        </w:rPr>
        <w:t>We have developed strong relationships with a number of leading 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Accenture, Deloitte, PwC and West Monroe Partners, that increase our capacity to onboard new customers and implement the nCino Bank Operating System, extend our global reach and drive increased market awareness of our company and solution. To date, over 1,500 SI consultants have completed our training program to implement the nCino Bank Operating System. Through the open architecture of the nCino Bank Operating System, an increasing number of third-party technology partners, including DocuSign, Equifax, Experian, TransUnion, IDology, LexisNexis, OneSpan and The Risk Management Association, are integrated with our solution.</w:t>
      </w:r>
    </w:p>
    <w:p>
      <w:pPr>
        <w:spacing w:after="0" w:line="211" w:lineRule="exact"/>
        <w:rPr>
          <w:rFonts w:ascii="Times New Roman" w:cs="Times New Roman" w:eastAsia="Times New Roman" w:hAnsi="Times New Roman"/>
          <w:sz w:val="18"/>
          <w:szCs w:val="18"/>
          <w:color w:val="auto"/>
        </w:rPr>
      </w:pPr>
    </w:p>
    <w:p>
      <w:pPr>
        <w:ind w:left="1580" w:right="40" w:hanging="296"/>
        <w:spacing w:after="0" w:line="256" w:lineRule="auto"/>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Selectively Pursue Strategic Transactions. </w:t>
      </w:r>
      <w:r>
        <w:rPr>
          <w:rFonts w:ascii="Times New Roman" w:cs="Times New Roman" w:eastAsia="Times New Roman" w:hAnsi="Times New Roman"/>
          <w:sz w:val="18"/>
          <w:szCs w:val="18"/>
          <w:color w:val="auto"/>
        </w:rPr>
        <w:t>In addition to developing our solution organically, we may selectively pursue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joint ventures or other strategic transactions. We expect these transactions to focus on innovation to help strengthen and expand the functionality and features of the nCino Bank Operating System and/or expand our global presence. For example, in fiscal 2020 we acquired Visible Equity and FinSuite as part of our strategy to build out our nIQ capabilities and we established our nCino K.K. joint venture to facilitate our entry into the Japanese market.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40"/>
          </w:cols>
          <w:pgMar w:left="320" w:top="454" w:right="7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36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34200" cy="6365240"/>
                    </a:xfrm>
                    <a:prstGeom prst="rect">
                      <a:avLst/>
                    </a:prstGeom>
                    <a:noFill/>
                  </pic:spPr>
                </pic:pic>
              </a:graphicData>
            </a:graphic>
          </wp:anchor>
        </w:drawing>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Factors Summary</w:t>
      </w:r>
    </w:p>
    <w:p>
      <w:pPr>
        <w:spacing w:after="0" w:line="225" w:lineRule="exact"/>
        <w:rPr>
          <w:sz w:val="20"/>
          <w:szCs w:val="20"/>
          <w:color w:val="auto"/>
        </w:rPr>
      </w:pPr>
    </w:p>
    <w:p>
      <w:pPr>
        <w:ind w:left="340" w:firstLine="844"/>
        <w:spacing w:after="0" w:line="278"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immediately following this prospectus summary. These risks include the following:</w:t>
      </w:r>
    </w:p>
    <w:p>
      <w:pPr>
        <w:spacing w:after="0" w:line="189" w:lineRule="exact"/>
        <w:rPr>
          <w:sz w:val="20"/>
          <w:szCs w:val="20"/>
          <w:color w:val="auto"/>
        </w:rPr>
      </w:pPr>
    </w:p>
    <w:p>
      <w:pPr>
        <w:ind w:left="1580" w:right="180" w:hanging="296"/>
        <w:spacing w:after="0" w:line="278" w:lineRule="auto"/>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predict our future operating results, and we may not achieve our expected operating results in the future;</w:t>
      </w:r>
    </w:p>
    <w:p>
      <w:pPr>
        <w:spacing w:after="0" w:line="189" w:lineRule="exact"/>
        <w:rPr>
          <w:rFonts w:ascii="Times New Roman" w:cs="Times New Roman" w:eastAsia="Times New Roman" w:hAnsi="Times New Roman"/>
          <w:sz w:val="18"/>
          <w:szCs w:val="18"/>
          <w:color w:val="auto"/>
        </w:rPr>
      </w:pPr>
    </w:p>
    <w:p>
      <w:pPr>
        <w:ind w:left="1580" w:hanging="296"/>
        <w:spacing w:after="0"/>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sustain profitability in the future;</w:t>
      </w:r>
    </w:p>
    <w:p>
      <w:pPr>
        <w:spacing w:after="0" w:line="247" w:lineRule="exact"/>
        <w:rPr>
          <w:rFonts w:ascii="Times New Roman" w:cs="Times New Roman" w:eastAsia="Times New Roman" w:hAnsi="Times New Roman"/>
          <w:sz w:val="18"/>
          <w:szCs w:val="18"/>
          <w:color w:val="auto"/>
        </w:rPr>
      </w:pPr>
    </w:p>
    <w:p>
      <w:pPr>
        <w:ind w:left="1580" w:right="140" w:hanging="296"/>
        <w:spacing w:after="0" w:line="278" w:lineRule="auto"/>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or continue to broaden our existing customers’ use of our solution, our revenue growth will be adversely affected;</w:t>
      </w:r>
    </w:p>
    <w:p>
      <w:pPr>
        <w:spacing w:after="0" w:line="189" w:lineRule="exact"/>
        <w:rPr>
          <w:rFonts w:ascii="Times New Roman" w:cs="Times New Roman" w:eastAsia="Times New Roman" w:hAnsi="Times New Roman"/>
          <w:sz w:val="18"/>
          <w:szCs w:val="18"/>
          <w:color w:val="auto"/>
        </w:rPr>
      </w:pPr>
    </w:p>
    <w:p>
      <w:pPr>
        <w:ind w:left="1580" w:right="560" w:hanging="296"/>
        <w:spacing w:after="0" w:line="278" w:lineRule="auto"/>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for cloud-based banking technology develops more slowly than we expect or changes in a way that we fail to anticipate, our sales would suffer and our results of operations would be adversely affected;</w:t>
      </w:r>
    </w:p>
    <w:p>
      <w:pPr>
        <w:spacing w:after="0" w:line="189" w:lineRule="exact"/>
        <w:rPr>
          <w:rFonts w:ascii="Times New Roman" w:cs="Times New Roman" w:eastAsia="Times New Roman" w:hAnsi="Times New Roman"/>
          <w:sz w:val="18"/>
          <w:szCs w:val="18"/>
          <w:color w:val="auto"/>
        </w:rPr>
      </w:pPr>
    </w:p>
    <w:p>
      <w:pPr>
        <w:ind w:left="1580" w:hanging="296"/>
        <w:spacing w:after="0"/>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sustain our revenue growth rate in the future;</w:t>
      </w:r>
    </w:p>
    <w:p>
      <w:pPr>
        <w:spacing w:after="0" w:line="247" w:lineRule="exact"/>
        <w:rPr>
          <w:rFonts w:ascii="Times New Roman" w:cs="Times New Roman" w:eastAsia="Times New Roman" w:hAnsi="Times New Roman"/>
          <w:sz w:val="18"/>
          <w:szCs w:val="18"/>
          <w:color w:val="auto"/>
        </w:rPr>
      </w:pPr>
    </w:p>
    <w:p>
      <w:pPr>
        <w:ind w:left="1580" w:hanging="296"/>
        <w:spacing w:after="0"/>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may fluctuate significantly and may not fully reflect the underlying performance of our business;</w:t>
      </w:r>
    </w:p>
    <w:p>
      <w:pPr>
        <w:spacing w:after="0" w:line="247" w:lineRule="exact"/>
        <w:rPr>
          <w:rFonts w:ascii="Times New Roman" w:cs="Times New Roman" w:eastAsia="Times New Roman" w:hAnsi="Times New Roman"/>
          <w:sz w:val="18"/>
          <w:szCs w:val="18"/>
          <w:color w:val="auto"/>
        </w:rPr>
      </w:pPr>
    </w:p>
    <w:p>
      <w:pPr>
        <w:ind w:left="1580" w:right="160" w:hanging="296"/>
        <w:spacing w:after="0" w:line="278" w:lineRule="auto"/>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accurately predict the long-term rate of customer subscription renewals or adoption of our solution, or any resulting impact on our revenues or operating results;</w:t>
      </w:r>
    </w:p>
    <w:p>
      <w:pPr>
        <w:spacing w:after="0" w:line="189" w:lineRule="exact"/>
        <w:rPr>
          <w:rFonts w:ascii="Times New Roman" w:cs="Times New Roman" w:eastAsia="Times New Roman" w:hAnsi="Times New Roman"/>
          <w:sz w:val="18"/>
          <w:szCs w:val="18"/>
          <w:color w:val="auto"/>
        </w:rPr>
      </w:pPr>
    </w:p>
    <w:p>
      <w:pPr>
        <w:ind w:left="1580" w:right="40" w:hanging="296"/>
        <w:spacing w:after="0" w:line="278" w:lineRule="auto"/>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our security measures or those we rely on could result in unauthorized access to customer or their clients’ data, which may materially and adversely impact our reputation, business, financial condition and results of operations;</w:t>
      </w:r>
    </w:p>
    <w:p>
      <w:pPr>
        <w:spacing w:after="0" w:line="189" w:lineRule="exact"/>
        <w:rPr>
          <w:rFonts w:ascii="Times New Roman" w:cs="Times New Roman" w:eastAsia="Times New Roman" w:hAnsi="Times New Roman"/>
          <w:sz w:val="18"/>
          <w:szCs w:val="18"/>
          <w:color w:val="auto"/>
        </w:rPr>
      </w:pPr>
    </w:p>
    <w:p>
      <w:pPr>
        <w:ind w:left="1580" w:right="260" w:hanging="296"/>
        <w:spacing w:after="0" w:line="278" w:lineRule="auto"/>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 elements of the nCino Bank Operating System are built on the Salesforce Platform and we rely on our agreement with salesforce.com (“Salesforce”) to provide our solution to our customers;</w:t>
      </w:r>
    </w:p>
    <w:p>
      <w:pPr>
        <w:spacing w:after="0" w:line="189" w:lineRule="exact"/>
        <w:rPr>
          <w:rFonts w:ascii="Times New Roman" w:cs="Times New Roman" w:eastAsia="Times New Roman" w:hAnsi="Times New Roman"/>
          <w:sz w:val="18"/>
          <w:szCs w:val="18"/>
          <w:color w:val="auto"/>
        </w:rPr>
      </w:pPr>
    </w:p>
    <w:p>
      <w:pPr>
        <w:ind w:left="1580" w:right="120" w:hanging="296"/>
        <w:spacing w:after="0" w:line="278" w:lineRule="auto"/>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security concerns, data collection and transfer restrictions and related domestic or foreign regulations may limit the use and adoption of the nCino Bank Operating System and adversely affect our business and results of operations;</w:t>
      </w:r>
    </w:p>
    <w:p>
      <w:pPr>
        <w:spacing w:after="0" w:line="189" w:lineRule="exact"/>
        <w:rPr>
          <w:rFonts w:ascii="Times New Roman" w:cs="Times New Roman" w:eastAsia="Times New Roman" w:hAnsi="Times New Roman"/>
          <w:sz w:val="18"/>
          <w:szCs w:val="18"/>
          <w:color w:val="auto"/>
        </w:rPr>
      </w:pPr>
    </w:p>
    <w:p>
      <w:pPr>
        <w:ind w:left="1580" w:right="160" w:hanging="296"/>
        <w:spacing w:after="0" w:line="278" w:lineRule="auto"/>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weakened economic conditions, including as a result of the recent novel coronavirus (“COVID-19”) outbreak, may adversely affect our industry, business and results of operations;</w:t>
      </w:r>
    </w:p>
    <w:p>
      <w:pPr>
        <w:spacing w:after="0" w:line="189" w:lineRule="exact"/>
        <w:rPr>
          <w:rFonts w:ascii="Times New Roman" w:cs="Times New Roman" w:eastAsia="Times New Roman" w:hAnsi="Times New Roman"/>
          <w:sz w:val="18"/>
          <w:szCs w:val="18"/>
          <w:color w:val="auto"/>
        </w:rPr>
      </w:pPr>
    </w:p>
    <w:p>
      <w:pPr>
        <w:ind w:left="1580" w:right="500" w:hanging="296"/>
        <w:spacing w:after="0" w:line="278" w:lineRule="auto"/>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recognize subscription revenues over the term of the contract, downturns or upturns in our business may not be reflected in our results of operations until future periods;</w:t>
      </w:r>
    </w:p>
    <w:p>
      <w:pPr>
        <w:spacing w:after="0" w:line="189" w:lineRule="exact"/>
        <w:rPr>
          <w:rFonts w:ascii="Times New Roman" w:cs="Times New Roman" w:eastAsia="Times New Roman" w:hAnsi="Times New Roman"/>
          <w:sz w:val="18"/>
          <w:szCs w:val="18"/>
          <w:color w:val="auto"/>
        </w:rPr>
      </w:pPr>
    </w:p>
    <w:p>
      <w:pPr>
        <w:ind w:left="1580" w:right="480" w:hanging="296"/>
        <w:spacing w:after="0" w:line="278" w:lineRule="auto"/>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culture has contributed to our success, and if we cannot maintain it as we grow, we could lose the innovation, creativity and teamwork fostered by our culture, and our business may be adversely affected;</w:t>
      </w:r>
    </w:p>
    <w:p>
      <w:pPr>
        <w:spacing w:after="0" w:line="189" w:lineRule="exact"/>
        <w:rPr>
          <w:rFonts w:ascii="Times New Roman" w:cs="Times New Roman" w:eastAsia="Times New Roman" w:hAnsi="Times New Roman"/>
          <w:sz w:val="18"/>
          <w:szCs w:val="18"/>
          <w:color w:val="auto"/>
        </w:rPr>
      </w:pPr>
    </w:p>
    <w:p>
      <w:pPr>
        <w:ind w:left="1580" w:right="440" w:hanging="296"/>
        <w:spacing w:after="0" w:line="278" w:lineRule="auto"/>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all of our revenues from customers in the financial services industry, and any downturn or decrease in technology spend in the financial services industry could adversely affect our business;</w:t>
      </w:r>
    </w:p>
    <w:p>
      <w:pPr>
        <w:spacing w:after="0" w:line="200" w:lineRule="exact"/>
        <w:rPr>
          <w:sz w:val="20"/>
          <w:szCs w:val="20"/>
          <w:color w:val="auto"/>
        </w:rPr>
      </w:pPr>
    </w:p>
    <w:p>
      <w:pPr>
        <w:spacing w:after="0" w:line="3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320" w:top="454" w:right="6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736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4200" cy="5736590"/>
                    </a:xfrm>
                    <a:prstGeom prst="rect">
                      <a:avLst/>
                    </a:prstGeom>
                    <a:noFill/>
                  </pic:spPr>
                </pic:pic>
              </a:graphicData>
            </a:graphic>
          </wp:anchor>
        </w:drawing>
      </w:r>
    </w:p>
    <w:p>
      <w:pPr>
        <w:spacing w:after="0" w:line="302" w:lineRule="exact"/>
        <w:rPr>
          <w:sz w:val="20"/>
          <w:szCs w:val="20"/>
          <w:color w:val="auto"/>
        </w:rPr>
      </w:pPr>
    </w:p>
    <w:p>
      <w:pPr>
        <w:ind w:left="1580" w:right="160" w:hanging="296"/>
        <w:spacing w:after="0" w:line="278" w:lineRule="auto"/>
        <w:tabs>
          <w:tab w:leader="none" w:pos="1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intensely competitive and highly fragmented, and pricing pressure, new technologies or other competitive dynamics could adversely affect our business and results of operations; and</w:t>
      </w:r>
    </w:p>
    <w:p>
      <w:pPr>
        <w:spacing w:after="0" w:line="189" w:lineRule="exact"/>
        <w:rPr>
          <w:rFonts w:ascii="Times New Roman" w:cs="Times New Roman" w:eastAsia="Times New Roman" w:hAnsi="Times New Roman"/>
          <w:sz w:val="18"/>
          <w:szCs w:val="18"/>
          <w:color w:val="auto"/>
        </w:rPr>
      </w:pPr>
    </w:p>
    <w:p>
      <w:pPr>
        <w:ind w:left="1580" w:right="40" w:hanging="296"/>
        <w:spacing w:after="0" w:line="255" w:lineRule="auto"/>
        <w:tabs>
          <w:tab w:leader="none" w:pos="1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total number of shares of our common stock outstanding as of July 31, 2020, prior to the completion of this offering, entities affiliated with Insight Partners and Salesforce hold 41.7% and 11.8% of our total outstanding common stock, respectively, and as such, the influence of public stockholders over significant corporate actions is limited. In addition, we rely on Salesforce, our second largest stockholder, for the Salesforce Platform upon which the nCino Bank Operating System is built and for the operation of datacenters we use.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5" w:lineRule="exact"/>
        <w:rPr>
          <w:sz w:val="20"/>
          <w:szCs w:val="20"/>
          <w:color w:val="auto"/>
        </w:rPr>
      </w:pPr>
    </w:p>
    <w:p>
      <w:pPr>
        <w:jc w:val="both"/>
        <w:ind w:left="340" w:right="160" w:firstLine="844"/>
        <w:spacing w:after="0" w:line="258" w:lineRule="auto"/>
        <w:rPr>
          <w:sz w:val="20"/>
          <w:szCs w:val="20"/>
          <w:color w:val="auto"/>
        </w:rPr>
      </w:pPr>
      <w:r>
        <w:rPr>
          <w:rFonts w:ascii="Times New Roman" w:cs="Times New Roman" w:eastAsia="Times New Roman" w:hAnsi="Times New Roman"/>
          <w:sz w:val="18"/>
          <w:szCs w:val="18"/>
          <w:color w:val="auto"/>
        </w:rPr>
        <w:t>We were organized in the state of North Carolina in late 2011, and incorporated in Delaware in 2013. Our principal executive offices are located at 6770 Parker Farm Drive, Wilmington, North Carolina 28405, and our telephone number is (888) 676-2466. Our website address is www.ncino.com. Information contained on, or that can be accessed through, our website is not incorporated by reference into this prospectus, and you should not consider information on our website to be part of this prospectus.</w:t>
      </w:r>
    </w:p>
    <w:p>
      <w:pPr>
        <w:spacing w:after="0" w:line="180" w:lineRule="exact"/>
        <w:rPr>
          <w:sz w:val="20"/>
          <w:szCs w:val="20"/>
          <w:color w:val="auto"/>
        </w:rPr>
      </w:pPr>
    </w:p>
    <w:p>
      <w:pPr>
        <w:ind w:left="340" w:right="40" w:firstLine="844"/>
        <w:spacing w:after="0" w:line="258" w:lineRule="auto"/>
        <w:rPr>
          <w:sz w:val="20"/>
          <w:szCs w:val="20"/>
          <w:color w:val="auto"/>
        </w:rPr>
      </w:pPr>
      <w:r>
        <w:rPr>
          <w:rFonts w:ascii="Times New Roman" w:cs="Times New Roman" w:eastAsia="Times New Roman" w:hAnsi="Times New Roman"/>
          <w:sz w:val="18"/>
          <w:szCs w:val="18"/>
          <w:color w:val="auto"/>
        </w:rPr>
        <w:t xml:space="preserve">nCino and other trademarks or service marks of nCino, Inc. appearing in this prospectus are the property of nCino, Inc. This prospectus contains additional trade names, trademarks and service marks of others, which are the property of their respective owners. Solely for convenience, the trademarks, service marks, logos and trade names referred to in this prospectus are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symbols, but such references are not intended to indicate that we will not assert our rights in these trademarks, service marks and trade names.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5" w:lineRule="exact"/>
        <w:rPr>
          <w:sz w:val="20"/>
          <w:szCs w:val="20"/>
          <w:color w:val="auto"/>
        </w:rPr>
      </w:pPr>
    </w:p>
    <w:p>
      <w:pPr>
        <w:ind w:left="340" w:firstLine="84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of 2012 (“JOBS Act”). We may take advantage of certain exemptions from various public reporting requirements, including that our internal control over financial reporting be audited by our independent registered public accounting firm pursuant to Section 404 of the Sarbanes-Oxley Act of 2002 (the “Sarbanes-Oxley Act”). We have elected to use the extended transition period to enable us to comply with new or revised accounting standards that have different effective dates for public and private companies until the earlier of the date we (1) 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4" w:lineRule="exact"/>
        <w:rPr>
          <w:sz w:val="20"/>
          <w:szCs w:val="20"/>
          <w:color w:val="auto"/>
        </w:rPr>
      </w:pPr>
    </w:p>
    <w:p>
      <w:pPr>
        <w:jc w:val="both"/>
        <w:ind w:left="340" w:right="120" w:firstLine="844"/>
        <w:spacing w:after="0" w:line="255" w:lineRule="auto"/>
        <w:rPr>
          <w:sz w:val="20"/>
          <w:szCs w:val="20"/>
          <w:color w:val="auto"/>
        </w:rPr>
      </w:pPr>
      <w:r>
        <w:rPr>
          <w:rFonts w:ascii="Times New Roman" w:cs="Times New Roman" w:eastAsia="Times New Roman" w:hAnsi="Times New Roman"/>
          <w:sz w:val="18"/>
          <w:szCs w:val="18"/>
          <w:color w:val="auto"/>
        </w:rPr>
        <w:t>We intend to take advantage of the foregoing exemptions until we are no longer an emerging growth company. We will cease to be an emerging growth company upon the earliest of (1) January 31, 2026; (2) the last day of the fiscal year during which our annual gross revenues are $1.07 billion or more; (3) the date on which we have, during the previous three-year period, issued more than $1.0 billion in non-convertible debt securities or (4) the end of any fiscal year in which the market value of our common stock held by non-affiliates exceeded $700.0 million as of the end of the second quarter of that fiscal year.</w:t>
      </w:r>
    </w:p>
    <w:p>
      <w:pPr>
        <w:spacing w:after="0" w:line="184" w:lineRule="exact"/>
        <w:rPr>
          <w:sz w:val="20"/>
          <w:szCs w:val="20"/>
          <w:color w:val="auto"/>
        </w:rPr>
      </w:pPr>
    </w:p>
    <w:p>
      <w:pPr>
        <w:ind w:left="340" w:right="120" w:firstLine="844"/>
        <w:spacing w:after="0" w:line="263" w:lineRule="auto"/>
        <w:rPr>
          <w:sz w:val="20"/>
          <w:szCs w:val="20"/>
          <w:color w:val="auto"/>
        </w:rPr>
      </w:pPr>
      <w:r>
        <w:rPr>
          <w:rFonts w:ascii="Times New Roman" w:cs="Times New Roman" w:eastAsia="Times New Roman" w:hAnsi="Times New Roman"/>
          <w:sz w:val="18"/>
          <w:szCs w:val="18"/>
          <w:color w:val="auto"/>
        </w:rPr>
        <w:t>See the section titled “Risk Factors—Risks Relating to Ownership of Our Common Stock—We are an emerging growth company, and any decision on our part to comply only with certain reduced reporting and disclosure requirements applicable to emerging growth companies could make our common stock less attractive to investors”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320" w:top="454" w:right="6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w:t>
      </w:r>
    </w:p>
    <w:p>
      <w:pPr>
        <w:spacing w:after="0" w:line="4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7983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34200" cy="6798310"/>
                    </a:xfrm>
                    <a:prstGeom prst="rect">
                      <a:avLst/>
                    </a:prstGeom>
                    <a:noFill/>
                  </pic:spPr>
                </pic:pic>
              </a:graphicData>
            </a:graphic>
          </wp:anchor>
        </w:drawing>
      </w:r>
    </w:p>
    <w:p>
      <w:pPr>
        <w:spacing w:after="0" w:line="29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860"/>
          </w:cols>
          <w:pgMar w:left="320" w:top="454" w:right="719" w:bottom="1440" w:gutter="0" w:footer="0" w:header="0"/>
        </w:sectPr>
      </w:pP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0" w:lineRule="exact"/>
        <w:rPr>
          <w:sz w:val="20"/>
          <w:szCs w:val="20"/>
          <w:color w:val="auto"/>
        </w:rPr>
      </w:pPr>
    </w:p>
    <w:p>
      <w:pPr>
        <w:sectPr>
          <w:pgSz w:w="11900" w:h="16838" w:orient="portrait"/>
          <w:cols w:equalWidth="0" w:num="2">
            <w:col w:w="4200" w:space="720"/>
            <w:col w:w="5940"/>
          </w:cols>
          <w:pgMar w:left="320" w:top="454" w:right="719" w:bottom="1440" w:gutter="0" w:footer="0" w:header="0"/>
          <w:type w:val="continuous"/>
        </w:sectPr>
      </w:pPr>
    </w:p>
    <w:p>
      <w:pPr>
        <w:spacing w:after="0" w:line="61" w:lineRule="exact"/>
        <w:rPr>
          <w:sz w:val="20"/>
          <w:szCs w:val="20"/>
          <w:color w:val="auto"/>
        </w:rPr>
      </w:pPr>
    </w:p>
    <w:p>
      <w:pPr>
        <w:ind w:left="420" w:right="340" w:hanging="77"/>
        <w:spacing w:after="0" w:line="278" w:lineRule="auto"/>
        <w:rPr>
          <w:sz w:val="20"/>
          <w:szCs w:val="20"/>
          <w:color w:val="auto"/>
        </w:rPr>
      </w:pPr>
      <w:r>
        <w:rPr>
          <w:rFonts w:ascii="Times New Roman" w:cs="Times New Roman" w:eastAsia="Times New Roman" w:hAnsi="Times New Roman"/>
          <w:sz w:val="18"/>
          <w:szCs w:val="18"/>
          <w:color w:val="auto"/>
        </w:rPr>
        <w:t>Option to purchase additional shares from selling stockholders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472" w:lineRule="exact"/>
        <w:rPr>
          <w:sz w:val="20"/>
          <w:szCs w:val="20"/>
          <w:color w:val="auto"/>
        </w:rPr>
      </w:pPr>
    </w:p>
    <w:p>
      <w:pPr>
        <w:sectPr>
          <w:pgSz w:w="11900" w:h="16838" w:orient="portrait"/>
          <w:cols w:equalWidth="0" w:num="2">
            <w:col w:w="4200" w:space="720"/>
            <w:col w:w="5940"/>
          </w:cols>
          <w:pgMar w:left="320" w:top="454" w:right="719" w:bottom="1440" w:gutter="0" w:footer="0" w:header="0"/>
          <w:type w:val="continuous"/>
        </w:sectPr>
      </w:pP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300"/>
        <w:spacing w:after="0" w:line="285" w:lineRule="auto"/>
        <w:rPr>
          <w:sz w:val="20"/>
          <w:szCs w:val="20"/>
          <w:color w:val="auto"/>
        </w:rPr>
      </w:pPr>
      <w:r>
        <w:rPr>
          <w:rFonts w:ascii="Times New Roman" w:cs="Times New Roman" w:eastAsia="Times New Roman" w:hAnsi="Times New Roman"/>
          <w:sz w:val="17"/>
          <w:szCs w:val="17"/>
          <w:color w:val="auto"/>
        </w:rPr>
        <w:t>The selling stockholders will receive all of the proceeds from this offering. We will not receive any proceeds from the sale of the shares of common stock in this offering. For more information on our selling stockholders see “Principal and Selling Stockholders.”</w:t>
      </w:r>
    </w:p>
    <w:p>
      <w:pPr>
        <w:spacing w:after="0" w:line="186" w:lineRule="exact"/>
        <w:rPr>
          <w:sz w:val="20"/>
          <w:szCs w:val="20"/>
          <w:color w:val="auto"/>
        </w:rPr>
      </w:pPr>
    </w:p>
    <w:p>
      <w:pPr>
        <w:sectPr>
          <w:pgSz w:w="11900" w:h="16838" w:orient="portrait"/>
          <w:cols w:equalWidth="0" w:num="2">
            <w:col w:w="3620" w:space="720"/>
            <w:col w:w="6520"/>
          </w:cols>
          <w:pgMar w:left="320" w:top="454" w:right="71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“NCNO”</w:t>
      </w:r>
    </w:p>
    <w:p>
      <w:pPr>
        <w:spacing w:after="0" w:line="200" w:lineRule="exact"/>
        <w:rPr>
          <w:sz w:val="20"/>
          <w:szCs w:val="20"/>
          <w:color w:val="auto"/>
        </w:rPr>
      </w:pPr>
    </w:p>
    <w:p>
      <w:pPr>
        <w:sectPr>
          <w:pgSz w:w="11900" w:h="16838" w:orient="portrait"/>
          <w:cols w:equalWidth="0" w:num="2">
            <w:col w:w="3620" w:space="720"/>
            <w:col w:w="6520"/>
          </w:cols>
          <w:pgMar w:left="320" w:top="454" w:right="719" w:bottom="1440" w:gutter="0" w:footer="0" w:header="0"/>
          <w:type w:val="continuous"/>
        </w:sectPr>
      </w:pPr>
    </w:p>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See the section titled “Risk Factors” and other information included in this prospectus for a discussion of factors you should carefully consider before deciding to invest in our common stock.</w:t>
      </w:r>
    </w:p>
    <w:p>
      <w:pPr>
        <w:spacing w:after="0" w:line="175" w:lineRule="exact"/>
        <w:rPr>
          <w:sz w:val="20"/>
          <w:szCs w:val="20"/>
          <w:color w:val="auto"/>
        </w:rPr>
      </w:pPr>
    </w:p>
    <w:p>
      <w:pPr>
        <w:sectPr>
          <w:pgSz w:w="11900" w:h="16838" w:orient="portrait"/>
          <w:cols w:equalWidth="0" w:num="2">
            <w:col w:w="3620" w:space="720"/>
            <w:col w:w="6520"/>
          </w:cols>
          <w:pgMar w:left="320" w:top="454" w:right="719" w:bottom="1440" w:gutter="0" w:footer="0" w:header="0"/>
          <w:type w:val="continuous"/>
        </w:sectPr>
      </w:pPr>
    </w:p>
    <w:p>
      <w:pPr>
        <w:ind w:left="340" w:right="80" w:firstLine="844"/>
        <w:spacing w:after="0" w:line="278" w:lineRule="auto"/>
        <w:rPr>
          <w:sz w:val="20"/>
          <w:szCs w:val="20"/>
          <w:color w:val="auto"/>
        </w:rPr>
      </w:pPr>
      <w:r>
        <w:rPr>
          <w:rFonts w:ascii="Times New Roman" w:cs="Times New Roman" w:eastAsia="Times New Roman" w:hAnsi="Times New Roman"/>
          <w:sz w:val="18"/>
          <w:szCs w:val="18"/>
          <w:color w:val="auto"/>
        </w:rPr>
        <w:t>The number of shares of common stock that will be outstanding after this offering is based on 91,122,356 shares of our common stock outstanding as of July 31, 2020 and excludes:</w:t>
      </w:r>
    </w:p>
    <w:p>
      <w:pPr>
        <w:spacing w:after="0" w:line="189" w:lineRule="exact"/>
        <w:rPr>
          <w:sz w:val="20"/>
          <w:szCs w:val="20"/>
          <w:color w:val="auto"/>
        </w:rPr>
      </w:pPr>
    </w:p>
    <w:p>
      <w:pPr>
        <w:ind w:left="1580" w:right="460" w:hanging="296"/>
        <w:spacing w:after="0" w:line="278" w:lineRule="auto"/>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7,464,094 shares of common stock issuable upon exercise of options outstanding as of July 31, 2020, at a weighted-average exercise price of $5.48 per share under our existing equity plans;</w:t>
      </w:r>
    </w:p>
    <w:p>
      <w:pPr>
        <w:spacing w:after="0" w:line="189" w:lineRule="exact"/>
        <w:rPr>
          <w:rFonts w:ascii="Times New Roman" w:cs="Times New Roman" w:eastAsia="Times New Roman" w:hAnsi="Times New Roman"/>
          <w:sz w:val="18"/>
          <w:szCs w:val="18"/>
          <w:color w:val="auto"/>
        </w:rPr>
      </w:pPr>
    </w:p>
    <w:p>
      <w:pPr>
        <w:ind w:left="1580" w:right="660" w:hanging="296"/>
        <w:spacing w:after="0" w:line="278" w:lineRule="auto"/>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2,041,093 shares of common stock issuable upon vesting of restricted stock unit (“RSU”) awards as of July 31, 2020 at a weighted-average grant date fair value of $20.84 per share;</w:t>
      </w:r>
    </w:p>
    <w:p>
      <w:pPr>
        <w:spacing w:after="0" w:line="189" w:lineRule="exact"/>
        <w:rPr>
          <w:rFonts w:ascii="Times New Roman" w:cs="Times New Roman" w:eastAsia="Times New Roman" w:hAnsi="Times New Roman"/>
          <w:sz w:val="18"/>
          <w:szCs w:val="18"/>
          <w:color w:val="auto"/>
        </w:rPr>
      </w:pPr>
    </w:p>
    <w:p>
      <w:pPr>
        <w:ind w:left="1580" w:right="20" w:hanging="296"/>
        <w:spacing w:after="0" w:line="278" w:lineRule="auto"/>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17,500 shares of vested RSUs that were not issued and outstanding as of July 31, 2020 at a weighted-average grant date fair value of $20.00 per share;</w:t>
      </w:r>
    </w:p>
    <w:p>
      <w:pPr>
        <w:spacing w:after="0" w:line="189" w:lineRule="exact"/>
        <w:rPr>
          <w:rFonts w:ascii="Times New Roman" w:cs="Times New Roman" w:eastAsia="Times New Roman" w:hAnsi="Times New Roman"/>
          <w:sz w:val="18"/>
          <w:szCs w:val="18"/>
          <w:color w:val="auto"/>
        </w:rPr>
      </w:pPr>
    </w:p>
    <w:p>
      <w:pPr>
        <w:ind w:left="1580" w:right="340" w:hanging="296"/>
        <w:spacing w:after="0" w:line="278" w:lineRule="auto"/>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13,480,341 shares of common stock reserved for future issuance as of July 31, 2020 under our 2019 Equity Incentive Plan, as amended and restated (“2019 Incentive Plan”);</w:t>
      </w:r>
    </w:p>
    <w:p>
      <w:pPr>
        <w:spacing w:after="0" w:line="189" w:lineRule="exact"/>
        <w:rPr>
          <w:rFonts w:ascii="Times New Roman" w:cs="Times New Roman" w:eastAsia="Times New Roman" w:hAnsi="Times New Roman"/>
          <w:sz w:val="18"/>
          <w:szCs w:val="18"/>
          <w:color w:val="auto"/>
        </w:rPr>
      </w:pPr>
    </w:p>
    <w:p>
      <w:pPr>
        <w:ind w:left="1580" w:right="120" w:hanging="296"/>
        <w:spacing w:after="0" w:line="278" w:lineRule="auto"/>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1,800,000 shares of common stock reserved for issuance as of July 31, 2020 under our 2020 Employee Stock Purchase Plan (the “ESPP”); and</w:t>
      </w:r>
    </w:p>
    <w:p>
      <w:pPr>
        <w:spacing w:after="0" w:line="189" w:lineRule="exact"/>
        <w:rPr>
          <w:rFonts w:ascii="Times New Roman" w:cs="Times New Roman" w:eastAsia="Times New Roman" w:hAnsi="Times New Roman"/>
          <w:sz w:val="18"/>
          <w:szCs w:val="18"/>
          <w:color w:val="auto"/>
        </w:rPr>
      </w:pPr>
    </w:p>
    <w:p>
      <w:pPr>
        <w:ind w:left="1580" w:right="400" w:hanging="296"/>
        <w:spacing w:after="0" w:line="278" w:lineRule="auto"/>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5,750 shares issuable upon vesting of RSU awards granted after July 31, 2020, at a weighted-average grant date fair value of $76.48 under our 2019 Incentive Plan.</w:t>
      </w:r>
    </w:p>
    <w:p>
      <w:pPr>
        <w:spacing w:after="0" w:line="16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assumes:</w:t>
      </w:r>
    </w:p>
    <w:p>
      <w:pPr>
        <w:spacing w:after="0" w:line="248" w:lineRule="exact"/>
        <w:rPr>
          <w:sz w:val="20"/>
          <w:szCs w:val="20"/>
          <w:color w:val="auto"/>
        </w:rPr>
      </w:pPr>
    </w:p>
    <w:p>
      <w:pPr>
        <w:ind w:left="1580" w:hanging="296"/>
        <w:spacing w:after="0"/>
        <w:tabs>
          <w:tab w:leader="none" w:pos="1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issuance or exercise of outstanding options after July 31, 2020;</w:t>
      </w:r>
    </w:p>
    <w:p>
      <w:pPr>
        <w:spacing w:after="0" w:line="247" w:lineRule="exact"/>
        <w:rPr>
          <w:rFonts w:ascii="Times New Roman" w:cs="Times New Roman" w:eastAsia="Times New Roman" w:hAnsi="Times New Roman"/>
          <w:sz w:val="18"/>
          <w:szCs w:val="18"/>
          <w:color w:val="auto"/>
        </w:rPr>
      </w:pPr>
    </w:p>
    <w:p>
      <w:pPr>
        <w:ind w:left="1580" w:hanging="296"/>
        <w:spacing w:after="0"/>
        <w:tabs>
          <w:tab w:leader="none" w:pos="1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issuance or settlement of outstanding RSUs after July 31, 2020; and</w:t>
      </w:r>
    </w:p>
    <w:p>
      <w:pPr>
        <w:spacing w:after="0" w:line="247" w:lineRule="exact"/>
        <w:rPr>
          <w:rFonts w:ascii="Times New Roman" w:cs="Times New Roman" w:eastAsia="Times New Roman" w:hAnsi="Times New Roman"/>
          <w:sz w:val="18"/>
          <w:szCs w:val="18"/>
          <w:color w:val="auto"/>
        </w:rPr>
      </w:pPr>
    </w:p>
    <w:p>
      <w:pPr>
        <w:ind w:left="1580" w:right="540" w:hanging="296"/>
        <w:spacing w:after="0" w:line="278" w:lineRule="auto"/>
        <w:tabs>
          <w:tab w:leader="none" w:pos="1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of their option to purchase up to an additional shares of our common stock from the selling stockholders.</w:t>
      </w:r>
    </w:p>
    <w:p>
      <w:pPr>
        <w:spacing w:after="0" w:line="200" w:lineRule="exact"/>
        <w:rPr>
          <w:sz w:val="20"/>
          <w:szCs w:val="20"/>
          <w:color w:val="auto"/>
        </w:rPr>
      </w:pPr>
    </w:p>
    <w:p>
      <w:pPr>
        <w:spacing w:after="0" w:line="39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0"/>
          </w:cols>
          <w:pgMar w:left="320" w:top="454" w:right="71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534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4200" cy="6534785"/>
                    </a:xfrm>
                    <a:prstGeom prst="rect">
                      <a:avLst/>
                    </a:prstGeom>
                    <a:noFill/>
                  </pic:spPr>
                </pic:pic>
              </a:graphicData>
            </a:graphic>
          </wp:anchor>
        </w:drawing>
      </w:r>
    </w:p>
    <w:p>
      <w:pPr>
        <w:spacing w:after="0" w:line="29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SUMMARY CONSOLIDATED FINANCIAL AND OTHER DATA</w:t>
      </w:r>
    </w:p>
    <w:p>
      <w:pPr>
        <w:spacing w:after="0" w:line="225" w:lineRule="exact"/>
        <w:rPr>
          <w:sz w:val="20"/>
          <w:szCs w:val="20"/>
          <w:color w:val="auto"/>
        </w:rPr>
      </w:pPr>
    </w:p>
    <w:p>
      <w:pPr>
        <w:ind w:left="340" w:right="20" w:firstLine="844"/>
        <w:spacing w:after="0" w:line="251" w:lineRule="auto"/>
        <w:rPr>
          <w:sz w:val="20"/>
          <w:szCs w:val="20"/>
          <w:color w:val="auto"/>
        </w:rPr>
      </w:pPr>
      <w:r>
        <w:rPr>
          <w:rFonts w:ascii="Times New Roman" w:cs="Times New Roman" w:eastAsia="Times New Roman" w:hAnsi="Times New Roman"/>
          <w:sz w:val="18"/>
          <w:szCs w:val="18"/>
          <w:color w:val="auto"/>
        </w:rPr>
        <w:t>The following tables set forth our summary consolidated financial data. The summary consolidated statement of operations data for the fiscal years ended January 31, 2018, 2019 and 2020 are each derived from our audited financial statements appearing elsewhere in this prospectus. The summary consolidated statement of operations data for the six months ended July 31, 2019 and 2020, and the summary consolidated balance sheet data as of July 31, 2020, are each derived from our unaudited financial statements appearing elsewhere in this prospectus. We have prepared the unaudited financial statements on the same basis as the audited financial statements and have included all adjustments, consisting only of normal recurring adjustments that we consider necessary for a fair presentation of the financial information set forth in those statements. Our historical results are not necessarily indicative of the results to be expected in the future. You should read this summary consolidated financial and other data in conjunction with the sections titled “Selected Consolidated Financial and Other Data” and “Management’s Discussion and Analysis of Financial Condition and Results of Operations” and our consolidated financial statements, related notes and other financial information included elsewhere in this prospectus.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p>
      <w:pPr>
        <w:spacing w:after="0" w:line="23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8"/>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6"/>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amounts)</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6"/>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6"/>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7"/>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6"/>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Subscription revenues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38,048</w:t>
            </w:r>
          </w:p>
        </w:tc>
        <w:tc>
          <w:tcPr>
            <w:tcW w:w="2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7"/>
                <w:szCs w:val="17"/>
                <w:color w:val="auto"/>
              </w:rPr>
              <w:t>64,458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103,265</w:t>
            </w:r>
          </w:p>
        </w:tc>
        <w:tc>
          <w:tcPr>
            <w:tcW w:w="2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44,142</w:t>
            </w:r>
          </w:p>
        </w:tc>
        <w:tc>
          <w:tcPr>
            <w:tcW w:w="2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Professional services revenues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rPr>
              <w:t>27,076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34,915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17,672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19,295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revenues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91,534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138,180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93,477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14"/>
                <w:szCs w:val="14"/>
                <w:color w:val="auto"/>
              </w:rPr>
              <w:t>(1)</w:t>
            </w: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Cost of subscription revenue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7"/>
                <w:szCs w:val="17"/>
                <w:color w:val="auto"/>
              </w:rPr>
              <w:t>19,995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31,062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Cost of professional services revenue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rPr>
              <w:t>26,456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cost of revenue</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27,671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rPr>
              <w:t>45,083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74,110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14"/>
                <w:szCs w:val="14"/>
                <w:color w:val="auto"/>
              </w:rPr>
              <w:t>(1)</w:t>
            </w: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Sales and marketing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20,954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rPr>
              <w:t>31,278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44,440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16,559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7"/>
                <w:szCs w:val="17"/>
                <w:color w:val="auto"/>
              </w:rPr>
              <w:t>22,230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35,304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rPr>
              <w:t>14,791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22,536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102,280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(18,775)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(23,216)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(28,170)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(11,439)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Non-operating income (expense):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income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rPr>
              <w:t>1,193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211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color w:val="auto"/>
              </w:rPr>
              <w:t>(24)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color w:val="auto"/>
              </w:rPr>
              <w:t>(89)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(727)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 expense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(18,539)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(22,112)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(27,149)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(11,583)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(19,156)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(18,589)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(22,306)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(27,735)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(11,921)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non-controlling interest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(141)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 attributable to non-controlling interest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loss attributable to nCino, Inc.</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(18,589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(22,306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(27,594</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(11,921</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(19,415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loss per share attributable to nCino, Inc.:</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Basic and diluted</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color w:val="auto"/>
              </w:rPr>
              <w:t>(0.27)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color w:val="auto"/>
              </w:rPr>
              <w:t>(0.30)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(0.35)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(0.16)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Weighted average number of common shares outstanding:</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Basic and diluted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68,290,570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74,593,709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78,316,794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76,206,900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w w:val="96"/>
              </w:rPr>
              <w:t>83,112,132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320" w:top="454" w:right="6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337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4200" cy="533717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760" w:hanging="412"/>
        <w:spacing w:after="0"/>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stock-based compensation expense as follows: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8"/>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240" w:type="dxa"/>
            <w:vAlign w:val="bottom"/>
          </w:tcPr>
          <w:p>
            <w:pPr>
              <w:spacing w:after="0"/>
              <w:rPr>
                <w:sz w:val="13"/>
                <w:szCs w:val="13"/>
                <w:color w:val="auto"/>
              </w:rPr>
            </w:pPr>
          </w:p>
        </w:tc>
        <w:tc>
          <w:tcPr>
            <w:tcW w:w="126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8"/>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Ended July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34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277</w:t>
            </w: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137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Cost of professional services revenues</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3"/>
              </w:rPr>
              <w:t>1,128</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3"/>
              </w:rPr>
              <w:t>1,244</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3"/>
              </w:rPr>
              <w:t>1,240</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3"/>
              </w:rPr>
              <w:t>1,078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3"/>
              </w:rPr>
              <w:t>1,260</w:t>
            </w: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3"/>
              </w:rPr>
              <w:t>1,070</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3"/>
              </w:rPr>
              <w:t>1,056</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3"/>
              </w:rPr>
              <w:t>1,245</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3"/>
              </w:rPr>
              <w:t>1,723</w:t>
            </w: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3,826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4,095</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5,745</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3,601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2"/>
              </w:rPr>
              <w:t>14,320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5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As of July 31, 2020</w:t>
            </w:r>
          </w:p>
        </w:tc>
        <w:tc>
          <w:tcPr>
            <w:tcW w:w="0" w:type="dxa"/>
            <w:vAlign w:val="bottom"/>
          </w:tcPr>
          <w:p>
            <w:pPr>
              <w:spacing w:after="0"/>
              <w:rPr>
                <w:sz w:val="1"/>
                <w:szCs w:val="1"/>
                <w:color w:val="auto"/>
              </w:rPr>
            </w:pPr>
          </w:p>
        </w:tc>
      </w:tr>
      <w:tr>
        <w:trPr>
          <w:trHeight w:val="140"/>
        </w:trPr>
        <w:tc>
          <w:tcPr>
            <w:tcW w:w="6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388,191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533,799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(140,072)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427,490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right="200" w:firstLine="844"/>
        <w:spacing w:after="0" w:line="278" w:lineRule="auto"/>
        <w:rPr>
          <w:sz w:val="20"/>
          <w:szCs w:val="20"/>
          <w:color w:val="auto"/>
        </w:rPr>
      </w:pPr>
      <w:r>
        <w:rPr>
          <w:rFonts w:ascii="Times New Roman" w:cs="Times New Roman" w:eastAsia="Times New Roman" w:hAnsi="Times New Roman"/>
          <w:sz w:val="18"/>
          <w:szCs w:val="18"/>
          <w:color w:val="auto"/>
        </w:rPr>
        <w:t>The following table reconciles Non-GAAP Operating Loss to Loss from Operations, the most directly comparable financial measure, calculated and presented in accordance with GAAP (in thousands):</w:t>
      </w:r>
    </w:p>
    <w:p>
      <w:pPr>
        <w:spacing w:after="0" w:line="16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860" w:type="dxa"/>
            <w:vAlign w:val="bottom"/>
            <w:gridSpan w:val="7"/>
            <w:vMerge w:val="restart"/>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0" w:type="dxa"/>
            <w:vAlign w:val="bottom"/>
          </w:tcPr>
          <w:p>
            <w:pPr>
              <w:spacing w:after="0"/>
              <w:rPr>
                <w:sz w:val="13"/>
                <w:szCs w:val="13"/>
                <w:color w:val="auto"/>
              </w:rPr>
            </w:pPr>
          </w:p>
        </w:tc>
        <w:tc>
          <w:tcPr>
            <w:tcW w:w="1600" w:type="dxa"/>
            <w:vAlign w:val="bottom"/>
            <w:gridSpan w:val="5"/>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72"/>
        </w:trPr>
        <w:tc>
          <w:tcPr>
            <w:tcW w:w="5460" w:type="dxa"/>
            <w:vAlign w:val="bottom"/>
          </w:tcPr>
          <w:p>
            <w:pPr>
              <w:spacing w:after="0"/>
              <w:rPr>
                <w:sz w:val="14"/>
                <w:szCs w:val="14"/>
                <w:color w:val="auto"/>
              </w:rPr>
            </w:pPr>
          </w:p>
        </w:tc>
        <w:tc>
          <w:tcPr>
            <w:tcW w:w="286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Ended July 31,</w:t>
            </w:r>
          </w:p>
        </w:tc>
        <w:tc>
          <w:tcPr>
            <w:tcW w:w="0" w:type="dxa"/>
            <w:vAlign w:val="bottom"/>
          </w:tcPr>
          <w:p>
            <w:pPr>
              <w:spacing w:after="0"/>
              <w:rPr>
                <w:sz w:val="1"/>
                <w:szCs w:val="1"/>
                <w:color w:val="auto"/>
              </w:rPr>
            </w:pPr>
          </w:p>
        </w:tc>
      </w:tr>
      <w:tr>
        <w:trPr>
          <w:trHeight w:val="140"/>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Non-GAAP financial measure (in thousands)</w:t>
            </w:r>
          </w:p>
        </w:tc>
        <w:tc>
          <w:tcPr>
            <w:tcW w:w="660" w:type="dxa"/>
            <w:vAlign w:val="bottom"/>
            <w:tcBorders>
              <w:top w:val="single" w:sz="8" w:color="auto"/>
              <w:bottom w:val="single" w:sz="8" w:color="auto"/>
            </w:tcBorders>
          </w:tcPr>
          <w:p>
            <w:pPr>
              <w:jc w:val="right"/>
              <w:ind w:right="96"/>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8"/>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4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Loss from Operations</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$(18,775)</w:t>
            </w:r>
          </w:p>
        </w:tc>
        <w:tc>
          <w:tcPr>
            <w:tcW w:w="9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w w:val="99"/>
              </w:rPr>
              <w:t>$(23,216)</w:t>
            </w:r>
          </w:p>
        </w:tc>
        <w:tc>
          <w:tcPr>
            <w:tcW w:w="9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w w:val="99"/>
              </w:rPr>
              <w:t>$(28,170)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w w:val="94"/>
              </w:rPr>
              <w:t>(11,439)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(19,964)</w:t>
            </w:r>
          </w:p>
        </w:tc>
        <w:tc>
          <w:tcPr>
            <w:tcW w:w="0" w:type="dxa"/>
            <w:vAlign w:val="bottom"/>
          </w:tcPr>
          <w:p>
            <w:pPr>
              <w:spacing w:after="0"/>
              <w:rPr>
                <w:sz w:val="1"/>
                <w:szCs w:val="1"/>
                <w:color w:val="auto"/>
              </w:rPr>
            </w:pPr>
          </w:p>
        </w:tc>
      </w:tr>
      <w:tr>
        <w:trPr>
          <w:trHeight w:val="214"/>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14"/>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280" w:type="dxa"/>
            <w:vAlign w:val="bottom"/>
          </w:tcPr>
          <w:p>
            <w:pPr>
              <w:spacing w:after="0"/>
              <w:rPr>
                <w:sz w:val="18"/>
                <w:szCs w:val="18"/>
                <w:color w:val="auto"/>
              </w:rPr>
            </w:pPr>
          </w:p>
        </w:tc>
        <w:tc>
          <w:tcPr>
            <w:tcW w:w="9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Pr>
          <w:p>
            <w:pPr>
              <w:spacing w:after="0"/>
              <w:rPr>
                <w:sz w:val="18"/>
                <w:szCs w:val="18"/>
                <w:color w:val="auto"/>
              </w:rPr>
            </w:pPr>
          </w:p>
        </w:tc>
        <w:tc>
          <w:tcPr>
            <w:tcW w:w="8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18"/>
                <w:szCs w:val="18"/>
                <w:color w:val="auto"/>
              </w:rPr>
            </w:pPr>
          </w:p>
        </w:tc>
        <w:tc>
          <w:tcPr>
            <w:tcW w:w="66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14,320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Adjustments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3,778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15,912</w:t>
            </w:r>
          </w:p>
        </w:tc>
        <w:tc>
          <w:tcPr>
            <w:tcW w:w="0" w:type="dxa"/>
            <w:vAlign w:val="bottom"/>
          </w:tcPr>
          <w:p>
            <w:pPr>
              <w:spacing w:after="0"/>
              <w:rPr>
                <w:sz w:val="1"/>
                <w:szCs w:val="1"/>
                <w:color w:val="auto"/>
              </w:rPr>
            </w:pPr>
          </w:p>
        </w:tc>
      </w:tr>
      <w:tr>
        <w:trPr>
          <w:trHeight w:val="221"/>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Loss</w:t>
            </w:r>
            <w:r>
              <w:rPr>
                <w:rFonts w:ascii="Times New Roman" w:cs="Times New Roman" w:eastAsia="Times New Roman" w:hAnsi="Times New Roman"/>
                <w:sz w:val="15"/>
                <w:szCs w:val="15"/>
                <w:b w:val="1"/>
                <w:bCs w:val="1"/>
                <w:color w:val="auto"/>
              </w:rPr>
              <w:t>(1)</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(14,949</w:t>
            </w:r>
          </w:p>
        </w:tc>
        <w:tc>
          <w:tcPr>
            <w:tcW w:w="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(19,121</w:t>
            </w:r>
          </w:p>
        </w:tc>
        <w:tc>
          <w:tcPr>
            <w:tcW w:w="2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(20,677</w:t>
            </w:r>
          </w:p>
        </w:tc>
        <w:tc>
          <w:tcPr>
            <w:tcW w:w="3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3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1280" w:hanging="517"/>
        <w:spacing w:after="0"/>
        <w:tabs>
          <w:tab w:leader="none" w:pos="12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See “Selected consolidated financial data—Non-GAAP financial measure” for additional information.</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62" w:lineRule="exact"/>
        <w:rPr>
          <w:rFonts w:ascii="Times New Roman" w:cs="Times New Roman" w:eastAsia="Times New Roman" w:hAnsi="Times New Roman"/>
          <w:sz w:val="15"/>
          <w:szCs w:val="15"/>
          <w:color w:val="auto"/>
        </w:rPr>
      </w:pPr>
    </w:p>
    <w:p>
      <w:pPr>
        <w:ind w:left="5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320" w:top="454" w:right="6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3" w:lineRule="exact"/>
        <w:rPr>
          <w:sz w:val="20"/>
          <w:szCs w:val="20"/>
          <w:color w:val="auto"/>
        </w:rPr>
      </w:pPr>
    </w:p>
    <w:p>
      <w:pPr>
        <w:ind w:left="160" w:right="60" w:firstLine="873"/>
        <w:spacing w:after="0" w:line="252"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consolidated financial statements and related notes appearing at the end of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1" w:lineRule="exact"/>
        <w:rPr>
          <w:sz w:val="20"/>
          <w:szCs w:val="20"/>
          <w:color w:val="auto"/>
        </w:rPr>
      </w:pPr>
    </w:p>
    <w:p>
      <w:pPr>
        <w:ind w:left="160" w:right="1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predict our future operating results, and we may not achieve our expected operating results in the future.</w:t>
      </w:r>
    </w:p>
    <w:p>
      <w:pPr>
        <w:spacing w:after="0" w:line="160"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As a result of our limited operating history, our ability to forecast our future operating results, including revenues, cash flows and profitability, is limited and subject to a number of uncertainties. We have encountered and will encounter risks and uncertainties frequently experienced by growing companies in the technology industry, such as the risks and uncertainties described in this prospectus. If our assumptions regarding these risks and uncertainties are incorrect or change due to changes in our markets, or if we do not address these risks successfully, our operating and financial results may differ materially from our expectations and our business may suffer.</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sustain profitability in the future.</w:t>
      </w:r>
    </w:p>
    <w:p>
      <w:pPr>
        <w:spacing w:after="0" w:line="225"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We began operations in late 2011 and have experienced net losses since inception. We generated net losses attributable to nCino of $18.6 million, $22.3 million, $27.6 million, and $19.4 million for the fiscal years ended January 31, 2018, 2019 and 2020, and the six months ended July 31, 2020, respectively. We had an accumulated deficit of $140.1 million at July 31, 2020. We will need to generate and sustain increased revenue levels in future periods in order to become profitable, and, even if we do, we may not be able to maintain or increase our level of profitability. We intend to continue to expend significant resources to support further growth and extend the functionality of the nCino Bank Operating System, expand our sales and product development headcount, increase our marketing activities and grow our international operations. We will also face increased costs associated with growth, the expansion of our customer base and the costs of being a public company. Our efforts to grow our business may be more costly than we expect, and we may not be able to increase our revenues enough to offset our increased operating expenses. We expect to incur losses for the foreseeable future as we continue to invest in product development, and we cannot predict whether or when we will achieve or sustain profitability. If we are unable to achieve and sustain profitability, the value of our business and common stock may significantly decrease.</w:t>
      </w:r>
    </w:p>
    <w:p>
      <w:pPr>
        <w:spacing w:after="0" w:line="185" w:lineRule="exact"/>
        <w:rPr>
          <w:sz w:val="20"/>
          <w:szCs w:val="20"/>
          <w:color w:val="auto"/>
        </w:rPr>
      </w:pPr>
    </w:p>
    <w:p>
      <w:pPr>
        <w:ind w:left="160"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or continue to broaden our existing customers’ use of our solution, our revenue growth will be adversely affected.</w:t>
      </w:r>
    </w:p>
    <w:p>
      <w:pPr>
        <w:spacing w:after="0" w:line="160"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To increase our revenues, we will need to continue to attract new customers and succeed in having our current customers expand the use of our solution across their institution. For example, our revenue growth strategy includes increased penetration of markets outside the United States as well as selling our retail applications to existing and new customers, and failure in either respect would adversely affect our revenue growth. In addition, for us to maintain or improve our results of operations, it is important that our customers renew their subscriptions with us on the same or more favorable terms to us when their existing subscription term</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320" w:top="454" w:right="5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400"/>
        <w:spacing w:after="0" w:line="254" w:lineRule="auto"/>
        <w:rPr>
          <w:sz w:val="20"/>
          <w:szCs w:val="20"/>
          <w:color w:val="auto"/>
        </w:rPr>
      </w:pPr>
      <w:r>
        <w:rPr>
          <w:rFonts w:ascii="Times New Roman" w:cs="Times New Roman" w:eastAsia="Times New Roman" w:hAnsi="Times New Roman"/>
          <w:sz w:val="18"/>
          <w:szCs w:val="18"/>
          <w:color w:val="auto"/>
        </w:rPr>
        <w:t>expires. Our revenue growth rates may decline or fluctuate as a result of a number of factors, including customer spending levels, customer dissatisfaction with our solution, decreases in the number of users at our customers, changes in the type and size of our customers, pricing changes, competitive conditions, the loss of our customers to other companies and general economic conditions. Our customers may also require fewer subscriptions for our solution as its use may enable them to operate more efficiently over time. Therefore, we cannot assure you that our current customers will renew or expand their use of our solution. If we are unable to sign new customers or retain or attract new business from current customers, our business and results of operations may be materially and adversely affected.</w:t>
      </w:r>
    </w:p>
    <w:p>
      <w:pPr>
        <w:spacing w:after="0" w:line="180" w:lineRule="exact"/>
        <w:rPr>
          <w:sz w:val="20"/>
          <w:szCs w:val="20"/>
          <w:color w:val="auto"/>
        </w:rPr>
      </w:pPr>
    </w:p>
    <w:p>
      <w:pPr>
        <w:ind w:left="160" w:right="4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the market for cloud-based banking technology develops more slowly than we expect or changes in a way that we fail to anticipate, our sales would suffer and our results of operations would be adversely affected.</w:t>
      </w:r>
    </w:p>
    <w:p>
      <w:pPr>
        <w:spacing w:after="0" w:line="160"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Use of, and reliance on, cloud-based banking technology is still at an early stage and we do not know whether financial institutions will continue to adopt cloud-based banking technology such as the nCino Bank Operating System in the future, or whether the market will change in ways we do not anticipate. Many financial institutions have invested substantial personnel and financial resources in legacy software, and these institutions may be reluctant, unwilling or unable to convert from their existing systems to our solution. Furthermore, these financial institutions may be reluctant, unwilling or unable to use cloud-based banking technology due to various concerns such as the security of their data and reliability of the delivery model. These concerns or other considerations may cause financial institutions to choose not to adopt cloud-based banking technology such as ours or to adopt them more slowly than we anticipate, either of which would adversely affect us. Our future success also depends on our ability to sell additional applications and functionality, such as nIQ, to our current and prospective customers. As we create new applications and enhance our existing solution, these applications and enhancements may not be attractive to customers. In addition, promoting and selling new and enhanced functionality may require increasingly costly sales and marketing efforts, and if customers choose not to adopt this functionality our business and results of operations could suffer. If financial institutions are unwilling or unable to transition from their legacy systems, or if the demand for our solution does not meet our expectations, our results of operations and financial condition will be adversely affected.</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revenue growth rate in the future.</w:t>
      </w:r>
    </w:p>
    <w:p>
      <w:pPr>
        <w:spacing w:after="0" w:line="225" w:lineRule="exact"/>
        <w:rPr>
          <w:sz w:val="20"/>
          <w:szCs w:val="20"/>
          <w:color w:val="auto"/>
        </w:rPr>
      </w:pPr>
    </w:p>
    <w:p>
      <w:pPr>
        <w:ind w:left="160" w:right="60" w:firstLine="873"/>
        <w:spacing w:after="0" w:line="269" w:lineRule="auto"/>
        <w:rPr>
          <w:sz w:val="20"/>
          <w:szCs w:val="20"/>
          <w:color w:val="auto"/>
        </w:rPr>
      </w:pPr>
      <w:r>
        <w:rPr>
          <w:rFonts w:ascii="Times New Roman" w:cs="Times New Roman" w:eastAsia="Times New Roman" w:hAnsi="Times New Roman"/>
          <w:sz w:val="17"/>
          <w:szCs w:val="17"/>
          <w:color w:val="auto"/>
        </w:rPr>
        <w:t>Our revenues increased from $58.1 million for fiscal 2018 to $91.5 million for fiscal 2019 to $138.2 million for fiscal 2020, and from $61.8 million for the six months ended July 31, 2019 to $93.5 million for the six months ended July 31, 2020. We may not be able to sustain revenue growth consistent with our recent history, if at all. Our revenue growth in recent periods may not be indicative of our future performance. Furthermore, to the extent we grow in future periods, maintaining consistent rates of revenue growth may be difficult. Our revenue growth may also slow or even reverse in future periods due to a number of factors, which may include slowing demand for our solution, increasing competition, decreasing growth of our overall market, the impact of COVID-19, our inability to attract and retain a sufficient number of financial institution customers, concerns over data security, our failure, for any reason, to capitalize on growth opportunities or general economic conditions. If we are unable to maintain consistent revenue growth, the price of our common stock could be volatile and it may be difficult for us to achieve and maintain profitability.</w:t>
      </w:r>
    </w:p>
    <w:p>
      <w:pPr>
        <w:spacing w:after="0" w:line="1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and may not fully reflect the underlying performance of our business.</w:t>
      </w:r>
    </w:p>
    <w:p>
      <w:pPr>
        <w:spacing w:after="0" w:line="225" w:lineRule="exact"/>
        <w:rPr>
          <w:sz w:val="20"/>
          <w:szCs w:val="20"/>
          <w:color w:val="auto"/>
        </w:rPr>
      </w:pPr>
    </w:p>
    <w:p>
      <w:pPr>
        <w:ind w:left="160" w:right="100" w:firstLine="873"/>
        <w:spacing w:after="0" w:line="255" w:lineRule="auto"/>
        <w:rPr>
          <w:sz w:val="20"/>
          <w:szCs w:val="20"/>
          <w:color w:val="auto"/>
        </w:rPr>
      </w:pPr>
      <w:r>
        <w:rPr>
          <w:rFonts w:ascii="Times New Roman" w:cs="Times New Roman" w:eastAsia="Times New Roman" w:hAnsi="Times New Roman"/>
          <w:sz w:val="18"/>
          <w:szCs w:val="18"/>
          <w:color w:val="auto"/>
        </w:rPr>
        <w:t>Our quarterly results of operations, including the levels of our revenues, gross margin, profitability, cash flow and deferred revenue, may vary significantly in the future and, accordingly, period-to-period comparisons of our results of operations may not be meaningful. Thus, the results of any one quarter should not be relied upon as an indication of future performance. Our quarterly financial results may fluctuate as a result of a variety of factors, many of which are outside of our control, and may not fully or accurately reflect the underlying performance of our business. For example, while subscriptions with our customers include multi-year</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60"/>
          </w:cols>
          <w:pgMar w:left="320" w:top="454" w:right="5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400"/>
        <w:spacing w:after="0" w:line="255" w:lineRule="auto"/>
        <w:rPr>
          <w:sz w:val="20"/>
          <w:szCs w:val="20"/>
          <w:color w:val="auto"/>
        </w:rPr>
      </w:pPr>
      <w:r>
        <w:rPr>
          <w:rFonts w:ascii="Times New Roman" w:cs="Times New Roman" w:eastAsia="Times New Roman" w:hAnsi="Times New Roman"/>
          <w:sz w:val="18"/>
          <w:szCs w:val="18"/>
          <w:color w:val="auto"/>
        </w:rPr>
        <w:t>non-cancellable terms, in a limited number of contracts, customers have an option to buy out of the contract for a specified termination fee. If such customers exercise this buy-out option, or if we negotiate an early termination of a contract at a customer’s request, any termination fee would be recognized in full at the time of termination, which would favorably affect subscription revenues in that period and unfavorably affect subscription revenues in subsequent periods. Fluctuation in quarterly results may negatively impact the value of our common stock. Factors that may cause fluctuations in our quarterly financial results include, without limitation, those listed below:</w:t>
      </w:r>
    </w:p>
    <w:p>
      <w:pPr>
        <w:spacing w:after="0" w:line="211" w:lineRule="exact"/>
        <w:rPr>
          <w:sz w:val="20"/>
          <w:szCs w:val="20"/>
          <w:color w:val="auto"/>
        </w:rPr>
      </w:pPr>
    </w:p>
    <w:p>
      <w:pPr>
        <w:ind w:left="1460" w:hanging="316"/>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current customers or attract new customers;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activation, delay in activation or cancellation of large blocks of users by customers;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recognition of professional services revenues;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operating expenses related to the maintenance and expansion of our business, operations and infrastructure;</w:t>
      </w:r>
    </w:p>
    <w:p>
      <w:pPr>
        <w:spacing w:after="0" w:line="259" w:lineRule="exact"/>
        <w:rPr>
          <w:rFonts w:ascii="Times New Roman" w:cs="Times New Roman" w:eastAsia="Times New Roman" w:hAnsi="Times New Roman"/>
          <w:sz w:val="17"/>
          <w:szCs w:val="17"/>
          <w:color w:val="auto"/>
        </w:rPr>
      </w:pPr>
    </w:p>
    <w:p>
      <w:pPr>
        <w:ind w:left="1460" w:hanging="316"/>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our customers, to the extent the acquirer elects not to continue using our solution or reduces subscriptions to it;</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the number of users licensed or pricing changes upon renewals of customer contracts;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security breaches;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(particularly those affecting financial institutions);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variations in sales of our solution, which have historically been highest in the fourth quarter of our fiscal year;</w:t>
      </w:r>
    </w:p>
    <w:p>
      <w:pPr>
        <w:spacing w:after="0" w:line="247" w:lineRule="exact"/>
        <w:rPr>
          <w:rFonts w:ascii="Times New Roman" w:cs="Times New Roman" w:eastAsia="Times New Roman" w:hAnsi="Times New Roman"/>
          <w:sz w:val="18"/>
          <w:szCs w:val="18"/>
          <w:color w:val="auto"/>
        </w:rPr>
      </w:pPr>
    </w:p>
    <w:p>
      <w:pPr>
        <w:ind w:left="1460" w:right="60" w:hanging="316"/>
        <w:spacing w:after="0" w:line="278" w:lineRule="auto"/>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introductions by us or our competitors or any other change in the competitive dynamics of our industry, including consolidation among competitors, customers or strategic partners; and</w:t>
      </w:r>
    </w:p>
    <w:p>
      <w:pPr>
        <w:spacing w:after="0" w:line="189" w:lineRule="exact"/>
        <w:rPr>
          <w:rFonts w:ascii="Times New Roman" w:cs="Times New Roman" w:eastAsia="Times New Roman" w:hAnsi="Times New Roman"/>
          <w:sz w:val="18"/>
          <w:szCs w:val="18"/>
          <w:color w:val="auto"/>
        </w:rPr>
      </w:pPr>
    </w:p>
    <w:p>
      <w:pPr>
        <w:ind w:left="1460" w:right="580" w:hanging="316"/>
        <w:spacing w:after="0" w:line="278" w:lineRule="auto"/>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technologies or businesses and potential future charges for impairment of goodwill from acquired companies.</w:t>
      </w:r>
    </w:p>
    <w:p>
      <w:pPr>
        <w:spacing w:after="0" w:line="158" w:lineRule="exact"/>
        <w:rPr>
          <w:sz w:val="20"/>
          <w:szCs w:val="20"/>
          <w:color w:val="auto"/>
        </w:rPr>
      </w:pPr>
    </w:p>
    <w:p>
      <w:pPr>
        <w:ind w:left="160" w:right="3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not accurately predict the long-term rate of customer subscription renewals or adoption of our solution, or any resulting impact on our revenues or operating results.</w:t>
      </w:r>
    </w:p>
    <w:p>
      <w:pPr>
        <w:spacing w:after="0" w:line="160"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Our customers have no obligation to renew their subscriptions for our solution after the expiration of the initial or current subscription term, and our customers, if they choose to renew at all, may renew for fewer users or on less favorable pricing terms. Since the average initial term of our customer agreements is three to five years, and we only began selling our solution in 2012, we have limited historical data with respect to rates of customer subscription renewals and cannot be certain of anticipated renewal rates. Our renewal rates may decline or fluctuate as a result of a number of factors, including our customers’ satisfaction with our pricing or our solution or their ability to continue their operations or spending levels. If our customers do not renew their subscriptions for our solution on similar pricing terms, our revenues may decline and our business could suffer.</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320" w:top="454" w:right="5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both"/>
        <w:ind w:left="160" w:right="140" w:firstLine="873"/>
        <w:spacing w:after="0" w:line="258" w:lineRule="auto"/>
        <w:rPr>
          <w:sz w:val="20"/>
          <w:szCs w:val="20"/>
          <w:color w:val="auto"/>
        </w:rPr>
      </w:pPr>
      <w:r>
        <w:rPr>
          <w:rFonts w:ascii="Times New Roman" w:cs="Times New Roman" w:eastAsia="Times New Roman" w:hAnsi="Times New Roman"/>
          <w:sz w:val="18"/>
          <w:szCs w:val="18"/>
          <w:color w:val="auto"/>
        </w:rPr>
        <w:t>Additionally, as the markets for the nCino Bank Operating System develop, we may be unable to attract new customers based on the same subscription model that we have used historically. Moreover, large or influential financial institution customers may demand more favorable pricing or other contract terms from us. As a result, we may in the future be required to change our pricing model, reduce our prices or accept other unfavorable contract terms, any of which could adversely affect our revenues, gross margin, profitability, financial position and/or cash flow.</w:t>
      </w:r>
    </w:p>
    <w:p>
      <w:pPr>
        <w:spacing w:after="0" w:line="176" w:lineRule="exact"/>
        <w:rPr>
          <w:sz w:val="20"/>
          <w:szCs w:val="20"/>
          <w:color w:val="auto"/>
        </w:rPr>
      </w:pPr>
    </w:p>
    <w:p>
      <w:pPr>
        <w:ind w:left="160" w:right="2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 breach of our security measures or those we rely on could result in unauthorized access to customer or their clients’ data, which may materially and adversely impact our reputation, business and results of operations.</w:t>
      </w:r>
    </w:p>
    <w:p>
      <w:pPr>
        <w:spacing w:after="0" w:line="160"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Certain elements of our solution, particularly our analytics applications, process and store personally identifiable information (“PII”) such as banking and personal information of our customers’ clients, and we may also have access to PII during various stages of the implementation process or during the course of providing customer support. Furthermore, as we develop additional functionality, we may gain greater access to PII. We maintain policies, procedures and technological safeguards designed to protect the confidentiality, integrity and availability of this information and our information technology systems. However, we cannot entirely eliminate the risk of improper or unauthorized access to or disclosure of PII or other security events that impact the integrity or availability of PII or our systems and operations, or the related costs we may incur to mitigate the consequences from such events. Further, the nCino Bank Operating System is a flexible and complex software solution and there is a risk that configurations of, or defects in, the solution or errors in implementation could create vulnerabilities to security breaches. There may be unlawful attempts to disrupt or gain access to our information technology systems or the PII or other data of our customers or their clients that may disrupt our or our customers’ operations. In addition, because we leverage third-party providers, including cloud, software, data center and other critical technology vendors to deliver our solution to our customers and their clients, we rely heavily on the data security technology practices and policies adopted by these third-party providers. A vulnerability in a third-party provider’s software or systems, a failure of our third-party providers’ safeguards, policies or procedures, or a breach of a third-party provider’s software or systems could result in the compromise of the confidentiality, integrity or availability of our systems or the data housed in our solution.</w:t>
      </w:r>
    </w:p>
    <w:p>
      <w:pPr>
        <w:spacing w:after="0" w:line="191"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Cyberattacks and other malicious internet-based activity continue to increase and evolve, and cloud-based providers of products and services have been and are expected to continue to be targeted. In addition to traditional computer “hackers,” malicious code (such as viruses and worms), phishing, employee theft or misuse and denial-of-service attacks, sophisticated criminal networks as well as nation-state and nation-state supported actors now engage in attacks, including advanced persistent threat intrusions. Current or future criminal capabilities, discovery of existing or new vulnerabilities, and attempts to exploit those vulnerabilities or other developments, may compromise or breach our systems or solution. In the event our or our third-party providers’ protection efforts are unsuccessful and our systems or solution are compromised, we could suffer substantial harm. A security breach could result in operational disruptions, loss, compromise or corruption of customer or client data or data we rely on to provide our solution, including our analytics initiatives and offerings that impair our ability to provide our solution and meet our customers’ requirements resulting in decreased revenues and otherwise materially negatively impacting our financial results. Also, our reputation could suffer irreparable harm, causing our current and prospective customers to decline to use our solution in the future. Further, we could be forced to expend significant financial and operational resources in response to a security breach, including repairing system damage, increasing security protection costs by deploying additional personnel and protection technologies, and defending against and resolving legal and regulatory claims, all of which could be costly and divert resources and the attention of our management and key personnel away from our business operations.</w:t>
      </w:r>
    </w:p>
    <w:p>
      <w:pPr>
        <w:spacing w:after="0" w:line="193" w:lineRule="exact"/>
        <w:rPr>
          <w:sz w:val="20"/>
          <w:szCs w:val="20"/>
          <w:color w:val="auto"/>
        </w:rPr>
      </w:pPr>
    </w:p>
    <w:p>
      <w:pPr>
        <w:ind w:left="160" w:right="200" w:firstLine="873"/>
        <w:spacing w:after="0" w:line="263" w:lineRule="auto"/>
        <w:rPr>
          <w:sz w:val="20"/>
          <w:szCs w:val="20"/>
          <w:color w:val="auto"/>
        </w:rPr>
      </w:pPr>
      <w:r>
        <w:rPr>
          <w:rFonts w:ascii="Times New Roman" w:cs="Times New Roman" w:eastAsia="Times New Roman" w:hAnsi="Times New Roman"/>
          <w:sz w:val="18"/>
          <w:szCs w:val="18"/>
          <w:color w:val="auto"/>
        </w:rPr>
        <w:t>Federal and state regulations may require us or our customers to notify individuals of data security incidents involving certain types of personal data or information technology systems. Security compromises experienced by others in our industry, our customers or us may lead to public disclosures and widespread negative publicity. Any security compromise in our industry, whether actual or perceived, could erode customer</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4" w:right="5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both"/>
        <w:ind w:left="160" w:right="80"/>
        <w:spacing w:after="0" w:line="263" w:lineRule="auto"/>
        <w:rPr>
          <w:sz w:val="20"/>
          <w:szCs w:val="20"/>
          <w:color w:val="auto"/>
        </w:rPr>
      </w:pPr>
      <w:r>
        <w:rPr>
          <w:rFonts w:ascii="Times New Roman" w:cs="Times New Roman" w:eastAsia="Times New Roman" w:hAnsi="Times New Roman"/>
          <w:sz w:val="18"/>
          <w:szCs w:val="18"/>
          <w:color w:val="auto"/>
        </w:rPr>
        <w:t>confidence in the effectiveness of our security measures, negatively impact our ability to attract new customers, cause existing customers to elect not to renew or expand their use of our solution or subject us to third-party lawsuits, regulatory fines or other actions or liabilities, which could materially and adversely affect our business and results of operations.</w:t>
      </w:r>
    </w:p>
    <w:p>
      <w:pPr>
        <w:spacing w:after="0" w:line="175" w:lineRule="exact"/>
        <w:rPr>
          <w:sz w:val="20"/>
          <w:szCs w:val="20"/>
          <w:color w:val="auto"/>
        </w:rPr>
      </w:pPr>
    </w:p>
    <w:p>
      <w:pPr>
        <w:ind w:left="160" w:right="20" w:firstLine="873"/>
        <w:spacing w:after="0" w:line="250" w:lineRule="auto"/>
        <w:rPr>
          <w:sz w:val="20"/>
          <w:szCs w:val="20"/>
          <w:color w:val="auto"/>
        </w:rPr>
      </w:pPr>
      <w:r>
        <w:rPr>
          <w:rFonts w:ascii="Times New Roman" w:cs="Times New Roman" w:eastAsia="Times New Roman" w:hAnsi="Times New Roman"/>
          <w:sz w:val="18"/>
          <w:szCs w:val="18"/>
          <w:color w:val="auto"/>
        </w:rPr>
        <w:t>In addition, some of our customers contractually require notification of data security compromises and include representations and warranties in their contracts with us that our solution complies with certain legal and technical standards related to data security and privacy and meets certain service levels. In certain of our contracts, a data security compromise or operational disruption impacting us or one of our critical vendors, or system unavailability or damage due to other circumstances, may constitute a material breach and give rise to a customer’s right to terminate their contract with us. In these circumstances, it may be difficult or impossible to cure such a breach in order to prevent customers from potentially terminating their contracts with us. Furthermore, although our customer contracts typically include limitations on our potential liability, there can be no assurance that such limitations of liability would be adequate. We also cannot be sure that our existing general liability insurance coverage and coverage for errors or omissions will be available on acceptable terms or will be available in sufficient amounts to cover one or more claims, or that our insurers will not deny or attempt to deny coverage as to any future claim. The successful assertion of one or more claims against us, the inadequacy or denial of coverage under our insurance policies, litigation to pursue claims under our policies or the occurrence of changes in our insurance policies, including premium increases or the imposition of large deductible or coinsurance requirements, could materially and adversely affect our business and results of operations.</w:t>
      </w:r>
    </w:p>
    <w:p>
      <w:pPr>
        <w:spacing w:after="0" w:line="190" w:lineRule="exact"/>
        <w:rPr>
          <w:sz w:val="20"/>
          <w:szCs w:val="20"/>
          <w:color w:val="auto"/>
        </w:rPr>
      </w:pPr>
    </w:p>
    <w:p>
      <w:pPr>
        <w:ind w:left="160"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Fundamental elements of the nCino Bank Operating System are built on the Salesforce Platform and we rely on our agreement with Salesforce to provide our solution to our customers.</w:t>
      </w:r>
    </w:p>
    <w:p>
      <w:pPr>
        <w:spacing w:after="0" w:line="160"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Fundamental elements of the nCino Bank Operating System, including our client onboarding, loan origination and deposit account opening applications, are built on the Salesforce Platform and we rely on our agreement with Salesforce to use the Salesforce Platform in conjunction with our solution, including for hosting infrastructure and data center operations. Any termination of our relationship with Salesforce would result in a materially adverse impact on our business model.</w:t>
      </w:r>
    </w:p>
    <w:p>
      <w:pPr>
        <w:spacing w:after="0" w:line="180"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Our agreement with Salesforce (the “Salesforce Agreement”) expires on June 19, 2027, unless earlier terminated by either party in the event of the other party’s material breach, bankruptcy, change in control in favor of a direct competitor, or intellectual property infringement, and automatically renews for additional one-year periods thereafter unless notice of non-renewal is provided. If we are unable to renew our agreement with Salesforce, there would be, absent a termination for cause, a wind-down period during which existing customers would be able to continue using the nCino Bank Operating System in conjunction with the Salesforce Platform, but we would be unable to provide our solution to new customers and could be limited in our ability to allow current customers to add additional users. In addition, if we are unable to renew our agreement with Salesforce, our customers would need to obtain a separate subscription from Salesforce in order to access the nCino Bank Operating System. This could cause a significant delay in the time required to enter into agreements with customers, place us and our customers at a disadvantage in negotiating with Salesforce, and lead customers not to renew or enter into agreements with us. We also cannot assure you that the pricing or other terms in any renewal with Salesforce would be favorable to us, and if not, our business and operating results may be materially and adversely affected.</w:t>
      </w:r>
    </w:p>
    <w:p>
      <w:pPr>
        <w:spacing w:after="0" w:line="189"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In addition, Salesforce has the right to terminate its agreement with us in certain circumstances, including in the event of a material breach of the agreement by us. If Salesforce terminates our agreement for cause, it would not be required to provide the wind-down period described above. We are also required to indemnify Salesforce for claims made against Salesforce by a third party alleging that the nCino Bank Operating System infringes the intellectual property rights of such third party.</w:t>
      </w:r>
    </w:p>
    <w:p>
      <w:pPr>
        <w:spacing w:after="0" w:line="180" w:lineRule="exact"/>
        <w:rPr>
          <w:sz w:val="20"/>
          <w:szCs w:val="20"/>
          <w:color w:val="auto"/>
        </w:rPr>
      </w:pPr>
    </w:p>
    <w:p>
      <w:pPr>
        <w:ind w:left="160" w:right="120" w:firstLine="873"/>
        <w:spacing w:after="0" w:line="278" w:lineRule="auto"/>
        <w:rPr>
          <w:sz w:val="20"/>
          <w:szCs w:val="20"/>
          <w:color w:val="auto"/>
        </w:rPr>
      </w:pPr>
      <w:r>
        <w:rPr>
          <w:rFonts w:ascii="Times New Roman" w:cs="Times New Roman" w:eastAsia="Times New Roman" w:hAnsi="Times New Roman"/>
          <w:sz w:val="18"/>
          <w:szCs w:val="18"/>
          <w:color w:val="auto"/>
        </w:rPr>
        <w:t>An expiration or termination of our agreement with Salesforce would cause us to incur significant time and expense to acquire rights to, or develop, a replacement solution and we may not be successful in these</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40"/>
          </w:cols>
          <w:pgMar w:left="320" w:top="454" w:right="5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280"/>
        <w:spacing w:after="0" w:line="258" w:lineRule="auto"/>
        <w:rPr>
          <w:sz w:val="20"/>
          <w:szCs w:val="20"/>
          <w:color w:val="auto"/>
        </w:rPr>
      </w:pPr>
      <w:r>
        <w:rPr>
          <w:rFonts w:ascii="Times New Roman" w:cs="Times New Roman" w:eastAsia="Times New Roman" w:hAnsi="Times New Roman"/>
          <w:sz w:val="18"/>
          <w:szCs w:val="18"/>
          <w:color w:val="auto"/>
        </w:rPr>
        <w:t>efforts, which could cause the nCino Bank Operating System to become obsolete. Even if we were to successfully acquire or develop a replacement solution, some customers may decide not to adopt the solution and may, as a result, decide to use a different product. If we were unsuccessful in acquiring or developing a replacement solution or acquire or develop a replacement solution that our customers do not adopt, our business, results of operations and brand would be materially and adversely affected.</w:t>
      </w:r>
    </w:p>
    <w:p>
      <w:pPr>
        <w:spacing w:after="0" w:line="180" w:lineRule="exact"/>
        <w:rPr>
          <w:sz w:val="20"/>
          <w:szCs w:val="20"/>
          <w:color w:val="auto"/>
        </w:rPr>
      </w:pPr>
    </w:p>
    <w:p>
      <w:pPr>
        <w:ind w:left="160" w:right="100" w:firstLine="873"/>
        <w:spacing w:after="0" w:line="285" w:lineRule="auto"/>
        <w:rPr>
          <w:sz w:val="20"/>
          <w:szCs w:val="20"/>
          <w:color w:val="auto"/>
        </w:rPr>
      </w:pPr>
      <w:r>
        <w:rPr>
          <w:rFonts w:ascii="Times New Roman" w:cs="Times New Roman" w:eastAsia="Times New Roman" w:hAnsi="Times New Roman"/>
          <w:sz w:val="17"/>
          <w:szCs w:val="17"/>
          <w:color w:val="auto"/>
        </w:rPr>
        <w:t>Furthermore, there are no exclusivity arrangements in place with Salesforce that would prevent them from developing their own offerings that compete directly with ours, acquiring a company with offerings similar to ours, or investing greater resources in our competitors. While we believe our relationship with Salesforce is strong, Salesforce competing with us could materially and adversely affect our business and results of operations.</w:t>
      </w:r>
    </w:p>
    <w:p>
      <w:pPr>
        <w:spacing w:after="0" w:line="156" w:lineRule="exact"/>
        <w:rPr>
          <w:sz w:val="20"/>
          <w:szCs w:val="20"/>
          <w:color w:val="auto"/>
        </w:rPr>
      </w:pPr>
    </w:p>
    <w:p>
      <w:pPr>
        <w:ind w:left="160" w:right="5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Privacy and data security concerns, data collection and transfer restrictions and related domestic or foreign regulations may limit the use and adoption of the nCino Bank Operating System and adversely affect our business and results of operations.</w:t>
      </w:r>
    </w:p>
    <w:p>
      <w:pPr>
        <w:spacing w:after="0" w:line="160" w:lineRule="exact"/>
        <w:rPr>
          <w:sz w:val="20"/>
          <w:szCs w:val="20"/>
          <w:color w:val="auto"/>
        </w:rPr>
      </w:pPr>
    </w:p>
    <w:p>
      <w:pPr>
        <w:ind w:left="160" w:firstLine="873"/>
        <w:spacing w:after="0" w:line="277" w:lineRule="auto"/>
        <w:rPr>
          <w:sz w:val="20"/>
          <w:szCs w:val="20"/>
          <w:color w:val="auto"/>
        </w:rPr>
      </w:pPr>
      <w:r>
        <w:rPr>
          <w:rFonts w:ascii="Times New Roman" w:cs="Times New Roman" w:eastAsia="Times New Roman" w:hAnsi="Times New Roman"/>
          <w:sz w:val="17"/>
          <w:szCs w:val="17"/>
          <w:color w:val="auto"/>
        </w:rPr>
        <w:t>Personal privacy, information security, and data protection are significant issues in the United States, the European Union (“EU”) and a number of other jurisdictions where we offer the nCino Bank Operating System. The regulatory framework governing the collection, processing, storage and use of certain information, particularly financial and other PII, is rapidly evolving. Any failure or perceived failure by us to comply with applicable privacy, security or data protection laws, regulations or industry standards may materially and adversely affect our business and results of operations.</w:t>
      </w:r>
    </w:p>
    <w:p>
      <w:pPr>
        <w:spacing w:after="0" w:line="167" w:lineRule="exact"/>
        <w:rPr>
          <w:sz w:val="20"/>
          <w:szCs w:val="20"/>
          <w:color w:val="auto"/>
        </w:rPr>
      </w:pPr>
    </w:p>
    <w:p>
      <w:pPr>
        <w:ind w:left="160" w:right="40" w:firstLine="873"/>
        <w:spacing w:after="0" w:line="249" w:lineRule="auto"/>
        <w:rPr>
          <w:sz w:val="20"/>
          <w:szCs w:val="20"/>
          <w:color w:val="auto"/>
        </w:rPr>
      </w:pPr>
      <w:r>
        <w:rPr>
          <w:rFonts w:ascii="Times New Roman" w:cs="Times New Roman" w:eastAsia="Times New Roman" w:hAnsi="Times New Roman"/>
          <w:sz w:val="18"/>
          <w:szCs w:val="18"/>
          <w:color w:val="auto"/>
        </w:rPr>
        <w:t>We expect that there will continue to be new proposed and adopted laws, regulations and industry standards concerning privacy, data protection and information security in the United States, the EU and other jurisdictions in which we operate. For example, California enacted the CCPA which went into effect in January 2020 and, among other things, requires companies covered by the legislation to provide new disclosures to California consumers and afford such consumers new rights of access and deletion for personal information, as well as the right to opt-out of certain sales of personal information. The CCPA was enacted in June 2018, amended in September 2018, amended again in September 2019, and several bills to amend the CCPA further are pending. Draft regulations were issued in October 2019 and revised several times before a final version was submitted and approved in July 2020. Additionally, a referendum called the California Privacy Rights Act will be on the California ballot in November 2020 and may replace the CCPA and further expand upon consumer data privacy rights. It remains unclear what, if any, modifications will be made to the CCPA or how those modifications will be interpreted or enforced. The CCPA or similar legislation may require us to modify our practices and policies and incur substantial costs and expenses in an effort to comply or respond to further changes to laws or regulations. Similarly, the European Commission adopted the GDPR, which became fully effective on May 25, 2018, and imposes similarly complex and stringent data protection requirements with regard to the processing of EU PII. Violations of the GDPR carry penalties of up to 4% of gross annual turnover. In July 2020, the Court of Justice of the European Union (“CJEU”) issued a decision that invalidated the EU-U.S. Privacy Shield Framework as set forth by the U.S. Department of Commerce that provided one basis for the transfer of personal data from the European Union to the United States under the GDPR. The CJEU decision also requires additional safeguards be considered for the use of standard contractual clauses. nCino participates in and has certified to the EU-U.S. Privacy Shield Framework. Additional GDPR interpretations and guidance have been and may continue to be issued related to the recent CJEU decision, as well as with regard to the GDPR and other European data protection requirements, including the ePrivacy Directive. These evolving legal and regulatory requirements may require us to modify our practices and policies and incur substantial costs and expenses in an effort to comply or to adjust to changes in the law or EU member state implementing legislation.</w:t>
      </w:r>
    </w:p>
    <w:p>
      <w:pPr>
        <w:spacing w:after="0" w:line="199" w:lineRule="exact"/>
        <w:rPr>
          <w:sz w:val="20"/>
          <w:szCs w:val="20"/>
          <w:color w:val="auto"/>
        </w:rPr>
      </w:pPr>
    </w:p>
    <w:p>
      <w:pPr>
        <w:ind w:left="160" w:firstLine="873"/>
        <w:spacing w:after="0" w:line="285" w:lineRule="auto"/>
        <w:rPr>
          <w:sz w:val="20"/>
          <w:szCs w:val="20"/>
          <w:color w:val="auto"/>
        </w:rPr>
      </w:pPr>
      <w:r>
        <w:rPr>
          <w:rFonts w:ascii="Times New Roman" w:cs="Times New Roman" w:eastAsia="Times New Roman" w:hAnsi="Times New Roman"/>
          <w:sz w:val="17"/>
          <w:szCs w:val="17"/>
          <w:color w:val="auto"/>
        </w:rPr>
        <w:t>We cannot yet fully determine the impact these or future laws, rules and regulations may have on our business or operations. Any such laws, rules and regulations may be inconsistent among different jurisdictions, subject to differing interpretations or may conflict with our current or future practices. Additionally, we may be bound by contractual requirements applicable to our collection, use, processing and disclosure of various types of</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54" w:right="51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180"/>
        <w:spacing w:after="0" w:line="278" w:lineRule="auto"/>
        <w:rPr>
          <w:sz w:val="20"/>
          <w:szCs w:val="20"/>
          <w:color w:val="auto"/>
        </w:rPr>
      </w:pPr>
      <w:r>
        <w:rPr>
          <w:rFonts w:ascii="Times New Roman" w:cs="Times New Roman" w:eastAsia="Times New Roman" w:hAnsi="Times New Roman"/>
          <w:sz w:val="18"/>
          <w:szCs w:val="18"/>
          <w:color w:val="auto"/>
        </w:rPr>
        <w:t>information including financial and PII, and may be bound by, or voluntarily comply with, self-regulatory or other industry standards relating to these matters that may further change as laws, rules and regulations evolve.</w:t>
      </w:r>
    </w:p>
    <w:p>
      <w:pPr>
        <w:spacing w:after="0" w:line="162" w:lineRule="exact"/>
        <w:rPr>
          <w:sz w:val="20"/>
          <w:szCs w:val="20"/>
          <w:color w:val="auto"/>
        </w:rPr>
      </w:pPr>
    </w:p>
    <w:p>
      <w:pPr>
        <w:ind w:left="160" w:right="120" w:firstLine="873"/>
        <w:spacing w:after="0" w:line="255" w:lineRule="auto"/>
        <w:rPr>
          <w:sz w:val="20"/>
          <w:szCs w:val="20"/>
          <w:color w:val="auto"/>
        </w:rPr>
      </w:pPr>
      <w:r>
        <w:rPr>
          <w:rFonts w:ascii="Times New Roman" w:cs="Times New Roman" w:eastAsia="Times New Roman" w:hAnsi="Times New Roman"/>
          <w:sz w:val="18"/>
          <w:szCs w:val="18"/>
          <w:color w:val="auto"/>
        </w:rPr>
        <w:t>Any failure or perceived failure by us, or any third parties with which we do business, to comply with these laws, rules and regulations, or with other obligations to which we or such third parties are or may become subject, may result in actions or other claims against us by governmental entities or private actors, the expenditure of substantial costs, time and other resources or the incurrence of fines, penalties or other liabilities. In addition, any such action, particularly to the extent we were found to be guilty of violations or otherwise liable for damages, would damage our reputation and adversely affect our business and results of operations.</w:t>
      </w:r>
    </w:p>
    <w:p>
      <w:pPr>
        <w:spacing w:after="0" w:line="180" w:lineRule="exact"/>
        <w:rPr>
          <w:sz w:val="20"/>
          <w:szCs w:val="20"/>
          <w:color w:val="auto"/>
        </w:rPr>
      </w:pPr>
    </w:p>
    <w:p>
      <w:pPr>
        <w:ind w:left="160" w:right="6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Uncertain or weakened economic conditions, including as a result of COVID-19, may adversely affect our industry, business and results of operations.</w:t>
      </w:r>
    </w:p>
    <w:p>
      <w:pPr>
        <w:spacing w:after="0" w:line="160" w:lineRule="exact"/>
        <w:rPr>
          <w:sz w:val="20"/>
          <w:szCs w:val="20"/>
          <w:color w:val="auto"/>
        </w:rPr>
      </w:pPr>
    </w:p>
    <w:p>
      <w:pPr>
        <w:ind w:left="160" w:firstLine="873"/>
        <w:spacing w:after="0" w:line="268" w:lineRule="auto"/>
        <w:rPr>
          <w:sz w:val="20"/>
          <w:szCs w:val="20"/>
          <w:color w:val="auto"/>
        </w:rPr>
      </w:pPr>
      <w:r>
        <w:rPr>
          <w:rFonts w:ascii="Times New Roman" w:cs="Times New Roman" w:eastAsia="Times New Roman" w:hAnsi="Times New Roman"/>
          <w:sz w:val="17"/>
          <w:szCs w:val="17"/>
          <w:color w:val="auto"/>
        </w:rPr>
        <w:t>Our overall performance depends on economic conditions, which may be challenging at various times in the future. Financial developments seemingly unrelated to us or our industry may adversely affect us. Domestic and international economies have from time-to-time been impacted by falling demand for a variety of goods and services, tariffs and other trade issues, threatened sovereign defaults and ratings downgrades, restricted credit, threats to major multinational companies, poor liquidity, reduced corporate profitability, volatility in credit, equity and foreign exchange markets, bankruptcies and overall uncertainty. For example, COVID-19 has created and may continue to create significant uncertainty in global financial markets and the long-term economic impact of COVID-19 is highly uncertain. We cannot predict the timing, strength or duration of the current or any future potential economic slowdown in the United States or globally. These conditions affect the rate of technology spending generally and could adversely affect our customers’ ability or willingness to purchase the nCino Bank Operating System, delay prospective customers’ purchasing decisions, reduce the value or duration of their subscriptions or affect renewal rates, any of which could adversely affect our results of operations.</w:t>
      </w:r>
    </w:p>
    <w:p>
      <w:pPr>
        <w:spacing w:after="0" w:line="171" w:lineRule="exact"/>
        <w:rPr>
          <w:sz w:val="20"/>
          <w:szCs w:val="20"/>
          <w:color w:val="auto"/>
        </w:rPr>
      </w:pPr>
    </w:p>
    <w:p>
      <w:pPr>
        <w:ind w:left="160" w:right="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subscription revenues over the term of the contract, downturns or upturns in our business may not be reflected in our results of operations until future periods.</w:t>
      </w:r>
    </w:p>
    <w:p>
      <w:pPr>
        <w:spacing w:after="0" w:line="160" w:lineRule="exact"/>
        <w:rPr>
          <w:sz w:val="20"/>
          <w:szCs w:val="20"/>
          <w:color w:val="auto"/>
        </w:rPr>
      </w:pPr>
    </w:p>
    <w:p>
      <w:pPr>
        <w:ind w:left="160" w:right="100" w:firstLine="873"/>
        <w:spacing w:after="0" w:line="255" w:lineRule="auto"/>
        <w:rPr>
          <w:sz w:val="20"/>
          <w:szCs w:val="20"/>
          <w:color w:val="auto"/>
        </w:rPr>
      </w:pPr>
      <w:r>
        <w:rPr>
          <w:rFonts w:ascii="Times New Roman" w:cs="Times New Roman" w:eastAsia="Times New Roman" w:hAnsi="Times New Roman"/>
          <w:sz w:val="18"/>
          <w:szCs w:val="18"/>
          <w:color w:val="auto"/>
        </w:rPr>
        <w:t>We generally recognize subscription revenues ratably over the terms of our customer contracts, which typically range from three to five years. Most of the subscription revenues we report each quarter are derived from the recognition of deferred revenue relating to subscriptions activated in previous quarters. Consequently, a reduction in activated subscriptions in any single quarter may only have a small impact on our revenues for that quarter. However, such a decline will negatively affect our revenues in future quarters. Accordingly, the effect of significant downturns in sales or market acceptance of our solution may not be reflected in our results of operations until future periods.</w:t>
      </w:r>
    </w:p>
    <w:p>
      <w:pPr>
        <w:spacing w:after="0" w:line="180" w:lineRule="exact"/>
        <w:rPr>
          <w:sz w:val="20"/>
          <w:szCs w:val="20"/>
          <w:color w:val="auto"/>
        </w:rPr>
      </w:pPr>
    </w:p>
    <w:p>
      <w:pPr>
        <w:ind w:left="160" w:right="7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it as we grow, we could lose the innovation, creativity and teamwork fostered by our culture, and our business may be adversely affected.</w:t>
      </w:r>
    </w:p>
    <w:p>
      <w:pPr>
        <w:spacing w:after="0" w:line="160"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We believe our corporate culture is one of our fundamental strengths, as we believe it enables us to attract and retain top talent and deliver superior results for our customers. As we grow, we may find it difficult to preserve our corporate culture, which could reduce our ability to innovate and operate effectively. In turn, the failure to preserve our culture could negatively affect our ability to attract, recruit, integrate and retain employees, continue to perform at current levels and effectively execute our business strategy.</w:t>
      </w:r>
    </w:p>
    <w:p>
      <w:pPr>
        <w:spacing w:after="0" w:line="176" w:lineRule="exact"/>
        <w:rPr>
          <w:sz w:val="20"/>
          <w:szCs w:val="20"/>
          <w:color w:val="auto"/>
        </w:rPr>
      </w:pPr>
    </w:p>
    <w:p>
      <w:pPr>
        <w:ind w:left="16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derive all of our revenues from customers in the financial services industry, and any downturn or consolidation or decrease in technology spend in the financial services industry could adversely affect our business.</w:t>
      </w:r>
    </w:p>
    <w:p>
      <w:pPr>
        <w:spacing w:after="0" w:line="160" w:lineRule="exact"/>
        <w:rPr>
          <w:sz w:val="20"/>
          <w:szCs w:val="20"/>
          <w:color w:val="auto"/>
        </w:rPr>
      </w:pPr>
    </w:p>
    <w:p>
      <w:pPr>
        <w:ind w:left="160" w:right="540" w:firstLine="873"/>
        <w:spacing w:after="0" w:line="278" w:lineRule="auto"/>
        <w:rPr>
          <w:sz w:val="20"/>
          <w:szCs w:val="20"/>
          <w:color w:val="auto"/>
        </w:rPr>
      </w:pPr>
      <w:r>
        <w:rPr>
          <w:rFonts w:ascii="Times New Roman" w:cs="Times New Roman" w:eastAsia="Times New Roman" w:hAnsi="Times New Roman"/>
          <w:sz w:val="18"/>
          <w:szCs w:val="18"/>
          <w:color w:val="auto"/>
        </w:rPr>
        <w:t>All of our revenues are derived from financial institutions whose industry has experienced significant pressure in recent years due to economic uncertainty, low interest rates, liquidity concerns and increased</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320" w:top="454" w:right="5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100"/>
        <w:spacing w:after="0" w:line="251" w:lineRule="auto"/>
        <w:rPr>
          <w:sz w:val="20"/>
          <w:szCs w:val="20"/>
          <w:color w:val="auto"/>
        </w:rPr>
      </w:pPr>
      <w:r>
        <w:rPr>
          <w:rFonts w:ascii="Times New Roman" w:cs="Times New Roman" w:eastAsia="Times New Roman" w:hAnsi="Times New Roman"/>
          <w:sz w:val="18"/>
          <w:szCs w:val="18"/>
          <w:color w:val="auto"/>
        </w:rPr>
        <w:t>regulation. In the past, financial institutions have experienced consolidation, distress and failure. It is possible these conditions may reoccur. If any of our customers merge with or are acquired by other entities, such as financial institutions that have internally developed banking technology solutions or that are not our customers or use our solution less, we may lose business. Additionally, changes in management of our customers could result in delays or cancellations of the implementation of our solution. It is also possible that the larger financial institutions that result from business combinations could have greater leverage in negotiating price or other terms with us or could decide to replace some or all of the elements of our solution. Our business may also be materially and adversely affected by weak economic conditions in the financial services industry. Any downturn in the financial services industry may cause our customers to reduce their spending on technology or cloud-based banking technology or to seek to terminate or renegotiate their contracts with us. Moreover, even if the overall economy is robust, economic fluctuations caused by things such as the U.S. Federal Reserve lowering interest rates may cause potential new customers and existing customers to become less profitable and therefore forego or delay purchasing our solution or reduce the amount of spend with us, which would materially and adversely affect our business.</w:t>
      </w:r>
    </w:p>
    <w:p>
      <w:pPr>
        <w:spacing w:after="0" w:line="185" w:lineRule="exact"/>
        <w:rPr>
          <w:sz w:val="20"/>
          <w:szCs w:val="20"/>
          <w:color w:val="auto"/>
        </w:rPr>
      </w:pPr>
    </w:p>
    <w:p>
      <w:pPr>
        <w:ind w:left="160" w:right="2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intensely competitive and highly fragmented, and pricing pressure, new technologies or other competitive dynamics could adversely affect our business and results of operations.</w:t>
      </w:r>
    </w:p>
    <w:p>
      <w:pPr>
        <w:spacing w:after="0" w:line="160" w:lineRule="exact"/>
        <w:rPr>
          <w:sz w:val="20"/>
          <w:szCs w:val="20"/>
          <w:color w:val="auto"/>
        </w:rPr>
      </w:pPr>
    </w:p>
    <w:p>
      <w:pPr>
        <w:ind w:left="160" w:right="40" w:firstLine="873"/>
        <w:spacing w:after="0" w:line="274" w:lineRule="auto"/>
        <w:rPr>
          <w:sz w:val="20"/>
          <w:szCs w:val="20"/>
          <w:color w:val="auto"/>
        </w:rPr>
      </w:pPr>
      <w:r>
        <w:rPr>
          <w:rFonts w:ascii="Times New Roman" w:cs="Times New Roman" w:eastAsia="Times New Roman" w:hAnsi="Times New Roman"/>
          <w:sz w:val="17"/>
          <w:szCs w:val="17"/>
          <w:color w:val="auto"/>
        </w:rPr>
        <w:t>We currently compete with providers of technology and services in the financial services industry, primarily point solution vendors that focus on building functionality that competes with specific components of the nCino Bank Operating System. From time to time, we also compete with systems internally developed by financial institutions. Many of our competitors have significantly more financial, technical, marketing and other resources than we have, may devote greater resources to the development, promotion, sale and support of their systems than we can, have more extensive customer bases and broader customer relationships than we have and have longer operating histories and greater name recognition than we do.</w:t>
      </w:r>
    </w:p>
    <w:p>
      <w:pPr>
        <w:spacing w:after="0" w:line="168" w:lineRule="exact"/>
        <w:rPr>
          <w:sz w:val="20"/>
          <w:szCs w:val="20"/>
          <w:color w:val="auto"/>
        </w:rPr>
      </w:pPr>
    </w:p>
    <w:p>
      <w:pPr>
        <w:ind w:left="160" w:right="100" w:firstLine="873"/>
        <w:spacing w:after="0" w:line="255" w:lineRule="auto"/>
        <w:rPr>
          <w:sz w:val="20"/>
          <w:szCs w:val="20"/>
          <w:color w:val="auto"/>
        </w:rPr>
      </w:pPr>
      <w:r>
        <w:rPr>
          <w:rFonts w:ascii="Times New Roman" w:cs="Times New Roman" w:eastAsia="Times New Roman" w:hAnsi="Times New Roman"/>
          <w:sz w:val="18"/>
          <w:szCs w:val="18"/>
          <w:color w:val="auto"/>
        </w:rPr>
        <w:t>We may also face competition from new companies entering our markets, which may include large established businesses that decide to develop, market or resell cloud-based banking technology, acquire one of our competitors or form a strategic alliance with one of our competitors or with Salesforce. In addition, new companies entering our markets may choose to offer cloud-based banking applications at little or no additional cost to the customer by bundling them with their existing applications, including adjacent banking technologies. Competition from these new entrants may make attracting new customers and retaining our current customers more difficult, which may adversely affect our results of operations.</w:t>
      </w:r>
    </w:p>
    <w:p>
      <w:pPr>
        <w:spacing w:after="0" w:line="184" w:lineRule="exact"/>
        <w:rPr>
          <w:sz w:val="20"/>
          <w:szCs w:val="20"/>
          <w:color w:val="auto"/>
        </w:rPr>
      </w:pPr>
    </w:p>
    <w:p>
      <w:pPr>
        <w:ind w:left="160" w:right="40" w:firstLine="873"/>
        <w:spacing w:after="0" w:line="263" w:lineRule="auto"/>
        <w:rPr>
          <w:sz w:val="20"/>
          <w:szCs w:val="20"/>
          <w:color w:val="auto"/>
        </w:rPr>
      </w:pPr>
      <w:r>
        <w:rPr>
          <w:rFonts w:ascii="Times New Roman" w:cs="Times New Roman" w:eastAsia="Times New Roman" w:hAnsi="Times New Roman"/>
          <w:sz w:val="18"/>
          <w:szCs w:val="18"/>
          <w:color w:val="auto"/>
        </w:rPr>
        <w:t>If we are unable to compete in this environment, sales and renewals of the nCino Bank Operating System could decline and adversely affect our business and results of operations. With the introduction of new technologies and potential new entrants into the cloud-based banking technology market, we expect competition to intensify in the future, which could harm our ability to increase sales and achieve profitability.</w:t>
      </w:r>
    </w:p>
    <w:p>
      <w:pPr>
        <w:spacing w:after="0" w:line="171"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depend on data centers operated by or on behalf of Salesforce and other third parties, and any disruption in the operation of these facilities could adversely affect our business and subject us to liability.</w:t>
      </w:r>
    </w:p>
    <w:p>
      <w:pPr>
        <w:spacing w:after="0" w:line="160"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color w:val="auto"/>
        </w:rPr>
        <w:t>The nCino Bank Operating System is primarily hosted in data centers operated by or on behalf of Salesforce and other third parties and we do not control the operation of these data centers. Problems associated with these data centers could adversely affect the experience of our customers. Any disruptions or other operational performance problems with these data centers could result in material interruptions in our services, adversely affect our reputation and results of operations and subject us to liability.</w:t>
      </w:r>
    </w:p>
    <w:p>
      <w:pPr>
        <w:spacing w:after="0" w:line="176" w:lineRule="exact"/>
        <w:rPr>
          <w:sz w:val="20"/>
          <w:szCs w:val="20"/>
          <w:color w:val="auto"/>
        </w:rPr>
      </w:pPr>
    </w:p>
    <w:p>
      <w:pPr>
        <w:ind w:left="160" w:right="4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encounter implementation challenges, including in situations in which we rely on SIs, which would materially and adversely affect our business and results of operations.</w:t>
      </w:r>
    </w:p>
    <w:p>
      <w:pPr>
        <w:spacing w:after="0" w:line="160" w:lineRule="exact"/>
        <w:rPr>
          <w:sz w:val="20"/>
          <w:szCs w:val="20"/>
          <w:color w:val="auto"/>
        </w:rPr>
      </w:pPr>
    </w:p>
    <w:p>
      <w:pPr>
        <w:ind w:left="160" w:right="840" w:firstLine="873"/>
        <w:spacing w:after="0" w:line="278" w:lineRule="auto"/>
        <w:rPr>
          <w:sz w:val="20"/>
          <w:szCs w:val="20"/>
          <w:color w:val="auto"/>
        </w:rPr>
      </w:pPr>
      <w:r>
        <w:rPr>
          <w:rFonts w:ascii="Times New Roman" w:cs="Times New Roman" w:eastAsia="Times New Roman" w:hAnsi="Times New Roman"/>
          <w:sz w:val="18"/>
          <w:szCs w:val="18"/>
          <w:color w:val="auto"/>
        </w:rPr>
        <w:t>We may face unexpected challenges related to the complexity of our customers’ implementation and configuration requirements. Implementation of our solution may be delayed or expenses may increase when</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4" w:right="4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100"/>
        <w:spacing w:after="0" w:line="254" w:lineRule="auto"/>
        <w:rPr>
          <w:sz w:val="20"/>
          <w:szCs w:val="20"/>
          <w:color w:val="auto"/>
        </w:rPr>
      </w:pPr>
      <w:r>
        <w:rPr>
          <w:rFonts w:ascii="Times New Roman" w:cs="Times New Roman" w:eastAsia="Times New Roman" w:hAnsi="Times New Roman"/>
          <w:sz w:val="18"/>
          <w:szCs w:val="18"/>
          <w:color w:val="auto"/>
        </w:rPr>
        <w:t>customers have unexpected data, software or technology challenges, or unanticipated business requirements, which could adversely affect our relationship with customers and our operating results. In general, the revenues related to implementation and other professional services we provide are recognized on a proportional performance basis, and delays and difficulties in these engagements could result in losses on these contracts. In addition, our customers often require complex acceptance testing related to the implementation of our solution. We also leverage the services of SIs, including Accenture, Deloitte, PwC and West Monroe Partners, among others, to implement and configure the nCino Bank Operating System for our larger financial institution customers, and we are increasingly using other SIs for smaller engagements as we continue to scale our business.</w:t>
      </w:r>
    </w:p>
    <w:p>
      <w:pPr>
        <w:spacing w:after="0" w:line="184" w:lineRule="exact"/>
        <w:rPr>
          <w:sz w:val="20"/>
          <w:szCs w:val="20"/>
          <w:color w:val="auto"/>
        </w:rPr>
      </w:pPr>
    </w:p>
    <w:p>
      <w:pPr>
        <w:ind w:left="160" w:right="80" w:firstLine="873"/>
        <w:spacing w:after="0" w:line="253" w:lineRule="auto"/>
        <w:rPr>
          <w:sz w:val="20"/>
          <w:szCs w:val="20"/>
          <w:color w:val="auto"/>
        </w:rPr>
      </w:pPr>
      <w:r>
        <w:rPr>
          <w:rFonts w:ascii="Times New Roman" w:cs="Times New Roman" w:eastAsia="Times New Roman" w:hAnsi="Times New Roman"/>
          <w:sz w:val="18"/>
          <w:szCs w:val="18"/>
          <w:color w:val="auto"/>
        </w:rPr>
        <w:t>While SIs generally contract directly with our customers, any failure or delay by the SIs we work with in providing adequate service and support would likely adversely affect our brand and reputation. For implementations we conduct ourselves, project delays may result in recognizing revenues later than expected. Further, because we do not fully control our customers’ implementation schedules, if our customers do not allocate the internal resources necessary to meet implementation timelines or if there are unanticipated implementation delays or difficulties, our ability to take customers live and the overall customer experience could be adversely affected. We rely on existing customers to act as references for prospective customers, and difficulties in implementation and configuration could therefore adversely affect our ability to attract new customers. Any difficulties or delays in implementation processes could cause customers to delay or forego future purchases of our solution.</w:t>
      </w:r>
    </w:p>
    <w:p>
      <w:pPr>
        <w:spacing w:after="0" w:line="180" w:lineRule="exact"/>
        <w:rPr>
          <w:sz w:val="20"/>
          <w:szCs w:val="20"/>
          <w:color w:val="auto"/>
        </w:rPr>
      </w:pPr>
    </w:p>
    <w:p>
      <w:pPr>
        <w:ind w:left="160" w:right="2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and if we fail to manage our growth effectively, we may be unable to execute our business plan, maintain high levels of service and customer satisfaction or adequately address competitive challenges, any of which may materially and adversely affect our business and results of operations.</w:t>
      </w:r>
    </w:p>
    <w:p>
      <w:pPr>
        <w:spacing w:after="0" w:line="174" w:lineRule="exact"/>
        <w:rPr>
          <w:sz w:val="20"/>
          <w:szCs w:val="20"/>
          <w:color w:val="auto"/>
        </w:rPr>
      </w:pPr>
    </w:p>
    <w:p>
      <w:pPr>
        <w:ind w:left="160" w:right="320" w:firstLine="873"/>
        <w:spacing w:after="0" w:line="259" w:lineRule="auto"/>
        <w:rPr>
          <w:sz w:val="20"/>
          <w:szCs w:val="20"/>
          <w:color w:val="auto"/>
        </w:rPr>
      </w:pPr>
      <w:r>
        <w:rPr>
          <w:rFonts w:ascii="Times New Roman" w:cs="Times New Roman" w:eastAsia="Times New Roman" w:hAnsi="Times New Roman"/>
          <w:sz w:val="18"/>
          <w:szCs w:val="18"/>
          <w:color w:val="auto"/>
        </w:rPr>
        <w:t>Since our inception, our business has grown rapidly, which has resulted in a large increase in our employee headcount, expansion of our infrastructure, enhancement of our internal systems and other significant changes and additional complexities. Our revenues increased from</w:t>
      </w:r>
    </w:p>
    <w:p>
      <w:pPr>
        <w:ind w:left="160"/>
        <w:spacing w:after="0" w:line="249" w:lineRule="auto"/>
        <w:rPr>
          <w:sz w:val="20"/>
          <w:szCs w:val="20"/>
          <w:color w:val="auto"/>
        </w:rPr>
      </w:pPr>
      <w:r>
        <w:rPr>
          <w:rFonts w:ascii="Times New Roman" w:cs="Times New Roman" w:eastAsia="Times New Roman" w:hAnsi="Times New Roman"/>
          <w:sz w:val="18"/>
          <w:szCs w:val="18"/>
          <w:color w:val="auto"/>
        </w:rPr>
        <w:t>$58.1 million for fiscal 2018 to $91.5 million for fiscal 2019 to $138.2 million for fiscal 2020, and from $61.8 million for the six months ended July 31, 2019 to $93.5 million for the six months ended July 31, 2020. Our total number of employees increased from 436 as of January 31, 2018 to 991 as of July 31, 2020. Managing and sustaining a growing workforce and customer base geographically-dispersed in the United States and internationally will require substantial management effort, infrastructure and operational capabilities. To support our growth, we must continue to improve our management resources and our operational and financial controls and systems, and these improvements may increase our expenses more than anticipated and result in a more complex business. We will also have to expand and enhance the capabilities of our sales, relationship management, implementation, customer service, research and development, and other personnel to support our growth and continue to achieve high levels of customer service and satisfaction. Our success will depend on our ability to plan for and manage this growth effectively. If we fail to anticipate and manage our growth or are unable to continue to provide high levels of customer service, our reputation, as well as our business and results of operations, could be materially and adversely affected.</w:t>
      </w:r>
    </w:p>
    <w:p>
      <w:pPr>
        <w:spacing w:after="0" w:line="183" w:lineRule="exact"/>
        <w:rPr>
          <w:sz w:val="20"/>
          <w:szCs w:val="20"/>
          <w:color w:val="auto"/>
        </w:rPr>
      </w:pPr>
    </w:p>
    <w:p>
      <w:pPr>
        <w:ind w:left="160" w:right="3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Defects, errors or other performance problems in the nCino Bank Operating System could harm our reputation, result in significant costs to us, impair our ability to sell our solution and subject us to substantial liability.</w:t>
      </w:r>
    </w:p>
    <w:p>
      <w:pPr>
        <w:spacing w:after="0" w:line="160" w:lineRule="exact"/>
        <w:rPr>
          <w:sz w:val="20"/>
          <w:szCs w:val="20"/>
          <w:color w:val="auto"/>
        </w:rPr>
      </w:pPr>
    </w:p>
    <w:p>
      <w:pPr>
        <w:ind w:left="160" w:right="100" w:firstLine="873"/>
        <w:spacing w:after="0" w:line="254" w:lineRule="auto"/>
        <w:rPr>
          <w:sz w:val="20"/>
          <w:szCs w:val="20"/>
          <w:color w:val="auto"/>
        </w:rPr>
      </w:pPr>
      <w:r>
        <w:rPr>
          <w:rFonts w:ascii="Times New Roman" w:cs="Times New Roman" w:eastAsia="Times New Roman" w:hAnsi="Times New Roman"/>
          <w:sz w:val="18"/>
          <w:szCs w:val="18"/>
          <w:color w:val="auto"/>
        </w:rPr>
        <w:t>The nCino Bank Operating System is complex and may contain defects or errors when implemented or when new functionality is released. Despite extensive testing, from time to time we have discovered and may in the future discover defects or errors in our solution. Any performance problems or defects in our solution may materially and adversely affect our business and results of operations. Defects, errors or other performance problems or disruptions in service to provide bug fixes or upgrades, whether in connection with day-to-day operations or otherwise, could be costly for us, damage our customers’ businesses and harm our reputation. In addition, if we have any such errors, defects or other performance problems, our customers could seek to</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4" w:right="51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both"/>
        <w:ind w:left="160" w:right="140"/>
        <w:spacing w:after="0" w:line="263" w:lineRule="auto"/>
        <w:rPr>
          <w:sz w:val="20"/>
          <w:szCs w:val="20"/>
          <w:color w:val="auto"/>
        </w:rPr>
      </w:pPr>
      <w:r>
        <w:rPr>
          <w:rFonts w:ascii="Times New Roman" w:cs="Times New Roman" w:eastAsia="Times New Roman" w:hAnsi="Times New Roman"/>
          <w:sz w:val="18"/>
          <w:szCs w:val="18"/>
          <w:color w:val="auto"/>
        </w:rPr>
        <w:t>terminate their contracts, elect not to renew their subscriptions, delay or withhold payment or make claims against us. Any of these actions could result in liability, lost business, increased insurance costs, difficulty in collecting accounts receivable, costly litigation or adverse publicity. Errors, defects or other problems could also result in reduced sales or a loss of, or delay in, the market acceptance of our solution.</w:t>
      </w:r>
    </w:p>
    <w:p>
      <w:pPr>
        <w:spacing w:after="0" w:line="171" w:lineRule="exact"/>
        <w:rPr>
          <w:sz w:val="20"/>
          <w:szCs w:val="20"/>
          <w:color w:val="auto"/>
        </w:rPr>
      </w:pPr>
    </w:p>
    <w:p>
      <w:pPr>
        <w:ind w:left="160" w:right="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anticipate and respond to rapid changes in the industry in which we operate, our ability to attract and retain customers could be impaired and our competitive position could be harmed.</w:t>
      </w:r>
    </w:p>
    <w:p>
      <w:pPr>
        <w:spacing w:after="0" w:line="160"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color w:val="auto"/>
        </w:rPr>
        <w:t>The financial services industry is subject to rapid change and the introduction of new technologies to meet the needs of this industry will continue to have a significant effect on competitive conditions in our market. If we are unable to successfully expand our product offerings beyond our current solution, our customers could migrate to competitors who may offer a broader or more attractive range of products and services. For example, we recently launched our nIQ capabilities and we may fail to achieve market acceptance of this offering. Unexpected delays in releasing new or enhanced versions of our solution, or errors following their release, could result in loss of sales, delay in market acceptance, or customer claims against us, any of which could adversely affect our business. The success of any new solution depends on several factors, including timely completion, adequate quality testing and market acceptance. We may not be able to enhance aspects of our solution successfully or introduce and gain market acceptance of new applications or improvements in a timely manner, or at all. Additionally, we must continually modify and enhance our solution to keep pace with changes in software applications, database technology, and evolving technical standards and interfaces. Uncertainties related to our ability to introduce and improve functionality, announcements or introductions of a new or updated solution or modifications by our competitors could adversely affect our business and results of operations.</w:t>
      </w:r>
    </w:p>
    <w:p>
      <w:pPr>
        <w:spacing w:after="0" w:line="183" w:lineRule="exact"/>
        <w:rPr>
          <w:sz w:val="20"/>
          <w:szCs w:val="20"/>
          <w:color w:val="auto"/>
        </w:rPr>
      </w:pPr>
    </w:p>
    <w:p>
      <w:pPr>
        <w:ind w:left="160" w:right="2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leverage third-party software, content and services for use with our solution. Performance issues, errors and defects, or failure to successfully integrate or license necessary third-party software, content or services, could cause delays, errors, or failures of our solution, increases in our expenses and reductions in our sales, which could materially and adversely affect our business and results of operations.</w:t>
      </w:r>
    </w:p>
    <w:p>
      <w:pPr>
        <w:spacing w:after="0" w:line="174"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We use software and content licensed from, and services provided by, a variety of third parties in connection with the operation of our solution. Any performance issues, errors, bugs, or defects in third-party software, content or services could result in errors or a failure of our solution, which could adversely affect our business and results of operations. In the future, we might need to license other software, content or services to enhance our solution and meet evolving customer demands and requirements. Any limitations in our ability to use third-party software, content or services could significantly increase our expenses and otherwise result in delays, a reduction in functionality, or errors or failures of our solution until equivalent technology or content is either developed by us or, if available, identified, obtained through purchase or license, and integrated into our solution. In addition, third-party licenses may expose us to increased risks, including risks associated with the integration of new technology, the diversion of resources from the development of our own proprietary technology, and our inability to generate revenues from new technology sufficient to offset associated acquisition and maintenance costs, all of which may increase our expenses and materially and adversely affect our business and results of operations.</w:t>
      </w:r>
    </w:p>
    <w:p>
      <w:pPr>
        <w:spacing w:after="0" w:line="185" w:lineRule="exact"/>
        <w:rPr>
          <w:sz w:val="20"/>
          <w:szCs w:val="20"/>
          <w:color w:val="auto"/>
        </w:rPr>
      </w:pPr>
    </w:p>
    <w:p>
      <w:pPr>
        <w:ind w:left="160" w:right="2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spacing w:after="0" w:line="174" w:lineRule="exact"/>
        <w:rPr>
          <w:sz w:val="20"/>
          <w:szCs w:val="20"/>
          <w:color w:val="auto"/>
        </w:rPr>
      </w:pPr>
    </w:p>
    <w:p>
      <w:pPr>
        <w:ind w:left="160" w:right="140" w:firstLine="873"/>
        <w:spacing w:after="0" w:line="255" w:lineRule="auto"/>
        <w:rPr>
          <w:sz w:val="20"/>
          <w:szCs w:val="20"/>
          <w:color w:val="auto"/>
        </w:rPr>
      </w:pPr>
      <w:r>
        <w:rPr>
          <w:rFonts w:ascii="Times New Roman" w:cs="Times New Roman" w:eastAsia="Times New Roman" w:hAnsi="Times New Roman"/>
          <w:sz w:val="18"/>
          <w:szCs w:val="18"/>
          <w:color w:val="auto"/>
        </w:rPr>
        <w:t>From time to time, we consider potential strategic transactions, including acquisitions of, or investments in, businesses, technologies, services, solutions and other assets. For example, in fiscal 2020, we acquired Visible Equity and FinSuite and established our nCino K.K. joint venture in Japan. We also may enter into relationships with other businesses to expand our solution, which could involve preferred or exclusive licenses, additional channels of distribution, discount pricing or investments in other companies. Negotiating these transactions can be time-consuming, difficult and expensive, and our ability to close these transactions may be subject to</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4" w:right="4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140"/>
        <w:spacing w:after="0" w:line="255" w:lineRule="auto"/>
        <w:rPr>
          <w:sz w:val="20"/>
          <w:szCs w:val="20"/>
          <w:color w:val="auto"/>
        </w:rPr>
      </w:pPr>
      <w:r>
        <w:rPr>
          <w:rFonts w:ascii="Times New Roman" w:cs="Times New Roman" w:eastAsia="Times New Roman" w:hAnsi="Times New Roman"/>
          <w:sz w:val="18"/>
          <w:szCs w:val="18"/>
          <w:color w:val="auto"/>
        </w:rPr>
        <w:t>approvals that are beyond our control. In addition, nCino has limited experience in acquiring other businesses. If an acquired business fails to meet our expectations, our operating results, business and financial position may suffer. We may not be able to find and identify desirable acquisition targets, we may incorrectly estimate the value of an acquisition target, and we may not be successful in entering into an agreement with any particular target. If we are successful in acquiring additional businesses, we may not achieve the anticipated benefits from the acquired business due to a number of factors, including:</w:t>
      </w:r>
    </w:p>
    <w:p>
      <w:pPr>
        <w:spacing w:after="0" w:line="211" w:lineRule="exact"/>
        <w:rPr>
          <w:sz w:val="20"/>
          <w:szCs w:val="20"/>
          <w:color w:val="auto"/>
        </w:rPr>
      </w:pPr>
    </w:p>
    <w:p>
      <w:pPr>
        <w:ind w:left="1460" w:hanging="316"/>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integrate or benefit from acquired technologies or services;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acquisition-related costs;</w:t>
      </w:r>
    </w:p>
    <w:p>
      <w:pPr>
        <w:spacing w:after="0" w:line="247" w:lineRule="exact"/>
        <w:rPr>
          <w:rFonts w:ascii="Times New Roman" w:cs="Times New Roman" w:eastAsia="Times New Roman" w:hAnsi="Times New Roman"/>
          <w:sz w:val="18"/>
          <w:szCs w:val="18"/>
          <w:color w:val="auto"/>
        </w:rPr>
      </w:pPr>
    </w:p>
    <w:p>
      <w:pPr>
        <w:ind w:left="1460" w:right="20" w:hanging="316"/>
        <w:spacing w:after="0" w:line="278" w:lineRule="auto"/>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technology, accounting systems, operations, control environments and personnel of the acquired business and integrating the acquired business or its employees into our culture;</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solutions and infrastructure of the acquired business;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converting the customers of the acquired business to our solution and contract terms, including disparities in licensing terms;</w:t>
      </w:r>
    </w:p>
    <w:p>
      <w:pPr>
        <w:spacing w:after="0" w:line="259" w:lineRule="exact"/>
        <w:rPr>
          <w:rFonts w:ascii="Times New Roman" w:cs="Times New Roman" w:eastAsia="Times New Roman" w:hAnsi="Times New Roman"/>
          <w:sz w:val="17"/>
          <w:szCs w:val="17"/>
          <w:color w:val="auto"/>
        </w:rPr>
      </w:pPr>
    </w:p>
    <w:p>
      <w:pPr>
        <w:ind w:left="1460" w:hanging="316"/>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costs for the support or professional services model of the acquired company;</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and other resources;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customers;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equity securities that could dilute the ownership interests of our stockholders;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debt on terms unfavorable to us or that we are unable to repay;</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liabilities;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key employees of the acquired business;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substantial depreciation or deferred compensation charges.</w:t>
      </w:r>
    </w:p>
    <w:p>
      <w:pPr>
        <w:spacing w:after="0" w:line="221" w:lineRule="exact"/>
        <w:rPr>
          <w:sz w:val="20"/>
          <w:szCs w:val="20"/>
          <w:color w:val="auto"/>
        </w:rPr>
      </w:pPr>
    </w:p>
    <w:p>
      <w:pPr>
        <w:ind w:left="160" w:right="140" w:firstLine="873"/>
        <w:spacing w:after="0" w:line="263"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1" w:lineRule="exact"/>
        <w:rPr>
          <w:sz w:val="20"/>
          <w:szCs w:val="20"/>
          <w:color w:val="auto"/>
        </w:rPr>
      </w:pPr>
    </w:p>
    <w:p>
      <w:pPr>
        <w:ind w:left="160" w:right="5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Because two of our stockholders collectively hold a substantial majority of our total outstanding common stock, the influence of our public stockholders over significant corporate actions will be limited and sales by either of these stockholders could adversely affect the value of our common stock.</w:t>
      </w:r>
    </w:p>
    <w:p>
      <w:pPr>
        <w:spacing w:after="0" w:line="174" w:lineRule="exact"/>
        <w:rPr>
          <w:sz w:val="20"/>
          <w:szCs w:val="20"/>
          <w:color w:val="auto"/>
        </w:rPr>
      </w:pPr>
    </w:p>
    <w:p>
      <w:pPr>
        <w:ind w:left="160" w:right="200" w:firstLine="873"/>
        <w:spacing w:after="0" w:line="263" w:lineRule="auto"/>
        <w:rPr>
          <w:sz w:val="20"/>
          <w:szCs w:val="20"/>
          <w:color w:val="auto"/>
        </w:rPr>
      </w:pPr>
      <w:r>
        <w:rPr>
          <w:rFonts w:ascii="Times New Roman" w:cs="Times New Roman" w:eastAsia="Times New Roman" w:hAnsi="Times New Roman"/>
          <w:sz w:val="18"/>
          <w:szCs w:val="18"/>
          <w:color w:val="auto"/>
        </w:rPr>
        <w:t>Based on the total number of shares of our common stock outstanding as of July 31, 2020, prior to the completion of this offering, entities affiliated with Insight Partners (“Insight Partners”) and Salesforce hold 41.7% and 11.8% of our total outstanding common stock, respectively. As a result, Insight Partners by itself, and</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4" w:right="49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to a lesser degree, Salesforce, will have the ability to influence the outcome of corporate actions requiring stockholder approval, including the election of directors, the approval of mergers or other changes of corporate control, any of which may be in opposition to the best interests of our other stockholders and may adversely impact our results of operations and the value of our common stock. Further, although we have what we consider to be a deep commercial relationship with Salesforce, it has the right to, and has no duty to abstain from exercising its right to, engage or invest in the same or similar business as us, and do business with any of our customers and any other party with which we do business. Conflicts of interest could arise between us and Salesforce, and any conflict of interest may be resolved in a manner that does not favor us. Sales of our common stock by Insight or Salesforce could have an immediate and substantial adverse affect on the value of our common stock.</w:t>
      </w:r>
    </w:p>
    <w:p>
      <w:pPr>
        <w:spacing w:after="0" w:line="180" w:lineRule="exact"/>
        <w:rPr>
          <w:sz w:val="20"/>
          <w:szCs w:val="20"/>
          <w:color w:val="auto"/>
        </w:rPr>
      </w:pPr>
    </w:p>
    <w:p>
      <w:pPr>
        <w:ind w:left="160" w:righ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customers are highly regulated and subject to a number of challenges and risks. Our failure to comply with laws and regulations applicable to us as a technology provider to financial institutions could adversely affect our business and results of operations, increase costs and impose constraints on the way we conduct our business.</w:t>
      </w:r>
    </w:p>
    <w:p>
      <w:pPr>
        <w:spacing w:after="0" w:line="174" w:lineRule="exact"/>
        <w:rPr>
          <w:sz w:val="20"/>
          <w:szCs w:val="20"/>
          <w:color w:val="auto"/>
        </w:rPr>
      </w:pPr>
    </w:p>
    <w:p>
      <w:pPr>
        <w:ind w:left="160" w:right="40" w:firstLine="873"/>
        <w:spacing w:after="0" w:line="250" w:lineRule="auto"/>
        <w:rPr>
          <w:sz w:val="20"/>
          <w:szCs w:val="20"/>
          <w:color w:val="auto"/>
        </w:rPr>
      </w:pPr>
      <w:r>
        <w:rPr>
          <w:rFonts w:ascii="Times New Roman" w:cs="Times New Roman" w:eastAsia="Times New Roman" w:hAnsi="Times New Roman"/>
          <w:sz w:val="18"/>
          <w:szCs w:val="18"/>
          <w:color w:val="auto"/>
        </w:rPr>
        <w:t>Our customers and prospective customers are highly regulated and are generally required to comply with stringent regulations in connection with performing business functions that the nCino Bank Operating System addresses. As a provider of technology to financial institutions, we may be examined on a periodic basis by various regulatory agencies and may be required to review certain of our suppliers and partners. In addition, while much of our operations are not directly subject to the same regulations applicable to financial institutions, we are generally obligated to our customers to provide software solutions and maintain internal systems and processes that comply with certain federal and state regulations applicable to them. For example, as a result of obligations under some of our customer contracts, we are required to comply with certain provisions of the Gramm-Leach-Bliley Act related to the privacy of consumer information and may be subject to other privacy and data security laws because of the solution we provide to financial institutions. Matters subject to review and examination by federal and state financial institution regulatory agencies and external auditors include our internal information technology controls in connection with our performance of data processing services, the agreements giving rise to those processing activities, and the design of our solution. Any inability to satisfy these examinations and maintain compliance with applicable regulations could adversely affect our ability to conduct our business, including attracting and maintaining customers. If we have to make changes to our internal processes and solution as result of these regulations, we could be required to invest substantial additional time and funds and divert time and resources from other corporate purposes to remedy any identified deficiency.</w:t>
      </w:r>
    </w:p>
    <w:p>
      <w:pPr>
        <w:spacing w:after="0" w:line="193" w:lineRule="exact"/>
        <w:rPr>
          <w:sz w:val="20"/>
          <w:szCs w:val="20"/>
          <w:color w:val="auto"/>
        </w:rPr>
      </w:pPr>
    </w:p>
    <w:p>
      <w:pPr>
        <w:ind w:left="160" w:right="40" w:firstLine="873"/>
        <w:spacing w:after="0" w:line="258" w:lineRule="auto"/>
        <w:rPr>
          <w:sz w:val="20"/>
          <w:szCs w:val="20"/>
          <w:color w:val="auto"/>
        </w:rPr>
      </w:pPr>
      <w:r>
        <w:rPr>
          <w:rFonts w:ascii="Times New Roman" w:cs="Times New Roman" w:eastAsia="Times New Roman" w:hAnsi="Times New Roman"/>
          <w:sz w:val="18"/>
          <w:szCs w:val="18"/>
          <w:color w:val="auto"/>
        </w:rPr>
        <w:t>The evolving, complex and often unpredictable regulatory environment in which our customers operate could result in our failure to provide a compliant solution, which could result in customers not purchasing our solution or terminating their contracts with us or the imposition of fines or other liabilities for which we may be responsible. In addition, federal, state and/or foreign agencies may attempt to further regulate our activities in the future which could adversely affect our business and results of operations.</w:t>
      </w:r>
    </w:p>
    <w:p>
      <w:pPr>
        <w:spacing w:after="0" w:line="176" w:lineRule="exact"/>
        <w:rPr>
          <w:sz w:val="20"/>
          <w:szCs w:val="20"/>
          <w:color w:val="auto"/>
        </w:rPr>
      </w:pPr>
    </w:p>
    <w:p>
      <w:pPr>
        <w:ind w:left="160" w:right="1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fail to successfully expand internationally. In addition, sales to customers outside the United States or with international operations expose us to risks inherent in international sales, which may include a marked increase in expenses.</w:t>
      </w:r>
    </w:p>
    <w:p>
      <w:pPr>
        <w:spacing w:after="0" w:line="160" w:lineRule="exact"/>
        <w:rPr>
          <w:sz w:val="20"/>
          <w:szCs w:val="20"/>
          <w:color w:val="auto"/>
        </w:rPr>
      </w:pPr>
    </w:p>
    <w:p>
      <w:pPr>
        <w:ind w:left="160" w:right="100" w:firstLine="873"/>
        <w:spacing w:after="0" w:line="254" w:lineRule="auto"/>
        <w:rPr>
          <w:sz w:val="20"/>
          <w:szCs w:val="20"/>
          <w:color w:val="auto"/>
        </w:rPr>
      </w:pPr>
      <w:r>
        <w:rPr>
          <w:rFonts w:ascii="Times New Roman" w:cs="Times New Roman" w:eastAsia="Times New Roman" w:hAnsi="Times New Roman"/>
          <w:sz w:val="18"/>
          <w:szCs w:val="18"/>
          <w:color w:val="auto"/>
        </w:rPr>
        <w:t>For the fiscal year ended January 31, 2020 and for the six months ended July 31, 2020, sales to customers outside the United States accounted for 8.0% and 9.6%, respectively, of our total revenues. A key element of our growth strategy is to further expand our international operations and worldwide customer base. We have begun expending significant resources to build out our sales and professional services organizations outside of the United States and we may not realize a suitable return on this investment in the near future, if at all. We have limited operating experience in international markets, and we cannot assure you that our international expansion efforts will be successful. Our experience in the United States may not be relevant to our ability to expand in any international market.</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4" w:right="4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Operating in international markets requires significant resources and management attention and subjects us to regulatory, economic and political risks that are different from those in the United States. Export control regulations in the United States may increasingly be implicated in our operations as we expand internationally. These regulations may limit the export of our solution and provision of our solution outside of the United States, or may require export authorizations, including by license, a license exception or other appropriate government authorizations, including annual or semi-annual reporting and the filing of an encryption registration. Changes in export or import laws, or corresponding sanctions, may delay the introduction and sale of our solution in international markets, or, in some cases, prevent the export or import of our solution to certain countries, regions, governments, persons or entities altogether, which could adversely affect our business, financial condition and results of operations.</w:t>
      </w:r>
    </w:p>
    <w:p>
      <w:pPr>
        <w:spacing w:after="0" w:line="184" w:lineRule="exact"/>
        <w:rPr>
          <w:sz w:val="20"/>
          <w:szCs w:val="20"/>
          <w:color w:val="auto"/>
        </w:rPr>
      </w:pPr>
    </w:p>
    <w:p>
      <w:pPr>
        <w:jc w:val="both"/>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We are also subject to various domestic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our international presence expands and as we increase sales and operations in foreign jurisdictions.</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 addition, we face risks in doing business internationally that could adversely affect our business, including:</w:t>
      </w:r>
    </w:p>
    <w:p>
      <w:pPr>
        <w:spacing w:after="0" w:line="248" w:lineRule="exact"/>
        <w:rPr>
          <w:sz w:val="20"/>
          <w:szCs w:val="20"/>
          <w:color w:val="auto"/>
        </w:rPr>
      </w:pPr>
    </w:p>
    <w:p>
      <w:pPr>
        <w:ind w:left="1460" w:hanging="316"/>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and adapt our solution for specific countries;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varying and sometimes conflicting data privacy laws and regulations;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including employment laws and regulations;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regional, economic or political conditions, including that arise from Brexit in the UK;</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cycles and collections issues;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47" w:lineRule="exact"/>
        <w:rPr>
          <w:rFonts w:ascii="Times New Roman" w:cs="Times New Roman" w:eastAsia="Times New Roman" w:hAnsi="Times New Roman"/>
          <w:sz w:val="18"/>
          <w:szCs w:val="18"/>
          <w:color w:val="auto"/>
        </w:rPr>
      </w:pPr>
    </w:p>
    <w:p>
      <w:pPr>
        <w:ind w:left="1460" w:right="540" w:hanging="316"/>
        <w:spacing w:after="0" w:line="278" w:lineRule="auto"/>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w:t>
      </w:r>
    </w:p>
    <w:p>
      <w:pPr>
        <w:spacing w:after="0" w:line="247" w:lineRule="exact"/>
        <w:rPr>
          <w:rFonts w:ascii="Times New Roman" w:cs="Times New Roman" w:eastAsia="Times New Roman" w:hAnsi="Times New Roman"/>
          <w:sz w:val="18"/>
          <w:szCs w:val="18"/>
          <w:color w:val="auto"/>
        </w:rPr>
      </w:pPr>
    </w:p>
    <w:p>
      <w:pPr>
        <w:ind w:left="1460" w:right="160" w:hanging="316"/>
        <w:spacing w:after="0" w:line="278" w:lineRule="auto"/>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related to the complexity of multiple, conflicting and changing governmental laws and regulations, including employment, tax, and anti-bribery laws and regulations;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54" w:right="5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140" w:firstLine="873"/>
        <w:spacing w:after="0" w:line="263" w:lineRule="auto"/>
        <w:rPr>
          <w:sz w:val="20"/>
          <w:szCs w:val="20"/>
          <w:color w:val="auto"/>
        </w:rPr>
      </w:pPr>
      <w:r>
        <w:rPr>
          <w:rFonts w:ascii="Times New Roman" w:cs="Times New Roman" w:eastAsia="Times New Roman" w:hAnsi="Times New Roman"/>
          <w:sz w:val="18"/>
          <w:szCs w:val="18"/>
          <w:color w:val="auto"/>
        </w:rPr>
        <w:t>Our international contracts often provide for payment denominated in local currencies, and the majority of our local costs are denominated in local currencies. Therefore, fluctuations in the value of the U.S. dollar and foreign currencies may impact our results of operations when translated into U.S. dollars. We do not currently engage in currency hedging activities to limit the risk of exchange rate fluctuations.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could prevent us from executing our business strategy.</w:t>
      </w:r>
    </w:p>
    <w:p>
      <w:pPr>
        <w:spacing w:after="0" w:line="225"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We must attract and retain highly qualified personnel. In particular, we are dependent upon the services of our senior leadership team, and the loss of any member of this team could adversely affect our business. Competition for executive officers, software developers, sales personnel and other key employees in our industry is intense. In particular, we compete with many other companies for software developers with high levels of experience in designing, developing and managing cloud-based software, as well as for skilled sales and operations professionals. Our principal operations are in Wilmington, North Carolina, where the pool of potential employees with the skills we need is more limited than it may be in larger markets, and we are sometimes required to induce prospective employees to relocate. Many of the companies with which we compete for experienced personnel have greater resources than we do. If we fail to attract new personnel or fail to retain and motivate our current personnel, our growth prospects could be severely harmed. In addition, job candidates and existing employees often consider the actual and potential value of the equity awards they receive as part of their overall compensation. Thus, if the perceived value or future value of our stock declines, our ability to attract and retain highly skilled employees may be adversely affected.</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Failure to effectively expand our sales capabilities could harm our ability to increase our customer base.</w:t>
      </w:r>
    </w:p>
    <w:p>
      <w:pPr>
        <w:spacing w:after="0" w:line="225" w:lineRule="exact"/>
        <w:rPr>
          <w:sz w:val="20"/>
          <w:szCs w:val="20"/>
          <w:color w:val="auto"/>
        </w:rPr>
      </w:pPr>
    </w:p>
    <w:p>
      <w:pPr>
        <w:ind w:left="160" w:right="80" w:firstLine="873"/>
        <w:spacing w:after="0" w:line="270" w:lineRule="auto"/>
        <w:rPr>
          <w:sz w:val="20"/>
          <w:szCs w:val="20"/>
          <w:color w:val="auto"/>
        </w:rPr>
      </w:pPr>
      <w:r>
        <w:rPr>
          <w:rFonts w:ascii="Times New Roman" w:cs="Times New Roman" w:eastAsia="Times New Roman" w:hAnsi="Times New Roman"/>
          <w:sz w:val="17"/>
          <w:szCs w:val="17"/>
          <w:color w:val="auto"/>
        </w:rPr>
        <w:t>Increasing our customer base and expanding customer adoption within and across business lines will depend, to a significant extent, on our ability to effectively expand our sales and marketing operations and activities. From January 31, 2019 to July 31, 2020, our sales and marketing teams increased from 140 to 236 employees. We plan to continue to expand our direct sales force both domestically and internationally for the foreseeable future. We believe that there is significant competition for experienced sales professionals with the sales skills and technical knowledge that we require. Newly hired employees require significant training and time before they achieve full productivity and they may not become as productive as quickly as we expect, if at all. Further, we may be unable to hire or retain sufficient numbers of qualified individuals in the future in the markets where we do business. Our business will be adversely affected if our sales expansion efforts do not generate a significant increase in revenues.</w:t>
      </w:r>
    </w:p>
    <w:p>
      <w:pPr>
        <w:spacing w:after="0" w:line="168" w:lineRule="exact"/>
        <w:rPr>
          <w:sz w:val="20"/>
          <w:szCs w:val="20"/>
          <w:color w:val="auto"/>
        </w:rPr>
      </w:pPr>
    </w:p>
    <w:p>
      <w:pPr>
        <w:ind w:left="160" w:right="7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provide effective customer training on the nCino Bank Operating System and high-quality customer support, our business and reputation would suffer.</w:t>
      </w:r>
    </w:p>
    <w:p>
      <w:pPr>
        <w:spacing w:after="0" w:line="160" w:lineRule="exact"/>
        <w:rPr>
          <w:sz w:val="20"/>
          <w:szCs w:val="20"/>
          <w:color w:val="auto"/>
        </w:rPr>
      </w:pPr>
    </w:p>
    <w:p>
      <w:pPr>
        <w:ind w:left="160" w:right="80" w:firstLine="873"/>
        <w:spacing w:after="0" w:line="255" w:lineRule="auto"/>
        <w:rPr>
          <w:sz w:val="20"/>
          <w:szCs w:val="20"/>
          <w:color w:val="auto"/>
        </w:rPr>
      </w:pPr>
      <w:r>
        <w:rPr>
          <w:rFonts w:ascii="Times New Roman" w:cs="Times New Roman" w:eastAsia="Times New Roman" w:hAnsi="Times New Roman"/>
          <w:sz w:val="18"/>
          <w:szCs w:val="18"/>
          <w:color w:val="auto"/>
        </w:rPr>
        <w:t>Effective customer training on the nCino Bank Operating System and high-quality, ongoing customer support are critical to the successful marketing, sale and adoption of our solution and for the renewal of existing customer contracts. As we grow our customer base, we will need to further invest in and expand our customer support and training organization, which could strain our team and infrastructure and reduce profit margins. If we do not help our customers adopt our solution, quickly resolve any post-implementation matters, and provide effective ongoing customer support and training, our ability to expand sales to existing and future customers and our reputation would be adversely affected.</w:t>
      </w:r>
    </w:p>
    <w:p>
      <w:pPr>
        <w:spacing w:after="0" w:line="180" w:lineRule="exact"/>
        <w:rPr>
          <w:sz w:val="20"/>
          <w:szCs w:val="20"/>
          <w:color w:val="auto"/>
        </w:rPr>
      </w:pPr>
    </w:p>
    <w:p>
      <w:pPr>
        <w:ind w:left="160" w:right="2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integrate our solution with other systems used by our customers, or if there are performance issues with such third-party systems, our solution will not operate effectively and our business and reputation will be adversely affected.</w:t>
      </w:r>
    </w:p>
    <w:p>
      <w:pPr>
        <w:spacing w:after="0" w:line="160" w:lineRule="exact"/>
        <w:rPr>
          <w:sz w:val="20"/>
          <w:szCs w:val="20"/>
          <w:color w:val="auto"/>
        </w:rPr>
      </w:pPr>
    </w:p>
    <w:p>
      <w:pPr>
        <w:ind w:left="160" w:right="100" w:firstLine="873"/>
        <w:spacing w:after="0" w:line="278" w:lineRule="auto"/>
        <w:rPr>
          <w:sz w:val="20"/>
          <w:szCs w:val="20"/>
          <w:color w:val="auto"/>
        </w:rPr>
      </w:pPr>
      <w:r>
        <w:rPr>
          <w:rFonts w:ascii="Times New Roman" w:cs="Times New Roman" w:eastAsia="Times New Roman" w:hAnsi="Times New Roman"/>
          <w:sz w:val="18"/>
          <w:szCs w:val="18"/>
          <w:color w:val="auto"/>
        </w:rPr>
        <w:t>The nCino Bank Operating System integrates with other third-party systems used by our customers, including core processing systems. We do not have formal arrangements with many of these third-party providers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60"/>
          </w:cols>
          <w:pgMar w:left="320" w:top="454" w:right="5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240"/>
        <w:spacing w:after="0" w:line="258" w:lineRule="auto"/>
        <w:rPr>
          <w:sz w:val="20"/>
          <w:szCs w:val="20"/>
          <w:color w:val="auto"/>
        </w:rPr>
      </w:pPr>
      <w:r>
        <w:rPr>
          <w:rFonts w:ascii="Times New Roman" w:cs="Times New Roman" w:eastAsia="Times New Roman" w:hAnsi="Times New Roman"/>
          <w:sz w:val="18"/>
          <w:szCs w:val="18"/>
          <w:color w:val="auto"/>
        </w:rPr>
        <w:t>regarding our access to their application program interfaces to enable these customer integrations. If we are unable to effectively integrate with third-party systems, our customers’ operations may be disrupted, which may result in disputes with customers, negatively impact customer satisfaction and harm our business. If the software of such third-party providers has performance or other problems, such issues may reflect poorly on us and the adoption and renewal of our solution, and our business and reputation may be harmed.</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can be unpredictable, time-consuming and costly.</w:t>
      </w:r>
    </w:p>
    <w:p>
      <w:pPr>
        <w:spacing w:after="0" w:line="225" w:lineRule="exact"/>
        <w:rPr>
          <w:sz w:val="20"/>
          <w:szCs w:val="20"/>
          <w:color w:val="auto"/>
        </w:rPr>
      </w:pPr>
    </w:p>
    <w:p>
      <w:pPr>
        <w:ind w:left="160" w:right="100" w:firstLine="873"/>
        <w:spacing w:after="0" w:line="253" w:lineRule="auto"/>
        <w:rPr>
          <w:sz w:val="20"/>
          <w:szCs w:val="20"/>
          <w:color w:val="auto"/>
        </w:rPr>
      </w:pPr>
      <w:r>
        <w:rPr>
          <w:rFonts w:ascii="Times New Roman" w:cs="Times New Roman" w:eastAsia="Times New Roman" w:hAnsi="Times New Roman"/>
          <w:sz w:val="18"/>
          <w:szCs w:val="18"/>
          <w:color w:val="auto"/>
        </w:rPr>
        <w:t>Our sales process involves educating prospective customers and existing customers about the benefits and technical capabilities of our solution. Prospective customers often undertake a prolonged evaluation process, which typically involves not only our solution, but also those of our competitors. Our sales cycles are typically lengthy, generally ranging from six to nine months for smaller financial institutions and twelve to eighteen months or more for larger financial institutions. We may spend substantial time, effort and money on our sales and marketing efforts without any assurance that our efforts will produce any sales. Events affecting our customers’ businesses may occur during the sales cycle that could affect the size or timing of a purchase, contributing to more unpredictability in our business and results of operations. As a result of these factors, we may face greater costs, longer sales cycles and less predictability in the future.</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proprietary technology and intellectual property rights could adversely affect our business and results of operations.</w:t>
      </w:r>
    </w:p>
    <w:p>
      <w:pPr>
        <w:spacing w:after="0" w:line="225"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Our future success and competitive position depend in part on our ability to protect our intellectual property and proprietary technologies.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175" w:lineRule="exact"/>
        <w:rPr>
          <w:sz w:val="20"/>
          <w:szCs w:val="20"/>
          <w:color w:val="auto"/>
        </w:rPr>
      </w:pPr>
    </w:p>
    <w:p>
      <w:pPr>
        <w:ind w:left="160" w:right="60" w:firstLine="873"/>
        <w:spacing w:after="0" w:line="251" w:lineRule="auto"/>
        <w:rPr>
          <w:sz w:val="20"/>
          <w:szCs w:val="20"/>
          <w:color w:val="auto"/>
        </w:rPr>
      </w:pPr>
      <w:r>
        <w:rPr>
          <w:rFonts w:ascii="Times New Roman" w:cs="Times New Roman" w:eastAsia="Times New Roman" w:hAnsi="Times New Roman"/>
          <w:sz w:val="18"/>
          <w:szCs w:val="18"/>
          <w:color w:val="auto"/>
        </w:rPr>
        <w:t>As of July 31, 2020, we had twelve issued patents and one patent application pending relating to the nCino Bank Operating System in the United States. We cannot assure you that any patents will issue from any patent applications, that patents that may be issued from such applications will give us the protection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We have registered the “nCino” name and logo in the United States and certain other countries and we have registrations and/or pending applications for additional marks including the “Bank Operating System” and “nIQ” in the United States and certain other countries. However, we cannot assure you that any future trademark registrations will be issued for pending or future applications or that any registered trademarks will be enforceable or provide adequate protection of our proprietary rights. We also license software from third parties for integration into our solution, including open source software and other software available on commercially reasonable terms. We cannot assure you that such third parties will maintain such software or continue to make it available. We also rely on confidentiality agreements, consulting agreements, work-for-hire agreements and invention assignment agreements with our employees, consultants and others.</w:t>
      </w:r>
    </w:p>
    <w:p>
      <w:pPr>
        <w:spacing w:after="0" w:line="187" w:lineRule="exact"/>
        <w:rPr>
          <w:sz w:val="20"/>
          <w:szCs w:val="20"/>
          <w:color w:val="auto"/>
        </w:rPr>
      </w:pPr>
    </w:p>
    <w:p>
      <w:pPr>
        <w:ind w:left="160" w:right="260" w:firstLine="873"/>
        <w:spacing w:after="0" w:line="269" w:lineRule="auto"/>
        <w:rPr>
          <w:sz w:val="20"/>
          <w:szCs w:val="20"/>
          <w:color w:val="auto"/>
        </w:rPr>
      </w:pPr>
      <w:r>
        <w:rPr>
          <w:rFonts w:ascii="Times New Roman" w:cs="Times New Roman" w:eastAsia="Times New Roman" w:hAnsi="Times New Roman"/>
          <w:sz w:val="17"/>
          <w:szCs w:val="17"/>
          <w:color w:val="auto"/>
        </w:rPr>
        <w:t>Despite our efforts to protect our proprietary technology and trade secrets, unauthorized parties may attempt to misappropriate, reverse engineer or otherwise obtain and use them. In addition, others may independently discover our trade secrets, in which case we would not be able to assert trade secret rights, or develop similar technologies and processes. Further,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 technologies or intellectual property rights.</w:t>
      </w:r>
    </w:p>
    <w:p>
      <w:pPr>
        <w:spacing w:after="0" w:line="1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60"/>
          </w:cols>
          <w:pgMar w:left="320" w:top="454" w:right="5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right="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solution, which may restrict how we use or distribute our solutions, require that we release the source code of certain software subject to open source licenses or subject us to litigation or other actions that could adversely affect our business.</w:t>
      </w:r>
    </w:p>
    <w:p>
      <w:pPr>
        <w:spacing w:after="0" w:line="160"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We currently use in our solution, and may use in the future, software that is licensed under “open source,” “free” or other similar license, where the licensed software is made available to the general public on an “as-is” basis under the terms of a specific non-negotiable license. Some open source software licenses require that software subject to the license be made available to the public and that any modifications or derivative works based on the open source code be licensed in source code form under the same open source licenses. Although we monitor our use of open source software, we cannot assure you that all open source software is reviewed prior to use in our solution, that our programmers have not incorporated open source software into our solution, or that they will not do so in the future.</w:t>
      </w:r>
    </w:p>
    <w:p>
      <w:pPr>
        <w:spacing w:after="0" w:line="184" w:lineRule="exact"/>
        <w:rPr>
          <w:sz w:val="20"/>
          <w:szCs w:val="20"/>
          <w:color w:val="auto"/>
        </w:rPr>
      </w:pPr>
    </w:p>
    <w:p>
      <w:pPr>
        <w:ind w:left="160" w:right="60" w:firstLine="873"/>
        <w:spacing w:after="0" w:line="251" w:lineRule="auto"/>
        <w:rPr>
          <w:sz w:val="20"/>
          <w:szCs w:val="20"/>
          <w:color w:val="auto"/>
        </w:rPr>
      </w:pPr>
      <w:r>
        <w:rPr>
          <w:rFonts w:ascii="Times New Roman" w:cs="Times New Roman" w:eastAsia="Times New Roman" w:hAnsi="Times New Roman"/>
          <w:sz w:val="18"/>
          <w:szCs w:val="18"/>
          <w:color w:val="auto"/>
        </w:rPr>
        <w:t>In addition, our solution may incorporate third-party software under commercial licenses. We cannot be certain whether such third-party software incorporates open source software without our knowledge. In the past, companies that incorporate open source software into their products have faced claims alleging noncompliance with open source license terms or infringement or misappropriation of proprietary software. Therefore, we could be subject to suits by parties claiming noncompliance with open source licensing terms or infringement or misappropriation of proprietary software. Because few courts have interpreted open source licenses, the manner in which these licenses may be interpreted and enforced is subject to some uncertainty. There is a risk that open source software licenses could be construed in a manner that imposes unanticipated conditions or restrictions on our ability to market or provide our solution. As a result of using open source software subject to such licenses, we could be required to release proprietary source code, pay damages, re-engineer our solution, limit or discontinue sales or take other remedial action, any of which could adversely affect our business.</w:t>
      </w:r>
    </w:p>
    <w:p>
      <w:pPr>
        <w:spacing w:after="0" w:line="188" w:lineRule="exact"/>
        <w:rPr>
          <w:sz w:val="20"/>
          <w:szCs w:val="20"/>
          <w:color w:val="auto"/>
        </w:rPr>
      </w:pPr>
    </w:p>
    <w:p>
      <w:pPr>
        <w:ind w:left="160" w:right="5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violations by us of their intellectual property rights, whether or not correct, could result in significant costs and adversely affect our business and results of operations.</w:t>
      </w:r>
    </w:p>
    <w:p>
      <w:pPr>
        <w:spacing w:after="0" w:line="160" w:lineRule="exact"/>
        <w:rPr>
          <w:sz w:val="20"/>
          <w:szCs w:val="20"/>
          <w:color w:val="auto"/>
        </w:rPr>
      </w:pPr>
    </w:p>
    <w:p>
      <w:pPr>
        <w:ind w:left="160" w:right="60" w:firstLine="873"/>
        <w:spacing w:after="0" w:line="250" w:lineRule="auto"/>
        <w:rPr>
          <w:sz w:val="20"/>
          <w:szCs w:val="20"/>
          <w:color w:val="auto"/>
        </w:rPr>
      </w:pPr>
      <w:r>
        <w:rPr>
          <w:rFonts w:ascii="Times New Roman" w:cs="Times New Roman" w:eastAsia="Times New Roman" w:hAnsi="Times New Roman"/>
          <w:sz w:val="18"/>
          <w:szCs w:val="18"/>
          <w:color w:val="auto"/>
        </w:rPr>
        <w:t>Patent and other intellectual property disputes are common in our industry. We may be subject to claims in the future alleging that we have misappropriated, misused, or infringed other parties’ intellectual property rights. Some companies, including certain of our competitors, own a larger number of patents, copyrights and trademarks than we do, which they may use to assert claims against us. This disparity may also increase the risk that third parties may sue us for patent infringement and may limit our ability to counterclaim for patent infringement or settle through patent cross-licenses. In addition, future assertions of patent rights by third parties, and any resulting litigation, may involve patent holding companies, non-practicing entities or other adverse patent owners who have no relevant product revenues and against whom our own patents may provide little or no deterrence or protection. Our solution utilizes third-party licensed software, and any failure to comply with the terms of one or more of these licenses could adversely affect our business. Third parties may also assert claims of intellectual property rights infringement against our customers, whom we are typically required to indemnify. As competition increases,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could distract our management from our business and could deter customers or potential customers from purchasing our solution.</w:t>
      </w:r>
    </w:p>
    <w:p>
      <w:pPr>
        <w:spacing w:after="0" w:line="194" w:lineRule="exact"/>
        <w:rPr>
          <w:sz w:val="20"/>
          <w:szCs w:val="20"/>
          <w:color w:val="auto"/>
        </w:rPr>
      </w:pPr>
    </w:p>
    <w:p>
      <w:pPr>
        <w:ind w:left="160" w:right="220" w:firstLine="873"/>
        <w:spacing w:after="0" w:line="278" w:lineRule="auto"/>
        <w:rPr>
          <w:sz w:val="20"/>
          <w:szCs w:val="20"/>
          <w:color w:val="auto"/>
        </w:rPr>
      </w:pPr>
      <w:r>
        <w:rPr>
          <w:rFonts w:ascii="Times New Roman" w:cs="Times New Roman" w:eastAsia="Times New Roman" w:hAnsi="Times New Roman"/>
          <w:sz w:val="18"/>
          <w:szCs w:val="18"/>
          <w:color w:val="auto"/>
        </w:rPr>
        <w:t>There can be no assurance that we will successfully defend third-party intellectual property claims. An adverse outcome of a dispute may require us to:</w:t>
      </w:r>
    </w:p>
    <w:p>
      <w:pPr>
        <w:spacing w:after="0" w:line="189" w:lineRule="exact"/>
        <w:rPr>
          <w:sz w:val="20"/>
          <w:szCs w:val="20"/>
          <w:color w:val="auto"/>
        </w:rPr>
      </w:pPr>
    </w:p>
    <w:p>
      <w:pPr>
        <w:ind w:left="5540" w:right="260" w:hanging="4396"/>
        <w:spacing w:after="0" w:line="448" w:lineRule="auto"/>
        <w:tabs>
          <w:tab w:leader="none" w:pos="14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including treble damages, if we are found to have willfully infringed a third party’s patents or copyrights; 28</w:t>
      </w:r>
    </w:p>
    <w:p>
      <w:pPr>
        <w:sectPr>
          <w:pgSz w:w="11900" w:h="16838" w:orient="portrait"/>
          <w:cols w:equalWidth="0" w:num="1">
            <w:col w:w="11060"/>
          </w:cols>
          <w:pgMar w:left="320" w:top="454" w:right="51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460" w:right="500" w:hanging="316"/>
        <w:spacing w:after="0" w:line="278" w:lineRule="auto"/>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or selling any elements of our solution that rely on technology that is alleged to infringe or misappropriate the intellectual property of others;</w:t>
      </w:r>
    </w:p>
    <w:p>
      <w:pPr>
        <w:spacing w:after="0" w:line="189" w:lineRule="exact"/>
        <w:rPr>
          <w:rFonts w:ascii="Times New Roman" w:cs="Times New Roman" w:eastAsia="Times New Roman" w:hAnsi="Times New Roman"/>
          <w:sz w:val="18"/>
          <w:szCs w:val="18"/>
          <w:color w:val="auto"/>
        </w:rPr>
      </w:pPr>
    </w:p>
    <w:p>
      <w:pPr>
        <w:ind w:left="1460" w:right="820" w:hanging="316"/>
        <w:spacing w:after="0" w:line="278" w:lineRule="auto"/>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potentially unfavorable royalty or license agreements in order to obtain the right to use necessary technologies or intellectual property rights;</w:t>
      </w:r>
    </w:p>
    <w:p>
      <w:pPr>
        <w:spacing w:after="0" w:line="189" w:lineRule="exact"/>
        <w:rPr>
          <w:rFonts w:ascii="Times New Roman" w:cs="Times New Roman" w:eastAsia="Times New Roman" w:hAnsi="Times New Roman"/>
          <w:sz w:val="18"/>
          <w:szCs w:val="18"/>
          <w:color w:val="auto"/>
        </w:rPr>
      </w:pPr>
    </w:p>
    <w:p>
      <w:pPr>
        <w:ind w:left="1460" w:right="180" w:hanging="316"/>
        <w:spacing w:after="0" w:line="278" w:lineRule="auto"/>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additional development resources to attempt to redesign our solution or otherwise develop non-infringing technology, which may not be successful; and</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our customers and other third parties.</w:t>
      </w:r>
    </w:p>
    <w:p>
      <w:pPr>
        <w:spacing w:after="0" w:line="221" w:lineRule="exact"/>
        <w:rPr>
          <w:sz w:val="20"/>
          <w:szCs w:val="20"/>
          <w:color w:val="auto"/>
        </w:rPr>
      </w:pPr>
    </w:p>
    <w:p>
      <w:pPr>
        <w:ind w:left="160" w:right="300" w:firstLine="873"/>
        <w:spacing w:after="0" w:line="278" w:lineRule="auto"/>
        <w:rPr>
          <w:sz w:val="20"/>
          <w:szCs w:val="20"/>
          <w:color w:val="auto"/>
        </w:rPr>
      </w:pPr>
      <w:r>
        <w:rPr>
          <w:rFonts w:ascii="Times New Roman" w:cs="Times New Roman" w:eastAsia="Times New Roman" w:hAnsi="Times New Roman"/>
          <w:sz w:val="18"/>
          <w:szCs w:val="18"/>
          <w:color w:val="auto"/>
        </w:rPr>
        <w:t>Any license we may enter into as a result of litigation may be non-exclusive, and therefore our competitors may have access to the same technology licensed to us. Any of the foregoing events could adversely affect our business and results of operations.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damage our reputation and be costly and time-consuming to defend.</w:t>
      </w:r>
    </w:p>
    <w:p>
      <w:pPr>
        <w:spacing w:after="0" w:line="225" w:lineRule="exact"/>
        <w:rPr>
          <w:sz w:val="20"/>
          <w:szCs w:val="20"/>
          <w:color w:val="auto"/>
        </w:rPr>
      </w:pPr>
    </w:p>
    <w:p>
      <w:pPr>
        <w:ind w:left="160" w:right="100" w:firstLine="873"/>
        <w:spacing w:after="0" w:line="251" w:lineRule="auto"/>
        <w:rPr>
          <w:sz w:val="20"/>
          <w:szCs w:val="20"/>
          <w:color w:val="auto"/>
        </w:rPr>
      </w:pPr>
      <w:r>
        <w:rPr>
          <w:rFonts w:ascii="Times New Roman" w:cs="Times New Roman" w:eastAsia="Times New Roman" w:hAnsi="Times New Roman"/>
          <w:sz w:val="18"/>
          <w:szCs w:val="18"/>
          <w:color w:val="auto"/>
        </w:rPr>
        <w:t>We may become subject, from time to time, to legal proceedings and claims that arise in the ordinary course of business, such as claims brought by our customers in connection with commercial disputes or employment claims made by current or former employees. Litigation might result in reputational damage and substantial costs and may divert management’s attention and resources, which might adversely impact our business, overall financial condition and results of operations. Insurance might not cover such claims, might not provide sufficient payments to cover all the costs to resolve one or more such claims and might not continue to be available on terms acceptable to us. Moreover, any negative impact to our reputation will not be adequately covered by any insurance recovery. A claim brought against us that is uninsured or underinsured could result in unanticipated costs, thereby reducing our results of operations and leading analysts or potential investors to reduce their expectations of our performance, which could reduce the value of our common stock. While we currently are not aware of any material pending or threatened litigation against us, we can make no assurances the same will continue to be true in the future.</w:t>
      </w:r>
    </w:p>
    <w:p>
      <w:pPr>
        <w:spacing w:after="0" w:line="188" w:lineRule="exact"/>
        <w:rPr>
          <w:sz w:val="20"/>
          <w:szCs w:val="20"/>
          <w:color w:val="auto"/>
        </w:rPr>
      </w:pPr>
    </w:p>
    <w:p>
      <w:pPr>
        <w:ind w:left="160" w:right="2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ability to raise capital in a timely manner if needed in the future may be limited, or such capital may be unavailable on acceptable terms, if at all. Our failure to raise capital if needed could adversely affect our business and results of operations, and any debt or equity issued to raise additional capital may reduce the value of our common stock.</w:t>
      </w:r>
    </w:p>
    <w:p>
      <w:pPr>
        <w:spacing w:after="0" w:line="174" w:lineRule="exact"/>
        <w:rPr>
          <w:sz w:val="20"/>
          <w:szCs w:val="20"/>
          <w:color w:val="auto"/>
        </w:rPr>
      </w:pPr>
    </w:p>
    <w:p>
      <w:pPr>
        <w:jc w:val="both"/>
        <w:ind w:left="160" w:right="240" w:firstLine="873"/>
        <w:spacing w:after="0" w:line="270" w:lineRule="auto"/>
        <w:rPr>
          <w:sz w:val="20"/>
          <w:szCs w:val="20"/>
          <w:color w:val="auto"/>
        </w:rPr>
      </w:pPr>
      <w:r>
        <w:rPr>
          <w:rFonts w:ascii="Times New Roman" w:cs="Times New Roman" w:eastAsia="Times New Roman" w:hAnsi="Times New Roman"/>
          <w:sz w:val="17"/>
          <w:szCs w:val="17"/>
          <w:color w:val="auto"/>
        </w:rPr>
        <w:t>We have funded our operations since inception primarily through equity financings and receipts generated from customers. We cannot be certain when or if our operations will generate sufficient cash to fund our ongoing operations or the growth of our business. We intend to continue to make investments to support our business and may require additional funds. Moreover, we do not expect to be profitable for the foreseeable future.</w:t>
      </w:r>
    </w:p>
    <w:p>
      <w:pPr>
        <w:spacing w:after="0" w:line="1" w:lineRule="exact"/>
        <w:rPr>
          <w:sz w:val="20"/>
          <w:szCs w:val="20"/>
          <w:color w:val="auto"/>
        </w:rPr>
      </w:pPr>
    </w:p>
    <w:p>
      <w:pPr>
        <w:ind w:left="160"/>
        <w:spacing w:after="0" w:line="249" w:lineRule="auto"/>
        <w:rPr>
          <w:sz w:val="20"/>
          <w:szCs w:val="20"/>
          <w:color w:val="auto"/>
        </w:rPr>
      </w:pPr>
      <w:r>
        <w:rPr>
          <w:rFonts w:ascii="Times New Roman" w:cs="Times New Roman" w:eastAsia="Times New Roman" w:hAnsi="Times New Roman"/>
          <w:sz w:val="18"/>
          <w:szCs w:val="18"/>
          <w:color w:val="auto"/>
        </w:rPr>
        <w:t>Additional financing may not be available on favorable terms, if at all. If adequate funds are not available on acceptable terms, we may be unable to invest in future growth opportunities, which could adversely affect our business and results of operations. If we incur debt, the lenders would have rights senior to holders of common stock to make claims on our assets, the terms of any debt could restrict our operations and we may be unable to service or repay the debt. Furthermore, if we issue additional equity securities, stockholders may experience dilution, and the new equity securities could have rights senior to those of our common stock. Because our decision to issue securities in a future offering will depend on numerous considerations, including factors beyond our control, we cannot predict or estimate the impact any future incurrence of debt or issuance of equity securities will have on us. Any future incurrence of debt or issuance of equity securities could adversely affect the value of our common stock.</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60"/>
          </w:cols>
          <w:pgMar w:left="320" w:top="454" w:right="5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right="4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market data and forecasts included in this prospectus may prove to be inaccurate, and even if the markets in which we compete achieve the forecasted growth, we cannot assure you that our business will grow at similar rates, or at all.</w:t>
      </w:r>
    </w:p>
    <w:p>
      <w:pPr>
        <w:spacing w:after="0" w:line="160"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The third-party market data and forecasts included in this prospectus, as well as our internal estimates and research, are subject to significant uncertainty and are based on assumptions and estimates that may not prove to be accurate, although we have no reason to believe such information is not correct and we are in any case responsible for the contents of this prospectus. If the forecasts of market growth, anticipated spending or predictions regarding market size prove to be inaccurate, our business and growth prospects could be adversely affected. Even if all or some of the forecasted growth occurs, our business may not grow at a similar rate, or at all. Our future growth is subject to many factors, including our ability to successfully implement our business strategy, which itself is subject to many risks and uncertainties. The reports described in this prospectus speak as of their respective publication dates and the opinions expressed in such reports are subject to change. Accordingly, investors in our common stock are urged not to put undue reliance on such forecasts and market data.</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left="160" w:firstLine="873"/>
        <w:spacing w:after="0" w:line="266" w:lineRule="auto"/>
        <w:rPr>
          <w:sz w:val="20"/>
          <w:szCs w:val="20"/>
          <w:color w:val="auto"/>
        </w:rPr>
      </w:pPr>
      <w:r>
        <w:rPr>
          <w:rFonts w:ascii="Times New Roman" w:cs="Times New Roman" w:eastAsia="Times New Roman" w:hAnsi="Times New Roman"/>
          <w:sz w:val="17"/>
          <w:szCs w:val="17"/>
          <w:color w:val="auto"/>
        </w:rPr>
        <w:t>We have incurred substantial net operating losses (“NOLs”) during our history. U.S. federal and certain state NOLs generated in taxable years beginning after December 31, 2017 are not subject to expiration. Federal NOLs generally may not be carried back to prior taxable years except that, under the Coronavirus Aid, Relief and Economic Security (CARES) Act, federal NOLs generated in 2018, 2019 and 2020 may be carried back to each of the five taxable years preceding the taxable year in which the loss arises. Additionally, for taxable years beginning after December 31, 2020, the deductibility of federal NOLs is limited to 80% of our taxable income in such taxable year. NOLs generated in tax years before 2018 may still be used to offset future taxable income without regard to the 80% limitation, although they have the potential to expire without being utilized if we do not achieve profitability in the future. However, under the rules of Sections 382 and 383 of the Internal Revenue Code of 1986, as amended (the “Code”), if a corporation undergoes an “ownership change,” generally defined as a greater than 50% change (by value) in its equity ownership over a three-year period, the corporation’s ability to use its NOLs and other pre-change tax attributes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the company. The rules of Section 382 are regularly being evaluated to determine any potential limitations. If we experience one or more ownership changes as a result of this offering or future transactions in our stock, then we may be limited in our ability to use our NOL carryforwards to offset our future taxable income, if any.</w:t>
      </w:r>
    </w:p>
    <w:p>
      <w:pPr>
        <w:spacing w:after="0" w:line="175" w:lineRule="exact"/>
        <w:rPr>
          <w:sz w:val="20"/>
          <w:szCs w:val="20"/>
          <w:color w:val="auto"/>
        </w:rPr>
      </w:pPr>
    </w:p>
    <w:p>
      <w:pPr>
        <w:ind w:left="160" w:right="2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Amendments to existing tax laws, rules or regulations or enactment of new unfavorable tax laws, rules or regulations could have an adverse effect on our business and operating results.</w:t>
      </w:r>
    </w:p>
    <w:p>
      <w:pPr>
        <w:spacing w:after="0" w:line="160"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Tax Cuts and Jobs Act was enacted in 2017 and made a number of significant changes to the current U.S. federal income tax rules, including reducing the generally applicable corporate tax rate from 35% to 21%, imposing additional limitations on the deductibility of interest, placing limits on the utilization of NOLs and making substantial changes to the international tax rules. In addition, on March 27, 2020, President Trump signed into law the CARES Act, which included certain changes in tax law intended to stimulate the U.S. economy in light of the COVID-19 pandemic, including temporary beneficial changes to the treatment of net operating losses, interest deductibility limitations and payroll tax matters. Many of the provisions of the Tax Cuts and Jobs Act and CARES Act still require guidance through the issuance and/or</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4" w:right="4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finalization of regulations by the U.S. Treasury Department in order to fully assess their effects, and there may be substantial delays before such regulations are promulgated and/or finalized, increasing the uncertainty as to the ultimate effects of the Tax Cuts and Jobs Act and CARES Act on us and our stockholders. There also may be technical corrections legislation or other legislative changes proposed with respect to the Tax Cuts and Jobs Act and CARES Act, the effects of which cannot be predicted and may be adverse to us or our stockholders.</w:t>
      </w:r>
    </w:p>
    <w:p>
      <w:pPr>
        <w:spacing w:after="0" w:line="176" w:lineRule="exact"/>
        <w:rPr>
          <w:sz w:val="20"/>
          <w:szCs w:val="20"/>
          <w:color w:val="auto"/>
        </w:rPr>
      </w:pPr>
    </w:p>
    <w:p>
      <w:pPr>
        <w:ind w:left="160" w:right="1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160" w:lineRule="exact"/>
        <w:rPr>
          <w:sz w:val="20"/>
          <w:szCs w:val="20"/>
          <w:color w:val="auto"/>
        </w:rPr>
      </w:pPr>
    </w:p>
    <w:p>
      <w:pPr>
        <w:ind w:left="160" w:right="40" w:firstLine="873"/>
        <w:spacing w:after="0" w:line="250" w:lineRule="auto"/>
        <w:rPr>
          <w:sz w:val="20"/>
          <w:szCs w:val="20"/>
          <w:color w:val="auto"/>
        </w:rPr>
      </w:pPr>
      <w:r>
        <w:rPr>
          <w:rFonts w:ascii="Times New Roman" w:cs="Times New Roman" w:eastAsia="Times New Roman" w:hAnsi="Times New Roman"/>
          <w:sz w:val="18"/>
          <w:szCs w:val="18"/>
          <w:color w:val="auto"/>
        </w:rPr>
        <w:t>A significant portion of our employee base, operating facilities and infrastructure are centralized in Wilmington, North Carolina. Any of our facilities may be harmed or rendered inoperable by natural or man-made disasters, including hurricanes, tornadoes, wildfires, floods, earthquakes, nuclear disasters,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third-party providers, including Salesforce, may be harmed or rendered inoperable by such natural or man-made disasters, which may cause disruptions, difficulties or otherwise materially and adversely affect our business. Additionally, to the extent the COVID-19 pandemic adversely affects our business and financial results, it may also have the effect of heightening many of the other risks described in this ‘‘Risk Factors’’ section, such as our ability to achieve profitability in the future, our ability to attract new customers or continue to broaden our existing customers’ use of our solution and the impact of any decrease in technology spend by customers and potential customers in the financial services industry where we derive all of our revenues.</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221" w:lineRule="exact"/>
        <w:rPr>
          <w:sz w:val="20"/>
          <w:szCs w:val="20"/>
          <w:color w:val="auto"/>
        </w:rPr>
      </w:pPr>
    </w:p>
    <w:p>
      <w:pPr>
        <w:ind w:left="160" w:right="1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or may decline steeply or suddenly regardless of our operating performance and we may not be able to meet investor or analyst expectations and you may lose all or part of your investment.</w:t>
      </w:r>
    </w:p>
    <w:p>
      <w:pPr>
        <w:spacing w:after="0" w:line="160" w:lineRule="exact"/>
        <w:rPr>
          <w:sz w:val="20"/>
          <w:szCs w:val="20"/>
          <w:color w:val="auto"/>
        </w:rPr>
      </w:pPr>
    </w:p>
    <w:p>
      <w:pPr>
        <w:ind w:left="160" w:right="220" w:firstLine="873"/>
        <w:spacing w:after="0" w:line="278" w:lineRule="auto"/>
        <w:rPr>
          <w:sz w:val="20"/>
          <w:szCs w:val="20"/>
          <w:color w:val="auto"/>
        </w:rPr>
      </w:pPr>
      <w:r>
        <w:rPr>
          <w:rFonts w:ascii="Times New Roman" w:cs="Times New Roman" w:eastAsia="Times New Roman" w:hAnsi="Times New Roman"/>
          <w:sz w:val="18"/>
          <w:szCs w:val="18"/>
          <w:color w:val="auto"/>
        </w:rPr>
        <w:t>The market price of our common stock may fluctuate or decline significantly in response to numerous factors, many of which are beyond our control, including:</w:t>
      </w:r>
    </w:p>
    <w:p>
      <w:pPr>
        <w:spacing w:after="0" w:line="189" w:lineRule="exact"/>
        <w:rPr>
          <w:sz w:val="20"/>
          <w:szCs w:val="20"/>
          <w:color w:val="auto"/>
        </w:rPr>
      </w:pPr>
    </w:p>
    <w:p>
      <w:pPr>
        <w:ind w:left="1460" w:hanging="316"/>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between our actual operating results and the expectations of securities analysts, investors and the financial community;</w:t>
      </w:r>
    </w:p>
    <w:p>
      <w:pPr>
        <w:spacing w:after="0" w:line="247" w:lineRule="exact"/>
        <w:rPr>
          <w:rFonts w:ascii="Times New Roman" w:cs="Times New Roman" w:eastAsia="Times New Roman" w:hAnsi="Times New Roman"/>
          <w:sz w:val="18"/>
          <w:szCs w:val="18"/>
          <w:color w:val="auto"/>
        </w:rPr>
      </w:pPr>
    </w:p>
    <w:p>
      <w:pPr>
        <w:ind w:left="1460" w:right="560" w:hanging="316"/>
        <w:spacing w:after="0" w:line="278" w:lineRule="auto"/>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89" w:lineRule="exact"/>
        <w:rPr>
          <w:rFonts w:ascii="Times New Roman" w:cs="Times New Roman" w:eastAsia="Times New Roman" w:hAnsi="Times New Roman"/>
          <w:sz w:val="18"/>
          <w:szCs w:val="18"/>
          <w:color w:val="auto"/>
        </w:rPr>
      </w:pPr>
    </w:p>
    <w:p>
      <w:pPr>
        <w:ind w:left="1460" w:right="280" w:hanging="316"/>
        <w:spacing w:after="0" w:line="278" w:lineRule="auto"/>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securities analysts who initiate or maintain coverage of us, changes in financial estimates by any securities analysts who follow us or our failure to meet these estimates or the expectations of investors;</w:t>
      </w:r>
    </w:p>
    <w:p>
      <w:pPr>
        <w:spacing w:after="0" w:line="189" w:lineRule="exact"/>
        <w:rPr>
          <w:rFonts w:ascii="Times New Roman" w:cs="Times New Roman" w:eastAsia="Times New Roman" w:hAnsi="Times New Roman"/>
          <w:sz w:val="18"/>
          <w:szCs w:val="18"/>
          <w:color w:val="auto"/>
        </w:rPr>
      </w:pPr>
    </w:p>
    <w:p>
      <w:pPr>
        <w:ind w:left="1460" w:right="80" w:hanging="316"/>
        <w:spacing w:after="0" w:line="278" w:lineRule="auto"/>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common stock being sold into the market by us or our existing stockholders, or the anticipation of such sales, including if existing stockholders sell shares into the market when applicable “lock-up” periods end;</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activities by market participants;</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60"/>
          </w:cols>
          <w:pgMar w:left="320" w:top="454" w:right="5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460" w:right="40" w:hanging="316"/>
        <w:spacing w:after="0" w:line="278" w:lineRule="auto"/>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companies in our industry, including our competitors;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247" w:lineRule="exact"/>
        <w:rPr>
          <w:rFonts w:ascii="Times New Roman" w:cs="Times New Roman" w:eastAsia="Times New Roman" w:hAnsi="Times New Roman"/>
          <w:sz w:val="18"/>
          <w:szCs w:val="18"/>
          <w:color w:val="auto"/>
        </w:rPr>
      </w:pPr>
    </w:p>
    <w:p>
      <w:pPr>
        <w:ind w:left="1460" w:right="20" w:hanging="316"/>
        <w:spacing w:after="0" w:line="278" w:lineRule="auto"/>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new legislation and pending lawsuits or regulatory actions, including interim or final rulings by judicial or regulatory bodies; and</w:t>
      </w:r>
    </w:p>
    <w:p>
      <w:pPr>
        <w:spacing w:after="0" w:line="189" w:lineRule="exact"/>
        <w:rPr>
          <w:rFonts w:ascii="Times New Roman" w:cs="Times New Roman" w:eastAsia="Times New Roman" w:hAnsi="Times New Roman"/>
          <w:sz w:val="18"/>
          <w:szCs w:val="18"/>
          <w:color w:val="auto"/>
        </w:rPr>
      </w:pPr>
    </w:p>
    <w:p>
      <w:pPr>
        <w:ind w:left="1460" w:right="140" w:hanging="316"/>
        <w:spacing w:after="0" w:line="278" w:lineRule="auto"/>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COVID-19, political conditions, election cycles, war or incidents of terrorism, or responses to these events.</w:t>
      </w:r>
    </w:p>
    <w:p>
      <w:pPr>
        <w:spacing w:after="0" w:line="162" w:lineRule="exact"/>
        <w:rPr>
          <w:sz w:val="20"/>
          <w:szCs w:val="20"/>
          <w:color w:val="auto"/>
        </w:rPr>
      </w:pPr>
    </w:p>
    <w:p>
      <w:pPr>
        <w:ind w:left="160" w:right="120" w:firstLine="873"/>
        <w:spacing w:after="0" w:line="258" w:lineRule="auto"/>
        <w:rPr>
          <w:sz w:val="20"/>
          <w:szCs w:val="20"/>
          <w:color w:val="auto"/>
        </w:rPr>
      </w:pPr>
      <w:r>
        <w:rPr>
          <w:rFonts w:ascii="Times New Roman" w:cs="Times New Roman" w:eastAsia="Times New Roman" w:hAnsi="Times New Roman"/>
          <w:sz w:val="18"/>
          <w:szCs w:val="18"/>
          <w:color w:val="auto"/>
        </w:rPr>
        <w:t>In addition, extreme price and volume fluctuations in the stock markets have affected and continue to affect many technology companies’ stock prices. Stock prices often fluctuate in ways unrelated or disproportionate to a company’s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80"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Concurrent or future sales of shares by existing stockholders could cause our stock price to decline.</w:t>
      </w:r>
    </w:p>
    <w:p>
      <w:pPr>
        <w:spacing w:after="0" w:line="225" w:lineRule="exact"/>
        <w:rPr>
          <w:sz w:val="20"/>
          <w:szCs w:val="20"/>
          <w:color w:val="auto"/>
        </w:rPr>
      </w:pPr>
    </w:p>
    <w:p>
      <w:pPr>
        <w:ind w:left="160" w:right="20" w:firstLine="873"/>
        <w:spacing w:after="0" w:line="270" w:lineRule="auto"/>
        <w:rPr>
          <w:sz w:val="20"/>
          <w:szCs w:val="20"/>
          <w:color w:val="auto"/>
        </w:rPr>
      </w:pPr>
      <w:r>
        <w:rPr>
          <w:rFonts w:ascii="Times New Roman" w:cs="Times New Roman" w:eastAsia="Times New Roman" w:hAnsi="Times New Roman"/>
          <w:sz w:val="17"/>
          <w:szCs w:val="17"/>
          <w:color w:val="auto"/>
        </w:rPr>
        <w:t>If our existing stockholders, including employees who obtain equity, sell or indicate an intention to sell, substantial amounts of our common stock in the public market after the lock-up and legal restrictions on resale discussed in this prospectus lapse, the trading price of our common stock could decline. As of July 31, 2020, we had 91,122,356 shares of common stock outstanding. Concurrently with this offering, an aggregate of</w:t>
      </w:r>
    </w:p>
    <w:p>
      <w:pPr>
        <w:spacing w:after="0" w:line="1" w:lineRule="exact"/>
        <w:rPr>
          <w:sz w:val="20"/>
          <w:szCs w:val="20"/>
          <w:color w:val="auto"/>
        </w:rPr>
      </w:pPr>
    </w:p>
    <w:p>
      <w:pPr>
        <w:ind w:left="160" w:right="120"/>
        <w:spacing w:after="0" w:line="262" w:lineRule="auto"/>
        <w:rPr>
          <w:sz w:val="20"/>
          <w:szCs w:val="20"/>
          <w:color w:val="auto"/>
        </w:rPr>
      </w:pPr>
      <w:r>
        <w:rPr>
          <w:rFonts w:ascii="Times New Roman" w:cs="Times New Roman" w:eastAsia="Times New Roman" w:hAnsi="Times New Roman"/>
          <w:sz w:val="17"/>
          <w:szCs w:val="17"/>
          <w:color w:val="auto"/>
        </w:rPr>
        <w:t>shares of common stock will be released from applicable lock-up restrictions with certain of our existing stockholders not participating in this offering, and such shares may then be freely traded without registration. Only the shares of common stock sold in our IPO, sold in this offering or released as described in the preceding sentence will be freely tradable, without restriction, in the public market immediately after this offering. Each of our directors, executive officers and selling stockholders are subject to lock-up agreements that restrict their ability to sell or transfer their shares until the later of 90 days after the date of this prospectus or January 9, 2021, subject to certain exceptions. Each of our other security holders are subject to lock-up agreements that restrict their ability to sell or transfer their shares until January 9, 2021, subject to certain exceptions. However, BofA Securities, Inc. and Barclays Capital Inc. (collectively, the “Representatives”) may, in their sole discretion, waive the contractual lock-up before the lock-up agreements expire. After the lock-up agreements expire, all 91,122,356 shares outstanding as of July 31, 2020 will be eligible for sale in the</w:t>
      </w:r>
    </w:p>
    <w:p>
      <w:pPr>
        <w:spacing w:after="0" w:line="5" w:lineRule="exact"/>
        <w:rPr>
          <w:sz w:val="20"/>
          <w:szCs w:val="20"/>
          <w:color w:val="auto"/>
        </w:rPr>
      </w:pPr>
    </w:p>
    <w:p>
      <w:pPr>
        <w:ind w:left="160" w:right="140"/>
        <w:spacing w:after="0" w:line="256" w:lineRule="auto"/>
        <w:rPr>
          <w:sz w:val="20"/>
          <w:szCs w:val="20"/>
          <w:color w:val="auto"/>
        </w:rPr>
      </w:pPr>
      <w:r>
        <w:rPr>
          <w:rFonts w:ascii="Times New Roman" w:cs="Times New Roman" w:eastAsia="Times New Roman" w:hAnsi="Times New Roman"/>
          <w:sz w:val="18"/>
          <w:szCs w:val="18"/>
          <w:color w:val="auto"/>
        </w:rPr>
        <w:t>public market, of which shares are held by directors, executive officers and other affiliates and will be subject to volume limitations under Rule 144 of the Securities Act of 1933, as amended (the “Securities Act”), and various vesting agreements. Sales</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60"/>
          </w:cols>
          <w:pgMar w:left="320" w:top="454" w:right="51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both"/>
        <w:ind w:left="160" w:right="60"/>
        <w:spacing w:after="0" w:line="263" w:lineRule="auto"/>
        <w:rPr>
          <w:sz w:val="20"/>
          <w:szCs w:val="20"/>
          <w:color w:val="auto"/>
        </w:rPr>
      </w:pPr>
      <w:r>
        <w:rPr>
          <w:rFonts w:ascii="Times New Roman" w:cs="Times New Roman" w:eastAsia="Times New Roman" w:hAnsi="Times New Roman"/>
          <w:sz w:val="18"/>
          <w:szCs w:val="18"/>
          <w:color w:val="auto"/>
        </w:rPr>
        <w:t>of a substantial number of such shares upon the concurrent release of lock-up restrictions in connection with this offering or the expiration or any future earlier release of the lock-up and market stand-off agreements or, the perception that such sales may occur, could cause our market price to fall or make it more difficult for you to sell your common stock at a time and price that you deem appropriate.</w:t>
      </w:r>
    </w:p>
    <w:p>
      <w:pPr>
        <w:spacing w:after="0" w:line="17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In addition, 7,433,101 shares of common stock were subject to outstanding stock options, 224,507 shares of common stock subject to vested RSUs, and 1,839,836 RSUs were outstanding as of August 31, 2020. These shares will become eligible for sale in the public market to the extent permitted by the provisions of various vesting agreements, lock-up agreements and Rules 144 and 701 of the Securities Act. The shares covered by that registration statement will be eligible for sale in the public markets, subject to Rule 144 limitations applicable to affiliates and the lock-up agreements described above. If these additional shares are sold, or if it is perceived that they will be sold in the public market, the trading price of our common stock could decline.</w:t>
      </w:r>
    </w:p>
    <w:p>
      <w:pPr>
        <w:spacing w:after="0" w:line="180" w:lineRule="exact"/>
        <w:rPr>
          <w:sz w:val="20"/>
          <w:szCs w:val="20"/>
          <w:color w:val="auto"/>
        </w:rPr>
      </w:pPr>
    </w:p>
    <w:p>
      <w:pPr>
        <w:ind w:left="160" w:right="4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60"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76" w:lineRule="exact"/>
        <w:rPr>
          <w:sz w:val="20"/>
          <w:szCs w:val="20"/>
          <w:color w:val="auto"/>
        </w:rPr>
      </w:pPr>
    </w:p>
    <w:p>
      <w:pPr>
        <w:jc w:val="both"/>
        <w:ind w:left="160" w:right="1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about us or cease publishing research on us at all, our business or our market, or if they change their recommendations regarding our common stock adversely, the trading price or trading volume of our common stock could decline.</w:t>
      </w:r>
    </w:p>
    <w:p>
      <w:pPr>
        <w:spacing w:after="0" w:line="174" w:lineRule="exact"/>
        <w:rPr>
          <w:sz w:val="20"/>
          <w:szCs w:val="20"/>
          <w:color w:val="auto"/>
        </w:rPr>
      </w:pPr>
    </w:p>
    <w:p>
      <w:pPr>
        <w:ind w:left="160" w:right="140" w:firstLine="873"/>
        <w:spacing w:after="0" w:line="274" w:lineRule="auto"/>
        <w:rPr>
          <w:sz w:val="20"/>
          <w:szCs w:val="20"/>
          <w:color w:val="auto"/>
        </w:rPr>
      </w:pPr>
      <w:r>
        <w:rPr>
          <w:rFonts w:ascii="Times New Roman" w:cs="Times New Roman" w:eastAsia="Times New Roman" w:hAnsi="Times New Roman"/>
          <w:sz w:val="17"/>
          <w:szCs w:val="17"/>
          <w:color w:val="auto"/>
        </w:rPr>
        <w:t>The trading market for our common stock is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covers us, or may cover us, were to cease coverage of us or fail to regularly publish reports on us, we could lose visibility in the financial markets, which in turn could cause the trading price or trading volume of our common stock to decline.</w:t>
      </w:r>
    </w:p>
    <w:p>
      <w:pPr>
        <w:spacing w:after="0" w:line="164" w:lineRule="exact"/>
        <w:rPr>
          <w:sz w:val="20"/>
          <w:szCs w:val="20"/>
          <w:color w:val="auto"/>
        </w:rPr>
      </w:pPr>
    </w:p>
    <w:p>
      <w:pPr>
        <w:ind w:left="160" w:right="4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60" w:lineRule="exact"/>
        <w:rPr>
          <w:sz w:val="20"/>
          <w:szCs w:val="20"/>
          <w:color w:val="auto"/>
        </w:rPr>
      </w:pPr>
    </w:p>
    <w:p>
      <w:pPr>
        <w:ind w:left="160" w:right="60" w:firstLine="873"/>
        <w:spacing w:after="0" w:line="308" w:lineRule="auto"/>
        <w:rPr>
          <w:sz w:val="20"/>
          <w:szCs w:val="20"/>
          <w:color w:val="auto"/>
        </w:rPr>
      </w:pPr>
      <w:r>
        <w:rPr>
          <w:rFonts w:ascii="Times New Roman" w:cs="Times New Roman" w:eastAsia="Times New Roman" w:hAnsi="Times New Roman"/>
          <w:sz w:val="17"/>
          <w:szCs w:val="17"/>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167" w:lineRule="exact"/>
        <w:rPr>
          <w:sz w:val="20"/>
          <w:szCs w:val="20"/>
          <w:color w:val="auto"/>
        </w:rPr>
      </w:pPr>
    </w:p>
    <w:p>
      <w:pPr>
        <w:ind w:left="1460" w:right="120" w:hanging="316"/>
        <w:spacing w:after="0" w:line="278" w:lineRule="auto"/>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our independent registered public accounting firm audit our internal control over financial reporting under Section 404 of the Sarbanes-Oxley Act;</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 on Form 10-K; and</w:t>
      </w:r>
    </w:p>
    <w:p>
      <w:pPr>
        <w:spacing w:after="0" w:line="247" w:lineRule="exact"/>
        <w:rPr>
          <w:rFonts w:ascii="Times New Roman" w:cs="Times New Roman" w:eastAsia="Times New Roman" w:hAnsi="Times New Roman"/>
          <w:sz w:val="18"/>
          <w:szCs w:val="18"/>
          <w:color w:val="auto"/>
        </w:rPr>
      </w:pPr>
    </w:p>
    <w:p>
      <w:pPr>
        <w:ind w:left="1460" w:right="40" w:hanging="316"/>
        <w:spacing w:after="0" w:line="278" w:lineRule="auto"/>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60"/>
          </w:cols>
          <w:pgMar w:left="320" w:top="454" w:right="51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60" w:firstLine="873"/>
        <w:spacing w:after="0" w:line="253" w:lineRule="auto"/>
        <w:rPr>
          <w:sz w:val="20"/>
          <w:szCs w:val="20"/>
          <w:color w:val="auto"/>
        </w:rPr>
      </w:pPr>
      <w:r>
        <w:rPr>
          <w:rFonts w:ascii="Times New Roman" w:cs="Times New Roman" w:eastAsia="Times New Roman" w:hAnsi="Times New Roman"/>
          <w:sz w:val="18"/>
          <w:szCs w:val="18"/>
          <w:color w:val="auto"/>
        </w:rPr>
        <w:t>As a result, our stockholders may not have access to certain information they may deem important. We could be an emerging growth company for up to five years from our IPO, although circumstances could cause us to lose that status earlier, including if our total annual gross revenues exceed $1.07 billion, if we issue more than $1.0 billion in non-convertible debt securities during any three-year period, or if we are a large accelerated filer and the market value of our common stock held by non-affiliates exceeds $700 million as of the end of any second quarter before that time. 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84"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elected to use the extended transition period for complying with new or revised accounting standards that have different effective dates for public and private companies until the earlier of the date that we (1) are no longer an emerging growth company or</w:t>
      </w:r>
    </w:p>
    <w:p>
      <w:pPr>
        <w:spacing w:after="0" w:line="1" w:lineRule="exact"/>
        <w:rPr>
          <w:sz w:val="20"/>
          <w:szCs w:val="20"/>
          <w:color w:val="auto"/>
        </w:rPr>
      </w:pPr>
    </w:p>
    <w:p>
      <w:pPr>
        <w:ind w:left="160" w:right="180" w:firstLine="7"/>
        <w:spacing w:after="0" w:line="256" w:lineRule="auto"/>
        <w:tabs>
          <w:tab w:leader="none" w:pos="4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78" w:lineRule="exact"/>
        <w:rPr>
          <w:sz w:val="20"/>
          <w:szCs w:val="20"/>
          <w:color w:val="auto"/>
        </w:rPr>
      </w:pPr>
    </w:p>
    <w:p>
      <w:pPr>
        <w:jc w:val="both"/>
        <w:ind w:left="160" w:right="2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As a result of becoming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174" w:lineRule="exact"/>
        <w:rPr>
          <w:sz w:val="20"/>
          <w:szCs w:val="20"/>
          <w:color w:val="auto"/>
        </w:rPr>
      </w:pPr>
    </w:p>
    <w:p>
      <w:pPr>
        <w:ind w:left="160" w:right="80" w:firstLine="873"/>
        <w:spacing w:after="0" w:line="254" w:lineRule="auto"/>
        <w:rPr>
          <w:sz w:val="20"/>
          <w:szCs w:val="20"/>
          <w:color w:val="auto"/>
        </w:rPr>
      </w:pPr>
      <w:r>
        <w:rPr>
          <w:rFonts w:ascii="Times New Roman" w:cs="Times New Roman" w:eastAsia="Times New Roman" w:hAnsi="Times New Roman"/>
          <w:sz w:val="18"/>
          <w:szCs w:val="18"/>
          <w:color w:val="auto"/>
        </w:rPr>
        <w:t>We will be required, pursuant to Section 404 of the Sarbanes-Oxley Act, to furnish a report by management on, among other things, the effectiveness of our internal control over financial reporting on an annual basis, beginning with our 2022 fiscal year. This assessment will need to include disclosure of any material weaknesses identified by our management in our internal control over financial reporting. Our independent registered public accounting firm will not be required to attest to the effectiveness of our internal control over financial reporting until our first annual report required to be filed with the SEC following the date we are no longer an “emerging growth company,” as defined in the JOBS Act. We will be required to disclose significant changes made in our internal control procedures on a quarterly basis.</w:t>
      </w:r>
    </w:p>
    <w:p>
      <w:pPr>
        <w:spacing w:after="0" w:line="184" w:lineRule="exact"/>
        <w:rPr>
          <w:sz w:val="20"/>
          <w:szCs w:val="20"/>
          <w:color w:val="auto"/>
        </w:rPr>
      </w:pPr>
    </w:p>
    <w:p>
      <w:pPr>
        <w:ind w:left="160" w:right="100" w:firstLine="873"/>
        <w:spacing w:after="0" w:line="258" w:lineRule="auto"/>
        <w:rPr>
          <w:sz w:val="20"/>
          <w:szCs w:val="20"/>
          <w:color w:val="auto"/>
        </w:rPr>
      </w:pPr>
      <w:r>
        <w:rPr>
          <w:rFonts w:ascii="Times New Roman" w:cs="Times New Roman" w:eastAsia="Times New Roman" w:hAnsi="Times New Roman"/>
          <w:sz w:val="18"/>
          <w:szCs w:val="18"/>
          <w:color w:val="auto"/>
        </w:rPr>
        <w:t>Our compliance with Section 404 will require that we incur substantial accounting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80"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and operating results.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4" w:right="4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Future securities issuances could result in significant dilution to our stockholders and impair the market price of our common stock.</w:t>
      </w:r>
    </w:p>
    <w:p>
      <w:pPr>
        <w:spacing w:after="0" w:line="22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in this offering bear the risk that future issuances of debt or equity securities may reduce the value of our common stock and further dilute their ownership interest.</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Operating as a public company requires us to incur substantial costs and will require substantial management attention.</w:t>
      </w:r>
    </w:p>
    <w:p>
      <w:pPr>
        <w:spacing w:after="0" w:line="22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substantial legal, accounting and other expenses that we did not incur as a private company. For example, we are subject to the reporting requirements of the Exchange Act, the applicable requirements of the Sarbanes-Oxley Act and the Dodd-Frank Wall Street Reform and Consumer Protection Act, the rules and regulations of the SEC, and the rules and regulations of The Nasdaq Global Select Market. As part of the new requirements, we have established and maintain effective disclosure and financial controls and made changes to our corporate governance practices. Compliance with these requirements has and will continue to increase our legal and financial compliance costs and will make some activities more time-consuming.</w:t>
      </w:r>
    </w:p>
    <w:p>
      <w:pPr>
        <w:spacing w:after="0" w:line="184"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color w:val="auto"/>
        </w:rPr>
        <w:t>Our management and other personnel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 We are in the process of hiring additional accounting and financial staff with appropriate public company experience and technical accounting knowledge.</w:t>
      </w:r>
    </w:p>
    <w:p>
      <w:pPr>
        <w:spacing w:after="0" w:line="176" w:lineRule="exact"/>
        <w:rPr>
          <w:sz w:val="20"/>
          <w:szCs w:val="20"/>
          <w:color w:val="auto"/>
        </w:rPr>
      </w:pPr>
    </w:p>
    <w:p>
      <w:pPr>
        <w:ind w:left="160" w:right="5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bylaws could make a merger, tender offer or proxy contest difficult, thereby depressing the trading price of our common stock.</w:t>
      </w:r>
    </w:p>
    <w:p>
      <w:pPr>
        <w:spacing w:after="0" w:line="160" w:lineRule="exact"/>
        <w:rPr>
          <w:sz w:val="20"/>
          <w:szCs w:val="20"/>
          <w:color w:val="auto"/>
        </w:rPr>
      </w:pPr>
    </w:p>
    <w:p>
      <w:pPr>
        <w:ind w:left="160" w:right="80" w:firstLine="873"/>
        <w:spacing w:after="0" w:line="26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202" w:lineRule="exact"/>
        <w:rPr>
          <w:sz w:val="20"/>
          <w:szCs w:val="20"/>
          <w:color w:val="auto"/>
        </w:rPr>
      </w:pPr>
    </w:p>
    <w:p>
      <w:pPr>
        <w:ind w:left="1460" w:hanging="316"/>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of directors are elected at one time;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newly-created directorships;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amended and restated certificate of incorporation and bylaws;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special meetings of stockholders;</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54" w:right="4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460" w:hanging="316"/>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bylaws;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forum for certain litigation against us to Delaware; and</w:t>
      </w:r>
    </w:p>
    <w:p>
      <w:pPr>
        <w:spacing w:after="0" w:line="247" w:lineRule="exact"/>
        <w:rPr>
          <w:rFonts w:ascii="Times New Roman" w:cs="Times New Roman" w:eastAsia="Times New Roman" w:hAnsi="Times New Roman"/>
          <w:sz w:val="18"/>
          <w:szCs w:val="18"/>
          <w:color w:val="auto"/>
        </w:rPr>
      </w:pPr>
    </w:p>
    <w:p>
      <w:pPr>
        <w:ind w:left="1460" w:right="80" w:hanging="316"/>
        <w:spacing w:after="0" w:line="278" w:lineRule="auto"/>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ind w:left="160" w:right="80" w:firstLine="873"/>
        <w:spacing w:after="0" w:line="263"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1" w:lineRule="exact"/>
        <w:rPr>
          <w:sz w:val="20"/>
          <w:szCs w:val="20"/>
          <w:color w:val="auto"/>
        </w:rPr>
      </w:pPr>
    </w:p>
    <w:p>
      <w:pPr>
        <w:ind w:left="16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74" w:lineRule="exact"/>
        <w:rPr>
          <w:sz w:val="20"/>
          <w:szCs w:val="20"/>
          <w:color w:val="auto"/>
        </w:rPr>
      </w:pPr>
    </w:p>
    <w:p>
      <w:pPr>
        <w:ind w:left="160" w:right="100" w:firstLine="873"/>
        <w:spacing w:after="0" w:line="274"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w:t>
      </w:r>
    </w:p>
    <w:p>
      <w:pPr>
        <w:ind w:left="160" w:firstLine="7"/>
        <w:spacing w:after="0" w:line="249" w:lineRule="auto"/>
        <w:tabs>
          <w:tab w:leader="none" w:pos="41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spacing w:after="0" w:line="191" w:lineRule="exact"/>
        <w:rPr>
          <w:sz w:val="20"/>
          <w:szCs w:val="20"/>
          <w:color w:val="auto"/>
        </w:rPr>
      </w:pPr>
    </w:p>
    <w:p>
      <w:pPr>
        <w:ind w:left="160" w:right="700" w:firstLine="873"/>
        <w:spacing w:after="0" w:line="278" w:lineRule="auto"/>
        <w:rPr>
          <w:sz w:val="20"/>
          <w:szCs w:val="20"/>
          <w:color w:val="auto"/>
        </w:rPr>
      </w:pPr>
      <w:r>
        <w:rPr>
          <w:rFonts w:ascii="Times New Roman" w:cs="Times New Roman" w:eastAsia="Times New Roman" w:hAnsi="Times New Roman"/>
          <w:sz w:val="18"/>
          <w:szCs w:val="18"/>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62" w:lineRule="exact"/>
        <w:rPr>
          <w:sz w:val="20"/>
          <w:szCs w:val="20"/>
          <w:color w:val="auto"/>
        </w:rPr>
      </w:pPr>
    </w:p>
    <w:p>
      <w:pPr>
        <w:ind w:left="160" w:right="20" w:firstLine="873"/>
        <w:spacing w:after="0" w:line="277" w:lineRule="auto"/>
        <w:rPr>
          <w:sz w:val="20"/>
          <w:szCs w:val="20"/>
          <w:color w:val="auto"/>
        </w:rPr>
      </w:pPr>
      <w:r>
        <w:rPr>
          <w:rFonts w:ascii="Times New Roman" w:cs="Times New Roman" w:eastAsia="Times New Roman" w:hAnsi="Times New Roman"/>
          <w:sz w:val="17"/>
          <w:szCs w:val="17"/>
          <w:color w:val="auto"/>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167" w:lineRule="exact"/>
        <w:rPr>
          <w:sz w:val="20"/>
          <w:szCs w:val="20"/>
          <w:color w:val="auto"/>
        </w:rPr>
      </w:pPr>
    </w:p>
    <w:p>
      <w:pPr>
        <w:ind w:left="160" w:right="60" w:firstLine="873"/>
        <w:spacing w:after="0" w:line="274"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1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454" w:right="4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5" w:lineRule="exact"/>
        <w:rPr>
          <w:sz w:val="20"/>
          <w:szCs w:val="20"/>
          <w:color w:val="auto"/>
        </w:rPr>
      </w:pPr>
    </w:p>
    <w:p>
      <w:pPr>
        <w:ind w:left="160" w:right="160" w:firstLine="873"/>
        <w:spacing w:after="0" w:line="274" w:lineRule="auto"/>
        <w:rPr>
          <w:sz w:val="20"/>
          <w:szCs w:val="20"/>
          <w:color w:val="auto"/>
        </w:rPr>
      </w:pPr>
      <w:r>
        <w:rPr>
          <w:rFonts w:ascii="Times New Roman" w:cs="Times New Roman" w:eastAsia="Times New Roman" w:hAnsi="Times New Roman"/>
          <w:sz w:val="17"/>
          <w:szCs w:val="17"/>
          <w:color w:val="auto"/>
        </w:rPr>
        <w:t>This prospectus contains forward-looking statements within the meaning of the Private Securities Litigation Reform Act of 1995. All statements other than statements of historical fact contained in this prospectus, including statements regarding our future results of operations and financial condition,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8"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“should,” “expects,” “plans,” “anticipates,” “could,” “intends,” “target,” “projects,”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w:t>
      </w:r>
    </w:p>
    <w:p>
      <w:pPr>
        <w:spacing w:after="0" w:line="216" w:lineRule="exact"/>
        <w:rPr>
          <w:sz w:val="20"/>
          <w:szCs w:val="20"/>
          <w:color w:val="auto"/>
        </w:rPr>
      </w:pPr>
    </w:p>
    <w:p>
      <w:pPr>
        <w:ind w:left="1460" w:right="260" w:hanging="316"/>
        <w:spacing w:after="0" w:line="278" w:lineRule="auto"/>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revenues, cost of revenues, operating expenses, and our ability to achieve and maintain future profitability;</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strategies, plans, objectives and goals;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existing and new competitors in existing and new markets and offerings;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protect our brand;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privacy, information and data security;</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research and development and building out our sales team;</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spending by financial institutions in cloud-based technology;</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customers;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 and associated costs;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management of future growth based on subscription revenues over terms of contracts;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our customers, partners and other third parties;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industry, business and results of operations;</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40"/>
          </w:cols>
          <w:pgMar w:left="320" w:top="454" w:right="5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460" w:hanging="316"/>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industry trends; projected growth or trend analysis;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Salesforce and our SIs;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sales fluctuations;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capacity and automation to our operations;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221"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60"/>
          </w:cols>
          <w:pgMar w:left="320" w:top="454" w:right="51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5" w:lineRule="exact"/>
        <w:rPr>
          <w:sz w:val="20"/>
          <w:szCs w:val="20"/>
          <w:color w:val="auto"/>
        </w:rPr>
      </w:pPr>
    </w:p>
    <w:p>
      <w:pPr>
        <w:ind w:left="160" w:right="40" w:firstLine="873"/>
        <w:spacing w:after="0" w:line="253" w:lineRule="auto"/>
        <w:rPr>
          <w:sz w:val="20"/>
          <w:szCs w:val="20"/>
          <w:color w:val="auto"/>
        </w:rPr>
      </w:pPr>
      <w:r>
        <w:rPr>
          <w:rFonts w:ascii="Times New Roman" w:cs="Times New Roman" w:eastAsia="Times New Roman" w:hAnsi="Times New Roman"/>
          <w:sz w:val="18"/>
          <w:szCs w:val="18"/>
          <w:color w:val="auto"/>
        </w:rPr>
        <w:t>This prospectus contains estimates, projections and other information concerning our industry, including market size and growth rates of the markets in which we participate, and discussion of our general expectations, market position and market opportunity. Although we are responsible for the disclosure contained in this prospectus, this information is based on various sources, including reports and publications from Accenture, Ernst &amp; Young, Gartner, IDC, McKinsey &amp; Company, PricewaterhouseCoopers and other industry publications, surveys and forecasts, and assumptions we have made that are based on such data and other similar sources and on our knowledge of the markets for our solution. This information involves a number of assumptions and limitations, and you are cautioned not to give undue weight to these estimates. Certain of these publications, studies and reports were published before the COVID-19 pandemic and therefore do not reflect any impact of COVID-19 on any specific market or globally.</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reports and publications appearing in this prospectus include:</w:t>
      </w:r>
    </w:p>
    <w:p>
      <w:pPr>
        <w:spacing w:after="0" w:line="248" w:lineRule="exact"/>
        <w:rPr>
          <w:sz w:val="20"/>
          <w:szCs w:val="20"/>
          <w:color w:val="auto"/>
        </w:rPr>
      </w:pPr>
    </w:p>
    <w:p>
      <w:pPr>
        <w:ind w:left="1460" w:hanging="316"/>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Accenture, 2018 North America Banking Operations Survey, March 2018.</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Accenture, Redefine Banking with Artificial Intelligence, January 2018.</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Celent and NEX, Cloud in Capital Markets: Getting Ahead of Tomorrow, March 2018.</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LLC, Global Banking Outlook 2018: Pivoting Toward an Innovation-Led Strategy, May 2018.</w:t>
      </w:r>
    </w:p>
    <w:p>
      <w:pPr>
        <w:spacing w:after="0" w:line="247" w:lineRule="exact"/>
        <w:rPr>
          <w:rFonts w:ascii="Times New Roman" w:cs="Times New Roman" w:eastAsia="Times New Roman" w:hAnsi="Times New Roman"/>
          <w:sz w:val="18"/>
          <w:szCs w:val="18"/>
          <w:color w:val="auto"/>
        </w:rPr>
      </w:pPr>
    </w:p>
    <w:p>
      <w:pPr>
        <w:ind w:left="1460" w:right="400" w:hanging="316"/>
        <w:spacing w:after="0" w:line="278" w:lineRule="auto"/>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Gartner, Forecast: Enterprise IT Spending by Vertical Industry Market, Worldwide, 2017-2023, 3Q19 Update, Neha Gupta, et al., October 2019.</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Grata Inc., nCino Global Banking Market Study Summary Report, October 2019.</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IDC, Worldwide Semi Annual Public Cloud Services Spending Guide, 2018H2, June 2019.</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McKinsey &amp; Company, Inc., Bots, Algorithms, and the Future of the Finance Function, January 2018.</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McKinsey &amp; Company, Inc., McKinsey on Payments—Special Edition on Advanced Analytics in Banking, August 2018.</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PricewaterhouseCoopers, Consumer Digital Banking Survey, June 2019.</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Thomson Reuters, Cost of Compliance 2019: 10 Years of Regulatory Change, June 2019.</w:t>
      </w:r>
    </w:p>
    <w:p>
      <w:pPr>
        <w:spacing w:after="0" w:line="221"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Industry data and other third-party information have been obtained from sources believed to be reliable, but we have not independently verified any third-party information.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third parties and by us.</w:t>
      </w:r>
    </w:p>
    <w:p>
      <w:pPr>
        <w:spacing w:after="0" w:line="184" w:lineRule="exact"/>
        <w:rPr>
          <w:sz w:val="20"/>
          <w:szCs w:val="20"/>
          <w:color w:val="auto"/>
        </w:rPr>
      </w:pPr>
    </w:p>
    <w:p>
      <w:pPr>
        <w:ind w:left="160" w:right="80" w:firstLine="873"/>
        <w:spacing w:after="0" w:line="255" w:lineRule="auto"/>
        <w:rPr>
          <w:sz w:val="20"/>
          <w:szCs w:val="20"/>
          <w:color w:val="auto"/>
        </w:rPr>
      </w:pPr>
      <w:r>
        <w:rPr>
          <w:rFonts w:ascii="Times New Roman" w:cs="Times New Roman" w:eastAsia="Times New Roman" w:hAnsi="Times New Roman"/>
          <w:sz w:val="18"/>
          <w:szCs w:val="18"/>
          <w:color w:val="auto"/>
        </w:rPr>
        <w:t>The Gartner Report(s) described herein, (the “Gartner Report(s)”) represent(s) research opinion or viewpoints published, as part of a syndicated subscription service, by Gartner, Inc. (“Gartner”), and are not representations of fact. Each Gartner Report speaks as of its original publication date (and not as of the date of this prospectus) and the opinions expressed in the Gartner Report(s) are subject to change without notice. The banking market falls within the banking and securities market in Gartner’s industry data set. Calculations on Gartner industry data were performed by nCino.</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4" w:right="49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5"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this offering. We will not receive any proceeds from the sale of shares in this offering. For more information on our selling stockholders see “Principal and Selling Stockholders”.</w:t>
      </w:r>
    </w:p>
    <w:p>
      <w:pPr>
        <w:spacing w:after="0" w:line="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20"/>
          </w:cols>
          <w:pgMar w:left="320" w:top="454" w:right="6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ability to pay cash dividends on our capital stock may be limited by any future debt instruments or preferred securities.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54" w:right="4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5" w:lineRule="exact"/>
        <w:rPr>
          <w:sz w:val="20"/>
          <w:szCs w:val="20"/>
          <w:color w:val="auto"/>
        </w:rPr>
      </w:pPr>
    </w:p>
    <w:p>
      <w:pPr>
        <w:ind w:left="160" w:right="140" w:firstLine="873"/>
        <w:spacing w:after="0" w:line="263"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July 31, 2020. You should read this table together with the sections titled “Selected Consolidated Financial and Other Data,” “Use of Proceeds,” “Management’s Discussion and Analysis of Financial Condition and Results of Operations” and our consolidated financial statements and related notes included elsewhere in this prospectus.</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998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July 31,</w:t>
            </w:r>
          </w:p>
        </w:tc>
        <w:tc>
          <w:tcPr>
            <w:tcW w:w="0" w:type="dxa"/>
            <w:vAlign w:val="bottom"/>
          </w:tcPr>
          <w:p>
            <w:pPr>
              <w:spacing w:after="0"/>
              <w:rPr>
                <w:sz w:val="1"/>
                <w:szCs w:val="1"/>
                <w:color w:val="auto"/>
              </w:rPr>
            </w:pPr>
          </w:p>
        </w:tc>
      </w:tr>
      <w:tr>
        <w:trPr>
          <w:trHeight w:val="172"/>
        </w:trPr>
        <w:tc>
          <w:tcPr>
            <w:tcW w:w="9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9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388,191</w:t>
            </w:r>
          </w:p>
        </w:tc>
        <w:tc>
          <w:tcPr>
            <w:tcW w:w="0" w:type="dxa"/>
            <w:vAlign w:val="bottom"/>
          </w:tcPr>
          <w:p>
            <w:pPr>
              <w:spacing w:after="0"/>
              <w:rPr>
                <w:sz w:val="1"/>
                <w:szCs w:val="1"/>
                <w:color w:val="auto"/>
              </w:rPr>
            </w:pPr>
          </w:p>
        </w:tc>
      </w:tr>
      <w:tr>
        <w:trPr>
          <w:trHeight w:val="20"/>
        </w:trPr>
        <w:tc>
          <w:tcPr>
            <w:tcW w:w="9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9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and none issued and outstanding</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9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$0.0005 par value; 500,000,000 shares authorized; 91,122,356 shares issued and outstanding;</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4"/>
        </w:trPr>
        <w:tc>
          <w:tcPr>
            <w:tcW w:w="9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567,314</w:t>
            </w:r>
          </w:p>
        </w:tc>
        <w:tc>
          <w:tcPr>
            <w:tcW w:w="0" w:type="dxa"/>
            <w:vAlign w:val="bottom"/>
          </w:tcPr>
          <w:p>
            <w:pPr>
              <w:spacing w:after="0"/>
              <w:rPr>
                <w:sz w:val="1"/>
                <w:szCs w:val="1"/>
                <w:color w:val="auto"/>
              </w:rPr>
            </w:pPr>
          </w:p>
        </w:tc>
      </w:tr>
      <w:tr>
        <w:trPr>
          <w:trHeight w:val="214"/>
        </w:trPr>
        <w:tc>
          <w:tcPr>
            <w:tcW w:w="9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other comprehensive income</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4"/>
        </w:trPr>
        <w:tc>
          <w:tcPr>
            <w:tcW w:w="9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(140,072)</w:t>
            </w:r>
          </w:p>
        </w:tc>
        <w:tc>
          <w:tcPr>
            <w:tcW w:w="0" w:type="dxa"/>
            <w:vAlign w:val="bottom"/>
          </w:tcPr>
          <w:p>
            <w:pPr>
              <w:spacing w:after="0"/>
              <w:rPr>
                <w:sz w:val="1"/>
                <w:szCs w:val="1"/>
                <w:color w:val="auto"/>
              </w:rPr>
            </w:pPr>
          </w:p>
        </w:tc>
      </w:tr>
      <w:tr>
        <w:trPr>
          <w:trHeight w:val="227"/>
        </w:trPr>
        <w:tc>
          <w:tcPr>
            <w:tcW w:w="9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capitalization</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427,490</w:t>
            </w:r>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460" w:firstLine="873"/>
        <w:spacing w:after="0" w:line="278" w:lineRule="auto"/>
        <w:rPr>
          <w:sz w:val="20"/>
          <w:szCs w:val="20"/>
          <w:color w:val="auto"/>
        </w:rPr>
      </w:pPr>
      <w:r>
        <w:rPr>
          <w:rFonts w:ascii="Times New Roman" w:cs="Times New Roman" w:eastAsia="Times New Roman" w:hAnsi="Times New Roman"/>
          <w:sz w:val="18"/>
          <w:szCs w:val="18"/>
          <w:color w:val="auto"/>
        </w:rPr>
        <w:t>The number of shares of common stock that will be outstanding after this offering is based on 91,122,356 shares of our common stock outstanding as of July 31, 2020 and excludes:</w:t>
      </w:r>
    </w:p>
    <w:p>
      <w:pPr>
        <w:spacing w:after="0" w:line="189" w:lineRule="exact"/>
        <w:rPr>
          <w:sz w:val="20"/>
          <w:szCs w:val="20"/>
          <w:color w:val="auto"/>
        </w:rPr>
      </w:pPr>
    </w:p>
    <w:p>
      <w:pPr>
        <w:ind w:left="1460" w:right="160" w:hanging="316"/>
        <w:spacing w:after="0" w:line="278" w:lineRule="auto"/>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7,464,094 shares of common stock issuable upon exercise of options outstanding as of July 31, 2020, at a weighted-average exercise price of $5.48 per share under our existing equity plans;</w:t>
      </w:r>
    </w:p>
    <w:p>
      <w:pPr>
        <w:spacing w:after="0" w:line="189" w:lineRule="exact"/>
        <w:rPr>
          <w:rFonts w:ascii="Times New Roman" w:cs="Times New Roman" w:eastAsia="Times New Roman" w:hAnsi="Times New Roman"/>
          <w:sz w:val="18"/>
          <w:szCs w:val="18"/>
          <w:color w:val="auto"/>
        </w:rPr>
      </w:pPr>
    </w:p>
    <w:p>
      <w:pPr>
        <w:ind w:left="1460" w:right="240" w:hanging="316"/>
        <w:spacing w:after="0" w:line="278" w:lineRule="auto"/>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2,041,093 shares of common stock issuable upon vesting of restricted stock unit (“RSU”) awards as of July 31, 2020 at a weighted-average grant date fair value of $20.84 per share;</w:t>
      </w:r>
    </w:p>
    <w:p>
      <w:pPr>
        <w:spacing w:after="0" w:line="189" w:lineRule="exact"/>
        <w:rPr>
          <w:rFonts w:ascii="Times New Roman" w:cs="Times New Roman" w:eastAsia="Times New Roman" w:hAnsi="Times New Roman"/>
          <w:sz w:val="18"/>
          <w:szCs w:val="18"/>
          <w:color w:val="auto"/>
        </w:rPr>
      </w:pPr>
    </w:p>
    <w:p>
      <w:pPr>
        <w:ind w:left="1460" w:right="160" w:hanging="316"/>
        <w:spacing w:after="0" w:line="278" w:lineRule="auto"/>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17,500 shares of vested RSUs that were not issued and outstanding as of July 31, 2020 at a weighted-average grant date fair value of $20.00 per share;</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13,480,341 shares of common stock reserved for future issuance as of July 31, 2020 under our 2019 Incentive Plan;</w:t>
      </w:r>
    </w:p>
    <w:p>
      <w:pPr>
        <w:spacing w:after="0" w:line="247" w:lineRule="exact"/>
        <w:rPr>
          <w:rFonts w:ascii="Times New Roman" w:cs="Times New Roman" w:eastAsia="Times New Roman" w:hAnsi="Times New Roman"/>
          <w:sz w:val="18"/>
          <w:szCs w:val="18"/>
          <w:color w:val="auto"/>
        </w:rPr>
      </w:pPr>
    </w:p>
    <w:p>
      <w:pPr>
        <w:ind w:left="1460" w:right="460" w:hanging="316"/>
        <w:spacing w:after="0" w:line="278" w:lineRule="auto"/>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1,800,000 shares of common stock reserved for issuance as of July 31, 2020 under our 2020 Employee Stock Purchase Plan (the “ESPP”); and</w:t>
      </w:r>
    </w:p>
    <w:p>
      <w:pPr>
        <w:spacing w:after="0" w:line="189" w:lineRule="exact"/>
        <w:rPr>
          <w:rFonts w:ascii="Times New Roman" w:cs="Times New Roman" w:eastAsia="Times New Roman" w:hAnsi="Times New Roman"/>
          <w:sz w:val="18"/>
          <w:szCs w:val="18"/>
          <w:color w:val="auto"/>
        </w:rPr>
      </w:pPr>
    </w:p>
    <w:p>
      <w:pPr>
        <w:ind w:left="1460" w:right="200" w:hanging="316"/>
        <w:spacing w:after="0" w:line="278" w:lineRule="auto"/>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5,750 shares issuable upon vesting of RSU awards granted after July 31, 2020, at a weighted-average grant date fair value of $76.48 under our 2019 Incentive Plan.</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4" w:right="4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SELECTED CONSOLIDATED FINANCIAL AND OTHER DATA</w:t>
      </w:r>
    </w:p>
    <w:p>
      <w:pPr>
        <w:spacing w:after="0" w:line="225"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color w:val="auto"/>
        </w:rPr>
        <w:t>The following tables set forth our selected consolidated financial data. The selected consolidated statement of operations data for the fiscal years ended January 31, 2018, 2019 and 2020 and the selected consolidated balance sheet data as of January 31, 2018, 2019 and 2020 are each derived from our audited consolidated financial statements appearing elsewhere in this prospectus. The selected consolidated statement of operations data for the six months ended July 31, 2019 and 2020, and the selected consolidated balance sheet data as of July 31, 2020, are each derived from our unaudited financial statements appearing elsewhere in this prospectus. The selected consolidated balance sheet data as of July 31, 2019 is derived from our unaudited financial statements not included in this prospectus. We have prepared the unaudited interim financial statements on the same basis as the audited annual financial statements and have included all adjustments, consisting only of normal recurring adjustments that we consider necessary for a fair presentation of the financial information set forth in those statements. Our historical results are not necessarily indicative of the results to be expected in the future.</w:t>
      </w:r>
    </w:p>
    <w:p>
      <w:pPr>
        <w:spacing w:after="0" w:line="192" w:lineRule="exact"/>
        <w:rPr>
          <w:sz w:val="20"/>
          <w:szCs w:val="20"/>
          <w:color w:val="auto"/>
        </w:rPr>
      </w:pPr>
    </w:p>
    <w:p>
      <w:pPr>
        <w:jc w:val="both"/>
        <w:ind w:left="160" w:right="340" w:firstLine="873"/>
        <w:spacing w:after="0" w:line="263" w:lineRule="auto"/>
        <w:rPr>
          <w:sz w:val="20"/>
          <w:szCs w:val="20"/>
          <w:color w:val="auto"/>
        </w:rPr>
      </w:pPr>
      <w:r>
        <w:rPr>
          <w:rFonts w:ascii="Times New Roman" w:cs="Times New Roman" w:eastAsia="Times New Roman" w:hAnsi="Times New Roman"/>
          <w:sz w:val="18"/>
          <w:szCs w:val="18"/>
          <w:color w:val="auto"/>
        </w:rPr>
        <w:t>You should read this selected consolidated financial and other data in conjunction with the section titled “Management’s Discussion and Analysis of Financial Condition and Results of Operations” and our consolidated financial statements, related notes and other financial information included elsewhere in this prospectus.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80" w:type="dxa"/>
            <w:vAlign w:val="bottom"/>
            <w:gridSpan w:val="6"/>
            <w:vMerge w:val="restart"/>
          </w:tcPr>
          <w:p>
            <w:pPr>
              <w:jc w:val="right"/>
              <w:ind w:right="7"/>
              <w:spacing w:after="0"/>
              <w:rPr>
                <w:sz w:val="20"/>
                <w:szCs w:val="20"/>
                <w:color w:val="auto"/>
              </w:rPr>
            </w:pPr>
            <w:r>
              <w:rPr>
                <w:rFonts w:ascii="Times New Roman" w:cs="Times New Roman" w:eastAsia="Times New Roman" w:hAnsi="Times New Roman"/>
                <w:sz w:val="14"/>
                <w:szCs w:val="14"/>
                <w:b w:val="1"/>
                <w:bCs w:val="1"/>
                <w:color w:val="auto"/>
                <w:w w:val="97"/>
              </w:rPr>
              <w:t>Fiscal Year Ended January 31,</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60" w:type="dxa"/>
            <w:vAlign w:val="bottom"/>
            <w:gridSpan w:val="7"/>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80" w:type="dxa"/>
            <w:vAlign w:val="bottom"/>
            <w:gridSpan w:val="6"/>
            <w:vMerge w:val="continue"/>
          </w:tcPr>
          <w:p>
            <w:pPr>
              <w:spacing w:after="0"/>
              <w:rPr>
                <w:sz w:val="14"/>
                <w:szCs w:val="14"/>
                <w:color w:val="auto"/>
              </w:rPr>
            </w:pPr>
          </w:p>
        </w:tc>
        <w:tc>
          <w:tcPr>
            <w:tcW w:w="7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40" w:type="dxa"/>
            <w:vAlign w:val="bottom"/>
          </w:tcPr>
          <w:p>
            <w:pPr>
              <w:spacing w:after="0"/>
              <w:rPr>
                <w:sz w:val="14"/>
                <w:szCs w:val="14"/>
                <w:color w:val="auto"/>
              </w:rPr>
            </w:pPr>
          </w:p>
        </w:tc>
        <w:tc>
          <w:tcPr>
            <w:tcW w:w="52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71"/>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amounts)</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6"/>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top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Subscription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38,048</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421"/>
              <w:spacing w:after="0"/>
              <w:rPr>
                <w:sz w:val="20"/>
                <w:szCs w:val="20"/>
                <w:color w:val="auto"/>
              </w:rPr>
            </w:pPr>
            <w:r>
              <w:rPr>
                <w:rFonts w:ascii="Times New Roman" w:cs="Times New Roman" w:eastAsia="Times New Roman" w:hAnsi="Times New Roman"/>
                <w:sz w:val="17"/>
                <w:szCs w:val="17"/>
                <w:color w:val="auto"/>
              </w:rPr>
              <w:t>64,458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401"/>
              <w:spacing w:after="0"/>
              <w:rPr>
                <w:sz w:val="20"/>
                <w:szCs w:val="20"/>
                <w:color w:val="auto"/>
              </w:rPr>
            </w:pPr>
            <w:r>
              <w:rPr>
                <w:rFonts w:ascii="Times New Roman" w:cs="Times New Roman" w:eastAsia="Times New Roman" w:hAnsi="Times New Roman"/>
                <w:sz w:val="17"/>
                <w:szCs w:val="17"/>
                <w:color w:val="auto"/>
              </w:rPr>
              <w:t>103,265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tcPr>
          <w:p>
            <w:pPr>
              <w:jc w:val="right"/>
              <w:ind w:right="195"/>
              <w:spacing w:after="0"/>
              <w:rPr>
                <w:sz w:val="20"/>
                <w:szCs w:val="20"/>
                <w:color w:val="auto"/>
              </w:rPr>
            </w:pPr>
            <w:r>
              <w:rPr>
                <w:rFonts w:ascii="Times New Roman" w:cs="Times New Roman" w:eastAsia="Times New Roman" w:hAnsi="Times New Roman"/>
                <w:sz w:val="17"/>
                <w:szCs w:val="17"/>
                <w:color w:val="auto"/>
              </w:rPr>
              <w:t>44,142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color w:val="auto"/>
              </w:rPr>
              <w:t>74,182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Professional services revenues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7"/>
                <w:szCs w:val="17"/>
                <w:color w:val="auto"/>
              </w:rPr>
              <w:t>27,076</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7"/>
                <w:szCs w:val="17"/>
                <w:color w:val="auto"/>
              </w:rPr>
              <w:t>34,915</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17,672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19,295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revenues</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58,142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91,534</w:t>
            </w:r>
          </w:p>
        </w:tc>
        <w:tc>
          <w:tcPr>
            <w:tcW w:w="5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138,180</w:t>
            </w: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61,814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93,477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14"/>
                <w:szCs w:val="14"/>
                <w:color w:val="auto"/>
              </w:rPr>
              <w:t>(1)</w:t>
            </w: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Cost of subscription revenue</w:t>
            </w:r>
          </w:p>
        </w:tc>
        <w:tc>
          <w:tcPr>
            <w:tcW w:w="1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12,581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21"/>
              <w:spacing w:after="0"/>
              <w:rPr>
                <w:sz w:val="20"/>
                <w:szCs w:val="20"/>
                <w:color w:val="auto"/>
              </w:rPr>
            </w:pPr>
            <w:r>
              <w:rPr>
                <w:rFonts w:ascii="Times New Roman" w:cs="Times New Roman" w:eastAsia="Times New Roman" w:hAnsi="Times New Roman"/>
                <w:sz w:val="17"/>
                <w:szCs w:val="17"/>
                <w:color w:val="auto"/>
              </w:rPr>
              <w:t>19,995</w:t>
            </w:r>
          </w:p>
        </w:tc>
        <w:tc>
          <w:tcPr>
            <w:tcW w:w="60" w:type="dxa"/>
            <w:vAlign w:val="bottom"/>
          </w:tcPr>
          <w:p>
            <w:pPr>
              <w:spacing w:after="0"/>
              <w:rPr>
                <w:sz w:val="17"/>
                <w:szCs w:val="17"/>
                <w:color w:val="auto"/>
              </w:rPr>
            </w:pPr>
          </w:p>
        </w:tc>
        <w:tc>
          <w:tcPr>
            <w:tcW w:w="1240" w:type="dxa"/>
            <w:vAlign w:val="bottom"/>
            <w:gridSpan w:val="2"/>
          </w:tcPr>
          <w:p>
            <w:pPr>
              <w:jc w:val="right"/>
              <w:ind w:right="401"/>
              <w:spacing w:after="0"/>
              <w:rPr>
                <w:sz w:val="20"/>
                <w:szCs w:val="20"/>
                <w:color w:val="auto"/>
              </w:rPr>
            </w:pPr>
            <w:r>
              <w:rPr>
                <w:rFonts w:ascii="Times New Roman" w:cs="Times New Roman" w:eastAsia="Times New Roman" w:hAnsi="Times New Roman"/>
                <w:sz w:val="17"/>
                <w:szCs w:val="17"/>
                <w:color w:val="auto"/>
              </w:rPr>
              <w:t>31,062</w:t>
            </w:r>
          </w:p>
        </w:tc>
        <w:tc>
          <w:tcPr>
            <w:tcW w:w="80" w:type="dxa"/>
            <w:vAlign w:val="bottom"/>
          </w:tcPr>
          <w:p>
            <w:pPr>
              <w:spacing w:after="0"/>
              <w:rPr>
                <w:sz w:val="17"/>
                <w:szCs w:val="17"/>
                <w:color w:val="auto"/>
              </w:rPr>
            </w:pPr>
          </w:p>
        </w:tc>
        <w:tc>
          <w:tcPr>
            <w:tcW w:w="1040" w:type="dxa"/>
            <w:vAlign w:val="bottom"/>
            <w:gridSpan w:val="3"/>
          </w:tcPr>
          <w:p>
            <w:pPr>
              <w:jc w:val="right"/>
              <w:ind w:right="195"/>
              <w:spacing w:after="0"/>
              <w:rPr>
                <w:sz w:val="20"/>
                <w:szCs w:val="20"/>
                <w:color w:val="auto"/>
              </w:rPr>
            </w:pPr>
            <w:r>
              <w:rPr>
                <w:rFonts w:ascii="Times New Roman" w:cs="Times New Roman" w:eastAsia="Times New Roman" w:hAnsi="Times New Roman"/>
                <w:sz w:val="17"/>
                <w:szCs w:val="17"/>
                <w:color w:val="auto"/>
              </w:rPr>
              <w:t>13,585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color w:val="auto"/>
              </w:rPr>
              <w:t>22,019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Cost of professional services revenue</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7"/>
                <w:szCs w:val="17"/>
                <w:color w:val="auto"/>
              </w:rPr>
              <w:t>26,456</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7"/>
                <w:szCs w:val="17"/>
                <w:color w:val="auto"/>
              </w:rPr>
              <w:t>33,008</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15,223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19,434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cost of revenue</w:t>
            </w: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30,471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46,451</w:t>
            </w:r>
          </w:p>
        </w:tc>
        <w:tc>
          <w:tcPr>
            <w:tcW w:w="5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64,070</w:t>
            </w:r>
          </w:p>
        </w:tc>
        <w:tc>
          <w:tcPr>
            <w:tcW w:w="4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28,808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41,453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27,671</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7"/>
                <w:szCs w:val="17"/>
                <w:color w:val="auto"/>
              </w:rPr>
              <w:t>45,083</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7"/>
                <w:szCs w:val="17"/>
                <w:color w:val="auto"/>
              </w:rPr>
              <w:t>74,110</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33,006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52,024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14"/>
                <w:szCs w:val="14"/>
                <w:color w:val="auto"/>
              </w:rPr>
              <w:t>(1)</w:t>
            </w: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Sales and marketing</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20,954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7"/>
                <w:szCs w:val="17"/>
                <w:color w:val="auto"/>
              </w:rPr>
              <w:t>31,278</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7"/>
                <w:szCs w:val="17"/>
                <w:color w:val="auto"/>
              </w:rPr>
              <w:t>44,440</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18,468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27,852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16,559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21"/>
              <w:spacing w:after="0"/>
              <w:rPr>
                <w:sz w:val="20"/>
                <w:szCs w:val="20"/>
                <w:color w:val="auto"/>
              </w:rPr>
            </w:pPr>
            <w:r>
              <w:rPr>
                <w:rFonts w:ascii="Times New Roman" w:cs="Times New Roman" w:eastAsia="Times New Roman" w:hAnsi="Times New Roman"/>
                <w:sz w:val="17"/>
                <w:szCs w:val="17"/>
                <w:color w:val="auto"/>
              </w:rPr>
              <w:t>22,230</w:t>
            </w:r>
          </w:p>
        </w:tc>
        <w:tc>
          <w:tcPr>
            <w:tcW w:w="60" w:type="dxa"/>
            <w:vAlign w:val="bottom"/>
          </w:tcPr>
          <w:p>
            <w:pPr>
              <w:spacing w:after="0"/>
              <w:rPr>
                <w:sz w:val="17"/>
                <w:szCs w:val="17"/>
                <w:color w:val="auto"/>
              </w:rPr>
            </w:pPr>
          </w:p>
        </w:tc>
        <w:tc>
          <w:tcPr>
            <w:tcW w:w="1240" w:type="dxa"/>
            <w:vAlign w:val="bottom"/>
            <w:gridSpan w:val="2"/>
          </w:tcPr>
          <w:p>
            <w:pPr>
              <w:jc w:val="right"/>
              <w:ind w:right="401"/>
              <w:spacing w:after="0"/>
              <w:rPr>
                <w:sz w:val="20"/>
                <w:szCs w:val="20"/>
                <w:color w:val="auto"/>
              </w:rPr>
            </w:pPr>
            <w:r>
              <w:rPr>
                <w:rFonts w:ascii="Times New Roman" w:cs="Times New Roman" w:eastAsia="Times New Roman" w:hAnsi="Times New Roman"/>
                <w:sz w:val="17"/>
                <w:szCs w:val="17"/>
                <w:color w:val="auto"/>
              </w:rPr>
              <w:t>35,304</w:t>
            </w:r>
          </w:p>
        </w:tc>
        <w:tc>
          <w:tcPr>
            <w:tcW w:w="80" w:type="dxa"/>
            <w:vAlign w:val="bottom"/>
          </w:tcPr>
          <w:p>
            <w:pPr>
              <w:spacing w:after="0"/>
              <w:rPr>
                <w:sz w:val="17"/>
                <w:szCs w:val="17"/>
                <w:color w:val="auto"/>
              </w:rPr>
            </w:pPr>
          </w:p>
        </w:tc>
        <w:tc>
          <w:tcPr>
            <w:tcW w:w="1040" w:type="dxa"/>
            <w:vAlign w:val="bottom"/>
            <w:gridSpan w:val="3"/>
          </w:tcPr>
          <w:p>
            <w:pPr>
              <w:jc w:val="right"/>
              <w:ind w:right="195"/>
              <w:spacing w:after="0"/>
              <w:rPr>
                <w:sz w:val="20"/>
                <w:szCs w:val="20"/>
                <w:color w:val="auto"/>
              </w:rPr>
            </w:pPr>
            <w:r>
              <w:rPr>
                <w:rFonts w:ascii="Times New Roman" w:cs="Times New Roman" w:eastAsia="Times New Roman" w:hAnsi="Times New Roman"/>
                <w:sz w:val="17"/>
                <w:szCs w:val="17"/>
                <w:color w:val="auto"/>
              </w:rPr>
              <w:t>15,638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color w:val="auto"/>
              </w:rPr>
              <w:t>26,257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8,933</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7"/>
                <w:szCs w:val="17"/>
                <w:color w:val="auto"/>
              </w:rPr>
              <w:t>14,791</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7"/>
                <w:szCs w:val="17"/>
                <w:color w:val="auto"/>
              </w:rPr>
              <w:t>22,536</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10,339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17,879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46,446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68,299</w:t>
            </w:r>
          </w:p>
        </w:tc>
        <w:tc>
          <w:tcPr>
            <w:tcW w:w="5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102,280</w:t>
            </w:r>
          </w:p>
        </w:tc>
        <w:tc>
          <w:tcPr>
            <w:tcW w:w="4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44,445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71,988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(18,775)</w:t>
            </w: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7"/>
                <w:szCs w:val="17"/>
                <w:color w:val="auto"/>
              </w:rPr>
              <w:t>(23,216)</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7"/>
                <w:szCs w:val="17"/>
                <w:color w:val="auto"/>
              </w:rPr>
              <w:t>(28,170)</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(11,439)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Non-operating income (expense):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income</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7"/>
                <w:szCs w:val="17"/>
                <w:color w:val="auto"/>
              </w:rPr>
              <w:t>1,193</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7"/>
                <w:szCs w:val="17"/>
                <w:color w:val="auto"/>
              </w:rPr>
              <w:t>988</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583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211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tcPr>
          <w:p>
            <w:pPr>
              <w:spacing w:after="0"/>
              <w:rPr>
                <w:sz w:val="17"/>
                <w:szCs w:val="17"/>
                <w:color w:val="auto"/>
              </w:rPr>
            </w:pP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7"/>
                <w:szCs w:val="17"/>
                <w:color w:val="auto"/>
              </w:rPr>
            </w:pPr>
          </w:p>
        </w:tc>
        <w:tc>
          <w:tcPr>
            <w:tcW w:w="1260" w:type="dxa"/>
            <w:vAlign w:val="bottom"/>
            <w:gridSpan w:val="2"/>
          </w:tcPr>
          <w:p>
            <w:pPr>
              <w:jc w:val="right"/>
              <w:ind w:right="361"/>
              <w:spacing w:after="0"/>
              <w:rPr>
                <w:sz w:val="20"/>
                <w:szCs w:val="20"/>
                <w:color w:val="auto"/>
              </w:rPr>
            </w:pPr>
            <w:r>
              <w:rPr>
                <w:rFonts w:ascii="Times New Roman" w:cs="Times New Roman" w:eastAsia="Times New Roman" w:hAnsi="Times New Roman"/>
                <w:sz w:val="17"/>
                <w:szCs w:val="17"/>
                <w:color w:val="auto"/>
              </w:rPr>
              <w:t>(89)</w:t>
            </w:r>
          </w:p>
        </w:tc>
        <w:tc>
          <w:tcPr>
            <w:tcW w:w="60" w:type="dxa"/>
            <w:vAlign w:val="bottom"/>
          </w:tcPr>
          <w:p>
            <w:pPr>
              <w:spacing w:after="0"/>
              <w:rPr>
                <w:sz w:val="17"/>
                <w:szCs w:val="17"/>
                <w:color w:val="auto"/>
              </w:rPr>
            </w:pPr>
          </w:p>
        </w:tc>
        <w:tc>
          <w:tcPr>
            <w:tcW w:w="1240" w:type="dxa"/>
            <w:vAlign w:val="bottom"/>
            <w:gridSpan w:val="2"/>
          </w:tcPr>
          <w:p>
            <w:pPr>
              <w:jc w:val="right"/>
              <w:ind w:right="401"/>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7"/>
                <w:szCs w:val="17"/>
                <w:color w:val="auto"/>
              </w:rPr>
            </w:pPr>
          </w:p>
        </w:tc>
        <w:tc>
          <w:tcPr>
            <w:tcW w:w="1040" w:type="dxa"/>
            <w:vAlign w:val="bottom"/>
            <w:gridSpan w:val="3"/>
          </w:tcPr>
          <w:p>
            <w:pPr>
              <w:jc w:val="right"/>
              <w:ind w:right="135"/>
              <w:spacing w:after="0"/>
              <w:rPr>
                <w:sz w:val="20"/>
                <w:szCs w:val="20"/>
                <w:color w:val="auto"/>
              </w:rPr>
            </w:pPr>
            <w:r>
              <w:rPr>
                <w:rFonts w:ascii="Times New Roman" w:cs="Times New Roman" w:eastAsia="Times New Roman" w:hAnsi="Times New Roman"/>
                <w:sz w:val="17"/>
                <w:szCs w:val="17"/>
                <w:color w:val="auto"/>
              </w:rPr>
              <w:t>(727)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 expense</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(18,539)</w:t>
            </w: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7"/>
                <w:szCs w:val="17"/>
                <w:color w:val="auto"/>
              </w:rPr>
              <w:t>(22,112)</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7"/>
                <w:szCs w:val="17"/>
                <w:color w:val="auto"/>
              </w:rPr>
              <w:t>(27,149)</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(11,583)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Income tax expense</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21"/>
              <w:spacing w:after="0"/>
              <w:rPr>
                <w:sz w:val="20"/>
                <w:szCs w:val="20"/>
                <w:color w:val="auto"/>
              </w:rPr>
            </w:pPr>
            <w:r>
              <w:rPr>
                <w:rFonts w:ascii="Times New Roman" w:cs="Times New Roman" w:eastAsia="Times New Roman" w:hAnsi="Times New Roman"/>
                <w:sz w:val="17"/>
                <w:szCs w:val="17"/>
                <w:color w:val="auto"/>
              </w:rPr>
              <w:t>194</w:t>
            </w:r>
          </w:p>
        </w:tc>
        <w:tc>
          <w:tcPr>
            <w:tcW w:w="60" w:type="dxa"/>
            <w:vAlign w:val="bottom"/>
          </w:tcPr>
          <w:p>
            <w:pPr>
              <w:spacing w:after="0"/>
              <w:rPr>
                <w:sz w:val="17"/>
                <w:szCs w:val="17"/>
                <w:color w:val="auto"/>
              </w:rPr>
            </w:pPr>
          </w:p>
        </w:tc>
        <w:tc>
          <w:tcPr>
            <w:tcW w:w="1240" w:type="dxa"/>
            <w:vAlign w:val="bottom"/>
            <w:gridSpan w:val="2"/>
          </w:tcPr>
          <w:p>
            <w:pPr>
              <w:jc w:val="right"/>
              <w:ind w:right="401"/>
              <w:spacing w:after="0"/>
              <w:rPr>
                <w:sz w:val="20"/>
                <w:szCs w:val="20"/>
                <w:color w:val="auto"/>
              </w:rPr>
            </w:pPr>
            <w:r>
              <w:rPr>
                <w:rFonts w:ascii="Times New Roman" w:cs="Times New Roman" w:eastAsia="Times New Roman" w:hAnsi="Times New Roman"/>
                <w:sz w:val="17"/>
                <w:szCs w:val="17"/>
                <w:color w:val="auto"/>
              </w:rPr>
              <w:t>586</w:t>
            </w:r>
          </w:p>
        </w:tc>
        <w:tc>
          <w:tcPr>
            <w:tcW w:w="80" w:type="dxa"/>
            <w:vAlign w:val="bottom"/>
          </w:tcPr>
          <w:p>
            <w:pPr>
              <w:spacing w:after="0"/>
              <w:rPr>
                <w:sz w:val="17"/>
                <w:szCs w:val="17"/>
                <w:color w:val="auto"/>
              </w:rPr>
            </w:pPr>
          </w:p>
        </w:tc>
        <w:tc>
          <w:tcPr>
            <w:tcW w:w="1040" w:type="dxa"/>
            <w:vAlign w:val="bottom"/>
            <w:gridSpan w:val="3"/>
          </w:tcPr>
          <w:p>
            <w:pPr>
              <w:jc w:val="right"/>
              <w:ind w:right="195"/>
              <w:spacing w:after="0"/>
              <w:rPr>
                <w:sz w:val="20"/>
                <w:szCs w:val="20"/>
                <w:color w:val="auto"/>
              </w:rPr>
            </w:pPr>
            <w:r>
              <w:rPr>
                <w:rFonts w:ascii="Times New Roman" w:cs="Times New Roman" w:eastAsia="Times New Roman" w:hAnsi="Times New Roman"/>
                <w:sz w:val="17"/>
                <w:szCs w:val="17"/>
                <w:color w:val="auto"/>
              </w:rPr>
              <w:t>338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(18,589)</w:t>
            </w: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7"/>
                <w:szCs w:val="17"/>
                <w:color w:val="auto"/>
              </w:rPr>
              <w:t>(22,306)</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7"/>
                <w:szCs w:val="17"/>
                <w:color w:val="auto"/>
              </w:rPr>
              <w:t>(27,735)</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(11,921)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non-controlling interest</w:t>
            </w:r>
          </w:p>
        </w:tc>
        <w:tc>
          <w:tcPr>
            <w:tcW w:w="100" w:type="dxa"/>
            <w:vAlign w:val="bottom"/>
          </w:tcPr>
          <w:p>
            <w:pPr>
              <w:spacing w:after="0"/>
              <w:rPr>
                <w:sz w:val="17"/>
                <w:szCs w:val="17"/>
                <w:color w:val="auto"/>
              </w:rPr>
            </w:pPr>
          </w:p>
        </w:tc>
        <w:tc>
          <w:tcPr>
            <w:tcW w:w="1220" w:type="dxa"/>
            <w:vAlign w:val="bottom"/>
            <w:gridSpan w:val="3"/>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501"/>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7"/>
                <w:szCs w:val="17"/>
                <w:color w:val="auto"/>
              </w:rPr>
              <w:t>(141)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gridSpan w:val="2"/>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 attributable to non-controlling interest</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267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loss attributable to nCino, Inc.</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(18,589</w:t>
            </w:r>
          </w:p>
        </w:tc>
        <w:tc>
          <w:tcPr>
            <w:tcW w:w="4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(22,306</w:t>
            </w:r>
          </w:p>
        </w:tc>
        <w:tc>
          <w:tcPr>
            <w:tcW w:w="50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(27,594</w:t>
            </w:r>
          </w:p>
        </w:tc>
        <w:tc>
          <w:tcPr>
            <w:tcW w:w="4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(11,921</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(19,415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loss per share attributable to nCino, Inc.:</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(0.27)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361"/>
              <w:spacing w:after="0"/>
              <w:rPr>
                <w:sz w:val="20"/>
                <w:szCs w:val="20"/>
                <w:color w:val="auto"/>
              </w:rPr>
            </w:pPr>
            <w:r>
              <w:rPr>
                <w:rFonts w:ascii="Times New Roman" w:cs="Times New Roman" w:eastAsia="Times New Roman" w:hAnsi="Times New Roman"/>
                <w:sz w:val="17"/>
                <w:szCs w:val="17"/>
                <w:color w:val="auto"/>
              </w:rPr>
              <w:t>(0.30)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7"/>
                <w:szCs w:val="17"/>
                <w:color w:val="auto"/>
              </w:rPr>
              <w:t>(0.35)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tcPr>
          <w:p>
            <w:pPr>
              <w:jc w:val="right"/>
              <w:ind w:right="135"/>
              <w:spacing w:after="0"/>
              <w:rPr>
                <w:sz w:val="20"/>
                <w:szCs w:val="20"/>
                <w:color w:val="auto"/>
              </w:rPr>
            </w:pPr>
            <w:r>
              <w:rPr>
                <w:rFonts w:ascii="Times New Roman" w:cs="Times New Roman" w:eastAsia="Times New Roman" w:hAnsi="Times New Roman"/>
                <w:sz w:val="17"/>
                <w:szCs w:val="17"/>
                <w:color w:val="auto"/>
              </w:rPr>
              <w:t>(0.16)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Weighted average number of common shares outstanding:</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Basic and diluted</w:t>
            </w:r>
          </w:p>
        </w:tc>
        <w:tc>
          <w:tcPr>
            <w:tcW w:w="1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6"/>
              </w:rPr>
              <w:t>68,290,570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21"/>
              <w:spacing w:after="0"/>
              <w:rPr>
                <w:sz w:val="20"/>
                <w:szCs w:val="20"/>
                <w:color w:val="auto"/>
              </w:rPr>
            </w:pPr>
            <w:r>
              <w:rPr>
                <w:rFonts w:ascii="Times New Roman" w:cs="Times New Roman" w:eastAsia="Times New Roman" w:hAnsi="Times New Roman"/>
                <w:sz w:val="17"/>
                <w:szCs w:val="17"/>
                <w:color w:val="auto"/>
                <w:w w:val="96"/>
              </w:rPr>
              <w:t>74,593,709</w:t>
            </w:r>
          </w:p>
        </w:tc>
        <w:tc>
          <w:tcPr>
            <w:tcW w:w="60" w:type="dxa"/>
            <w:vAlign w:val="bottom"/>
          </w:tcPr>
          <w:p>
            <w:pPr>
              <w:spacing w:after="0"/>
              <w:rPr>
                <w:sz w:val="17"/>
                <w:szCs w:val="17"/>
                <w:color w:val="auto"/>
              </w:rPr>
            </w:pPr>
          </w:p>
        </w:tc>
        <w:tc>
          <w:tcPr>
            <w:tcW w:w="1240" w:type="dxa"/>
            <w:vAlign w:val="bottom"/>
            <w:gridSpan w:val="2"/>
          </w:tcPr>
          <w:p>
            <w:pPr>
              <w:jc w:val="right"/>
              <w:ind w:right="401"/>
              <w:spacing w:after="0"/>
              <w:rPr>
                <w:sz w:val="20"/>
                <w:szCs w:val="20"/>
                <w:color w:val="auto"/>
              </w:rPr>
            </w:pPr>
            <w:r>
              <w:rPr>
                <w:rFonts w:ascii="Times New Roman" w:cs="Times New Roman" w:eastAsia="Times New Roman" w:hAnsi="Times New Roman"/>
                <w:sz w:val="17"/>
                <w:szCs w:val="17"/>
                <w:color w:val="auto"/>
                <w:w w:val="96"/>
              </w:rPr>
              <w:t>78,316,794</w:t>
            </w:r>
          </w:p>
        </w:tc>
        <w:tc>
          <w:tcPr>
            <w:tcW w:w="80" w:type="dxa"/>
            <w:vAlign w:val="bottom"/>
          </w:tcPr>
          <w:p>
            <w:pPr>
              <w:spacing w:after="0"/>
              <w:rPr>
                <w:sz w:val="17"/>
                <w:szCs w:val="17"/>
                <w:color w:val="auto"/>
              </w:rPr>
            </w:pPr>
          </w:p>
        </w:tc>
        <w:tc>
          <w:tcPr>
            <w:tcW w:w="1040" w:type="dxa"/>
            <w:vAlign w:val="bottom"/>
            <w:gridSpan w:val="3"/>
          </w:tcPr>
          <w:p>
            <w:pPr>
              <w:jc w:val="right"/>
              <w:ind w:right="195"/>
              <w:spacing w:after="0"/>
              <w:rPr>
                <w:sz w:val="20"/>
                <w:szCs w:val="20"/>
                <w:color w:val="auto"/>
              </w:rPr>
            </w:pPr>
            <w:r>
              <w:rPr>
                <w:rFonts w:ascii="Times New Roman" w:cs="Times New Roman" w:eastAsia="Times New Roman" w:hAnsi="Times New Roman"/>
                <w:sz w:val="17"/>
                <w:szCs w:val="17"/>
                <w:color w:val="auto"/>
                <w:w w:val="96"/>
              </w:rPr>
              <w:t>76,206,900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color w:val="auto"/>
                <w:w w:val="96"/>
              </w:rPr>
              <w:t>83,112,132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80"/>
          </w:cols>
          <w:pgMar w:left="320" w:top="454" w:right="4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182245</wp:posOffset>
            </wp:positionV>
            <wp:extent cx="7645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302" w:lineRule="exact"/>
        <w:rPr>
          <w:sz w:val="20"/>
          <w:szCs w:val="20"/>
          <w:color w:val="auto"/>
        </w:rPr>
      </w:pPr>
    </w:p>
    <w:p>
      <w:pPr>
        <w:ind w:left="600" w:hanging="433"/>
        <w:spacing w:after="0"/>
        <w:tabs>
          <w:tab w:leader="none" w:pos="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stock-based compensation expense as follows:</w:t>
      </w:r>
    </w:p>
    <w:p>
      <w:pPr>
        <w:spacing w:after="0" w:line="228"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11"/>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Fiscal Year Ended January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72"/>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11"/>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Ended July 31,</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29"/>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29"/>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Cost of professional services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3"/>
              </w:rPr>
              <w:t>1,128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1,244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1,078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3"/>
              </w:rPr>
              <w:t>1,070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1,056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3"/>
              </w:rPr>
              <w:t>1,623</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3,826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4,095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3,601</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2"/>
              </w:rPr>
              <w:t>14,320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34"/>
        </w:trPr>
        <w:tc>
          <w:tcPr>
            <w:tcW w:w="4480" w:type="dxa"/>
            <w:vAlign w:val="bottom"/>
            <w:vMerge w:val="continue"/>
          </w:tcPr>
          <w:p>
            <w:pPr>
              <w:spacing w:after="0"/>
              <w:rPr>
                <w:sz w:val="11"/>
                <w:szCs w:val="11"/>
                <w:color w:val="auto"/>
              </w:rPr>
            </w:pPr>
          </w:p>
        </w:tc>
        <w:tc>
          <w:tcPr>
            <w:tcW w:w="660" w:type="dxa"/>
            <w:vAlign w:val="bottom"/>
            <w:tcBorders>
              <w:top w:val="single" w:sz="8" w:color="auto"/>
            </w:tcBorders>
          </w:tcPr>
          <w:p>
            <w:pPr>
              <w:jc w:val="right"/>
              <w:ind w:right="94"/>
              <w:spacing w:after="0" w:line="134"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131"/>
              <w:spacing w:after="0" w:line="134" w:lineRule="exact"/>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34"/>
              <w:spacing w:after="0" w:line="134" w:lineRule="exact"/>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Borders>
              <w:top w:val="single" w:sz="8" w:color="auto"/>
            </w:tcBorders>
          </w:tcPr>
          <w:p>
            <w:pPr>
              <w:jc w:val="right"/>
              <w:ind w:right="149"/>
              <w:spacing w:after="0" w:line="134" w:lineRule="exact"/>
              <w:rPr>
                <w:sz w:val="20"/>
                <w:szCs w:val="20"/>
                <w:color w:val="auto"/>
              </w:rPr>
            </w:pPr>
            <w:r>
              <w:rPr>
                <w:rFonts w:ascii="Times New Roman" w:cs="Times New Roman" w:eastAsia="Times New Roman" w:hAnsi="Times New Roman"/>
                <w:sz w:val="14"/>
                <w:szCs w:val="14"/>
                <w:b w:val="1"/>
                <w:bCs w:val="1"/>
                <w:color w:val="auto"/>
                <w:w w:val="85"/>
              </w:rPr>
              <w:t>2019</w:t>
            </w:r>
          </w:p>
        </w:tc>
        <w:tc>
          <w:tcPr>
            <w:tcW w:w="6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$ 80,676</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74,347</w:t>
            </w:r>
          </w:p>
        </w:tc>
        <w:tc>
          <w:tcPr>
            <w:tcW w:w="6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91,184</w:t>
            </w:r>
          </w:p>
        </w:tc>
        <w:tc>
          <w:tcPr>
            <w:tcW w:w="6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35,282</w:t>
            </w:r>
          </w:p>
        </w:tc>
        <w:tc>
          <w:tcPr>
            <w:tcW w:w="6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$ 388,191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112,967</w:t>
            </w:r>
          </w:p>
        </w:tc>
        <w:tc>
          <w:tcPr>
            <w:tcW w:w="18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119,966</w:t>
            </w: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250,151</w:t>
            </w:r>
          </w:p>
        </w:tc>
        <w:tc>
          <w:tcPr>
            <w:tcW w:w="14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158,325</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533,799</w:t>
            </w:r>
          </w:p>
        </w:tc>
        <w:tc>
          <w:tcPr>
            <w:tcW w:w="0" w:type="dxa"/>
            <w:vAlign w:val="bottom"/>
          </w:tcPr>
          <w:p>
            <w:pPr>
              <w:spacing w:after="0"/>
              <w:rPr>
                <w:sz w:val="1"/>
                <w:szCs w:val="1"/>
                <w:color w:val="auto"/>
              </w:rPr>
            </w:pPr>
          </w:p>
        </w:tc>
      </w:tr>
      <w:tr>
        <w:trPr>
          <w:trHeight w:val="214"/>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34,953</w:t>
            </w:r>
          </w:p>
        </w:tc>
        <w:tc>
          <w:tcPr>
            <w:tcW w:w="18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53,930</w:t>
            </w: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78,522</w:t>
            </w:r>
          </w:p>
        </w:tc>
        <w:tc>
          <w:tcPr>
            <w:tcW w:w="142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64,389</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101,925</w:t>
            </w:r>
          </w:p>
        </w:tc>
        <w:tc>
          <w:tcPr>
            <w:tcW w:w="0" w:type="dxa"/>
            <w:vAlign w:val="bottom"/>
          </w:tcPr>
          <w:p>
            <w:pPr>
              <w:spacing w:after="0"/>
              <w:rPr>
                <w:sz w:val="1"/>
                <w:szCs w:val="1"/>
                <w:color w:val="auto"/>
              </w:rPr>
            </w:pPr>
          </w:p>
        </w:tc>
      </w:tr>
      <w:tr>
        <w:trPr>
          <w:trHeight w:val="21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(82,446)</w:t>
            </w:r>
          </w:p>
        </w:tc>
        <w:tc>
          <w:tcPr>
            <w:tcW w:w="18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(104,752)</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(120,924)</w:t>
            </w:r>
          </w:p>
        </w:tc>
        <w:tc>
          <w:tcPr>
            <w:tcW w:w="14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(105,251)</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(140,072)</w:t>
            </w:r>
          </w:p>
        </w:tc>
        <w:tc>
          <w:tcPr>
            <w:tcW w:w="0" w:type="dxa"/>
            <w:vAlign w:val="bottom"/>
          </w:tcPr>
          <w:p>
            <w:pPr>
              <w:spacing w:after="0"/>
              <w:rPr>
                <w:sz w:val="1"/>
                <w:szCs w:val="1"/>
                <w:color w:val="auto"/>
              </w:rPr>
            </w:pPr>
          </w:p>
        </w:tc>
      </w:tr>
      <w:tr>
        <w:trPr>
          <w:trHeight w:val="196"/>
        </w:trPr>
        <w:tc>
          <w:tcPr>
            <w:tcW w:w="4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liabilities, redeemable non-controlling interest</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stockholders’ equity</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112,967</w:t>
            </w:r>
          </w:p>
        </w:tc>
        <w:tc>
          <w:tcPr>
            <w:tcW w:w="18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119,966</w:t>
            </w: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250,151</w:t>
            </w:r>
          </w:p>
        </w:tc>
        <w:tc>
          <w:tcPr>
            <w:tcW w:w="142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158,325</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533,799</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5" w:lineRule="exact"/>
        <w:rPr>
          <w:sz w:val="20"/>
          <w:szCs w:val="20"/>
          <w:color w:val="auto"/>
        </w:rPr>
      </w:pPr>
    </w:p>
    <w:p>
      <w:pPr>
        <w:ind w:left="160" w:right="100" w:firstLine="873"/>
        <w:spacing w:after="0" w:line="255" w:lineRule="auto"/>
        <w:rPr>
          <w:sz w:val="20"/>
          <w:szCs w:val="20"/>
          <w:color w:val="auto"/>
        </w:rPr>
      </w:pPr>
      <w:r>
        <w:rPr>
          <w:rFonts w:ascii="Times New Roman" w:cs="Times New Roman" w:eastAsia="Times New Roman" w:hAnsi="Times New Roman"/>
          <w:sz w:val="18"/>
          <w:szCs w:val="18"/>
          <w:color w:val="auto"/>
        </w:rPr>
        <w:t>In addition to providing financial measurements based on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84" w:lineRule="exact"/>
        <w:rPr>
          <w:sz w:val="20"/>
          <w:szCs w:val="20"/>
          <w:color w:val="auto"/>
        </w:rPr>
      </w:pPr>
    </w:p>
    <w:p>
      <w:pPr>
        <w:ind w:left="160" w:right="100" w:firstLine="873"/>
        <w:spacing w:after="0" w:line="254" w:lineRule="auto"/>
        <w:rPr>
          <w:sz w:val="20"/>
          <w:szCs w:val="20"/>
          <w:color w:val="auto"/>
        </w:rPr>
      </w:pPr>
      <w:r>
        <w:rPr>
          <w:rFonts w:ascii="Times New Roman" w:cs="Times New Roman" w:eastAsia="Times New Roman" w:hAnsi="Times New Roman"/>
          <w:sz w:val="18"/>
          <w:szCs w:val="18"/>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Loss, as discussed below.</w:t>
      </w:r>
    </w:p>
    <w:p>
      <w:pPr>
        <w:spacing w:after="0" w:line="182" w:lineRule="exact"/>
        <w:rPr>
          <w:sz w:val="20"/>
          <w:szCs w:val="20"/>
          <w:color w:val="auto"/>
        </w:rPr>
      </w:pPr>
    </w:p>
    <w:p>
      <w:pPr>
        <w:ind w:left="160" w:right="260" w:firstLine="873"/>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Non-GAAP Operating Loss. </w:t>
      </w:r>
      <w:r>
        <w:rPr>
          <w:rFonts w:ascii="Times New Roman" w:cs="Times New Roman" w:eastAsia="Times New Roman" w:hAnsi="Times New Roman"/>
          <w:sz w:val="18"/>
          <w:szCs w:val="18"/>
          <w:color w:val="auto"/>
        </w:rPr>
        <w:t>Non-GAAP Operating Loss is defined as loss from operations as reported in our unaudited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 excluding the impact of amortization of intangible assets and stock-based compensation expense. Non-GAAP Operating Loss is widely used by securities analysts, investors and other interested parties to evaluate the profitability of companies. Non-GAAP Operating Loss eliminates potential differences in performance caused by variations in the extent to which intangible assets are identifiable (affecting relative amortization expense).</w:t>
      </w:r>
    </w:p>
    <w:p>
      <w:pPr>
        <w:spacing w:after="0" w:line="182" w:lineRule="exact"/>
        <w:rPr>
          <w:sz w:val="20"/>
          <w:szCs w:val="20"/>
          <w:color w:val="auto"/>
        </w:rPr>
      </w:pPr>
    </w:p>
    <w:p>
      <w:pPr>
        <w:ind w:left="160" w:right="40" w:firstLine="873"/>
        <w:spacing w:after="0" w:line="278" w:lineRule="auto"/>
        <w:rPr>
          <w:sz w:val="20"/>
          <w:szCs w:val="20"/>
          <w:color w:val="auto"/>
        </w:rPr>
      </w:pPr>
      <w:r>
        <w:rPr>
          <w:rFonts w:ascii="Times New Roman" w:cs="Times New Roman" w:eastAsia="Times New Roman" w:hAnsi="Times New Roman"/>
          <w:sz w:val="18"/>
          <w:szCs w:val="18"/>
          <w:color w:val="auto"/>
        </w:rPr>
        <w:t>This non-GAAP financial measure does not replace the presentation of our GAAP financial results and should only be used as a supplement to, not as a substitute for, our financial results presented in accordance with</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54" w:right="49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140"/>
        <w:spacing w:after="0" w:line="258" w:lineRule="auto"/>
        <w:rPr>
          <w:sz w:val="20"/>
          <w:szCs w:val="20"/>
          <w:color w:val="auto"/>
        </w:rPr>
      </w:pPr>
      <w:r>
        <w:rPr>
          <w:rFonts w:ascii="Times New Roman" w:cs="Times New Roman" w:eastAsia="Times New Roman" w:hAnsi="Times New Roman"/>
          <w:sz w:val="18"/>
          <w:szCs w:val="18"/>
          <w:color w:val="auto"/>
        </w:rPr>
        <w:t>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80" w:lineRule="exact"/>
        <w:rPr>
          <w:sz w:val="20"/>
          <w:szCs w:val="20"/>
          <w:color w:val="auto"/>
        </w:rPr>
      </w:pPr>
    </w:p>
    <w:p>
      <w:pPr>
        <w:ind w:left="160" w:right="540" w:firstLine="873"/>
        <w:spacing w:after="0" w:line="278" w:lineRule="auto"/>
        <w:rPr>
          <w:sz w:val="20"/>
          <w:szCs w:val="20"/>
          <w:color w:val="auto"/>
        </w:rPr>
      </w:pPr>
      <w:r>
        <w:rPr>
          <w:rFonts w:ascii="Times New Roman" w:cs="Times New Roman" w:eastAsia="Times New Roman" w:hAnsi="Times New Roman"/>
          <w:sz w:val="18"/>
          <w:szCs w:val="18"/>
          <w:color w:val="auto"/>
        </w:rPr>
        <w:t>The following table reconciles Non-GAAP Operating Loss to Loss from Operations, the most directly comparable financial measure, calculated and presented in accordance with GAAP (in thousands):</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40"/>
        </w:trPr>
        <w:tc>
          <w:tcPr>
            <w:tcW w:w="38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5"/>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11"/>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Loss from Operations</w:t>
            </w: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(23,216)</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(28,170)</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(11,439)</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(19,964)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14"/>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42"/>
              <w:spacing w:after="0"/>
              <w:rPr>
                <w:sz w:val="20"/>
                <w:szCs w:val="20"/>
                <w:color w:val="auto"/>
              </w:rPr>
            </w:pPr>
            <w:r>
              <w:rPr>
                <w:rFonts w:ascii="Times New Roman" w:cs="Times New Roman" w:eastAsia="Times New Roman" w:hAnsi="Times New Roman"/>
                <w:sz w:val="18"/>
                <w:szCs w:val="18"/>
                <w:color w:val="auto"/>
              </w:rPr>
              <w:t>3,826</w:t>
            </w:r>
          </w:p>
        </w:tc>
        <w:tc>
          <w:tcPr>
            <w:tcW w:w="160" w:type="dxa"/>
            <w:vAlign w:val="bottom"/>
          </w:tcPr>
          <w:p>
            <w:pPr>
              <w:spacing w:after="0"/>
              <w:rPr>
                <w:sz w:val="18"/>
                <w:szCs w:val="18"/>
                <w:color w:val="auto"/>
              </w:rPr>
            </w:pPr>
          </w:p>
        </w:tc>
        <w:tc>
          <w:tcPr>
            <w:tcW w:w="114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color w:val="auto"/>
              </w:rPr>
              <w:t>4,095</w:t>
            </w:r>
          </w:p>
        </w:tc>
        <w:tc>
          <w:tcPr>
            <w:tcW w:w="1380" w:type="dxa"/>
            <w:vAlign w:val="bottom"/>
            <w:gridSpan w:val="3"/>
          </w:tcPr>
          <w:p>
            <w:pPr>
              <w:jc w:val="right"/>
              <w:ind w:right="542"/>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Pr>
          <w:p>
            <w:pPr>
              <w:spacing w:after="0"/>
              <w:rPr>
                <w:sz w:val="18"/>
                <w:szCs w:val="18"/>
                <w:color w:val="auto"/>
              </w:rPr>
            </w:pPr>
          </w:p>
        </w:tc>
        <w:tc>
          <w:tcPr>
            <w:tcW w:w="1180" w:type="dxa"/>
            <w:vAlign w:val="bottom"/>
            <w:gridSpan w:val="2"/>
          </w:tcPr>
          <w:p>
            <w:pPr>
              <w:jc w:val="right"/>
              <w:ind w:right="562"/>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18"/>
                <w:szCs w:val="18"/>
                <w:color w:val="auto"/>
              </w:rPr>
            </w:pPr>
          </w:p>
        </w:tc>
        <w:tc>
          <w:tcPr>
            <w:tcW w:w="6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14,320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Adjustments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3,826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color w:val="auto"/>
              </w:rPr>
              <w:t>4,095</w:t>
            </w:r>
          </w:p>
        </w:tc>
        <w:tc>
          <w:tcPr>
            <w:tcW w:w="1380" w:type="dxa"/>
            <w:vAlign w:val="bottom"/>
            <w:gridSpan w:val="3"/>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rPr>
              <w:t>3,778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15,912</w:t>
            </w:r>
          </w:p>
        </w:tc>
        <w:tc>
          <w:tcPr>
            <w:tcW w:w="0" w:type="dxa"/>
            <w:vAlign w:val="bottom"/>
          </w:tcPr>
          <w:p>
            <w:pPr>
              <w:spacing w:after="0"/>
              <w:rPr>
                <w:sz w:val="1"/>
                <w:szCs w:val="1"/>
                <w:color w:val="auto"/>
              </w:rPr>
            </w:pPr>
          </w:p>
        </w:tc>
      </w:tr>
      <w:tr>
        <w:trPr>
          <w:trHeight w:val="221"/>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Loss</w:t>
            </w:r>
          </w:p>
        </w:tc>
        <w:tc>
          <w:tcPr>
            <w:tcW w:w="8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(14,949</w:t>
            </w:r>
          </w:p>
        </w:tc>
        <w:tc>
          <w:tcPr>
            <w:tcW w:w="62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54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(20,677</w:t>
            </w:r>
          </w:p>
        </w:tc>
        <w:tc>
          <w:tcPr>
            <w:tcW w:w="62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4"/>
              </w:rPr>
              <w:t>(7,661</w:t>
            </w:r>
          </w:p>
        </w:tc>
        <w:tc>
          <w:tcPr>
            <w:tcW w:w="64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0" w:lineRule="exact"/>
        <w:rPr>
          <w:sz w:val="20"/>
          <w:szCs w:val="20"/>
          <w:color w:val="auto"/>
        </w:rPr>
      </w:pPr>
    </w:p>
    <w:p>
      <w:pPr>
        <w:ind w:left="160" w:firstLine="873"/>
        <w:spacing w:after="0" w:line="270" w:lineRule="auto"/>
        <w:rPr>
          <w:sz w:val="20"/>
          <w:szCs w:val="20"/>
          <w:color w:val="auto"/>
        </w:rPr>
      </w:pPr>
      <w:r>
        <w:rPr>
          <w:rFonts w:ascii="Times New Roman" w:cs="Times New Roman" w:eastAsia="Times New Roman" w:hAnsi="Times New Roman"/>
          <w:sz w:val="17"/>
          <w:szCs w:val="17"/>
          <w:i w:val="1"/>
          <w:iCs w:val="1"/>
          <w:color w:val="auto"/>
        </w:rPr>
        <w:t>The following discussion of our financial condition and results of operations should be read together with our consolidated financial statements and related notes and other financial information included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the section titled “Risk Factors.” Our historical results are not necessarily indicative of the results that may be expected for any period in the future. Our fiscal year ends on January 31 of each year and references in this prospectus to a fiscal year mean the year in which that fiscal year ends. References in this prospectus to “fiscal 2018,” “fiscal 2019,” and “fiscal 2020” refer to the fiscal year ended January 31, 2018, January 31, 2019 and January 31, 2020, respectively.</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160" w:right="60" w:firstLine="873"/>
        <w:spacing w:after="0" w:line="252" w:lineRule="auto"/>
        <w:rPr>
          <w:sz w:val="20"/>
          <w:szCs w:val="20"/>
          <w:color w:val="auto"/>
        </w:rPr>
      </w:pPr>
      <w:r>
        <w:rPr>
          <w:rFonts w:ascii="Times New Roman" w:cs="Times New Roman" w:eastAsia="Times New Roman" w:hAnsi="Times New Roman"/>
          <w:sz w:val="18"/>
          <w:szCs w:val="18"/>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87" w:lineRule="exact"/>
        <w:rPr>
          <w:sz w:val="20"/>
          <w:szCs w:val="20"/>
          <w:color w:val="auto"/>
        </w:rPr>
      </w:pPr>
    </w:p>
    <w:p>
      <w:pPr>
        <w:ind w:left="160" w:right="400" w:firstLine="873"/>
        <w:spacing w:after="0" w:line="278" w:lineRule="auto"/>
        <w:rPr>
          <w:sz w:val="20"/>
          <w:szCs w:val="20"/>
          <w:color w:val="auto"/>
        </w:rPr>
      </w:pPr>
      <w:r>
        <w:rPr>
          <w:rFonts w:ascii="Times New Roman" w:cs="Times New Roman" w:eastAsia="Times New Roman" w:hAnsi="Times New Roman"/>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89" w:lineRule="exact"/>
        <w:rPr>
          <w:sz w:val="20"/>
          <w:szCs w:val="20"/>
          <w:color w:val="auto"/>
        </w:rPr>
      </w:pPr>
    </w:p>
    <w:p>
      <w:pPr>
        <w:ind w:left="1460" w:hanging="316"/>
        <w:spacing w:after="0"/>
        <w:tabs>
          <w:tab w:leader="none" w:pos="1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digitally serve their clients across commercial, small business and retail lines of business,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financial results,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more efficiently,</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and compliance more effectively,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data, audit and business intelligence hub.</w:t>
      </w:r>
    </w:p>
    <w:p>
      <w:pPr>
        <w:spacing w:after="0" w:line="221" w:lineRule="exact"/>
        <w:rPr>
          <w:sz w:val="20"/>
          <w:szCs w:val="20"/>
          <w:color w:val="auto"/>
        </w:rPr>
      </w:pPr>
    </w:p>
    <w:p>
      <w:pPr>
        <w:ind w:left="160" w:right="180" w:firstLine="873"/>
        <w:spacing w:after="0" w:line="252" w:lineRule="auto"/>
        <w:rPr>
          <w:sz w:val="20"/>
          <w:szCs w:val="20"/>
          <w:color w:val="auto"/>
        </w:rPr>
      </w:pPr>
      <w:r>
        <w:rPr>
          <w:rFonts w:ascii="Times New Roman" w:cs="Times New Roman" w:eastAsia="Times New Roman" w:hAnsi="Times New Roman"/>
          <w:sz w:val="18"/>
          <w:szCs w:val="18"/>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APAC. In fiscal 2020, we acquired Visible Equity and FinSuite and combined the acquired technology with certain of our internally-developed technology to launch nIQ. nIQ helps our customers improve operational and financial performance by using AI/ML to increase efficiency through automation and analytics to gain greater insights into their operations and client interactions.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80"/>
          </w:cols>
          <w:pgMar w:left="320" w:top="454" w:right="49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We offer our solution on a SaaS basis under multi-year contracts and recognize subscription revenues ratably over the term of the contract. Our customers may initially purchase our solution for client onboarding, loan origination and/or deposit account opening for a single line of business or geography. Once this initial solution is in production, we seek to deploy additional applications and expand within and across additional lines of business or geographies. The expansion from our original focus on commercial and small business loan origination to retail loan origination, client onboarding, deposit account opening and, most recently, analytics and AI/ML applications, has enhanced our ability to increase adoption of our solution by our customers. For fiscal 2020, we had a subscription revenue retention rate of 147%. See “—Factors Affecting Our Operating Results—Subscription Revenue Retention Rate” for additional information on subscription revenue retention rates.</w:t>
      </w:r>
    </w:p>
    <w:p>
      <w:pPr>
        <w:spacing w:after="0" w:line="184" w:lineRule="exact"/>
        <w:rPr>
          <w:sz w:val="20"/>
          <w:szCs w:val="20"/>
          <w:color w:val="auto"/>
        </w:rPr>
      </w:pPr>
    </w:p>
    <w:p>
      <w:pPr>
        <w:ind w:left="160" w:right="60" w:firstLine="873"/>
        <w:spacing w:after="0" w:line="254" w:lineRule="auto"/>
        <w:rPr>
          <w:sz w:val="20"/>
          <w:szCs w:val="20"/>
          <w:color w:val="auto"/>
        </w:rPr>
      </w:pPr>
      <w:r>
        <w:rPr>
          <w:rFonts w:ascii="Times New Roman" w:cs="Times New Roman" w:eastAsia="Times New Roman" w:hAnsi="Times New Roman"/>
          <w:sz w:val="18"/>
          <w:szCs w:val="18"/>
          <w:color w:val="auto"/>
        </w:rPr>
        <w:t>We sell our solution directly through our business development managers, account executives, field sales engineers and customer success managers. Our sales efforts in the United States are organized around financial institutions based on size, whereas internationally we focus our sales efforts by geography. To drive growth and serve customers in the EMEA region, we continue to expand headcount in our UK office. In fiscal 2020, we opened an office in Tokyo through our joint venture, nCino K.K., giving us another base of operations in APAC in addition to our Australian offices. As of July 31, 2020, we had 140 sales and sales support personnel in the United States, and 53 sales and support personnel in offices outside the United States.</w:t>
      </w:r>
    </w:p>
    <w:p>
      <w:pPr>
        <w:spacing w:after="0" w:line="184" w:lineRule="exact"/>
        <w:rPr>
          <w:sz w:val="20"/>
          <w:szCs w:val="20"/>
          <w:color w:val="auto"/>
        </w:rPr>
      </w:pPr>
    </w:p>
    <w:p>
      <w:pPr>
        <w:ind w:left="160" w:right="20" w:firstLine="873"/>
        <w:spacing w:after="0" w:line="274" w:lineRule="auto"/>
        <w:rPr>
          <w:sz w:val="20"/>
          <w:szCs w:val="20"/>
          <w:color w:val="auto"/>
        </w:rPr>
      </w:pPr>
      <w:r>
        <w:rPr>
          <w:rFonts w:ascii="Times New Roman" w:cs="Times New Roman" w:eastAsia="Times New Roman" w:hAnsi="Times New Roman"/>
          <w:sz w:val="17"/>
          <w:szCs w:val="17"/>
          <w:color w:val="auto"/>
        </w:rPr>
        <w:t>To help customers go live with our solution and achieve success, we offer professional services including configuration and implementation, training and advisory services. For larger financial institutions, we generally work with SIs such as Accenture, Deloitte, PwC and West Monroe Partners for the delivery of professional services, while we have historically performed professional services for smaller financial institutions ourselves. We expect larger financial institutions to make up a greater proportion of our sales and to increasingly outsource professional services for smaller banks and credit unions to SIs in the future. As a result, we expect the mix of our total revenues to become more heavily weighted toward subscription revenues.</w:t>
      </w:r>
    </w:p>
    <w:p>
      <w:pPr>
        <w:spacing w:after="0" w:line="168" w:lineRule="exact"/>
        <w:rPr>
          <w:sz w:val="20"/>
          <w:szCs w:val="20"/>
          <w:color w:val="auto"/>
        </w:rPr>
      </w:pPr>
    </w:p>
    <w:p>
      <w:pPr>
        <w:ind w:left="160" w:right="120" w:firstLine="873"/>
        <w:spacing w:after="0" w:line="254" w:lineRule="auto"/>
        <w:rPr>
          <w:sz w:val="20"/>
          <w:szCs w:val="20"/>
          <w:color w:val="auto"/>
        </w:rPr>
      </w:pPr>
      <w:r>
        <w:rPr>
          <w:rFonts w:ascii="Times New Roman" w:cs="Times New Roman" w:eastAsia="Times New Roman" w:hAnsi="Times New Roman"/>
          <w:sz w:val="18"/>
          <w:szCs w:val="18"/>
          <w:color w:val="auto"/>
        </w:rPr>
        <w:t>To support our growth and capitalize on what we believe is a compelling market opportunity, we have significantly increased our operating expenses across all aspects of our business. In research and development, we have focused on product improvements and the development of new functionality, while simultaneously leveraging the Salesforce Platform such that our development is heavily focused on vertical-specific solutions for financial institutions. Similarly, to grow our customer base, we have invested heavily in sales and marketing both in the United States and internationally. We have also increased our general and administrative spending to support our growing operations and for operating as a newly public company.</w:t>
      </w:r>
    </w:p>
    <w:p>
      <w:pPr>
        <w:spacing w:after="0" w:line="184"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color w:val="auto"/>
        </w:rPr>
        <w:t>Our total revenues were $138.2 million, $91.5 million, and $58.1 million for fiscal 2020, 2019, and 2018, respectively, representing a 54.2% compound annual growth rate. Our subscription revenues in fiscal 2020 were $103.3 million or 74.7% of total revenues, up from $64.5 million or 70.4% of total revenues in fiscal 2019 and $38.0 million or 65.4% of total revenues in fiscal 2018, representing a 64.7% compound annual growth rate. Due to our continuing investment in growth, we recorded net losses attributable to nCino in fiscal 2020, 2019 and 2018 of $27.6 million, $22.3 million and $18.6 million, respectively. For the six months ended July 31, 2020 and 2019, our total revenues were $93.5 million and $61.8 million, respectively, representing a 51.2% increase, and our subscription revenues were $74.2 million and $44.1 million, respectively, representing a 68.1% increase. We had net losses attributable to nCino of $19.4 million and $11.9 million for the six months ended July 31, 2020 and 2019, respectively.</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5" w:lineRule="exact"/>
        <w:rPr>
          <w:sz w:val="20"/>
          <w:szCs w:val="20"/>
          <w:color w:val="auto"/>
        </w:rPr>
      </w:pPr>
    </w:p>
    <w:p>
      <w:pPr>
        <w:ind w:left="160" w:right="120" w:firstLine="873"/>
        <w:spacing w:after="0" w:line="263" w:lineRule="auto"/>
        <w:rPr>
          <w:sz w:val="20"/>
          <w:szCs w:val="20"/>
          <w:color w:val="auto"/>
        </w:rPr>
      </w:pPr>
      <w:r>
        <w:rPr>
          <w:rFonts w:ascii="Times New Roman" w:cs="Times New Roman" w:eastAsia="Times New Roman" w:hAnsi="Times New Roman"/>
          <w:sz w:val="18"/>
          <w:szCs w:val="18"/>
          <w:color w:val="auto"/>
        </w:rPr>
        <w:t>Our registration statement on Form S-1 related to our IPO was declared effective on July 13, 2020 and our common stock began trading on the Nasdaq Global Select Market on July 14, 2020. Our IPO was completed on July 16, 2020, in which we sold 9,269,000 shares of common stock at price to the public of $31.00 per share (including shares subject to the exercise of the underwriters’ over-allotment option).</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80"/>
          </w:cols>
          <w:pgMar w:left="320" w:top="454" w:right="4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Factors Affecting Our Operating Results</w:t>
      </w:r>
    </w:p>
    <w:p>
      <w:pPr>
        <w:spacing w:after="0" w:line="221" w:lineRule="exact"/>
        <w:rPr>
          <w:sz w:val="20"/>
          <w:szCs w:val="20"/>
          <w:color w:val="auto"/>
        </w:rPr>
      </w:pPr>
    </w:p>
    <w:p>
      <w:pPr>
        <w:ind w:left="160" w:firstLine="873"/>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Market Adoption of Our Solution</w:t>
      </w:r>
      <w:r>
        <w:rPr>
          <w:rFonts w:ascii="Times New Roman" w:cs="Times New Roman" w:eastAsia="Times New Roman" w:hAnsi="Times New Roman"/>
          <w:sz w:val="17"/>
          <w:szCs w:val="17"/>
          <w:color w:val="auto"/>
        </w:rPr>
        <w:t>. Our future growth depends on our ability to expand our reach to new financial institution customers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 adoption with existing customers as they broaden their use of the nCino Bank Operating System within and across lines of business. Our success in growing our customer base and expanding adoption of our solution by existing customers requires a focused direct sales engagement and the ability to convince key decision makers at financial institutions to replace legacy third-party point solutions or internally developed software with the nCino Bank Operating System. In addition, growing our customer base will require us to increasingly penetrate markets outside the United States, which accounted for 9.6% of our total revenues for the six months ended July 31, 2020. For new customers, our sales cycles are typically lengthy, generally ranging from six to nine months for smaller financial institutions to 12 to 18 months or more for larger financial institutions. Reaching and converting potential customers requires that we continue to invest in the growth and success of our sales force both in the United States and internationally. In addition,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your investment.</w:t>
      </w:r>
    </w:p>
    <w:p>
      <w:pPr>
        <w:spacing w:after="0" w:line="176" w:lineRule="exact"/>
        <w:rPr>
          <w:sz w:val="20"/>
          <w:szCs w:val="20"/>
          <w:color w:val="auto"/>
        </w:rPr>
      </w:pPr>
    </w:p>
    <w:p>
      <w:pPr>
        <w:ind w:left="160" w:right="100" w:firstLine="873"/>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of Subscription and Professional Services Revenues. </w:t>
      </w:r>
      <w:r>
        <w:rPr>
          <w:rFonts w:ascii="Times New Roman" w:cs="Times New Roman" w:eastAsia="Times New Roman" w:hAnsi="Times New Roman"/>
          <w:sz w:val="18"/>
          <w:szCs w:val="18"/>
          <w:color w:val="auto"/>
        </w:rPr>
        <w:t>The initial deployment of the nCino Bank Operating System by our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a period of implementation and configuration services that can range from as little as three months for community banks to over 18 months for global financial institutions. As a result,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 as our overall business grows.</w:t>
      </w:r>
    </w:p>
    <w:p>
      <w:pPr>
        <w:spacing w:after="0" w:line="178"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Subscription Revenue Retention Rate</w:t>
      </w:r>
      <w:r>
        <w:rPr>
          <w:rFonts w:ascii="Times New Roman" w:cs="Times New Roman" w:eastAsia="Times New Roman" w:hAnsi="Times New Roman"/>
          <w:sz w:val="18"/>
          <w:szCs w:val="18"/>
          <w:color w:val="auto"/>
        </w:rPr>
        <w:t>. We believe that our ability to retain and grow subscription revenues from our existing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time strengthens the stability and predictability of our revenue base and is reflective of both the adoption curve of customers and the value we deliver to them. We assess our performance in this area using a metric we refer to as subscription revenue retention rate. We calculate our subscription revenue retention rate as total subscription revenues in a fiscal year from customers who purchased any of our solutions as of January 31 of the prior fiscal year, expressed as a percentage of total subscription revenues for the prior fiscal year. Our subscription revenue retention rate provides insight into the impact on current year subscription revenues of:</w:t>
      </w:r>
    </w:p>
    <w:p>
      <w:pPr>
        <w:spacing w:after="0" w:line="209" w:lineRule="exact"/>
        <w:rPr>
          <w:sz w:val="20"/>
          <w:szCs w:val="20"/>
          <w:color w:val="auto"/>
        </w:rPr>
      </w:pPr>
    </w:p>
    <w:p>
      <w:pPr>
        <w:ind w:left="1460" w:right="100" w:hanging="316"/>
        <w:spacing w:after="0" w:line="278" w:lineRule="auto"/>
        <w:tabs>
          <w:tab w:leader="none" w:pos="1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timing of new customers and phased activation of seats purchased by them in prior years, which activation schedules can span several fiscal years for larger contracts;</w:t>
      </w:r>
    </w:p>
    <w:p>
      <w:pPr>
        <w:spacing w:after="0" w:line="189" w:lineRule="exact"/>
        <w:rPr>
          <w:rFonts w:ascii="Times New Roman" w:cs="Times New Roman" w:eastAsia="Times New Roman" w:hAnsi="Times New Roman"/>
          <w:sz w:val="18"/>
          <w:szCs w:val="18"/>
          <w:color w:val="auto"/>
        </w:rPr>
      </w:pPr>
    </w:p>
    <w:p>
      <w:pPr>
        <w:ind w:left="1460" w:right="740" w:hanging="316"/>
        <w:spacing w:after="0" w:line="278" w:lineRule="auto"/>
        <w:tabs>
          <w:tab w:leader="none" w:pos="1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adoption of our solutions by our existing customers during the current year, excluding any revenues derived from businesses acquired during such year; and</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attrition.</w:t>
      </w:r>
    </w:p>
    <w:p>
      <w:pPr>
        <w:spacing w:after="0" w:line="221"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For fiscal 2020, 2019 and 2018, we had subscription revenue retention rates of 147%, 163% and 188%, respectively. The most significant driver of changes in our subscription revenue retention rate each year has historically been the number of new customers in prior years and the associated phased activation schedules for such customers. As our installed base and associated subscription revenues have expanded in recent years, we have seen moderation of our subscription revenue retention rate, and we expect further moderation to the extent we continue to experience rapid growth. In addition, because larger financial institutions tend to make more sizable purchases with longer activation schedules, we expect variability in our subscription revenue retention rates based on the timing and extent of our continued penetration of this portion of our market. Our use of</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60"/>
          </w:cols>
          <w:pgMar w:left="320" w:top="454" w:right="51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420"/>
        <w:spacing w:after="0" w:line="263" w:lineRule="auto"/>
        <w:rPr>
          <w:sz w:val="20"/>
          <w:szCs w:val="20"/>
          <w:color w:val="auto"/>
        </w:rPr>
      </w:pPr>
      <w:r>
        <w:rPr>
          <w:rFonts w:ascii="Times New Roman" w:cs="Times New Roman" w:eastAsia="Times New Roman" w:hAnsi="Times New Roman"/>
          <w:sz w:val="18"/>
          <w:szCs w:val="18"/>
          <w:color w:val="auto"/>
        </w:rPr>
        <w:t>subscription revenue retention rate has limitations as an analytical tool, and investors should not consider it in isolation. Other companies in our or adjacent markets may calculate subscription revenue retention rates or similar metrics differently, which reduces its usefulness as a comparative measure.</w:t>
      </w:r>
    </w:p>
    <w:p>
      <w:pPr>
        <w:spacing w:after="0" w:line="171" w:lineRule="exact"/>
        <w:rPr>
          <w:sz w:val="20"/>
          <w:szCs w:val="20"/>
          <w:color w:val="auto"/>
        </w:rPr>
      </w:pPr>
    </w:p>
    <w:p>
      <w:pPr>
        <w:ind w:left="160" w:right="160" w:firstLine="87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Long-term ACV Expansion</w:t>
      </w:r>
      <w:r>
        <w:rPr>
          <w:rFonts w:ascii="Times New Roman" w:cs="Times New Roman" w:eastAsia="Times New Roman" w:hAnsi="Times New Roman"/>
          <w:sz w:val="18"/>
          <w:szCs w:val="18"/>
          <w:color w:val="auto"/>
        </w:rPr>
        <w:t>. A key element of our growth strategy is to expand our deployed footprint with a customer after initial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adoption. Our customers typically purchase our solution for a defined line of business or to support a specific use case and, once deployed, we seek to convince the customer to adopt our solution within and across additional lines of business. To date, we have been successful in executing our land and expand strategy as a result of our solution’s ability to streamline workflow, generate meaningful insights for operational improvement and help drive improved bottom line results. Due to our rapid growth, many of our customers have not yet come up for renewal, so our historical net retention rates may not be predictive of future results. If our customers do not continue to see the ability of our solution to generate return on investment relative to other available solutions or at all, net retention rates will suffer and our operating results will be adversely affected.</w:t>
      </w:r>
    </w:p>
    <w:p>
      <w:pPr>
        <w:spacing w:after="0" w:line="188"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We believe our ACV-based net retention of customers over the long term illustrates our success in executing our land and expand strategy, as it demonstrates growing adoption by existing customers, including price increases but net of attrition. To measure net retention, we categorize customers by the year in which they first contracted for our solution, which we call an annual cohort. For each annual cohort, we measure the total ACV for our most recently completed fiscal year and divide it by the total ACV for such cohort at the end of the initial cohort year. We refer to the resulting quotient as “ACV-based net retention.” In any given period, ACV for a customer represents the annualized subscription fees from the fully activated subscription contracts in effect for such customers at the end of the applicable period.</w:t>
      </w:r>
    </w:p>
    <w:p>
      <w:pPr>
        <w:spacing w:after="0" w:line="184" w:lineRule="exact"/>
        <w:rPr>
          <w:sz w:val="20"/>
          <w:szCs w:val="20"/>
          <w:color w:val="auto"/>
        </w:rPr>
      </w:pPr>
    </w:p>
    <w:p>
      <w:pPr>
        <w:ind w:left="160" w:right="320" w:firstLine="873"/>
        <w:spacing w:after="0" w:line="278" w:lineRule="auto"/>
        <w:rPr>
          <w:sz w:val="20"/>
          <w:szCs w:val="20"/>
          <w:color w:val="auto"/>
        </w:rPr>
      </w:pPr>
      <w:r>
        <w:rPr>
          <w:rFonts w:ascii="Times New Roman" w:cs="Times New Roman" w:eastAsia="Times New Roman" w:hAnsi="Times New Roman"/>
          <w:sz w:val="18"/>
          <w:szCs w:val="18"/>
          <w:color w:val="auto"/>
        </w:rPr>
        <w:t>The graphic below illustrates our ACV-based net retention for customers initially signed since fiscal 2013. Each individual cohort is not necessarily predictive of other or future cohorts.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60" w:right="40" w:firstLine="873"/>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COVID-19 Effects on Demand for Our Solution</w:t>
      </w:r>
      <w:r>
        <w:rPr>
          <w:rFonts w:ascii="Times New Roman" w:cs="Times New Roman" w:eastAsia="Times New Roman" w:hAnsi="Times New Roman"/>
          <w:sz w:val="18"/>
          <w:szCs w:val="18"/>
          <w:color w:val="auto"/>
        </w:rPr>
        <w:t>. To help our customers service demand for Paycheck Protection Program (PPP) loans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CARES Act beginning in April 2020, we adapted our Small Business Administration loan solution to the requirements of the PPP and rapidly introduced it to the market. Using our PPP solution, since the inception of PPP funding, our financial institution customers have processed hundreds of thousands of applications and have provided more than $50 billion in funding for their small business clients.</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40"/>
          </w:cols>
          <w:pgMar w:left="320" w:top="454" w:right="5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In light of the extraordinary nature of this market demand, we offered our PPP solution on one- or two-year terms as well as on a multi-year basis co-terminus with existing contracts. Seats for our PPP solution were activated immediately, which caused subscription revenues from these seats to be recognized sooner than is typical with the phased seat activations usually offered to customers. We believe that the emergency purchases of our PPP solution may have had the effect of pulling forward demand that might have otherwise materialized as new business later in the fiscal year and that, coupled with the disruptive effect of COVID-19 on the economy more generally, may have the effect of reducing new business later in fiscal 2021 and moderating revenue growth rates in fiscal 2022. In addition, our subscription revenue retention rates may be adversely affected upon the expiration of access and use rights to our PPP solution to the extent such rights are not re-purposed for other applications.</w:t>
      </w:r>
    </w:p>
    <w:p>
      <w:pPr>
        <w:spacing w:after="0" w:line="180" w:lineRule="exact"/>
        <w:rPr>
          <w:sz w:val="20"/>
          <w:szCs w:val="20"/>
          <w:color w:val="auto"/>
        </w:rPr>
      </w:pPr>
    </w:p>
    <w:p>
      <w:pPr>
        <w:ind w:left="160" w:firstLine="873"/>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Continued Investment in Innovation and Growth</w:t>
      </w:r>
      <w:r>
        <w:rPr>
          <w:rFonts w:ascii="Times New Roman" w:cs="Times New Roman" w:eastAsia="Times New Roman" w:hAnsi="Times New Roman"/>
          <w:sz w:val="17"/>
          <w:szCs w:val="17"/>
          <w:color w:val="auto"/>
        </w:rPr>
        <w:t>. We have made substantial investments in product development, sales and marketing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heavily in sales and marketing both in the United States and internationally to further grow our business, and increase our general and administrative spending to support our growing operations and for operating as a newly public company. As such, to capitalize on the market opportunity we see ahead of us, we expect to continue to optimize our operating plans for revenue growth, and as a result continue experiencing operating losses, for the foreseeable future.</w:t>
      </w:r>
    </w:p>
    <w:p>
      <w:pPr>
        <w:spacing w:after="0" w:line="1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We derive our revenues from subscription and professional services fees.</w:t>
      </w:r>
    </w:p>
    <w:p>
      <w:pPr>
        <w:spacing w:after="0" w:line="219" w:lineRule="exact"/>
        <w:rPr>
          <w:sz w:val="20"/>
          <w:szCs w:val="20"/>
          <w:color w:val="auto"/>
        </w:rPr>
      </w:pPr>
    </w:p>
    <w:p>
      <w:pPr>
        <w:ind w:left="160" w:right="180" w:firstLine="873"/>
        <w:spacing w:after="0" w:line="264" w:lineRule="auto"/>
        <w:rPr>
          <w:sz w:val="20"/>
          <w:szCs w:val="20"/>
          <w:color w:val="auto"/>
        </w:rPr>
      </w:pPr>
      <w:r>
        <w:rPr>
          <w:rFonts w:ascii="Times New Roman" w:cs="Times New Roman" w:eastAsia="Times New Roman" w:hAnsi="Times New Roman"/>
          <w:sz w:val="18"/>
          <w:szCs w:val="18"/>
          <w:i w:val="1"/>
          <w:iCs w:val="1"/>
          <w:color w:val="auto"/>
        </w:rPr>
        <w:t>Subscription Revenues</w:t>
      </w:r>
      <w:r>
        <w:rPr>
          <w:rFonts w:ascii="Times New Roman" w:cs="Times New Roman" w:eastAsia="Times New Roman" w:hAnsi="Times New Roman"/>
          <w:sz w:val="18"/>
          <w:szCs w:val="18"/>
          <w:color w:val="auto"/>
        </w:rPr>
        <w:t>. Our subscription revenues consist principally of fees from customers for accessing the nCino Bank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and maintenance and support services that we offer under non-cancellable multi-year contracts, which typically range from three to five years. Specifically, we offer:</w:t>
      </w:r>
    </w:p>
    <w:p>
      <w:pPr>
        <w:spacing w:after="0" w:line="202" w:lineRule="exact"/>
        <w:rPr>
          <w:sz w:val="20"/>
          <w:szCs w:val="20"/>
          <w:color w:val="auto"/>
        </w:rPr>
      </w:pPr>
    </w:p>
    <w:p>
      <w:pPr>
        <w:ind w:left="1460" w:right="260" w:hanging="316"/>
        <w:spacing w:after="0" w:line="278" w:lineRule="auto"/>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onboarding, loan origination and deposit account opening applications targeted at a financial institution’s commercial, small business and retail lines of business, for which we generally charge on a per seat basis.</w:t>
      </w:r>
    </w:p>
    <w:p>
      <w:pPr>
        <w:spacing w:after="0" w:line="189" w:lineRule="exact"/>
        <w:rPr>
          <w:rFonts w:ascii="Times New Roman" w:cs="Times New Roman" w:eastAsia="Times New Roman" w:hAnsi="Times New Roman"/>
          <w:sz w:val="18"/>
          <w:szCs w:val="18"/>
          <w:color w:val="auto"/>
        </w:rPr>
      </w:pPr>
    </w:p>
    <w:p>
      <w:pPr>
        <w:ind w:left="1460" w:right="40" w:hanging="316"/>
        <w:spacing w:after="0" w:line="258" w:lineRule="auto"/>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nIQ, first introduced in fiscal 2020, for which we generally charge based on the asset size of the customer or on a usage basis. Prior to our acquisitions of Visible Equity and FinSuite, they generally licensed their products under annual contracts that could be cancelled on 30-days’ notice. We will continue to support these customers under their legacy contracts until such contracts are renewed, cancelled or expire.</w:t>
      </w:r>
    </w:p>
    <w:p>
      <w:pPr>
        <w:spacing w:after="0" w:line="206" w:lineRule="exact"/>
        <w:rPr>
          <w:rFonts w:ascii="Times New Roman" w:cs="Times New Roman" w:eastAsia="Times New Roman" w:hAnsi="Times New Roman"/>
          <w:sz w:val="18"/>
          <w:szCs w:val="18"/>
          <w:color w:val="auto"/>
        </w:rPr>
      </w:pPr>
    </w:p>
    <w:p>
      <w:pPr>
        <w:ind w:left="1460" w:right="120" w:hanging="316"/>
        <w:spacing w:after="0" w:line="278" w:lineRule="auto"/>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support services as well as internal-use or “sandbox” development licenses, for which we charge as a percentage of the related subscription fees.</w:t>
      </w:r>
    </w:p>
    <w:p>
      <w:pPr>
        <w:spacing w:after="0" w:line="162"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Subscription fees are generally charged annually in advance. Where seats are activated in stages, we charge subscription fees from the date of activation through the anniversary of the initial activation date, and annually thereafter. Maintenance and support fees, as well as development licenses, are provided over the same periods as the related subscriptions, so fees are invoiced and revenues are recognized over the same periods. Subscription fees invoiced are recorded as deferred revenue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60"/>
          </w:cols>
          <w:pgMar w:left="320" w:top="454" w:right="51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80"/>
        <w:spacing w:after="0" w:line="308" w:lineRule="auto"/>
        <w:rPr>
          <w:sz w:val="20"/>
          <w:szCs w:val="20"/>
          <w:color w:val="auto"/>
        </w:rPr>
      </w:pPr>
      <w:r>
        <w:rPr>
          <w:rFonts w:ascii="Times New Roman" w:cs="Times New Roman" w:eastAsia="Times New Roman" w:hAnsi="Times New Roman"/>
          <w:sz w:val="17"/>
          <w:szCs w:val="17"/>
          <w:color w:val="auto"/>
        </w:rPr>
        <w:t>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38" w:lineRule="exact"/>
        <w:rPr>
          <w:sz w:val="20"/>
          <w:szCs w:val="20"/>
          <w:color w:val="auto"/>
        </w:rPr>
      </w:pPr>
    </w:p>
    <w:p>
      <w:pPr>
        <w:ind w:left="160" w:right="20" w:firstLine="873"/>
        <w:spacing w:after="0" w:line="252" w:lineRule="auto"/>
        <w:rPr>
          <w:sz w:val="20"/>
          <w:szCs w:val="20"/>
          <w:color w:val="auto"/>
        </w:rPr>
      </w:pPr>
      <w:r>
        <w:rPr>
          <w:rFonts w:ascii="Times New Roman" w:cs="Times New Roman" w:eastAsia="Times New Roman" w:hAnsi="Times New Roman"/>
          <w:sz w:val="18"/>
          <w:szCs w:val="18"/>
          <w:i w:val="1"/>
          <w:iCs w:val="1"/>
          <w:color w:val="auto"/>
        </w:rPr>
        <w:t>Professional Services Revenues</w:t>
      </w:r>
      <w:r>
        <w:rPr>
          <w:rFonts w:ascii="Times New Roman" w:cs="Times New Roman" w:eastAsia="Times New Roman" w:hAnsi="Times New Roman"/>
          <w:sz w:val="18"/>
          <w:szCs w:val="18"/>
          <w:color w:val="auto"/>
        </w:rPr>
        <w:t>. Professional services revenues consist of fees for implementation and configuration assistance, training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services. For enterprise and larger regional financial institutions, we generally work with SIs to provide the majority of implementation services, for which these SIs bill our customers directly. We have historically delivered professional services ourselves for community banks and smaller credit unions. Revenues for implementation, training and advisory services are recognized on a proportional performance basis, based on labor hours incurred relative to total budgeted hours. To date, our losses on professional services contracts have not been material.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3" w:lineRule="exact"/>
        <w:rPr>
          <w:sz w:val="20"/>
          <w:szCs w:val="20"/>
          <w:color w:val="auto"/>
        </w:rPr>
      </w:pPr>
    </w:p>
    <w:p>
      <w:pPr>
        <w:ind w:left="160" w:right="60" w:firstLine="873"/>
        <w:spacing w:after="0" w:line="253" w:lineRule="auto"/>
        <w:rPr>
          <w:sz w:val="20"/>
          <w:szCs w:val="20"/>
          <w:color w:val="auto"/>
        </w:rPr>
      </w:pPr>
      <w:r>
        <w:rPr>
          <w:rFonts w:ascii="Times New Roman" w:cs="Times New Roman" w:eastAsia="Times New Roman" w:hAnsi="Times New Roman"/>
          <w:sz w:val="18"/>
          <w:szCs w:val="18"/>
          <w:i w:val="1"/>
          <w:iCs w:val="1"/>
          <w:color w:val="auto"/>
        </w:rPr>
        <w:t>Cost of Subscription Revenues</w:t>
      </w:r>
      <w:r>
        <w:rPr>
          <w:rFonts w:ascii="Times New Roman" w:cs="Times New Roman" w:eastAsia="Times New Roman" w:hAnsi="Times New Roman"/>
          <w:sz w:val="18"/>
          <w:szCs w:val="18"/>
          <w:color w:val="auto"/>
        </w:rPr>
        <w:t>. Cost of subscription revenues primarily consists of fees paid to Salesforce for access to the Salesforce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including Salesforce’s hosting infrastructure and data center operations. When we resell access to Salesforce’s CRM solution, cost of subscription revenues also includes the subscription fees we remit to Salesforce for providing such access.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84"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i w:val="1"/>
          <w:iCs w:val="1"/>
          <w:color w:val="auto"/>
        </w:rPr>
        <w:t>Cost of Professional Services Revenues</w:t>
      </w:r>
      <w:r>
        <w:rPr>
          <w:rFonts w:ascii="Times New Roman" w:cs="Times New Roman" w:eastAsia="Times New Roman" w:hAnsi="Times New Roman"/>
          <w:sz w:val="18"/>
          <w:szCs w:val="18"/>
          <w:color w:val="auto"/>
        </w:rPr>
        <w:t>. Cost of professional services revenues consists primarily of personnel-related costs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gross margin on a period-to-period basis.</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1"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personnel costs of our sales and marketing employees,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salaries, sales commissions and incentives, benefits and stock-based compensation expense, travel and related costs. Beginning with fiscal 2020 and the adoption of Accounting Standards Update (ASU) No. 2014-09, we capitalize incremental costs incurred to obtain contracts, primarily consisting of sales commissions, and subsequently amortize these costs over the expected period of benefit, which we have determined to be approximately 4 years. Prior to fiscal 2020, these costs were expensed as incurred. Because of this change in accounting, sales and marketing expenses beginning in fiscal 2020 are not directly comparable to prior periods. Sales and marketing expenses also include outside consulting fees, marketing programs, including lead generation, costs of our annual user conference, advertising, trade shows, other event expenses, amortization of acquired customer relationships, and allocated overhead. We expect sales and marketing expenses will continue to increase as we expand our direct sales teams in the United States and internationally to address our market opportunity.</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80"/>
          </w:cols>
          <w:pgMar w:left="320" w:top="454" w:right="49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both"/>
        <w:ind w:left="160" w:right="420" w:firstLine="873"/>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Research and Development. </w:t>
      </w:r>
      <w:r>
        <w:rPr>
          <w:rFonts w:ascii="Times New Roman" w:cs="Times New Roman" w:eastAsia="Times New Roman" w:hAnsi="Times New Roman"/>
          <w:sz w:val="17"/>
          <w:szCs w:val="17"/>
          <w:color w:val="auto"/>
        </w:rPr>
        <w:t>Research and development expenses consist primarily of salaries, benefits and stock-based compensation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to continue to increase as we develop new functionality and make improvements to the nCino Bank Operating System.</w:t>
      </w:r>
    </w:p>
    <w:p>
      <w:pPr>
        <w:spacing w:after="0" w:line="161" w:lineRule="exact"/>
        <w:rPr>
          <w:sz w:val="20"/>
          <w:szCs w:val="20"/>
          <w:color w:val="auto"/>
        </w:rPr>
      </w:pPr>
    </w:p>
    <w:p>
      <w:pPr>
        <w:ind w:left="160" w:right="100" w:firstLine="873"/>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salaries, benefits and stock-based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We expect that general and administrative expenses will continue to increase as we scale our business and as we incur costs associated with being a new publicly-traded company, including legal, audit and consulting fees.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We have historically recorded stock-based compensation associated with stock options in cost of revenues and operating expenses as the related options vest. Beginning in the three and six months ended July 31, 2020, we have recorded stock-based compensation expenses associated with RSUs as cost of revenues and operating expenses as the liquidity-based vesting condition was satisfied upon the IPO. On the effective date of the IPO, we recognized an expense of $12.2 million for RSUs, representing the stock-based compensation associated with RSUs for which the time-based vesting condition had already been met. Going forward, stock-based compensation for both stock options and RSUs will be recognized as the time-based vesting conditions under such awards are met.</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54" w:right="4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financial statements and notes included elsewhere in this prospectus. The following table presents our selected consolidated statement of operations data for fiscal 2018, 2019 and 2020 and six months ended July 31, 2019 and 2020 in both dollars and as a percentage of total revenues, except as noted.</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8"/>
          </w:tcPr>
          <w:p>
            <w:pPr>
              <w:ind w:left="78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8"/>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40"/>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top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17"/>
              <w:spacing w:after="0" w:line="141"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43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 revenues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38,048</w:t>
            </w:r>
          </w:p>
        </w:tc>
        <w:tc>
          <w:tcPr>
            <w:tcW w:w="2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color w:val="auto"/>
              </w:rPr>
              <w:t>64,458</w:t>
            </w:r>
          </w:p>
        </w:tc>
        <w:tc>
          <w:tcPr>
            <w:tcW w:w="4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103,265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182"/>
              <w:spacing w:after="0"/>
              <w:rPr>
                <w:sz w:val="20"/>
                <w:szCs w:val="20"/>
                <w:color w:val="auto"/>
              </w:rPr>
            </w:pPr>
            <w:r>
              <w:rPr>
                <w:rFonts w:ascii="Times New Roman" w:cs="Times New Roman" w:eastAsia="Times New Roman" w:hAnsi="Times New Roman"/>
                <w:sz w:val="18"/>
                <w:szCs w:val="18"/>
                <w:color w:val="auto"/>
              </w:rPr>
              <w:t>44,142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color w:val="auto"/>
              </w:rPr>
              <w:t>74,182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 revenues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rPr>
              <w:t>27,076</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34,915</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17,672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19,295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91,534</w:t>
            </w:r>
          </w:p>
        </w:tc>
        <w:tc>
          <w:tcPr>
            <w:tcW w:w="5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138,180</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61,814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color w:val="auto"/>
              </w:rPr>
              <w:t>19,995</w:t>
            </w:r>
          </w:p>
        </w:tc>
        <w:tc>
          <w:tcPr>
            <w:tcW w:w="40" w:type="dxa"/>
            <w:vAlign w:val="bottom"/>
          </w:tcPr>
          <w:p>
            <w:pPr>
              <w:spacing w:after="0"/>
              <w:rPr>
                <w:sz w:val="18"/>
                <w:szCs w:val="18"/>
                <w:color w:val="auto"/>
              </w:rPr>
            </w:pPr>
          </w:p>
        </w:tc>
        <w:tc>
          <w:tcPr>
            <w:tcW w:w="126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31,062</w:t>
            </w:r>
          </w:p>
        </w:tc>
        <w:tc>
          <w:tcPr>
            <w:tcW w:w="100" w:type="dxa"/>
            <w:vAlign w:val="bottom"/>
          </w:tcPr>
          <w:p>
            <w:pPr>
              <w:spacing w:after="0"/>
              <w:rPr>
                <w:sz w:val="18"/>
                <w:szCs w:val="18"/>
                <w:color w:val="auto"/>
              </w:rPr>
            </w:pPr>
          </w:p>
        </w:tc>
        <w:tc>
          <w:tcPr>
            <w:tcW w:w="1060" w:type="dxa"/>
            <w:vAlign w:val="bottom"/>
            <w:gridSpan w:val="3"/>
          </w:tcPr>
          <w:p>
            <w:pPr>
              <w:jc w:val="right"/>
              <w:ind w:right="182"/>
              <w:spacing w:after="0"/>
              <w:rPr>
                <w:sz w:val="20"/>
                <w:szCs w:val="20"/>
                <w:color w:val="auto"/>
              </w:rPr>
            </w:pPr>
            <w:r>
              <w:rPr>
                <w:rFonts w:ascii="Times New Roman" w:cs="Times New Roman" w:eastAsia="Times New Roman" w:hAnsi="Times New Roman"/>
                <w:sz w:val="18"/>
                <w:szCs w:val="18"/>
                <w:color w:val="auto"/>
              </w:rPr>
              <w:t>13,585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color w:val="auto"/>
              </w:rPr>
              <w:t>22,019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professional services revenue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rPr>
              <w:t>26,456</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33,008</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15,223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19,434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46,451</w:t>
            </w:r>
          </w:p>
        </w:tc>
        <w:tc>
          <w:tcPr>
            <w:tcW w:w="5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28,808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rPr>
              <w:t>45,083</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33,006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52,024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rPr>
              <w:t>31,278</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44,440</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18,468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27,852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16,559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color w:val="auto"/>
              </w:rPr>
              <w:t>22,230</w:t>
            </w:r>
          </w:p>
        </w:tc>
        <w:tc>
          <w:tcPr>
            <w:tcW w:w="40" w:type="dxa"/>
            <w:vAlign w:val="bottom"/>
          </w:tcPr>
          <w:p>
            <w:pPr>
              <w:spacing w:after="0"/>
              <w:rPr>
                <w:sz w:val="18"/>
                <w:szCs w:val="18"/>
                <w:color w:val="auto"/>
              </w:rPr>
            </w:pPr>
          </w:p>
        </w:tc>
        <w:tc>
          <w:tcPr>
            <w:tcW w:w="126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35,304</w:t>
            </w:r>
          </w:p>
        </w:tc>
        <w:tc>
          <w:tcPr>
            <w:tcW w:w="100" w:type="dxa"/>
            <w:vAlign w:val="bottom"/>
          </w:tcPr>
          <w:p>
            <w:pPr>
              <w:spacing w:after="0"/>
              <w:rPr>
                <w:sz w:val="18"/>
                <w:szCs w:val="18"/>
                <w:color w:val="auto"/>
              </w:rPr>
            </w:pPr>
          </w:p>
        </w:tc>
        <w:tc>
          <w:tcPr>
            <w:tcW w:w="1060" w:type="dxa"/>
            <w:vAlign w:val="bottom"/>
            <w:gridSpan w:val="3"/>
          </w:tcPr>
          <w:p>
            <w:pPr>
              <w:jc w:val="right"/>
              <w:ind w:right="182"/>
              <w:spacing w:after="0"/>
              <w:rPr>
                <w:sz w:val="20"/>
                <w:szCs w:val="20"/>
                <w:color w:val="auto"/>
              </w:rPr>
            </w:pPr>
            <w:r>
              <w:rPr>
                <w:rFonts w:ascii="Times New Roman" w:cs="Times New Roman" w:eastAsia="Times New Roman" w:hAnsi="Times New Roman"/>
                <w:sz w:val="18"/>
                <w:szCs w:val="18"/>
                <w:color w:val="auto"/>
              </w:rPr>
              <w:t>15,638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color w:val="auto"/>
              </w:rPr>
              <w:t>26,257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rPr>
              <w:t>14,791</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22,536</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10,339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17,879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68,299</w:t>
            </w:r>
          </w:p>
        </w:tc>
        <w:tc>
          <w:tcPr>
            <w:tcW w:w="5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44,445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(23,216)</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(28,170)</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(11,439)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rPr>
              <w:t>1,193</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583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22"/>
              <w:spacing w:after="0"/>
              <w:rPr>
                <w:sz w:val="20"/>
                <w:szCs w:val="20"/>
                <w:color w:val="auto"/>
              </w:rPr>
            </w:pPr>
            <w:r>
              <w:rPr>
                <w:rFonts w:ascii="Times New Roman" w:cs="Times New Roman" w:eastAsia="Times New Roman" w:hAnsi="Times New Roman"/>
                <w:sz w:val="18"/>
                <w:szCs w:val="18"/>
                <w:color w:val="auto"/>
              </w:rPr>
              <w:t>(727)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(22,112)</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(27,149)</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(11,583)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Pr>
          <w:p>
            <w:pPr>
              <w:spacing w:after="0"/>
              <w:rPr>
                <w:sz w:val="18"/>
                <w:szCs w:val="18"/>
                <w:color w:val="auto"/>
              </w:rPr>
            </w:pPr>
          </w:p>
        </w:tc>
        <w:tc>
          <w:tcPr>
            <w:tcW w:w="126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8"/>
                <w:szCs w:val="18"/>
                <w:color w:val="auto"/>
              </w:rPr>
            </w:pPr>
          </w:p>
        </w:tc>
        <w:tc>
          <w:tcPr>
            <w:tcW w:w="1060" w:type="dxa"/>
            <w:vAlign w:val="bottom"/>
            <w:gridSpan w:val="3"/>
          </w:tcPr>
          <w:p>
            <w:pPr>
              <w:jc w:val="right"/>
              <w:ind w:right="182"/>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(22,306)</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(27,735)</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(11,921)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6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attributable to non-controlling interest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(18,589</w:t>
            </w: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(22,306</w:t>
            </w:r>
          </w:p>
        </w:tc>
        <w:tc>
          <w:tcPr>
            <w:tcW w:w="5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4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nCino, Inc.:</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(0.30)</w:t>
            </w:r>
          </w:p>
        </w:tc>
        <w:tc>
          <w:tcPr>
            <w:tcW w:w="4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126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122"/>
              <w:spacing w:after="0"/>
              <w:rPr>
                <w:sz w:val="20"/>
                <w:szCs w:val="20"/>
                <w:color w:val="auto"/>
              </w:rPr>
            </w:pPr>
            <w:r>
              <w:rPr>
                <w:rFonts w:ascii="Times New Roman" w:cs="Times New Roman" w:eastAsia="Times New Roman" w:hAnsi="Times New Roman"/>
                <w:sz w:val="18"/>
                <w:szCs w:val="18"/>
                <w:color w:val="auto"/>
              </w:rPr>
              <w:t>(0.16)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68,290,570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color w:val="auto"/>
                <w:w w:val="96"/>
              </w:rPr>
              <w:t>74,593,709</w:t>
            </w:r>
          </w:p>
        </w:tc>
        <w:tc>
          <w:tcPr>
            <w:tcW w:w="40" w:type="dxa"/>
            <w:vAlign w:val="bottom"/>
          </w:tcPr>
          <w:p>
            <w:pPr>
              <w:spacing w:after="0"/>
              <w:rPr>
                <w:sz w:val="18"/>
                <w:szCs w:val="18"/>
                <w:color w:val="auto"/>
              </w:rPr>
            </w:pPr>
          </w:p>
        </w:tc>
        <w:tc>
          <w:tcPr>
            <w:tcW w:w="126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w w:val="98"/>
              </w:rPr>
              <w:t>78,316,794</w:t>
            </w:r>
          </w:p>
        </w:tc>
        <w:tc>
          <w:tcPr>
            <w:tcW w:w="100" w:type="dxa"/>
            <w:vAlign w:val="bottom"/>
          </w:tcPr>
          <w:p>
            <w:pPr>
              <w:spacing w:after="0"/>
              <w:rPr>
                <w:sz w:val="18"/>
                <w:szCs w:val="18"/>
                <w:color w:val="auto"/>
              </w:rPr>
            </w:pPr>
          </w:p>
        </w:tc>
        <w:tc>
          <w:tcPr>
            <w:tcW w:w="1060" w:type="dxa"/>
            <w:vAlign w:val="bottom"/>
            <w:gridSpan w:val="3"/>
          </w:tcPr>
          <w:p>
            <w:pPr>
              <w:jc w:val="right"/>
              <w:ind w:right="182"/>
              <w:spacing w:after="0"/>
              <w:rPr>
                <w:sz w:val="20"/>
                <w:szCs w:val="20"/>
                <w:color w:val="auto"/>
              </w:rPr>
            </w:pPr>
            <w:r>
              <w:rPr>
                <w:rFonts w:ascii="Times New Roman" w:cs="Times New Roman" w:eastAsia="Times New Roman" w:hAnsi="Times New Roman"/>
                <w:sz w:val="18"/>
                <w:szCs w:val="18"/>
                <w:color w:val="auto"/>
                <w:w w:val="96"/>
              </w:rPr>
              <w:t>76,206,900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color w:val="auto"/>
                <w:w w:val="96"/>
              </w:rPr>
              <w:t>83,112,132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3200" w:type="dxa"/>
            <w:vAlign w:val="bottom"/>
            <w:gridSpan w:val="1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200" w:type="dxa"/>
            <w:vAlign w:val="bottom"/>
            <w:gridSpan w:val="12"/>
            <w:vMerge w:val="continue"/>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80" w:type="dxa"/>
            <w:vAlign w:val="bottom"/>
            <w:tcBorders>
              <w:top w:val="single" w:sz="8" w:color="auto"/>
            </w:tcBorders>
          </w:tcPr>
          <w:p>
            <w:pPr>
              <w:jc w:val="right"/>
              <w:ind w:right="73"/>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57"/>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4"/>
          </w:tcPr>
          <w:p>
            <w:pPr>
              <w:jc w:val="right"/>
              <w:ind w:right="51"/>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53"/>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52"/>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5"/>
          </w:tcPr>
          <w:p>
            <w:pPr>
              <w:jc w:val="center"/>
              <w:ind w:left="253"/>
              <w:spacing w:after="0" w:line="141"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65.4%</w:t>
            </w:r>
          </w:p>
        </w:tc>
        <w:tc>
          <w:tcPr>
            <w:tcW w:w="8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70.4%</w:t>
            </w:r>
          </w:p>
        </w:tc>
        <w:tc>
          <w:tcPr>
            <w:tcW w:w="11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74.7%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revenues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6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8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vMerge w:val="continue"/>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Cost of Revenues (percentage shown in comparison to related</w:t>
            </w: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5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520" w:type="dxa"/>
            <w:vAlign w:val="bottom"/>
            <w:tcBorders>
              <w:lef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33.1</w:t>
            </w:r>
          </w:p>
        </w:tc>
        <w:tc>
          <w:tcPr>
            <w:tcW w:w="7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Pr>
          <w:p>
            <w:pPr>
              <w:spacing w:after="0"/>
              <w:rPr>
                <w:sz w:val="18"/>
                <w:szCs w:val="18"/>
                <w:color w:val="auto"/>
              </w:rPr>
            </w:pPr>
          </w:p>
        </w:tc>
        <w:tc>
          <w:tcPr>
            <w:tcW w:w="11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revenues</w:t>
            </w: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89.0</w:t>
            </w:r>
          </w:p>
        </w:tc>
        <w:tc>
          <w:tcPr>
            <w:tcW w:w="7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cost of revenues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62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00" w:type="dxa"/>
            <w:vAlign w:val="bottom"/>
            <w:shd w:val="clear" w:color="auto" w:fill="CCEEFF"/>
          </w:tcPr>
          <w:p>
            <w:pPr>
              <w:spacing w:after="0"/>
              <w:rPr>
                <w:sz w:val="18"/>
                <w:szCs w:val="18"/>
                <w:color w:val="auto"/>
              </w:rPr>
            </w:pPr>
          </w:p>
        </w:tc>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47.6</w:t>
            </w:r>
          </w:p>
        </w:tc>
        <w:tc>
          <w:tcPr>
            <w:tcW w:w="7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1"/>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36.0</w:t>
            </w:r>
          </w:p>
        </w:tc>
        <w:tc>
          <w:tcPr>
            <w:tcW w:w="7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4"/>
        </w:trPr>
        <w:tc>
          <w:tcPr>
            <w:tcW w:w="5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28.5</w:t>
            </w:r>
          </w:p>
        </w:tc>
        <w:tc>
          <w:tcPr>
            <w:tcW w:w="7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Pr>
          <w:p>
            <w:pPr>
              <w:spacing w:after="0"/>
              <w:rPr>
                <w:sz w:val="18"/>
                <w:szCs w:val="18"/>
                <w:color w:val="auto"/>
              </w:rPr>
            </w:pPr>
          </w:p>
        </w:tc>
        <w:tc>
          <w:tcPr>
            <w:tcW w:w="11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15.4</w:t>
            </w:r>
          </w:p>
        </w:tc>
        <w:tc>
          <w:tcPr>
            <w:tcW w:w="7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7"/>
        </w:trPr>
        <w:tc>
          <w:tcPr>
            <w:tcW w:w="52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62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00" w:type="dxa"/>
            <w:vAlign w:val="bottom"/>
            <w:shd w:val="clear" w:color="auto" w:fill="CCEEFF"/>
          </w:tcPr>
          <w:p>
            <w:pPr>
              <w:spacing w:after="0"/>
              <w:rPr>
                <w:sz w:val="18"/>
                <w:szCs w:val="18"/>
                <w:color w:val="auto"/>
              </w:rPr>
            </w:pPr>
          </w:p>
        </w:tc>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from operations</w:t>
            </w: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(32.3)</w:t>
            </w: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(18.5)</w:t>
            </w: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1"/>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0.4</w:t>
            </w:r>
          </w:p>
        </w:tc>
        <w:tc>
          <w:tcPr>
            <w:tcW w:w="7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2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00" w:type="dxa"/>
            <w:vAlign w:val="bottom"/>
            <w:shd w:val="clear" w:color="auto" w:fill="CCEEFF"/>
          </w:tcPr>
          <w:p>
            <w:pPr>
              <w:spacing w:after="0"/>
              <w:rPr>
                <w:sz w:val="18"/>
                <w:szCs w:val="18"/>
                <w:color w:val="auto"/>
              </w:rPr>
            </w:pPr>
          </w:p>
        </w:tc>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(31.9)</w:t>
            </w: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(18.8)</w:t>
            </w: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4"/>
        </w:trPr>
        <w:tc>
          <w:tcPr>
            <w:tcW w:w="5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2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00" w:type="dxa"/>
            <w:vAlign w:val="bottom"/>
            <w:shd w:val="clear" w:color="auto" w:fill="CCEEFF"/>
          </w:tcPr>
          <w:p>
            <w:pPr>
              <w:spacing w:after="0"/>
              <w:rPr>
                <w:sz w:val="18"/>
                <w:szCs w:val="18"/>
                <w:color w:val="auto"/>
              </w:rPr>
            </w:pPr>
          </w:p>
        </w:tc>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(32.0)%</w:t>
            </w: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w:t>
            </w:r>
          </w:p>
        </w:tc>
        <w:tc>
          <w:tcPr>
            <w:tcW w:w="11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99"/>
              </w:rPr>
              <w:t>(19.3)%</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July 31, 2020 and 2019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52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52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52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980" w:type="dxa"/>
            <w:vAlign w:val="bottom"/>
            <w:gridSpan w:val="4"/>
          </w:tcPr>
          <w:p>
            <w:pPr>
              <w:jc w:val="right"/>
              <w:ind w:right="53"/>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$44,142</w:t>
            </w:r>
          </w:p>
        </w:tc>
        <w:tc>
          <w:tcPr>
            <w:tcW w:w="1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$74,182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79.4%</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revenues</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17,672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20.6</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0" w:type="dxa"/>
            <w:vAlign w:val="bottom"/>
          </w:tcPr>
          <w:p>
            <w:pPr>
              <w:spacing w:after="0"/>
              <w:rPr>
                <w:sz w:val="19"/>
                <w:szCs w:val="19"/>
                <w:color w:val="auto"/>
              </w:rPr>
            </w:pPr>
          </w:p>
        </w:tc>
        <w:tc>
          <w:tcPr>
            <w:tcW w:w="4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revenues</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61,814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93,477</w:t>
            </w:r>
          </w:p>
        </w:tc>
        <w:tc>
          <w:tcPr>
            <w:tcW w:w="400" w:type="dxa"/>
            <w:vAlign w:val="bottom"/>
            <w:gridSpan w:val="2"/>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223"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color w:val="auto"/>
        </w:rPr>
        <w:t>Subscription revenues increased $30.0 million for the six months ended July 31, 2020 compared to the six months ended July 31, 2019, primarily due to new customer additions, including customers added as a result of our acquisitions of Visible Equity and FinSuite, as well as expansion from existing customers within and across lines of business and price increases. Of the increase, 71.6% was attributable to increased revenues from existing customers as additional seats were activated in accordance with contractual terms and customers expanded their adoption of our solution, 16.1% was attributable to revenues from Visible Equity and FinSuite, and 12.3% was attributable to revenues from new nCino Bank Operating System customers. Subscription revenues were 79.4% of total revenues for the six months ended July 31, 2020 compared to 71.4% of total revenues for the six months ended July 31, 2019, reflecting the growth in our installed base.</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320" w:top="454" w:right="4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Professional Services Revenues</w:t>
      </w:r>
    </w:p>
    <w:p>
      <w:pPr>
        <w:spacing w:after="0" w:line="223" w:lineRule="exact"/>
        <w:rPr>
          <w:sz w:val="20"/>
          <w:szCs w:val="20"/>
          <w:color w:val="auto"/>
        </w:rPr>
      </w:pPr>
    </w:p>
    <w:p>
      <w:pPr>
        <w:jc w:val="both"/>
        <w:ind w:left="160" w:right="300" w:firstLine="873"/>
        <w:spacing w:after="0" w:line="263" w:lineRule="auto"/>
        <w:rPr>
          <w:sz w:val="20"/>
          <w:szCs w:val="20"/>
          <w:color w:val="auto"/>
        </w:rPr>
      </w:pPr>
      <w:r>
        <w:rPr>
          <w:rFonts w:ascii="Times New Roman" w:cs="Times New Roman" w:eastAsia="Times New Roman" w:hAnsi="Times New Roman"/>
          <w:sz w:val="18"/>
          <w:szCs w:val="18"/>
          <w:color w:val="auto"/>
        </w:rPr>
        <w:t>Professional services revenues increased $1.6 million for the six months ended July 31, 2020 compared to the six months ended July 31, 2019, primarily due to the addition of new customers as well as expanded adoption by existing customers within and across lines of business where implementation, configuration and training services were required.</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45"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5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5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49"/>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(percentage shown in comparison to related revenues):</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$13,585</w:t>
            </w:r>
          </w:p>
        </w:tc>
        <w:tc>
          <w:tcPr>
            <w:tcW w:w="34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$22,019</w:t>
            </w:r>
          </w:p>
        </w:tc>
        <w:tc>
          <w:tcPr>
            <w:tcW w:w="3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revenues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15,223</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86.1</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revenues</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28,808</w:t>
            </w:r>
          </w:p>
        </w:tc>
        <w:tc>
          <w:tcPr>
            <w:tcW w:w="3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46.6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41,453</w:t>
            </w:r>
          </w:p>
        </w:tc>
        <w:tc>
          <w:tcPr>
            <w:tcW w:w="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33,006</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53.4</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52,024</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Cost of Subscription Revenues</w:t>
      </w:r>
    </w:p>
    <w:p>
      <w:pPr>
        <w:spacing w:after="0" w:line="223"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Cost of subscription revenues increased $8.4 million for the six months ended July 31, 2020 compared to the six months ended July 31, 2019, generating a gross margin for subscription revenues of 70.3% compared to a gross margin of 69.2% for the six months ended July 31, 2019. Costs related to Salesforce user fees increased $5.8 million as we continued to add new customers and sold additional functionality to existing customers, and personnel costs increased $1.1 million as we added new employees. Stock-based compensation expense increased $0.2 million related to RSUs vesting upon the IPO. Amortization expense for acquired developed technology related to the acquisition of Visible Equity and Finsuite increased $0.7 million due to amortization expense during the full period for the six months ended July 31, 2020. Other costs of subscription revenues increased $0.5 million due to data services purchased for resale. We expect the cost of subscription revenues will continue to increase in absolute dollars as the number of users of the nCino Bank Operating System grows.</w:t>
      </w:r>
    </w:p>
    <w:p>
      <w:pPr>
        <w:spacing w:after="0" w:line="18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Cost of Professional Services Revenues</w:t>
      </w:r>
    </w:p>
    <w:p>
      <w:pPr>
        <w:spacing w:after="0" w:line="223" w:lineRule="exact"/>
        <w:rPr>
          <w:sz w:val="20"/>
          <w:szCs w:val="20"/>
          <w:color w:val="auto"/>
        </w:rPr>
      </w:pPr>
    </w:p>
    <w:p>
      <w:pPr>
        <w:ind w:left="160" w:right="60" w:firstLine="873"/>
        <w:spacing w:after="0" w:line="251" w:lineRule="auto"/>
        <w:rPr>
          <w:sz w:val="20"/>
          <w:szCs w:val="20"/>
          <w:color w:val="auto"/>
        </w:rPr>
      </w:pPr>
      <w:r>
        <w:rPr>
          <w:rFonts w:ascii="Times New Roman" w:cs="Times New Roman" w:eastAsia="Times New Roman" w:hAnsi="Times New Roman"/>
          <w:sz w:val="18"/>
          <w:szCs w:val="18"/>
          <w:color w:val="auto"/>
        </w:rPr>
        <w:t>Cost of professional services revenues increased $4.2 million for the six months ended July 31, 2020 compared to the six months ended July 31, 2019, generating a gross margin for professional services of (0.7)% compared to a gross margin of 13.9% for the six months ended July 31, 2019. Excluding the effect of additional stock-based compensation expense related to RSUs resulting from our IPO, gross margin for professional services for the six months ended July 31, 2020 was 9.7%. For the six months ended July 31, 2020, personnel costs increased $3.3 million for the professional services team compared to the prior year period due to increased headcount. Stock-based compensation expense increased $2.0 million related to RSUs vesting upon the IPO. Allocated overhead costs increased $0.3 million compared to the prior year period due to growth supporting our continued business expansion. These increases were partially offset by a $1.1 million decrease in reimbursable, and a $0.3 million decrease in non-reimbursable, travel and related expenses for the professional service organization due to COVID-19-related travel restrictions. The decrease in our professional services gross margin for the six months ended July 31, 2020 was due to the mix of SI or Company led implementations and additional stock-based compensation expense.</w:t>
      </w:r>
    </w:p>
    <w:p>
      <w:pPr>
        <w:spacing w:after="0" w:line="189" w:lineRule="exact"/>
        <w:rPr>
          <w:sz w:val="20"/>
          <w:szCs w:val="20"/>
          <w:color w:val="auto"/>
        </w:rPr>
      </w:pPr>
    </w:p>
    <w:p>
      <w:pPr>
        <w:ind w:left="160" w:right="320" w:firstLine="873"/>
        <w:spacing w:after="0" w:line="258" w:lineRule="auto"/>
        <w:rPr>
          <w:sz w:val="20"/>
          <w:szCs w:val="20"/>
          <w:color w:val="auto"/>
        </w:rPr>
      </w:pPr>
      <w:r>
        <w:rPr>
          <w:rFonts w:ascii="Times New Roman" w:cs="Times New Roman" w:eastAsia="Times New Roman" w:hAnsi="Times New Roman"/>
          <w:sz w:val="18"/>
          <w:szCs w:val="18"/>
          <w:color w:val="auto"/>
        </w:rPr>
        <w:t>Excluding the effect of IPO associated expenses related to RSUs, we expect the cost of professional services revenues to increase in absolute dollars in the near term as we add new customer subscriptions that require professional services. For the balance of fiscal 2021, we expect reduced professional services gross margins as utilization is adversely affected by travel restrictions and work-from-home restrictions resulting from COVID-19.</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60"/>
          </w:cols>
          <w:pgMar w:left="320" w:top="454" w:right="51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7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440" w:type="dxa"/>
            <w:vAlign w:val="bottom"/>
            <w:tcBorders>
              <w:bottom w:val="single" w:sz="8" w:color="CCEEFF"/>
            </w:tcBorders>
            <w:vMerge w:val="continue"/>
          </w:tcPr>
          <w:p>
            <w:pPr>
              <w:spacing w:after="0"/>
              <w:rPr>
                <w:sz w:val="12"/>
                <w:szCs w:val="12"/>
                <w:color w:val="auto"/>
              </w:rPr>
            </w:pPr>
          </w:p>
        </w:tc>
        <w:tc>
          <w:tcPr>
            <w:tcW w:w="960" w:type="dxa"/>
            <w:vAlign w:val="bottom"/>
            <w:tcBorders>
              <w:bottom w:val="single" w:sz="8" w:color="auto"/>
            </w:tcBorders>
            <w:gridSpan w:val="4"/>
          </w:tcPr>
          <w:p>
            <w:pPr>
              <w:jc w:val="right"/>
              <w:ind w:right="34"/>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jc w:val="right"/>
              <w:ind w:right="42"/>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8"/>
              </w:rPr>
              <w:t>$ 18,468</w:t>
            </w: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29.9%</w:t>
            </w:r>
          </w:p>
        </w:tc>
        <w:tc>
          <w:tcPr>
            <w:tcW w:w="9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$ 27,852</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4"/>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15,638</w:t>
            </w:r>
          </w:p>
        </w:tc>
        <w:tc>
          <w:tcPr>
            <w:tcW w:w="10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25.3</w:t>
            </w:r>
          </w:p>
        </w:tc>
        <w:tc>
          <w:tcPr>
            <w:tcW w:w="9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26,257</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4"/>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10,339</w:t>
            </w: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16.7</w:t>
            </w:r>
          </w:p>
        </w:tc>
        <w:tc>
          <w:tcPr>
            <w:tcW w:w="9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17,879</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44,445</w:t>
            </w:r>
          </w:p>
        </w:tc>
        <w:tc>
          <w:tcPr>
            <w:tcW w:w="10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71.9</w:t>
            </w:r>
          </w:p>
        </w:tc>
        <w:tc>
          <w:tcPr>
            <w:tcW w:w="9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71,988</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1080"/>
              <w:spacing w:after="0"/>
              <w:rPr>
                <w:sz w:val="20"/>
                <w:szCs w:val="20"/>
                <w:color w:val="auto"/>
              </w:rPr>
            </w:pPr>
            <w:r>
              <w:rPr>
                <w:rFonts w:ascii="Times New Roman" w:cs="Times New Roman" w:eastAsia="Times New Roman" w:hAnsi="Times New Roman"/>
                <w:sz w:val="18"/>
                <w:szCs w:val="18"/>
                <w:color w:val="auto"/>
              </w:rPr>
              <w:t>Loss from operations</w:t>
            </w:r>
          </w:p>
        </w:tc>
        <w:tc>
          <w:tcPr>
            <w:tcW w:w="64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(11,439</w:t>
            </w:r>
          </w:p>
        </w:tc>
        <w:tc>
          <w:tcPr>
            <w:tcW w:w="12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(19,964</w:t>
            </w:r>
          </w:p>
        </w:tc>
        <w:tc>
          <w:tcPr>
            <w:tcW w:w="300" w:type="dxa"/>
            <w:vAlign w:val="bottom"/>
            <w:vMerge w:val="continue"/>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3" w:lineRule="exact"/>
        <w:rPr>
          <w:sz w:val="20"/>
          <w:szCs w:val="20"/>
          <w:color w:val="auto"/>
        </w:rPr>
      </w:pPr>
    </w:p>
    <w:p>
      <w:pPr>
        <w:ind w:left="160" w:right="60" w:firstLine="873"/>
        <w:spacing w:after="0" w:line="252" w:lineRule="auto"/>
        <w:rPr>
          <w:sz w:val="20"/>
          <w:szCs w:val="20"/>
          <w:color w:val="auto"/>
        </w:rPr>
      </w:pPr>
      <w:r>
        <w:rPr>
          <w:rFonts w:ascii="Times New Roman" w:cs="Times New Roman" w:eastAsia="Times New Roman" w:hAnsi="Times New Roman"/>
          <w:sz w:val="18"/>
          <w:szCs w:val="18"/>
          <w:color w:val="auto"/>
        </w:rPr>
        <w:t>Sales and marketing expenses increased $9.4 million for the six months ended July 31, 2020 compared to the six months ended July 31, 2019, primarily due to an increase of $6.4 million in personnel costs resulting from an increase in headcount on the sales and marketing teams. Stock-based compensation expense increased $3.1 million related to RSUs vesting upon the IPO. The increase in sales and marketing expenses also included a $0.8 million increase in allocated overhead costs and a $0.4 million increase in outside consulting fees due to growth supporting our continued business expansion. Amortization expense for acquired customer relationships related to the acquisition of Visible Equity increased $0.7 million due to amortization expense during the full period for the six months ended July 31, 2020. The increase in sales and marketing expenses for the six months ended July 31, 2020 was partially offset by a decrease of $0.4 million in marketing costs and a decrease of $1.6 million in sales-related travel costs due to COVID-19-related travel restrictions.</w:t>
      </w:r>
    </w:p>
    <w:p>
      <w:pPr>
        <w:spacing w:after="0" w:line="187" w:lineRule="exact"/>
        <w:rPr>
          <w:sz w:val="20"/>
          <w:szCs w:val="20"/>
          <w:color w:val="auto"/>
        </w:rPr>
      </w:pPr>
    </w:p>
    <w:p>
      <w:pPr>
        <w:ind w:left="160" w:right="40" w:firstLine="873"/>
        <w:spacing w:after="0" w:line="308" w:lineRule="auto"/>
        <w:rPr>
          <w:sz w:val="20"/>
          <w:szCs w:val="20"/>
          <w:color w:val="auto"/>
        </w:rPr>
      </w:pPr>
      <w:r>
        <w:rPr>
          <w:rFonts w:ascii="Times New Roman" w:cs="Times New Roman" w:eastAsia="Times New Roman" w:hAnsi="Times New Roman"/>
          <w:sz w:val="17"/>
          <w:szCs w:val="17"/>
          <w:color w:val="auto"/>
        </w:rPr>
        <w:t>Our sales and marketing headcount grew by 49 from July 31, 2019 to July 31, 2020. Excluding the effect of IPO associated expenses related to RSUs, we expect sales and marketing expenses to increase in absolute dollars as we invest in expanding our customer base and user adoption.</w:t>
      </w:r>
    </w:p>
    <w:p>
      <w:pPr>
        <w:spacing w:after="0" w:line="13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3" w:lineRule="exact"/>
        <w:rPr>
          <w:sz w:val="20"/>
          <w:szCs w:val="20"/>
          <w:color w:val="auto"/>
        </w:rPr>
      </w:pPr>
    </w:p>
    <w:p>
      <w:pPr>
        <w:ind w:left="160" w:right="160" w:firstLine="873"/>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$10.6 million for the six months ended July 31, 2020 compared to the six months ended July 31, 2019, primarily due to an increase of $7.2 million in personnel costs resulting from continued growth in headcount and a $0.8 million increase in allocated overhead costs due to growth supporting our continued business expansion. Stock-based compensation expense increased $2.7 million related to RSUs vesting upon the IPO.</w:t>
      </w:r>
    </w:p>
    <w:p>
      <w:pPr>
        <w:spacing w:after="0" w:line="180" w:lineRule="exact"/>
        <w:rPr>
          <w:sz w:val="20"/>
          <w:szCs w:val="20"/>
          <w:color w:val="auto"/>
        </w:rPr>
      </w:pPr>
    </w:p>
    <w:p>
      <w:pPr>
        <w:ind w:left="160" w:right="20" w:firstLine="873"/>
        <w:spacing w:after="0" w:line="263" w:lineRule="auto"/>
        <w:rPr>
          <w:sz w:val="20"/>
          <w:szCs w:val="20"/>
          <w:color w:val="auto"/>
        </w:rPr>
      </w:pPr>
      <w:r>
        <w:rPr>
          <w:rFonts w:ascii="Times New Roman" w:cs="Times New Roman" w:eastAsia="Times New Roman" w:hAnsi="Times New Roman"/>
          <w:sz w:val="18"/>
          <w:szCs w:val="18"/>
          <w:color w:val="auto"/>
        </w:rPr>
        <w:t>Our research and development headcount grew by 108 from July 31, 2019 to July 31, 2020. Excluding the effect of IPO associated expenses related to RSUs, we expect research and development expenses to increase in absolute dollars due to higher headcount as we develop new applications and further enhance the nCino Bank Operating System.</w:t>
      </w:r>
    </w:p>
    <w:p>
      <w:pPr>
        <w:spacing w:after="0" w:line="17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General and administrative expenses increased $7.5 million for the six months ended July 31, 2020 compared to the six months ended</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July 31, 2019, primarily due to stock-based compensation expense of $4.2 million related to RSUs vesting upon the IPO, partially offset by $1.2 million</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of stock-based compensation for the accelerated vesting of an executive for the six months ended July 31, 2019 that did not occur for the six months</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ended July 31, 2020. Personnel costs increased $2.0 million from increased headcount as we continued to scale our business. Third party professional</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fees increased $1.0 million for the six months ended July 31, 2020 compared to the six months ended July 31, 2019, mostly attributable to costs related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 the Company’s IPO. Allocated overhead and other general and administrative costs increased $1.7 million, which consisted primarily of bad debt</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expense, charitable contributions and insurance costs.</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54" w:right="49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60" w:firstLine="873"/>
        <w:spacing w:after="0" w:line="263" w:lineRule="auto"/>
        <w:rPr>
          <w:sz w:val="20"/>
          <w:szCs w:val="20"/>
          <w:color w:val="auto"/>
        </w:rPr>
      </w:pPr>
      <w:r>
        <w:rPr>
          <w:rFonts w:ascii="Times New Roman" w:cs="Times New Roman" w:eastAsia="Times New Roman" w:hAnsi="Times New Roman"/>
          <w:sz w:val="18"/>
          <w:szCs w:val="18"/>
          <w:color w:val="auto"/>
        </w:rPr>
        <w:t>Our general and administrative headcount grew by 35 from July 31, 2019 to July 31, 2020. Excluding the effect of IPO associated expenses related to RSUs, we expect general and administrative expenses to increase in absolute dollars in the near term, primarily due to higher headcount to support our continued growth and additional expenses for our transition to, and continuing costs of, being a public company.</w:t>
      </w:r>
    </w:p>
    <w:p>
      <w:pPr>
        <w:spacing w:after="0" w:line="17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Effects of COVID-19</w:t>
      </w:r>
    </w:p>
    <w:p>
      <w:pPr>
        <w:spacing w:after="0" w:line="223" w:lineRule="exact"/>
        <w:rPr>
          <w:sz w:val="20"/>
          <w:szCs w:val="20"/>
          <w:color w:val="auto"/>
        </w:rPr>
      </w:pPr>
    </w:p>
    <w:p>
      <w:pPr>
        <w:ind w:left="160" w:firstLine="873"/>
        <w:spacing w:after="0" w:line="266" w:lineRule="auto"/>
        <w:rPr>
          <w:sz w:val="20"/>
          <w:szCs w:val="20"/>
          <w:color w:val="auto"/>
        </w:rPr>
      </w:pPr>
      <w:r>
        <w:rPr>
          <w:rFonts w:ascii="Times New Roman" w:cs="Times New Roman" w:eastAsia="Times New Roman" w:hAnsi="Times New Roman"/>
          <w:sz w:val="17"/>
          <w:szCs w:val="17"/>
          <w:color w:val="auto"/>
        </w:rPr>
        <w:t>COVID-19 began affecting our business in our first quarter fiscal 2021. To date, we have not experienced a material increase in customers’ delaying purchase decisions or cancellations nor have we had a material impact from vendors and third-party service providers we rely on. Beginning in mid-March 2020, we implemented a company-wide work-from-home requirement for all of our employees and suspended all work-related travel. In addition, we shifted our conferences and other marketing events to virtual-only for the foreseeable future. We expect these restrictions to stay in effect during the third quarter of fiscal 2021 and could extend further into future quarters. To the extent COVID-19 has measurably affected our historical financial results, we have noted such effects in the discussion above. We are aware that there are effects of the COVID-19 pandemic in terms of efficiency, productivity, workforce retention and other matters that are not directly measurable. The extent of the impact of the COVID-19 pandemic on our operational and financial performance will depend on future developments unknown and unpredictable at this time, including the duration, severity and spread of the pandemic, the effects of the pandemic on financial institutions generally as well as on our customers, their clients and on our business partners in particular, restrictions on travel and other actions that may be taken by governmental authorities and other factors. For further information, please see, “—Factors Affecting Our Operating Results—COVID-19 Effects on Demand for Our Solutions” and “Risk Factors—Uncertain or weakened economic conditions, including as a result of the recent coronavirus outbreak, may adversely affect our industry, business and results of operations.”</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January 31, 2020 and 2019</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45"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ind w:right="49"/>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right"/>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$64,458</w:t>
            </w:r>
          </w:p>
        </w:tc>
        <w:tc>
          <w:tcPr>
            <w:tcW w:w="4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$103,265</w:t>
            </w:r>
          </w:p>
        </w:tc>
        <w:tc>
          <w:tcPr>
            <w:tcW w:w="4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4"/>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revenues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27,076</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34,915</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91,534</w:t>
            </w:r>
          </w:p>
        </w:tc>
        <w:tc>
          <w:tcPr>
            <w:tcW w:w="4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138,180</w:t>
            </w:r>
          </w:p>
        </w:tc>
        <w:tc>
          <w:tcPr>
            <w:tcW w:w="4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223" w:lineRule="exact"/>
        <w:rPr>
          <w:sz w:val="20"/>
          <w:szCs w:val="20"/>
          <w:color w:val="auto"/>
        </w:rPr>
      </w:pPr>
    </w:p>
    <w:p>
      <w:pPr>
        <w:ind w:left="160" w:right="40" w:firstLine="873"/>
        <w:spacing w:after="0" w:line="254" w:lineRule="auto"/>
        <w:rPr>
          <w:sz w:val="20"/>
          <w:szCs w:val="20"/>
          <w:color w:val="auto"/>
        </w:rPr>
      </w:pPr>
      <w:r>
        <w:rPr>
          <w:rFonts w:ascii="Times New Roman" w:cs="Times New Roman" w:eastAsia="Times New Roman" w:hAnsi="Times New Roman"/>
          <w:sz w:val="18"/>
          <w:szCs w:val="18"/>
          <w:color w:val="auto"/>
        </w:rPr>
        <w:t>Subscription revenues increased $38.8 million for fiscal 2020 compared to fiscal 2019, primarily due to new customer additions, including customers added as a result of our acquisitions of Visible Equity and FinSuite, as well as expansion from existing customers within and across lines of business and price increases. Of the increase, 61.7% was attributable to increased revenues from existing customers as additional seats were activated in accordance with contractual terms and customers expanded their adoption of our solution, 15.4% was attributable to revenues from Visible Equity and FinSuite, and 22.9% was attributable to revenues from new nCino Bank Operating System customers. Subscription revenues were 74.7% of total revenues for fiscal 2020, compared to 70.4% of total revenues for fiscal 2019, reflecting the growth in our installed base.</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Professional Services Revenues</w:t>
      </w:r>
    </w:p>
    <w:p>
      <w:pPr>
        <w:spacing w:after="0" w:line="223" w:lineRule="exact"/>
        <w:rPr>
          <w:sz w:val="20"/>
          <w:szCs w:val="20"/>
          <w:color w:val="auto"/>
        </w:rPr>
      </w:pPr>
    </w:p>
    <w:p>
      <w:pPr>
        <w:ind w:left="160" w:right="700" w:firstLine="873"/>
        <w:spacing w:after="0" w:line="278" w:lineRule="auto"/>
        <w:rPr>
          <w:sz w:val="20"/>
          <w:szCs w:val="20"/>
          <w:color w:val="auto"/>
        </w:rPr>
      </w:pPr>
      <w:r>
        <w:rPr>
          <w:rFonts w:ascii="Times New Roman" w:cs="Times New Roman" w:eastAsia="Times New Roman" w:hAnsi="Times New Roman"/>
          <w:sz w:val="18"/>
          <w:szCs w:val="18"/>
          <w:color w:val="auto"/>
        </w:rPr>
        <w:t>Professional services revenues increased $7.8 million for fiscal 2020 compared to fiscal 2019, primarily due to the addition of new customers, as well as expanded adoption by existing customers within and across lines</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60"/>
          </w:cols>
          <w:pgMar w:left="320" w:top="454" w:right="51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20"/>
        <w:spacing w:after="0" w:line="278" w:lineRule="auto"/>
        <w:rPr>
          <w:sz w:val="20"/>
          <w:szCs w:val="20"/>
          <w:color w:val="auto"/>
        </w:rPr>
      </w:pPr>
      <w:r>
        <w:rPr>
          <w:rFonts w:ascii="Times New Roman" w:cs="Times New Roman" w:eastAsia="Times New Roman" w:hAnsi="Times New Roman"/>
          <w:sz w:val="18"/>
          <w:szCs w:val="18"/>
          <w:color w:val="auto"/>
        </w:rPr>
        <w:t>of business where implementation, configuration and training services were required. For fiscal 2020, $2.9 million of professional services revenues was reimbursable travel and expense related to professional services projects at customer locations compared to $2.5 million for fiscal 2019.</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45"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5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2"/>
          </w:tcPr>
          <w:p>
            <w:pPr>
              <w:jc w:val="right"/>
              <w:ind w:right="49"/>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(percentage shown in comparison to related revenues):</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$19,995</w:t>
            </w:r>
          </w:p>
        </w:tc>
        <w:tc>
          <w:tcPr>
            <w:tcW w:w="34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$31,062</w:t>
            </w:r>
          </w:p>
        </w:tc>
        <w:tc>
          <w:tcPr>
            <w:tcW w:w="34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4"/>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revenues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26,456</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97.7</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33,008</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94.5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cost of revenues</w:t>
            </w: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46,451</w:t>
            </w:r>
          </w:p>
        </w:tc>
        <w:tc>
          <w:tcPr>
            <w:tcW w:w="34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50.7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64,070</w:t>
            </w:r>
          </w:p>
        </w:tc>
        <w:tc>
          <w:tcPr>
            <w:tcW w:w="3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46.4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45,083</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49.3%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74,110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Cost of Subscription Revenues</w:t>
      </w:r>
    </w:p>
    <w:p>
      <w:pPr>
        <w:spacing w:after="0" w:line="223" w:lineRule="exact"/>
        <w:rPr>
          <w:sz w:val="20"/>
          <w:szCs w:val="20"/>
          <w:color w:val="auto"/>
        </w:rPr>
      </w:pPr>
    </w:p>
    <w:p>
      <w:pPr>
        <w:ind w:left="160" w:right="100" w:firstLine="873"/>
        <w:spacing w:after="0" w:line="255" w:lineRule="auto"/>
        <w:rPr>
          <w:sz w:val="20"/>
          <w:szCs w:val="20"/>
          <w:color w:val="auto"/>
        </w:rPr>
      </w:pPr>
      <w:r>
        <w:rPr>
          <w:rFonts w:ascii="Times New Roman" w:cs="Times New Roman" w:eastAsia="Times New Roman" w:hAnsi="Times New Roman"/>
          <w:sz w:val="18"/>
          <w:szCs w:val="18"/>
          <w:color w:val="auto"/>
        </w:rPr>
        <w:t>Cost of subscription revenues increased $11.1 million for fiscal 2020 compared to fiscal 2019, generating a gross margin for subscription revenues of 69.9% compared to a gross margin of 69.0% for fiscal 2019. Costs related to Salesforce user fees increased $7.5 million as we continued to add new customers and sold additional functionality to existing customers, and personnel costs increased $1.9 million as we added new employees. Allocated overhead costs for fiscal 2020 increased $1.0 million compared to fiscal 2019 due to headcount growth in our global customer support organization. Other costs of subscription revenues increased $0.7 million due to third-party data integration and nIQ hosting expenses.</w:t>
      </w:r>
    </w:p>
    <w:p>
      <w:pPr>
        <w:spacing w:after="0" w:line="28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Cost of Professional Services Revenues</w:t>
      </w:r>
    </w:p>
    <w:p>
      <w:pPr>
        <w:spacing w:after="0" w:line="223"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Cost of professional services revenues increased $6.6 million for fiscal 2020 compared to fiscal 2019, generating a gross margin for professional services of 5.5% compared to a gross margin of 2.3% for fiscal 2019. Personnel costs for fiscal 2020 increased $5.1 million for the professional services team compared to fiscal 2019 primarily due to increased headcount. Reimbursable travel and expenses related to professional services projects at customer locations for fiscal 2020 increased $0.4 million compared to fiscal 2019. Allocated overhead costs for fiscal 2020 increased $0.9 million and travel related expenses increased $0.3 million compared to fiscal 2019 due to growth supporting our continued business expansion. The increase in cost of professional services revenues was partially offset by a $0.1 million decrease in other services. The increase in our professional services gross margin in fiscal 2020 was primarily due to higher utilization and effective billing rates in our maturing international professional services practice.</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5"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680" w:type="dxa"/>
            <w:vAlign w:val="bottom"/>
            <w:tcBorders>
              <w:bottom w:val="single" w:sz="8" w:color="CCEEFF"/>
            </w:tcBorders>
            <w:vMerge w:val="continue"/>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ind w:left="660"/>
              <w:spacing w:after="0" w:line="141"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58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$ 31,278</w:t>
            </w:r>
          </w:p>
        </w:tc>
        <w:tc>
          <w:tcPr>
            <w:tcW w:w="28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44,440</w:t>
            </w:r>
          </w:p>
        </w:tc>
        <w:tc>
          <w:tcPr>
            <w:tcW w:w="5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4"/>
        </w:trPr>
        <w:tc>
          <w:tcPr>
            <w:tcW w:w="3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22,230</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35,304</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22,536</w:t>
            </w:r>
          </w:p>
        </w:tc>
        <w:tc>
          <w:tcPr>
            <w:tcW w:w="5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102,280</w:t>
            </w:r>
          </w:p>
        </w:tc>
        <w:tc>
          <w:tcPr>
            <w:tcW w:w="5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Loss from operations</w:t>
            </w:r>
          </w:p>
        </w:tc>
        <w:tc>
          <w:tcPr>
            <w:tcW w:w="16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(23,216</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(28,170</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20" w:type="dxa"/>
            <w:vAlign w:val="bottom"/>
            <w:vMerge w:val="restart"/>
          </w:tcPr>
          <w:p>
            <w:pPr>
              <w:jc w:val="right"/>
              <w:ind w:right="451"/>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6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3"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Sales and marketing expenses increased $13.2 million for fiscal 2020 compared to fiscal 2019, primarily due to an increase of $8.4 million in personnel costs resulting from an increase in headcount on the sales and marketing teams and a $1.7 million increase in marketing costs, including direct costs of conference attendance and sponsorships, and a $1.0 million increase in sales-related travel costs. Our sales and marketing headcount grew from 140 at January 31, 2019 to 221 at January 31, 2020. The increase in sales and marketing expenses also included a $2.4 million increase in allocated overhead costs due to growth supporting our continued business expansion. The increase in sales and marketing expenses in fiscal 2020 was partially offset by a net reduction of $2.4 million in incremental costs incurred to obtain contracts, primarily consisting of sales commissions, as we began capitalizing and amortizing such expenses in fiscal 2020, and by a $0.3 million reduction in the use of third-party consultants.</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3"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increased $13.1 million for fiscal 2020 compared to fiscal 2019, primarily due to an increase of $10.5 million in personnel costs, resulting from continued increases in headcount, both organically and from acquisitions, a $0.6 million increase in the use of third-party contractors as we continued to invest in the nCino Bank Operating System, a $0.2 million increase in travel and meeting expenses, and a $1.8 million increase in allocated overhead costs due to growth supporting our continued business expansion. Our research and development headcount grew from 153 at January 31, 2019 to 265 at January 31, 2020.</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General and administrative expenses increased $7.7 million for fiscal 2020 compared to fiscal 2019, primarily due to an increase of</w:t>
      </w:r>
    </w:p>
    <w:p>
      <w:pPr>
        <w:spacing w:after="0" w:line="26" w:lineRule="exact"/>
        <w:rPr>
          <w:sz w:val="20"/>
          <w:szCs w:val="20"/>
          <w:color w:val="auto"/>
        </w:rPr>
      </w:pPr>
    </w:p>
    <w:p>
      <w:pPr>
        <w:ind w:left="160" w:right="20"/>
        <w:spacing w:after="0" w:line="248" w:lineRule="auto"/>
        <w:rPr>
          <w:sz w:val="20"/>
          <w:szCs w:val="20"/>
          <w:color w:val="auto"/>
        </w:rPr>
      </w:pPr>
      <w:r>
        <w:rPr>
          <w:rFonts w:ascii="Times New Roman" w:cs="Times New Roman" w:eastAsia="Times New Roman" w:hAnsi="Times New Roman"/>
          <w:sz w:val="18"/>
          <w:szCs w:val="18"/>
          <w:color w:val="auto"/>
        </w:rPr>
        <w:t>$4.4 million in personnel costs, due to increases in headcount as we continue to scale our business. Our general and administrative headcount grew from 63 at January 31, 2019 to 102 at January 31, 2020. Third party professional fees increased $3.7 million from fiscal 2019 to fiscal 2020, including</w:t>
      </w:r>
    </w:p>
    <w:p>
      <w:pPr>
        <w:ind w:left="160" w:right="380"/>
        <w:spacing w:after="0" w:line="250" w:lineRule="auto"/>
        <w:rPr>
          <w:sz w:val="20"/>
          <w:szCs w:val="20"/>
          <w:color w:val="auto"/>
        </w:rPr>
      </w:pPr>
      <w:r>
        <w:rPr>
          <w:rFonts w:ascii="Times New Roman" w:cs="Times New Roman" w:eastAsia="Times New Roman" w:hAnsi="Times New Roman"/>
          <w:sz w:val="18"/>
          <w:szCs w:val="18"/>
          <w:color w:val="auto"/>
        </w:rPr>
        <w:t>$1.7 million of transaction-related costs incurred related to acquisitions and our IPO. Travel and meeting expenses increased $0.4 million due to headcount growth and strategic initiatives. Allocated overhead and other general and administrative costs decreased $0.8 million, which consisted primarily of a $1.5 million decrease in tax related fees and assessments primarily due to revisions in prior year sales and use tax estimates, partially offset by higher insurance and occupancy costs.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January 31, 2019 and 2018</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45"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ind w:right="49"/>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3"/>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$38,048</w:t>
            </w:r>
          </w:p>
        </w:tc>
        <w:tc>
          <w:tcPr>
            <w:tcW w:w="4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$64,458</w:t>
            </w:r>
          </w:p>
        </w:tc>
        <w:tc>
          <w:tcPr>
            <w:tcW w:w="4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4"/>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revenues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27,076</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58,142</w:t>
            </w:r>
          </w:p>
        </w:tc>
        <w:tc>
          <w:tcPr>
            <w:tcW w:w="4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91,534</w:t>
            </w:r>
          </w:p>
        </w:tc>
        <w:tc>
          <w:tcPr>
            <w:tcW w:w="4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223" w:lineRule="exact"/>
        <w:rPr>
          <w:sz w:val="20"/>
          <w:szCs w:val="20"/>
          <w:color w:val="auto"/>
        </w:rPr>
      </w:pPr>
    </w:p>
    <w:p>
      <w:pPr>
        <w:ind w:left="160" w:right="20" w:firstLine="873"/>
        <w:spacing w:after="0" w:line="263" w:lineRule="auto"/>
        <w:rPr>
          <w:sz w:val="20"/>
          <w:szCs w:val="20"/>
          <w:color w:val="auto"/>
        </w:rPr>
      </w:pPr>
      <w:r>
        <w:rPr>
          <w:rFonts w:ascii="Times New Roman" w:cs="Times New Roman" w:eastAsia="Times New Roman" w:hAnsi="Times New Roman"/>
          <w:sz w:val="18"/>
          <w:szCs w:val="18"/>
          <w:color w:val="auto"/>
        </w:rPr>
        <w:t>Subscription revenues increased $26.4 million for fiscal 2019 compared to fiscal 2018, primarily due to new customer additions, as well as expansion from existing customers within and across lines of business and price increases. Of the increase, 78.1% was attributable to increased revenues from existing customers as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60"/>
          </w:cols>
          <w:pgMar w:left="320" w:top="454" w:right="51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additional seats were activated in accordance with contractual terms and customers expanded their adoption of our solution, and 21.9% was attributable to revenues from new nCino Bank Operating System customers. Subscription revenues were 70.4% of total revenues for fiscal 2019, compared to 65.4% of total revenues for fiscal 2018, reflecting the growth in our installed base and increasing sales to larger financial institutions where SIs provide a substantial portion of professional services.</w:t>
      </w:r>
    </w:p>
    <w:p>
      <w:pPr>
        <w:spacing w:after="0" w:line="17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Professional Services Revenues</w:t>
      </w:r>
    </w:p>
    <w:p>
      <w:pPr>
        <w:spacing w:after="0" w:line="223" w:lineRule="exact"/>
        <w:rPr>
          <w:sz w:val="20"/>
          <w:szCs w:val="20"/>
          <w:color w:val="auto"/>
        </w:rPr>
      </w:pPr>
    </w:p>
    <w:p>
      <w:pPr>
        <w:ind w:left="160" w:right="300" w:firstLine="873"/>
        <w:spacing w:after="0" w:line="258" w:lineRule="auto"/>
        <w:rPr>
          <w:sz w:val="20"/>
          <w:szCs w:val="20"/>
          <w:color w:val="auto"/>
        </w:rPr>
      </w:pPr>
      <w:r>
        <w:rPr>
          <w:rFonts w:ascii="Times New Roman" w:cs="Times New Roman" w:eastAsia="Times New Roman" w:hAnsi="Times New Roman"/>
          <w:sz w:val="18"/>
          <w:szCs w:val="18"/>
          <w:color w:val="auto"/>
        </w:rPr>
        <w:t>Professional services revenues increased $7.0 million for fiscal 2019 compared to fiscal 2018, primarily due to the addition of new customers, as well as expanded adoption by existing customers within and across lines of business where implementation, configuration and training services were required. For fiscal 2019, $2.5 million of professional services revenues was reimbursable travel and expense related to professional services projects at our customer locations compared to $1.8 million for fiscal 2018.</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45"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4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40" w:type="dxa"/>
            <w:vAlign w:val="bottom"/>
          </w:tcPr>
          <w:p>
            <w:pPr>
              <w:spacing w:after="0"/>
              <w:rPr>
                <w:sz w:val="12"/>
                <w:szCs w:val="12"/>
                <w:color w:val="auto"/>
              </w:rPr>
            </w:pPr>
          </w:p>
        </w:tc>
        <w:tc>
          <w:tcPr>
            <w:tcW w:w="1360" w:type="dxa"/>
            <w:vAlign w:val="bottom"/>
            <w:gridSpan w:val="2"/>
          </w:tcPr>
          <w:p>
            <w:pPr>
              <w:jc w:val="right"/>
              <w:ind w:right="454"/>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2"/>
                <w:szCs w:val="12"/>
                <w:color w:val="auto"/>
              </w:rPr>
            </w:pPr>
          </w:p>
        </w:tc>
        <w:tc>
          <w:tcPr>
            <w:tcW w:w="1100" w:type="dxa"/>
            <w:vAlign w:val="bottom"/>
            <w:gridSpan w:val="3"/>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52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1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33.1%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$19,995</w:t>
            </w:r>
          </w:p>
        </w:tc>
        <w:tc>
          <w:tcPr>
            <w:tcW w:w="34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revenues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17,890</w:t>
            </w:r>
          </w:p>
        </w:tc>
        <w:tc>
          <w:tcPr>
            <w:tcW w:w="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5"/>
              </w:rPr>
              <w:t>89.0</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26,456</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97.7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revenues</w:t>
            </w:r>
          </w:p>
        </w:tc>
        <w:tc>
          <w:tcPr>
            <w:tcW w:w="14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30,471</w:t>
            </w: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52.4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46,451</w:t>
            </w:r>
          </w:p>
        </w:tc>
        <w:tc>
          <w:tcPr>
            <w:tcW w:w="3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50.7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Gross profit</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27,671</w:t>
            </w:r>
          </w:p>
        </w:tc>
        <w:tc>
          <w:tcPr>
            <w:tcW w:w="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5"/>
              </w:rPr>
              <w:t>47.6</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45,083</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49.3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Cost of Subscription Revenues</w:t>
      </w:r>
    </w:p>
    <w:p>
      <w:pPr>
        <w:spacing w:after="0" w:line="223" w:lineRule="exact"/>
        <w:rPr>
          <w:sz w:val="20"/>
          <w:szCs w:val="20"/>
          <w:color w:val="auto"/>
        </w:rPr>
      </w:pPr>
    </w:p>
    <w:p>
      <w:pPr>
        <w:ind w:left="160" w:right="100" w:firstLine="873"/>
        <w:spacing w:after="0" w:line="255" w:lineRule="auto"/>
        <w:rPr>
          <w:sz w:val="20"/>
          <w:szCs w:val="20"/>
          <w:color w:val="auto"/>
        </w:rPr>
      </w:pPr>
      <w:r>
        <w:rPr>
          <w:rFonts w:ascii="Times New Roman" w:cs="Times New Roman" w:eastAsia="Times New Roman" w:hAnsi="Times New Roman"/>
          <w:sz w:val="18"/>
          <w:szCs w:val="18"/>
          <w:color w:val="auto"/>
        </w:rPr>
        <w:t>Cost of subscription revenues increased $7.4 million for fiscal 2019 compared to fiscal 2018, generating a gross margin for subscription revenues of 69.0% compared to a gross margin of 66.9% for fiscal 2018. Costs related to Salesforce user fees increased $5.8 million as we continued to add new customers and sold additional functionality to existing customers, and personnel costs increased $1.2 million as we added new employees. Allocated overhead costs for fiscal 2019 increased $0.2 million and travel related expenses increased $0.1 million due to growth supporting our continued business expansion compared to fiscal 2018.</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Cost of Professional Services Revenues</w:t>
      </w:r>
    </w:p>
    <w:p>
      <w:pPr>
        <w:spacing w:after="0" w:line="223" w:lineRule="exact"/>
        <w:rPr>
          <w:sz w:val="20"/>
          <w:szCs w:val="20"/>
          <w:color w:val="auto"/>
        </w:rPr>
      </w:pPr>
    </w:p>
    <w:p>
      <w:pPr>
        <w:ind w:left="160" w:firstLine="873"/>
        <w:spacing w:after="0" w:line="271" w:lineRule="auto"/>
        <w:rPr>
          <w:sz w:val="20"/>
          <w:szCs w:val="20"/>
          <w:color w:val="auto"/>
        </w:rPr>
      </w:pPr>
      <w:r>
        <w:rPr>
          <w:rFonts w:ascii="Times New Roman" w:cs="Times New Roman" w:eastAsia="Times New Roman" w:hAnsi="Times New Roman"/>
          <w:sz w:val="17"/>
          <w:szCs w:val="17"/>
          <w:color w:val="auto"/>
        </w:rPr>
        <w:t>Cost of professional services revenues increased $8.6 million for fiscal 2019 compared to fiscal 2018, generating a gross margin for professional services of 2.3% compared to a gross margin of 11.0% for fiscal 2018. Personnel costs for fiscal 2019 increased $6.9 million for the professional services team compared to fiscal 2018 primarily due to increased headcount. Reimbursable travel and expenses related to professional services projects at customer locations for fiscal 2019 increased $0.7 million compared to fiscal 2018. Allocated overhead costs for fiscal 2019 increased $1.0 million compared to fiscal 2018 due to growth supporting our continued business expansion. The decrease in our professional services gross margin in fiscal 2019 was primarily driven by investments in our international professional services operations as we expanded our international presence.</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4" w:right="49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5"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4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2"/>
                <w:szCs w:val="12"/>
                <w:color w:val="auto"/>
              </w:rPr>
            </w:pPr>
          </w:p>
        </w:tc>
        <w:tc>
          <w:tcPr>
            <w:tcW w:w="1000" w:type="dxa"/>
            <w:vAlign w:val="bottom"/>
            <w:gridSpan w:val="2"/>
          </w:tcPr>
          <w:p>
            <w:pPr>
              <w:jc w:val="right"/>
              <w:ind w:right="109"/>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jc w:val="right"/>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9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(as a percentage of total revenues):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$20,954</w:t>
            </w:r>
          </w:p>
        </w:tc>
        <w:tc>
          <w:tcPr>
            <w:tcW w:w="400" w:type="dxa"/>
            <w:vAlign w:val="bottom"/>
          </w:tcPr>
          <w:p>
            <w:pPr>
              <w:spacing w:after="0"/>
              <w:rPr>
                <w:sz w:val="18"/>
                <w:szCs w:val="18"/>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36.0%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$31,278</w:t>
            </w:r>
          </w:p>
        </w:tc>
        <w:tc>
          <w:tcPr>
            <w:tcW w:w="40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4"/>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28.5</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22,230</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24.3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400" w:type="dxa"/>
            <w:vAlign w:val="bottom"/>
          </w:tcPr>
          <w:p>
            <w:pPr>
              <w:spacing w:after="0"/>
              <w:rPr>
                <w:sz w:val="19"/>
                <w:szCs w:val="19"/>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15.4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400" w:type="dxa"/>
            <w:vAlign w:val="bottom"/>
          </w:tcPr>
          <w:p>
            <w:pPr>
              <w:spacing w:after="0"/>
              <w:rPr>
                <w:sz w:val="19"/>
                <w:szCs w:val="19"/>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16.2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46,446</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79.9%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68,299</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Sales and marketing expenses increased $10.3 million for fiscal 2019 compared to fiscal 2018, primarily due to an increase of $6.3 million</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personnel costs resulting from an increase in headcount on the sales and marketing teams, a $1.7 million increase in sales-related travel costs, a</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$0.8 million increase in the use of third-party service providers to support our expanding sales and a $0.7 million increase in marketing costs, including</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direct costs of conference attendance and sponsorships. Our sales and marketing headcount grew from 110 at January 31, 2018 to 140 at January 31,</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2019. The increase in sales and marketing expenses also included a $0.8 million increase in allocated overhead costs due to growth supporting our</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continued business expansion.</w:t>
      </w:r>
    </w:p>
    <w:p>
      <w:pPr>
        <w:spacing w:after="0" w:line="20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3"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$5.7 million for fiscal 2019 compared to fiscal 2018, primarily due to an increase of $4.3 million in personnel costs, resulting from continued increases in headcount, a $0.5 million increase in the use of third-party contractors as we continued to invest in the nCino Bank Operating System, and a $0.9 million increase in allocated overhead costs due to growth supporting our continued business expansion. Our research and development headcount grew from 111 at January 31, 2018 to 153 at January 31, 2019.</w:t>
      </w:r>
    </w:p>
    <w:p>
      <w:pPr>
        <w:spacing w:after="0" w:line="17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3"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$5.9 million for fiscal 2019 compared to fiscal 2018, primarily due to an increase of $3.2 million in personnel costs, due to increases in headcount as we continue to scale our business, a $0.4 million increase in fees for professional services and a $0.1 million increase in travel and meeting expenses. Our general and administrative headcount grew from 45 at January 31, 2018 to 63 at January 31, 2019. Allocated overhead and other general and administrative costs increased $2.2 million, which consisted primarily of a $1.1 million increase in tax related fees and assessments, primarily due to an increase in estimated sales tax liability and an increase in insurance and occupancy costs.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60"/>
          </w:cols>
          <w:pgMar w:left="320" w:top="454" w:right="51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225" w:lineRule="exact"/>
        <w:rPr>
          <w:sz w:val="20"/>
          <w:szCs w:val="20"/>
          <w:color w:val="auto"/>
        </w:rPr>
      </w:pPr>
    </w:p>
    <w:p>
      <w:pPr>
        <w:ind w:left="160" w:right="200" w:firstLine="873"/>
        <w:spacing w:after="0" w:line="255" w:lineRule="auto"/>
        <w:rPr>
          <w:sz w:val="20"/>
          <w:szCs w:val="20"/>
          <w:color w:val="auto"/>
        </w:rPr>
      </w:pPr>
      <w:r>
        <w:rPr>
          <w:rFonts w:ascii="Times New Roman" w:cs="Times New Roman" w:eastAsia="Times New Roman" w:hAnsi="Times New Roman"/>
          <w:sz w:val="18"/>
          <w:szCs w:val="18"/>
          <w:color w:val="auto"/>
        </w:rPr>
        <w:t>The following table sets forth our unaudited quarterly statements of operations data for each of the periods presented. In management’s opinion, the data below have been prepared on the same basis as the audited financial statements included elsewhere in this prospectus and reflect all necessary adjustments, consisting only of normal recurring adjustments, necessary for a fair statement of this data. The results of historical periods are not necessarily indicative of the results to be expected for a full year or any future period. The following quarterly financial data should be read in conjunction with our audited financial statements and related notes included elsewhere in this prospectus.</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right"/>
              <w:ind w:right="260"/>
              <w:spacing w:after="0" w:line="116"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80" w:type="dxa"/>
            <w:vAlign w:val="bottom"/>
          </w:tcPr>
          <w:p>
            <w:pPr>
              <w:spacing w:after="0"/>
              <w:rPr>
                <w:sz w:val="10"/>
                <w:szCs w:val="10"/>
                <w:color w:val="auto"/>
              </w:rPr>
            </w:pPr>
          </w:p>
        </w:tc>
        <w:tc>
          <w:tcPr>
            <w:tcW w:w="840" w:type="dxa"/>
            <w:vAlign w:val="bottom"/>
            <w:gridSpan w:val="2"/>
          </w:tcPr>
          <w:p>
            <w:pPr>
              <w:jc w:val="right"/>
              <w:ind w:right="320"/>
              <w:spacing w:after="0" w:line="116" w:lineRule="exact"/>
              <w:rPr>
                <w:sz w:val="20"/>
                <w:szCs w:val="20"/>
                <w:color w:val="auto"/>
              </w:rPr>
            </w:pPr>
            <w:r>
              <w:rPr>
                <w:rFonts w:ascii="Times New Roman" w:cs="Times New Roman" w:eastAsia="Times New Roman" w:hAnsi="Times New Roman"/>
                <w:sz w:val="13"/>
                <w:szCs w:val="13"/>
                <w:b w:val="1"/>
                <w:bCs w:val="1"/>
                <w:color w:val="auto"/>
              </w:rPr>
              <w:t>July 31,</w:t>
            </w:r>
          </w:p>
        </w:tc>
        <w:tc>
          <w:tcPr>
            <w:tcW w:w="90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84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40"/>
              <w:spacing w:after="0" w:line="116" w:lineRule="exact"/>
              <w:rPr>
                <w:sz w:val="20"/>
                <w:szCs w:val="20"/>
                <w:color w:val="auto"/>
              </w:rPr>
            </w:pPr>
            <w:r>
              <w:rPr>
                <w:rFonts w:ascii="Times New Roman" w:cs="Times New Roman" w:eastAsia="Times New Roman" w:hAnsi="Times New Roman"/>
                <w:sz w:val="13"/>
                <w:szCs w:val="13"/>
                <w:b w:val="1"/>
                <w:bCs w:val="1"/>
                <w:color w:val="auto"/>
              </w:rPr>
              <w:t>July 31,</w:t>
            </w:r>
          </w:p>
        </w:tc>
        <w:tc>
          <w:tcPr>
            <w:tcW w:w="80" w:type="dxa"/>
            <w:vAlign w:val="bottom"/>
          </w:tcPr>
          <w:p>
            <w:pPr>
              <w:spacing w:after="0"/>
              <w:rPr>
                <w:sz w:val="10"/>
                <w:szCs w:val="10"/>
                <w:color w:val="auto"/>
              </w:rPr>
            </w:pPr>
          </w:p>
        </w:tc>
        <w:tc>
          <w:tcPr>
            <w:tcW w:w="84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60" w:type="dxa"/>
            <w:vAlign w:val="bottom"/>
          </w:tcPr>
          <w:p>
            <w:pPr>
              <w:spacing w:after="0"/>
              <w:rPr>
                <w:sz w:val="10"/>
                <w:szCs w:val="10"/>
                <w:color w:val="auto"/>
              </w:rPr>
            </w:pPr>
          </w:p>
        </w:tc>
        <w:tc>
          <w:tcPr>
            <w:tcW w:w="84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280"/>
              <w:spacing w:after="0" w:line="116"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80" w:type="dxa"/>
            <w:vAlign w:val="bottom"/>
          </w:tcPr>
          <w:p>
            <w:pPr>
              <w:spacing w:after="0"/>
              <w:rPr>
                <w:sz w:val="10"/>
                <w:szCs w:val="10"/>
                <w:color w:val="auto"/>
              </w:rPr>
            </w:pPr>
          </w:p>
        </w:tc>
        <w:tc>
          <w:tcPr>
            <w:tcW w:w="640" w:type="dxa"/>
            <w:vAlign w:val="bottom"/>
          </w:tcPr>
          <w:p>
            <w:pPr>
              <w:jc w:val="right"/>
              <w:ind w:right="49"/>
              <w:spacing w:after="0" w:line="116" w:lineRule="exact"/>
              <w:rPr>
                <w:sz w:val="20"/>
                <w:szCs w:val="20"/>
                <w:color w:val="auto"/>
              </w:rPr>
            </w:pPr>
            <w:r>
              <w:rPr>
                <w:rFonts w:ascii="Times New Roman" w:cs="Times New Roman" w:eastAsia="Times New Roman" w:hAnsi="Times New Roman"/>
                <w:sz w:val="13"/>
                <w:szCs w:val="13"/>
                <w:b w:val="1"/>
                <w:bCs w:val="1"/>
                <w:color w:val="auto"/>
              </w:rPr>
              <w:t>July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 and per share data)</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90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Revenues:</w:t>
            </w: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0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Subscription revenues</w:t>
            </w:r>
          </w:p>
        </w:tc>
        <w:tc>
          <w:tcPr>
            <w:tcW w:w="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13,375</w:t>
            </w:r>
          </w:p>
        </w:tc>
        <w:tc>
          <w:tcPr>
            <w:tcW w:w="160" w:type="dxa"/>
            <w:vAlign w:val="bottom"/>
          </w:tcPr>
          <w:p>
            <w:pPr>
              <w:spacing w:after="0"/>
              <w:rPr>
                <w:sz w:val="12"/>
                <w:szCs w:val="12"/>
                <w:color w:val="auto"/>
              </w:rPr>
            </w:pPr>
          </w:p>
        </w:tc>
        <w:tc>
          <w:tcPr>
            <w:tcW w:w="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15,901</w:t>
            </w:r>
          </w:p>
        </w:tc>
        <w:tc>
          <w:tcPr>
            <w:tcW w:w="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16,469</w:t>
            </w:r>
          </w:p>
        </w:tc>
        <w:tc>
          <w:tcPr>
            <w:tcW w:w="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18,713</w:t>
            </w:r>
          </w:p>
        </w:tc>
        <w:tc>
          <w:tcPr>
            <w:tcW w:w="1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21,032</w:t>
            </w:r>
          </w:p>
        </w:tc>
        <w:tc>
          <w:tcPr>
            <w:tcW w:w="1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23,110</w:t>
            </w:r>
          </w:p>
        </w:tc>
        <w:tc>
          <w:tcPr>
            <w:tcW w:w="120" w:type="dxa"/>
            <w:vAlign w:val="bottom"/>
          </w:tcPr>
          <w:p>
            <w:pPr>
              <w:spacing w:after="0"/>
              <w:rPr>
                <w:sz w:val="12"/>
                <w:szCs w:val="12"/>
                <w:color w:val="auto"/>
              </w:rPr>
            </w:pPr>
          </w:p>
        </w:tc>
        <w:tc>
          <w:tcPr>
            <w:tcW w:w="16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27,673</w:t>
            </w:r>
          </w:p>
        </w:tc>
        <w:tc>
          <w:tcPr>
            <w:tcW w:w="1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31,450</w:t>
            </w:r>
          </w:p>
        </w:tc>
        <w:tc>
          <w:tcPr>
            <w:tcW w:w="1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34,831</w:t>
            </w:r>
          </w:p>
        </w:tc>
        <w:tc>
          <w:tcPr>
            <w:tcW w:w="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39,351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00" w:type="dxa"/>
            <w:vAlign w:val="bottom"/>
            <w:shd w:val="clear" w:color="auto" w:fill="CCEEFF"/>
          </w:tcPr>
          <w:p>
            <w:pPr>
              <w:ind w:left="280"/>
              <w:spacing w:after="0" w:line="125" w:lineRule="exact"/>
              <w:rPr>
                <w:sz w:val="20"/>
                <w:szCs w:val="20"/>
                <w:color w:val="auto"/>
              </w:rPr>
            </w:pPr>
            <w:r>
              <w:rPr>
                <w:rFonts w:ascii="Times New Roman" w:cs="Times New Roman" w:eastAsia="Times New Roman" w:hAnsi="Times New Roman"/>
                <w:sz w:val="14"/>
                <w:szCs w:val="14"/>
                <w:color w:val="auto"/>
              </w:rPr>
              <w:t>Professional services</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5,689</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6,729</w:t>
            </w: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7,194</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7,464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8,804</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8,868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10,189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7,054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9,881</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9,414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900" w:type="dxa"/>
            <w:vAlign w:val="bottom"/>
          </w:tcPr>
          <w:p>
            <w:pPr>
              <w:ind w:left="560"/>
              <w:spacing w:after="0" w:line="154" w:lineRule="exact"/>
              <w:rPr>
                <w:sz w:val="20"/>
                <w:szCs w:val="20"/>
                <w:color w:val="auto"/>
              </w:rPr>
            </w:pPr>
            <w:r>
              <w:rPr>
                <w:rFonts w:ascii="Times New Roman" w:cs="Times New Roman" w:eastAsia="Times New Roman" w:hAnsi="Times New Roman"/>
                <w:sz w:val="14"/>
                <w:szCs w:val="14"/>
                <w:color w:val="auto"/>
              </w:rPr>
              <w:t>Total revenues</w:t>
            </w: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19,064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22,630</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23,663</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26,177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29,836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31,978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37,862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38,504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44,712</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48,765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Cost of revenues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00" w:type="dxa"/>
            <w:vAlign w:val="bottom"/>
          </w:tcPr>
          <w:p>
            <w:pPr>
              <w:ind w:left="280"/>
              <w:spacing w:after="0" w:line="125" w:lineRule="exact"/>
              <w:rPr>
                <w:sz w:val="20"/>
                <w:szCs w:val="20"/>
                <w:color w:val="auto"/>
              </w:rPr>
            </w:pPr>
            <w:r>
              <w:rPr>
                <w:rFonts w:ascii="Times New Roman" w:cs="Times New Roman" w:eastAsia="Times New Roman" w:hAnsi="Times New Roman"/>
                <w:sz w:val="14"/>
                <w:szCs w:val="14"/>
                <w:color w:val="auto"/>
              </w:rPr>
              <w:t>Cost of subscription</w:t>
            </w:r>
          </w:p>
        </w:tc>
        <w:tc>
          <w:tcPr>
            <w:tcW w:w="80" w:type="dxa"/>
            <w:vAlign w:val="bottom"/>
          </w:tcPr>
          <w:p>
            <w:pPr>
              <w:spacing w:after="0"/>
              <w:rPr>
                <w:sz w:val="10"/>
                <w:szCs w:val="10"/>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4,252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4,781</w:t>
            </w:r>
          </w:p>
        </w:tc>
        <w:tc>
          <w:tcPr>
            <w:tcW w:w="8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5,262</w:t>
            </w:r>
          </w:p>
        </w:tc>
        <w:tc>
          <w:tcPr>
            <w:tcW w:w="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5,700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6,502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7,083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8,243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9,234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10,099</w:t>
            </w:r>
          </w:p>
        </w:tc>
        <w:tc>
          <w:tcPr>
            <w:tcW w:w="8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11,920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00" w:type="dxa"/>
            <w:vAlign w:val="bottom"/>
            <w:shd w:val="clear" w:color="auto" w:fill="CCEEFF"/>
          </w:tcPr>
          <w:p>
            <w:pPr>
              <w:ind w:left="280"/>
              <w:spacing w:after="0" w:line="125" w:lineRule="exact"/>
              <w:rPr>
                <w:sz w:val="20"/>
                <w:szCs w:val="20"/>
                <w:color w:val="auto"/>
              </w:rPr>
            </w:pPr>
            <w:r>
              <w:rPr>
                <w:rFonts w:ascii="Times New Roman" w:cs="Times New Roman" w:eastAsia="Times New Roman" w:hAnsi="Times New Roman"/>
                <w:sz w:val="14"/>
                <w:szCs w:val="14"/>
                <w:color w:val="auto"/>
              </w:rPr>
              <w:t>Cost of professional</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5,867</w:t>
            </w:r>
          </w:p>
        </w:tc>
        <w:tc>
          <w:tcPr>
            <w:tcW w:w="20" w:type="dxa"/>
            <w:vAlign w:val="bottom"/>
            <w:vMerge w:val="restart"/>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6,267</w:t>
            </w:r>
          </w:p>
        </w:tc>
        <w:tc>
          <w:tcPr>
            <w:tcW w:w="18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6,948</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7,374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7,536</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7,687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8,646</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9,139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8,767</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10,667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services revenues</w:t>
            </w: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vMerge w:val="restart"/>
          </w:tcPr>
          <w:p>
            <w:pPr>
              <w:ind w:left="560"/>
              <w:spacing w:after="0" w:line="151" w:lineRule="exact"/>
              <w:rPr>
                <w:sz w:val="20"/>
                <w:szCs w:val="20"/>
                <w:color w:val="auto"/>
              </w:rPr>
            </w:pPr>
            <w:r>
              <w:rPr>
                <w:rFonts w:ascii="Times New Roman" w:cs="Times New Roman" w:eastAsia="Times New Roman" w:hAnsi="Times New Roman"/>
                <w:sz w:val="14"/>
                <w:szCs w:val="14"/>
                <w:color w:val="auto"/>
              </w:rPr>
              <w:t>Total cost of</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10,119</w:t>
            </w:r>
          </w:p>
        </w:tc>
        <w:tc>
          <w:tcPr>
            <w:tcW w:w="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11,048</w:t>
            </w:r>
          </w:p>
        </w:tc>
        <w:tc>
          <w:tcPr>
            <w:tcW w:w="1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12,210</w:t>
            </w:r>
          </w:p>
        </w:tc>
        <w:tc>
          <w:tcPr>
            <w:tcW w:w="80" w:type="dxa"/>
            <w:vAlign w:val="bottom"/>
          </w:tcPr>
          <w:p>
            <w:pPr>
              <w:spacing w:after="0"/>
              <w:rPr>
                <w:sz w:val="11"/>
                <w:szCs w:val="11"/>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13,074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14,038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14,770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16,889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18,373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18,866</w:t>
            </w:r>
          </w:p>
        </w:tc>
        <w:tc>
          <w:tcPr>
            <w:tcW w:w="80" w:type="dxa"/>
            <w:vAlign w:val="bottom"/>
          </w:tcPr>
          <w:p>
            <w:pPr>
              <w:spacing w:after="0"/>
              <w:rPr>
                <w:sz w:val="11"/>
                <w:szCs w:val="11"/>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22,587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9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8,945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11,582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11,453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13,103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15,798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17,208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20,973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20,131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25,846</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26,178</w:t>
            </w:r>
          </w:p>
        </w:tc>
        <w:tc>
          <w:tcPr>
            <w:tcW w:w="0" w:type="dxa"/>
            <w:vAlign w:val="bottom"/>
          </w:tcPr>
          <w:p>
            <w:pPr>
              <w:spacing w:after="0"/>
              <w:rPr>
                <w:sz w:val="1"/>
                <w:szCs w:val="1"/>
                <w:color w:val="auto"/>
              </w:rPr>
            </w:pPr>
          </w:p>
        </w:tc>
      </w:tr>
      <w:tr>
        <w:trPr>
          <w:trHeight w:val="154"/>
        </w:trPr>
        <w:tc>
          <w:tcPr>
            <w:tcW w:w="192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0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Sales and marketing</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5,833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7,909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7,844</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9,692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8,015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10,453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12,602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13,370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12,226</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15,626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00" w:type="dxa"/>
            <w:vAlign w:val="bottom"/>
          </w:tcPr>
          <w:p>
            <w:pPr>
              <w:ind w:left="280"/>
              <w:spacing w:after="0" w:line="125" w:lineRule="exact"/>
              <w:rPr>
                <w:sz w:val="20"/>
                <w:szCs w:val="20"/>
                <w:color w:val="auto"/>
              </w:rPr>
            </w:pPr>
            <w:r>
              <w:rPr>
                <w:rFonts w:ascii="Times New Roman" w:cs="Times New Roman" w:eastAsia="Times New Roman" w:hAnsi="Times New Roman"/>
                <w:sz w:val="14"/>
                <w:szCs w:val="14"/>
                <w:color w:val="auto"/>
              </w:rPr>
              <w:t>Research and</w:t>
            </w:r>
          </w:p>
        </w:tc>
        <w:tc>
          <w:tcPr>
            <w:tcW w:w="80" w:type="dxa"/>
            <w:vAlign w:val="bottom"/>
          </w:tcPr>
          <w:p>
            <w:pPr>
              <w:spacing w:after="0"/>
              <w:rPr>
                <w:sz w:val="10"/>
                <w:szCs w:val="10"/>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4,595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4,941</w:t>
            </w:r>
          </w:p>
        </w:tc>
        <w:tc>
          <w:tcPr>
            <w:tcW w:w="8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5,823</w:t>
            </w:r>
          </w:p>
        </w:tc>
        <w:tc>
          <w:tcPr>
            <w:tcW w:w="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6,871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7,366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8,272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9,534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10,132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10,965</w:t>
            </w:r>
          </w:p>
        </w:tc>
        <w:tc>
          <w:tcPr>
            <w:tcW w:w="8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15,292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development</w:t>
            </w: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00" w:type="dxa"/>
            <w:vAlign w:val="bottom"/>
            <w:shd w:val="clear" w:color="auto" w:fill="CCEEFF"/>
          </w:tcPr>
          <w:p>
            <w:pPr>
              <w:ind w:left="280"/>
              <w:spacing w:after="0" w:line="125" w:lineRule="exact"/>
              <w:rPr>
                <w:sz w:val="20"/>
                <w:szCs w:val="20"/>
                <w:color w:val="auto"/>
              </w:rPr>
            </w:pPr>
            <w:r>
              <w:rPr>
                <w:rFonts w:ascii="Times New Roman" w:cs="Times New Roman" w:eastAsia="Times New Roman" w:hAnsi="Times New Roman"/>
                <w:sz w:val="14"/>
                <w:szCs w:val="14"/>
                <w:color w:val="auto"/>
              </w:rPr>
              <w:t>General and</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w:t>
            </w:r>
          </w:p>
        </w:tc>
        <w:tc>
          <w:tcPr>
            <w:tcW w:w="20" w:type="dxa"/>
            <w:vAlign w:val="bottom"/>
            <w:vMerge w:val="restart"/>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4,217</w:t>
            </w:r>
          </w:p>
        </w:tc>
        <w:tc>
          <w:tcPr>
            <w:tcW w:w="18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2,806</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4,846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3,909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6,430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5,557</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6,640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6,926</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10,953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administrative</w:t>
            </w: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vMerge w:val="restart"/>
          </w:tcPr>
          <w:p>
            <w:pPr>
              <w:ind w:left="560"/>
              <w:spacing w:after="0" w:line="151" w:lineRule="exact"/>
              <w:rPr>
                <w:sz w:val="20"/>
                <w:szCs w:val="20"/>
                <w:color w:val="auto"/>
              </w:rPr>
            </w:pPr>
            <w:r>
              <w:rPr>
                <w:rFonts w:ascii="Times New Roman" w:cs="Times New Roman" w:eastAsia="Times New Roman" w:hAnsi="Times New Roman"/>
                <w:sz w:val="14"/>
                <w:szCs w:val="14"/>
                <w:color w:val="auto"/>
              </w:rPr>
              <w:t>Total operating</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13,350</w:t>
            </w:r>
          </w:p>
        </w:tc>
        <w:tc>
          <w:tcPr>
            <w:tcW w:w="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17,067</w:t>
            </w:r>
          </w:p>
        </w:tc>
        <w:tc>
          <w:tcPr>
            <w:tcW w:w="1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16,473</w:t>
            </w:r>
          </w:p>
        </w:tc>
        <w:tc>
          <w:tcPr>
            <w:tcW w:w="80" w:type="dxa"/>
            <w:vAlign w:val="bottom"/>
          </w:tcPr>
          <w:p>
            <w:pPr>
              <w:spacing w:after="0"/>
              <w:rPr>
                <w:sz w:val="11"/>
                <w:szCs w:val="11"/>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21,409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19,290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25,155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27,693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30,142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30,117</w:t>
            </w:r>
          </w:p>
        </w:tc>
        <w:tc>
          <w:tcPr>
            <w:tcW w:w="80" w:type="dxa"/>
            <w:vAlign w:val="bottom"/>
          </w:tcPr>
          <w:p>
            <w:pPr>
              <w:spacing w:after="0"/>
              <w:rPr>
                <w:sz w:val="11"/>
                <w:szCs w:val="11"/>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41,871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expenses</w:t>
            </w: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9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Loss from operations</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(4,405)</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(5,485)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(5,020)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(8,306)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(3,492)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(7,947)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(6,720)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(10,011)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(4,271)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(15,693)</w:t>
            </w:r>
          </w:p>
        </w:tc>
        <w:tc>
          <w:tcPr>
            <w:tcW w:w="0" w:type="dxa"/>
            <w:vAlign w:val="bottom"/>
          </w:tcPr>
          <w:p>
            <w:pPr>
              <w:spacing w:after="0"/>
              <w:rPr>
                <w:sz w:val="1"/>
                <w:szCs w:val="1"/>
                <w:color w:val="auto"/>
              </w:rPr>
            </w:pPr>
          </w:p>
        </w:tc>
      </w:tr>
      <w:tr>
        <w:trPr>
          <w:trHeight w:val="131"/>
        </w:trPr>
        <w:tc>
          <w:tcPr>
            <w:tcW w:w="192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color w:val="auto"/>
              </w:rPr>
              <w:t>Non-operating income</w:t>
            </w: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0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255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300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318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156</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0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2"/>
                <w:szCs w:val="12"/>
                <w:color w:val="auto"/>
              </w:rPr>
            </w:pPr>
          </w:p>
        </w:tc>
        <w:tc>
          <w:tcPr>
            <w:tcW w:w="82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(222)</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(109)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(618)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690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Loss before income tax</w:t>
            </w:r>
          </w:p>
        </w:tc>
        <w:tc>
          <w:tcPr>
            <w:tcW w:w="8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(4,191)</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(5,279)</w:t>
            </w: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(4,912)</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(7,730)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(3,283)</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(8,300)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(5,931)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(9,635)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(4,635)</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(14,521)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0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9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(4,251)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(5,324)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(4,926)</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(7,805)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(3,419)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(8,502)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(6,089)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(9,725)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(4,832)</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(14,724)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0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Net loss attributable to</w:t>
            </w:r>
          </w:p>
        </w:tc>
        <w:tc>
          <w:tcPr>
            <w:tcW w:w="80" w:type="dxa"/>
            <w:vAlign w:val="bottom"/>
          </w:tcPr>
          <w:p>
            <w:pPr>
              <w:spacing w:after="0"/>
              <w:rPr>
                <w:sz w:val="10"/>
                <w:szCs w:val="10"/>
                <w:color w:val="auto"/>
              </w:rPr>
            </w:pPr>
          </w:p>
        </w:tc>
        <w:tc>
          <w:tcPr>
            <w:tcW w:w="8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0"/>
                <w:szCs w:val="10"/>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Adjustment attributable to</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8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vMerge w:val="restart"/>
          </w:tcPr>
          <w:p>
            <w:pPr>
              <w:ind w:left="280"/>
              <w:spacing w:after="0" w:line="151" w:lineRule="exact"/>
              <w:rPr>
                <w:sz w:val="20"/>
                <w:szCs w:val="20"/>
                <w:color w:val="auto"/>
              </w:rPr>
            </w:pPr>
            <w:r>
              <w:rPr>
                <w:rFonts w:ascii="Times New Roman" w:cs="Times New Roman" w:eastAsia="Times New Roman" w:hAnsi="Times New Roman"/>
                <w:sz w:val="14"/>
                <w:szCs w:val="14"/>
                <w:color w:val="auto"/>
              </w:rPr>
              <w:t>Net loss attributable to</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(4,251)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(5,324)</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(4,926)</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(7,805)</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(3,419)</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(8,502)</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(6,029)</w:t>
            </w:r>
          </w:p>
        </w:tc>
        <w:tc>
          <w:tcPr>
            <w:tcW w:w="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(9,644)</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(4,769)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(14,646)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nCino, Inc.</w:t>
            </w:r>
          </w:p>
        </w:tc>
        <w:tc>
          <w:tcPr>
            <w:tcW w:w="8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9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Net loss per share attributable</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 nCino, Inc.:</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0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Basic and diluted</w:t>
            </w:r>
          </w:p>
        </w:tc>
        <w:tc>
          <w:tcPr>
            <w:tcW w:w="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(0.06)</w:t>
            </w:r>
          </w:p>
        </w:tc>
        <w:tc>
          <w:tcPr>
            <w:tcW w:w="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(0.07)</w:t>
            </w:r>
          </w:p>
        </w:tc>
        <w:tc>
          <w:tcPr>
            <w:tcW w:w="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(0.07)</w:t>
            </w:r>
          </w:p>
        </w:tc>
        <w:tc>
          <w:tcPr>
            <w:tcW w:w="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(0.11)</w:t>
            </w:r>
          </w:p>
        </w:tc>
        <w:tc>
          <w:tcPr>
            <w:tcW w:w="1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(0.05)</w:t>
            </w:r>
          </w:p>
        </w:tc>
        <w:tc>
          <w:tcPr>
            <w:tcW w:w="1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(0.11)</w:t>
            </w:r>
          </w:p>
        </w:tc>
        <w:tc>
          <w:tcPr>
            <w:tcW w:w="16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(0.08)</w:t>
            </w:r>
          </w:p>
        </w:tc>
        <w:tc>
          <w:tcPr>
            <w:tcW w:w="1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(0.12)</w:t>
            </w:r>
          </w:p>
        </w:tc>
        <w:tc>
          <w:tcPr>
            <w:tcW w:w="1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(0.06)</w:t>
            </w:r>
          </w:p>
        </w:tc>
        <w:tc>
          <w:tcPr>
            <w:tcW w:w="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9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Weighted average number of</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shares outstanding:</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0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Basic and diluted</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w w:val="98"/>
              </w:rPr>
              <w:t>73,124,338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73,708,415</w:t>
            </w: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w w:val="98"/>
              </w:rPr>
              <w:t>75,647,526</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73,124,338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98"/>
              </w:rPr>
              <w:t>75,986,517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98"/>
              </w:rPr>
              <w:t>76,420,098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98"/>
              </w:rPr>
              <w:t>79,382,419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98"/>
              </w:rPr>
              <w:t>81,402,156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w w:val="98"/>
              </w:rPr>
              <w:t>81,560,762</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w w:val="98"/>
              </w:rPr>
              <w:t>84,629,777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80"/>
          </w:cols>
          <w:pgMar w:left="320" w:top="454" w:right="49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29"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60" w:type="dxa"/>
            <w:vAlign w:val="bottom"/>
            <w:gridSpan w:val="2"/>
          </w:tcPr>
          <w:p>
            <w:pPr>
              <w:jc w:val="right"/>
              <w:ind w:right="249"/>
              <w:spacing w:after="0" w:line="116"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820" w:type="dxa"/>
            <w:vAlign w:val="bottom"/>
            <w:gridSpan w:val="2"/>
          </w:tcPr>
          <w:p>
            <w:pPr>
              <w:jc w:val="right"/>
              <w:ind w:right="274"/>
              <w:spacing w:after="0" w:line="116" w:lineRule="exact"/>
              <w:rPr>
                <w:sz w:val="20"/>
                <w:szCs w:val="20"/>
                <w:color w:val="auto"/>
              </w:rPr>
            </w:pPr>
            <w:r>
              <w:rPr>
                <w:rFonts w:ascii="Times New Roman" w:cs="Times New Roman" w:eastAsia="Times New Roman" w:hAnsi="Times New Roman"/>
                <w:sz w:val="13"/>
                <w:szCs w:val="13"/>
                <w:b w:val="1"/>
                <w:bCs w:val="1"/>
                <w:color w:val="auto"/>
              </w:rPr>
              <w:t>July 31,</w:t>
            </w:r>
          </w:p>
        </w:tc>
        <w:tc>
          <w:tcPr>
            <w:tcW w:w="1040" w:type="dxa"/>
            <w:vAlign w:val="bottom"/>
            <w:gridSpan w:val="2"/>
          </w:tcPr>
          <w:p>
            <w:pPr>
              <w:jc w:val="right"/>
              <w:ind w:right="269"/>
              <w:spacing w:after="0" w:line="116"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040" w:type="dxa"/>
            <w:vAlign w:val="bottom"/>
            <w:gridSpan w:val="2"/>
          </w:tcPr>
          <w:p>
            <w:pPr>
              <w:jc w:val="right"/>
              <w:ind w:right="249"/>
              <w:spacing w:after="0" w:line="116"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60" w:type="dxa"/>
            <w:vAlign w:val="bottom"/>
            <w:gridSpan w:val="2"/>
          </w:tcPr>
          <w:p>
            <w:pPr>
              <w:jc w:val="right"/>
              <w:ind w:right="249"/>
              <w:spacing w:after="0" w:line="116"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820" w:type="dxa"/>
            <w:vAlign w:val="bottom"/>
            <w:gridSpan w:val="2"/>
          </w:tcPr>
          <w:p>
            <w:pPr>
              <w:jc w:val="right"/>
              <w:ind w:right="269"/>
              <w:spacing w:after="0" w:line="116" w:lineRule="exact"/>
              <w:rPr>
                <w:sz w:val="20"/>
                <w:szCs w:val="20"/>
                <w:color w:val="auto"/>
              </w:rPr>
            </w:pPr>
            <w:r>
              <w:rPr>
                <w:rFonts w:ascii="Times New Roman" w:cs="Times New Roman" w:eastAsia="Times New Roman" w:hAnsi="Times New Roman"/>
                <w:sz w:val="13"/>
                <w:szCs w:val="13"/>
                <w:b w:val="1"/>
                <w:bCs w:val="1"/>
                <w:color w:val="auto"/>
              </w:rPr>
              <w:t>July 31,</w:t>
            </w:r>
          </w:p>
        </w:tc>
        <w:tc>
          <w:tcPr>
            <w:tcW w:w="1060" w:type="dxa"/>
            <w:vAlign w:val="bottom"/>
            <w:gridSpan w:val="2"/>
          </w:tcPr>
          <w:p>
            <w:pPr>
              <w:jc w:val="right"/>
              <w:ind w:right="269"/>
              <w:spacing w:after="0" w:line="116"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060" w:type="dxa"/>
            <w:vAlign w:val="bottom"/>
            <w:gridSpan w:val="2"/>
          </w:tcPr>
          <w:p>
            <w:pPr>
              <w:jc w:val="right"/>
              <w:ind w:right="269"/>
              <w:spacing w:after="0" w:line="116"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20" w:type="dxa"/>
            <w:vAlign w:val="bottom"/>
            <w:gridSpan w:val="2"/>
          </w:tcPr>
          <w:p>
            <w:pPr>
              <w:jc w:val="right"/>
              <w:ind w:right="209"/>
              <w:spacing w:after="0" w:line="116"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July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2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Revenues:</w:t>
            </w: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2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Subscription revenues</w:t>
            </w:r>
          </w:p>
        </w:tc>
        <w:tc>
          <w:tcPr>
            <w:tcW w:w="860" w:type="dxa"/>
            <w:vAlign w:val="bottom"/>
            <w:gridSpan w:val="2"/>
          </w:tcPr>
          <w:p>
            <w:pPr>
              <w:jc w:val="right"/>
              <w:ind w:right="129"/>
              <w:spacing w:after="0" w:line="147" w:lineRule="exact"/>
              <w:rPr>
                <w:sz w:val="20"/>
                <w:szCs w:val="20"/>
                <w:color w:val="auto"/>
              </w:rPr>
            </w:pPr>
            <w:r>
              <w:rPr>
                <w:rFonts w:ascii="Times New Roman" w:cs="Times New Roman" w:eastAsia="Times New Roman" w:hAnsi="Times New Roman"/>
                <w:sz w:val="14"/>
                <w:szCs w:val="14"/>
                <w:color w:val="auto"/>
              </w:rPr>
              <w:t>70.2 %</w:t>
            </w:r>
          </w:p>
        </w:tc>
        <w:tc>
          <w:tcPr>
            <w:tcW w:w="820" w:type="dxa"/>
            <w:vAlign w:val="bottom"/>
            <w:gridSpan w:val="2"/>
          </w:tcPr>
          <w:p>
            <w:pPr>
              <w:jc w:val="right"/>
              <w:ind w:right="154"/>
              <w:spacing w:after="0" w:line="147" w:lineRule="exact"/>
              <w:rPr>
                <w:sz w:val="20"/>
                <w:szCs w:val="20"/>
                <w:color w:val="auto"/>
              </w:rPr>
            </w:pPr>
            <w:r>
              <w:rPr>
                <w:rFonts w:ascii="Times New Roman" w:cs="Times New Roman" w:eastAsia="Times New Roman" w:hAnsi="Times New Roman"/>
                <w:sz w:val="14"/>
                <w:szCs w:val="14"/>
                <w:color w:val="auto"/>
              </w:rPr>
              <w:t>70.3 %</w:t>
            </w:r>
          </w:p>
        </w:tc>
        <w:tc>
          <w:tcPr>
            <w:tcW w:w="1040" w:type="dxa"/>
            <w:vAlign w:val="bottom"/>
            <w:gridSpan w:val="2"/>
          </w:tcPr>
          <w:p>
            <w:pPr>
              <w:jc w:val="right"/>
              <w:ind w:right="129"/>
              <w:spacing w:after="0" w:line="147" w:lineRule="exact"/>
              <w:rPr>
                <w:sz w:val="20"/>
                <w:szCs w:val="20"/>
                <w:color w:val="auto"/>
              </w:rPr>
            </w:pPr>
            <w:r>
              <w:rPr>
                <w:rFonts w:ascii="Times New Roman" w:cs="Times New Roman" w:eastAsia="Times New Roman" w:hAnsi="Times New Roman"/>
                <w:sz w:val="14"/>
                <w:szCs w:val="14"/>
                <w:color w:val="auto"/>
              </w:rPr>
              <w:t>69.6 %</w:t>
            </w:r>
          </w:p>
        </w:tc>
        <w:tc>
          <w:tcPr>
            <w:tcW w:w="1040" w:type="dxa"/>
            <w:vAlign w:val="bottom"/>
            <w:gridSpan w:val="2"/>
          </w:tcPr>
          <w:p>
            <w:pPr>
              <w:jc w:val="right"/>
              <w:ind w:right="129"/>
              <w:spacing w:after="0" w:line="147" w:lineRule="exact"/>
              <w:rPr>
                <w:sz w:val="20"/>
                <w:szCs w:val="20"/>
                <w:color w:val="auto"/>
              </w:rPr>
            </w:pPr>
            <w:r>
              <w:rPr>
                <w:rFonts w:ascii="Times New Roman" w:cs="Times New Roman" w:eastAsia="Times New Roman" w:hAnsi="Times New Roman"/>
                <w:sz w:val="14"/>
                <w:szCs w:val="14"/>
                <w:color w:val="auto"/>
              </w:rPr>
              <w:t>71.5 %</w:t>
            </w:r>
          </w:p>
        </w:tc>
        <w:tc>
          <w:tcPr>
            <w:tcW w:w="860" w:type="dxa"/>
            <w:vAlign w:val="bottom"/>
            <w:gridSpan w:val="2"/>
          </w:tcPr>
          <w:p>
            <w:pPr>
              <w:jc w:val="right"/>
              <w:ind w:right="129"/>
              <w:spacing w:after="0" w:line="147" w:lineRule="exact"/>
              <w:rPr>
                <w:sz w:val="20"/>
                <w:szCs w:val="20"/>
                <w:color w:val="auto"/>
              </w:rPr>
            </w:pPr>
            <w:r>
              <w:rPr>
                <w:rFonts w:ascii="Times New Roman" w:cs="Times New Roman" w:eastAsia="Times New Roman" w:hAnsi="Times New Roman"/>
                <w:sz w:val="14"/>
                <w:szCs w:val="14"/>
                <w:color w:val="auto"/>
              </w:rPr>
              <w:t>70.5 %</w:t>
            </w:r>
          </w:p>
        </w:tc>
        <w:tc>
          <w:tcPr>
            <w:tcW w:w="820" w:type="dxa"/>
            <w:vAlign w:val="bottom"/>
            <w:gridSpan w:val="2"/>
          </w:tcPr>
          <w:p>
            <w:pPr>
              <w:jc w:val="right"/>
              <w:ind w:right="149"/>
              <w:spacing w:after="0" w:line="147" w:lineRule="exact"/>
              <w:rPr>
                <w:sz w:val="20"/>
                <w:szCs w:val="20"/>
                <w:color w:val="auto"/>
              </w:rPr>
            </w:pPr>
            <w:r>
              <w:rPr>
                <w:rFonts w:ascii="Times New Roman" w:cs="Times New Roman" w:eastAsia="Times New Roman" w:hAnsi="Times New Roman"/>
                <w:sz w:val="14"/>
                <w:szCs w:val="14"/>
                <w:color w:val="auto"/>
              </w:rPr>
              <w:t>72.3 %</w:t>
            </w:r>
          </w:p>
        </w:tc>
        <w:tc>
          <w:tcPr>
            <w:tcW w:w="1060" w:type="dxa"/>
            <w:vAlign w:val="bottom"/>
            <w:gridSpan w:val="2"/>
          </w:tcPr>
          <w:p>
            <w:pPr>
              <w:jc w:val="right"/>
              <w:ind w:right="149"/>
              <w:spacing w:after="0" w:line="147" w:lineRule="exact"/>
              <w:rPr>
                <w:sz w:val="20"/>
                <w:szCs w:val="20"/>
                <w:color w:val="auto"/>
              </w:rPr>
            </w:pPr>
            <w:r>
              <w:rPr>
                <w:rFonts w:ascii="Times New Roman" w:cs="Times New Roman" w:eastAsia="Times New Roman" w:hAnsi="Times New Roman"/>
                <w:sz w:val="14"/>
                <w:szCs w:val="14"/>
                <w:color w:val="auto"/>
              </w:rPr>
              <w:t>73.1 %</w:t>
            </w:r>
          </w:p>
        </w:tc>
        <w:tc>
          <w:tcPr>
            <w:tcW w:w="1060" w:type="dxa"/>
            <w:vAlign w:val="bottom"/>
            <w:gridSpan w:val="2"/>
          </w:tcPr>
          <w:p>
            <w:pPr>
              <w:jc w:val="right"/>
              <w:ind w:right="149"/>
              <w:spacing w:after="0" w:line="147" w:lineRule="exact"/>
              <w:rPr>
                <w:sz w:val="20"/>
                <w:szCs w:val="20"/>
                <w:color w:val="auto"/>
              </w:rPr>
            </w:pPr>
            <w:r>
              <w:rPr>
                <w:rFonts w:ascii="Times New Roman" w:cs="Times New Roman" w:eastAsia="Times New Roman" w:hAnsi="Times New Roman"/>
                <w:sz w:val="14"/>
                <w:szCs w:val="14"/>
                <w:color w:val="auto"/>
              </w:rPr>
              <w:t>81.7 %</w:t>
            </w:r>
          </w:p>
        </w:tc>
        <w:tc>
          <w:tcPr>
            <w:tcW w:w="820" w:type="dxa"/>
            <w:vAlign w:val="bottom"/>
            <w:gridSpan w:val="2"/>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rPr>
              <w:t>77.9 %</w:t>
            </w:r>
          </w:p>
        </w:tc>
        <w:tc>
          <w:tcPr>
            <w:tcW w:w="700" w:type="dxa"/>
            <w:vAlign w:val="bottom"/>
            <w:gridSpan w:val="2"/>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80.7 %</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20" w:type="dxa"/>
            <w:vAlign w:val="bottom"/>
            <w:shd w:val="clear" w:color="auto" w:fill="CCEEFF"/>
          </w:tcPr>
          <w:p>
            <w:pPr>
              <w:ind w:left="280"/>
              <w:spacing w:after="0" w:line="125" w:lineRule="exact"/>
              <w:rPr>
                <w:sz w:val="20"/>
                <w:szCs w:val="20"/>
                <w:color w:val="auto"/>
              </w:rPr>
            </w:pPr>
            <w:r>
              <w:rPr>
                <w:rFonts w:ascii="Times New Roman" w:cs="Times New Roman" w:eastAsia="Times New Roman" w:hAnsi="Times New Roman"/>
                <w:sz w:val="14"/>
                <w:szCs w:val="14"/>
                <w:color w:val="auto"/>
              </w:rPr>
              <w:t>Professional services</w:t>
            </w:r>
          </w:p>
        </w:tc>
        <w:tc>
          <w:tcPr>
            <w:tcW w:w="860" w:type="dxa"/>
            <w:vAlign w:val="bottom"/>
            <w:gridSpan w:val="2"/>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29.8</w:t>
            </w:r>
          </w:p>
        </w:tc>
        <w:tc>
          <w:tcPr>
            <w:tcW w:w="820" w:type="dxa"/>
            <w:vAlign w:val="bottom"/>
            <w:gridSpan w:val="2"/>
            <w:vMerge w:val="restart"/>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color w:val="auto"/>
              </w:rPr>
              <w:t>29.7</w:t>
            </w:r>
          </w:p>
        </w:tc>
        <w:tc>
          <w:tcPr>
            <w:tcW w:w="1040" w:type="dxa"/>
            <w:vAlign w:val="bottom"/>
            <w:gridSpan w:val="2"/>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30.4</w:t>
            </w:r>
          </w:p>
        </w:tc>
        <w:tc>
          <w:tcPr>
            <w:tcW w:w="1040" w:type="dxa"/>
            <w:vAlign w:val="bottom"/>
            <w:gridSpan w:val="2"/>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28.5</w:t>
            </w:r>
          </w:p>
        </w:tc>
        <w:tc>
          <w:tcPr>
            <w:tcW w:w="860" w:type="dxa"/>
            <w:vAlign w:val="bottom"/>
            <w:gridSpan w:val="2"/>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29.5</w:t>
            </w:r>
          </w:p>
        </w:tc>
        <w:tc>
          <w:tcPr>
            <w:tcW w:w="820" w:type="dxa"/>
            <w:vAlign w:val="bottom"/>
            <w:gridSpan w:val="2"/>
            <w:vMerge w:val="restart"/>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27.7</w:t>
            </w:r>
          </w:p>
        </w:tc>
        <w:tc>
          <w:tcPr>
            <w:tcW w:w="1060" w:type="dxa"/>
            <w:vAlign w:val="bottom"/>
            <w:gridSpan w:val="2"/>
            <w:vMerge w:val="restart"/>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26.9</w:t>
            </w:r>
          </w:p>
        </w:tc>
        <w:tc>
          <w:tcPr>
            <w:tcW w:w="1060" w:type="dxa"/>
            <w:vAlign w:val="bottom"/>
            <w:gridSpan w:val="2"/>
            <w:vMerge w:val="restart"/>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18.3</w:t>
            </w:r>
          </w:p>
        </w:tc>
        <w:tc>
          <w:tcPr>
            <w:tcW w:w="820" w:type="dxa"/>
            <w:vAlign w:val="bottom"/>
            <w:gridSpan w:val="2"/>
            <w:vMerge w:val="restart"/>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22.1</w:t>
            </w:r>
          </w:p>
        </w:tc>
        <w:tc>
          <w:tcPr>
            <w:tcW w:w="700" w:type="dxa"/>
            <w:vAlign w:val="bottom"/>
            <w:gridSpan w:val="2"/>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revenues</w:t>
            </w:r>
          </w:p>
        </w:tc>
        <w:tc>
          <w:tcPr>
            <w:tcW w:w="8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820" w:type="dxa"/>
            <w:vAlign w:val="bottom"/>
          </w:tcPr>
          <w:p>
            <w:pPr>
              <w:ind w:left="560"/>
              <w:spacing w:after="0" w:line="154" w:lineRule="exact"/>
              <w:rPr>
                <w:sz w:val="20"/>
                <w:szCs w:val="20"/>
                <w:color w:val="auto"/>
              </w:rPr>
            </w:pPr>
            <w:r>
              <w:rPr>
                <w:rFonts w:ascii="Times New Roman" w:cs="Times New Roman" w:eastAsia="Times New Roman" w:hAnsi="Times New Roman"/>
                <w:sz w:val="14"/>
                <w:szCs w:val="14"/>
                <w:color w:val="auto"/>
              </w:rPr>
              <w:t>Total revenues</w:t>
            </w:r>
          </w:p>
        </w:tc>
        <w:tc>
          <w:tcPr>
            <w:tcW w:w="5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100.0</w:t>
            </w:r>
          </w:p>
        </w:tc>
        <w:tc>
          <w:tcPr>
            <w:tcW w:w="320" w:type="dxa"/>
            <w:vAlign w:val="bottom"/>
          </w:tcPr>
          <w:p>
            <w:pPr>
              <w:jc w:val="right"/>
              <w:ind w:right="129"/>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100.0</w:t>
            </w:r>
          </w:p>
        </w:tc>
        <w:tc>
          <w:tcPr>
            <w:tcW w:w="3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73"/>
              </w:rPr>
              <w:t>%</w:t>
            </w:r>
          </w:p>
        </w:tc>
        <w:tc>
          <w:tcPr>
            <w:tcW w:w="7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100.0</w:t>
            </w:r>
          </w:p>
        </w:tc>
        <w:tc>
          <w:tcPr>
            <w:tcW w:w="320" w:type="dxa"/>
            <w:vAlign w:val="bottom"/>
          </w:tcPr>
          <w:p>
            <w:pPr>
              <w:jc w:val="right"/>
              <w:ind w:right="129"/>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100.0</w:t>
            </w:r>
          </w:p>
        </w:tc>
        <w:tc>
          <w:tcPr>
            <w:tcW w:w="320" w:type="dxa"/>
            <w:vAlign w:val="bottom"/>
          </w:tcPr>
          <w:p>
            <w:pPr>
              <w:jc w:val="right"/>
              <w:ind w:right="129"/>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100.0</w:t>
            </w:r>
          </w:p>
        </w:tc>
        <w:tc>
          <w:tcPr>
            <w:tcW w:w="320" w:type="dxa"/>
            <w:vAlign w:val="bottom"/>
          </w:tcPr>
          <w:p>
            <w:pPr>
              <w:jc w:val="right"/>
              <w:ind w:right="129"/>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100.0</w:t>
            </w:r>
          </w:p>
        </w:tc>
        <w:tc>
          <w:tcPr>
            <w:tcW w:w="340" w:type="dxa"/>
            <w:vAlign w:val="bottom"/>
          </w:tcPr>
          <w:p>
            <w:pPr>
              <w:jc w:val="right"/>
              <w:ind w:right="149"/>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100.0</w:t>
            </w:r>
          </w:p>
        </w:tc>
        <w:tc>
          <w:tcPr>
            <w:tcW w:w="340" w:type="dxa"/>
            <w:vAlign w:val="bottom"/>
          </w:tcPr>
          <w:p>
            <w:pPr>
              <w:jc w:val="right"/>
              <w:ind w:right="149"/>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100.0</w:t>
            </w:r>
          </w:p>
        </w:tc>
        <w:tc>
          <w:tcPr>
            <w:tcW w:w="340" w:type="dxa"/>
            <w:vAlign w:val="bottom"/>
          </w:tcPr>
          <w:p>
            <w:pPr>
              <w:jc w:val="right"/>
              <w:ind w:right="149"/>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100.0</w:t>
            </w:r>
          </w:p>
        </w:tc>
        <w:tc>
          <w:tcPr>
            <w:tcW w:w="280" w:type="dxa"/>
            <w:vAlign w:val="bottom"/>
          </w:tcPr>
          <w:p>
            <w:pPr>
              <w:jc w:val="right"/>
              <w:ind w:right="89"/>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jc w:val="right"/>
              <w:ind w:right="29"/>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2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Cost of revenues (percentage</w:t>
            </w:r>
          </w:p>
        </w:tc>
        <w:tc>
          <w:tcPr>
            <w:tcW w:w="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shown in comparison to</w:t>
            </w: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related revenues):</w:t>
            </w: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20" w:type="dxa"/>
            <w:vAlign w:val="bottom"/>
          </w:tcPr>
          <w:p>
            <w:pPr>
              <w:ind w:left="280"/>
              <w:spacing w:after="0" w:line="125" w:lineRule="exact"/>
              <w:rPr>
                <w:sz w:val="20"/>
                <w:szCs w:val="20"/>
                <w:color w:val="auto"/>
              </w:rPr>
            </w:pPr>
            <w:r>
              <w:rPr>
                <w:rFonts w:ascii="Times New Roman" w:cs="Times New Roman" w:eastAsia="Times New Roman" w:hAnsi="Times New Roman"/>
                <w:sz w:val="14"/>
                <w:szCs w:val="14"/>
                <w:color w:val="auto"/>
              </w:rPr>
              <w:t>Cost of subscription</w:t>
            </w:r>
          </w:p>
        </w:tc>
        <w:tc>
          <w:tcPr>
            <w:tcW w:w="860" w:type="dxa"/>
            <w:vAlign w:val="bottom"/>
            <w:gridSpan w:val="2"/>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31.8</w:t>
            </w:r>
          </w:p>
        </w:tc>
        <w:tc>
          <w:tcPr>
            <w:tcW w:w="820" w:type="dxa"/>
            <w:vAlign w:val="bottom"/>
            <w:gridSpan w:val="2"/>
            <w:vMerge w:val="restart"/>
          </w:tcPr>
          <w:p>
            <w:pPr>
              <w:jc w:val="right"/>
              <w:ind w:right="254"/>
              <w:spacing w:after="0"/>
              <w:rPr>
                <w:sz w:val="20"/>
                <w:szCs w:val="20"/>
                <w:color w:val="auto"/>
              </w:rPr>
            </w:pPr>
            <w:r>
              <w:rPr>
                <w:rFonts w:ascii="Times New Roman" w:cs="Times New Roman" w:eastAsia="Times New Roman" w:hAnsi="Times New Roman"/>
                <w:sz w:val="14"/>
                <w:szCs w:val="14"/>
                <w:color w:val="auto"/>
              </w:rPr>
              <w:t>30.1</w:t>
            </w:r>
          </w:p>
        </w:tc>
        <w:tc>
          <w:tcPr>
            <w:tcW w:w="1040" w:type="dxa"/>
            <w:vAlign w:val="bottom"/>
            <w:gridSpan w:val="2"/>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32.0</w:t>
            </w:r>
          </w:p>
        </w:tc>
        <w:tc>
          <w:tcPr>
            <w:tcW w:w="1040" w:type="dxa"/>
            <w:vAlign w:val="bottom"/>
            <w:gridSpan w:val="2"/>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30.5</w:t>
            </w:r>
          </w:p>
        </w:tc>
        <w:tc>
          <w:tcPr>
            <w:tcW w:w="860" w:type="dxa"/>
            <w:vAlign w:val="bottom"/>
            <w:gridSpan w:val="2"/>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30.9</w:t>
            </w:r>
          </w:p>
        </w:tc>
        <w:tc>
          <w:tcPr>
            <w:tcW w:w="820" w:type="dxa"/>
            <w:vAlign w:val="bottom"/>
            <w:gridSpan w:val="2"/>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30.6</w:t>
            </w:r>
          </w:p>
        </w:tc>
        <w:tc>
          <w:tcPr>
            <w:tcW w:w="1060" w:type="dxa"/>
            <w:vAlign w:val="bottom"/>
            <w:gridSpan w:val="2"/>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29.8</w:t>
            </w:r>
          </w:p>
        </w:tc>
        <w:tc>
          <w:tcPr>
            <w:tcW w:w="1060" w:type="dxa"/>
            <w:vAlign w:val="bottom"/>
            <w:gridSpan w:val="2"/>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29.4</w:t>
            </w:r>
          </w:p>
        </w:tc>
        <w:tc>
          <w:tcPr>
            <w:tcW w:w="820" w:type="dxa"/>
            <w:vAlign w:val="bottom"/>
            <w:gridSpan w:val="2"/>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29.0</w:t>
            </w:r>
          </w:p>
        </w:tc>
        <w:tc>
          <w:tcPr>
            <w:tcW w:w="70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revenues</w:t>
            </w:r>
          </w:p>
        </w:tc>
        <w:tc>
          <w:tcPr>
            <w:tcW w:w="8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20" w:type="dxa"/>
            <w:vAlign w:val="bottom"/>
            <w:shd w:val="clear" w:color="auto" w:fill="CCEEFF"/>
          </w:tcPr>
          <w:p>
            <w:pPr>
              <w:ind w:left="280"/>
              <w:spacing w:after="0" w:line="125" w:lineRule="exact"/>
              <w:rPr>
                <w:sz w:val="20"/>
                <w:szCs w:val="20"/>
                <w:color w:val="auto"/>
              </w:rPr>
            </w:pPr>
            <w:r>
              <w:rPr>
                <w:rFonts w:ascii="Times New Roman" w:cs="Times New Roman" w:eastAsia="Times New Roman" w:hAnsi="Times New Roman"/>
                <w:sz w:val="14"/>
                <w:szCs w:val="14"/>
                <w:color w:val="auto"/>
              </w:rPr>
              <w:t>Cost of professional</w:t>
            </w:r>
          </w:p>
        </w:tc>
        <w:tc>
          <w:tcPr>
            <w:tcW w:w="860" w:type="dxa"/>
            <w:vAlign w:val="bottom"/>
            <w:gridSpan w:val="2"/>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103.1</w:t>
            </w:r>
          </w:p>
        </w:tc>
        <w:tc>
          <w:tcPr>
            <w:tcW w:w="820" w:type="dxa"/>
            <w:vAlign w:val="bottom"/>
            <w:gridSpan w:val="2"/>
            <w:vMerge w:val="restart"/>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color w:val="auto"/>
              </w:rPr>
              <w:t>93.1</w:t>
            </w:r>
          </w:p>
        </w:tc>
        <w:tc>
          <w:tcPr>
            <w:tcW w:w="1040" w:type="dxa"/>
            <w:vAlign w:val="bottom"/>
            <w:gridSpan w:val="2"/>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96.6</w:t>
            </w:r>
          </w:p>
        </w:tc>
        <w:tc>
          <w:tcPr>
            <w:tcW w:w="1040" w:type="dxa"/>
            <w:vAlign w:val="bottom"/>
            <w:gridSpan w:val="2"/>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98.8</w:t>
            </w:r>
          </w:p>
        </w:tc>
        <w:tc>
          <w:tcPr>
            <w:tcW w:w="860" w:type="dxa"/>
            <w:vAlign w:val="bottom"/>
            <w:gridSpan w:val="2"/>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85.6</w:t>
            </w:r>
          </w:p>
        </w:tc>
        <w:tc>
          <w:tcPr>
            <w:tcW w:w="820" w:type="dxa"/>
            <w:vAlign w:val="bottom"/>
            <w:gridSpan w:val="2"/>
            <w:vMerge w:val="restart"/>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86.7</w:t>
            </w:r>
          </w:p>
        </w:tc>
        <w:tc>
          <w:tcPr>
            <w:tcW w:w="1060" w:type="dxa"/>
            <w:vAlign w:val="bottom"/>
            <w:gridSpan w:val="2"/>
            <w:vMerge w:val="restart"/>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84.9</w:t>
            </w:r>
          </w:p>
        </w:tc>
        <w:tc>
          <w:tcPr>
            <w:tcW w:w="1060" w:type="dxa"/>
            <w:vAlign w:val="bottom"/>
            <w:gridSpan w:val="2"/>
            <w:vMerge w:val="restart"/>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129.6</w:t>
            </w:r>
          </w:p>
        </w:tc>
        <w:tc>
          <w:tcPr>
            <w:tcW w:w="820" w:type="dxa"/>
            <w:vAlign w:val="bottom"/>
            <w:gridSpan w:val="2"/>
            <w:vMerge w:val="restart"/>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88.7</w:t>
            </w:r>
          </w:p>
        </w:tc>
        <w:tc>
          <w:tcPr>
            <w:tcW w:w="700" w:type="dxa"/>
            <w:vAlign w:val="bottom"/>
            <w:gridSpan w:val="2"/>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113.3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services revenues</w:t>
            </w:r>
          </w:p>
        </w:tc>
        <w:tc>
          <w:tcPr>
            <w:tcW w:w="8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vMerge w:val="restart"/>
          </w:tcPr>
          <w:p>
            <w:pPr>
              <w:ind w:left="560"/>
              <w:spacing w:after="0" w:line="151" w:lineRule="exact"/>
              <w:rPr>
                <w:sz w:val="20"/>
                <w:szCs w:val="20"/>
                <w:color w:val="auto"/>
              </w:rPr>
            </w:pPr>
            <w:r>
              <w:rPr>
                <w:rFonts w:ascii="Times New Roman" w:cs="Times New Roman" w:eastAsia="Times New Roman" w:hAnsi="Times New Roman"/>
                <w:sz w:val="14"/>
                <w:szCs w:val="14"/>
                <w:color w:val="auto"/>
              </w:rPr>
              <w:t>Total cost of</w:t>
            </w: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860" w:type="dxa"/>
            <w:vAlign w:val="bottom"/>
            <w:gridSpan w:val="2"/>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53.1</w:t>
            </w:r>
          </w:p>
        </w:tc>
        <w:tc>
          <w:tcPr>
            <w:tcW w:w="820" w:type="dxa"/>
            <w:vAlign w:val="bottom"/>
            <w:gridSpan w:val="2"/>
            <w:vMerge w:val="restart"/>
          </w:tcPr>
          <w:p>
            <w:pPr>
              <w:jc w:val="right"/>
              <w:ind w:right="254"/>
              <w:spacing w:after="0"/>
              <w:rPr>
                <w:sz w:val="20"/>
                <w:szCs w:val="20"/>
                <w:color w:val="auto"/>
              </w:rPr>
            </w:pPr>
            <w:r>
              <w:rPr>
                <w:rFonts w:ascii="Times New Roman" w:cs="Times New Roman" w:eastAsia="Times New Roman" w:hAnsi="Times New Roman"/>
                <w:sz w:val="14"/>
                <w:szCs w:val="14"/>
                <w:color w:val="auto"/>
              </w:rPr>
              <w:t>48.8</w:t>
            </w:r>
          </w:p>
        </w:tc>
        <w:tc>
          <w:tcPr>
            <w:tcW w:w="1040" w:type="dxa"/>
            <w:vAlign w:val="bottom"/>
            <w:gridSpan w:val="2"/>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51.6</w:t>
            </w:r>
          </w:p>
        </w:tc>
        <w:tc>
          <w:tcPr>
            <w:tcW w:w="1040" w:type="dxa"/>
            <w:vAlign w:val="bottom"/>
            <w:gridSpan w:val="2"/>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49.9</w:t>
            </w:r>
          </w:p>
        </w:tc>
        <w:tc>
          <w:tcPr>
            <w:tcW w:w="860" w:type="dxa"/>
            <w:vAlign w:val="bottom"/>
            <w:gridSpan w:val="2"/>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47.1</w:t>
            </w:r>
          </w:p>
        </w:tc>
        <w:tc>
          <w:tcPr>
            <w:tcW w:w="820" w:type="dxa"/>
            <w:vAlign w:val="bottom"/>
            <w:gridSpan w:val="2"/>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46.2</w:t>
            </w:r>
          </w:p>
        </w:tc>
        <w:tc>
          <w:tcPr>
            <w:tcW w:w="1060" w:type="dxa"/>
            <w:vAlign w:val="bottom"/>
            <w:gridSpan w:val="2"/>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44.6</w:t>
            </w:r>
          </w:p>
        </w:tc>
        <w:tc>
          <w:tcPr>
            <w:tcW w:w="1060" w:type="dxa"/>
            <w:vAlign w:val="bottom"/>
            <w:gridSpan w:val="2"/>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47.7</w:t>
            </w:r>
          </w:p>
        </w:tc>
        <w:tc>
          <w:tcPr>
            <w:tcW w:w="820" w:type="dxa"/>
            <w:vAlign w:val="bottom"/>
            <w:gridSpan w:val="2"/>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42.2</w:t>
            </w:r>
          </w:p>
        </w:tc>
        <w:tc>
          <w:tcPr>
            <w:tcW w:w="70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2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revenues</w:t>
            </w:r>
          </w:p>
        </w:tc>
        <w:tc>
          <w:tcPr>
            <w:tcW w:w="8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Gross profit</w:t>
            </w:r>
          </w:p>
        </w:tc>
        <w:tc>
          <w:tcPr>
            <w:tcW w:w="860" w:type="dxa"/>
            <w:vAlign w:val="bottom"/>
            <w:gridSpan w:val="2"/>
            <w:shd w:val="clear" w:color="auto" w:fill="CCEEFF"/>
          </w:tcPr>
          <w:p>
            <w:pPr>
              <w:jc w:val="right"/>
              <w:ind w:right="249"/>
              <w:spacing w:after="0" w:line="147" w:lineRule="exact"/>
              <w:rPr>
                <w:sz w:val="20"/>
                <w:szCs w:val="20"/>
                <w:color w:val="auto"/>
              </w:rPr>
            </w:pPr>
            <w:r>
              <w:rPr>
                <w:rFonts w:ascii="Times New Roman" w:cs="Times New Roman" w:eastAsia="Times New Roman" w:hAnsi="Times New Roman"/>
                <w:sz w:val="14"/>
                <w:szCs w:val="14"/>
                <w:color w:val="auto"/>
              </w:rPr>
              <w:t>46.9</w:t>
            </w:r>
          </w:p>
        </w:tc>
        <w:tc>
          <w:tcPr>
            <w:tcW w:w="820" w:type="dxa"/>
            <w:vAlign w:val="bottom"/>
            <w:gridSpan w:val="2"/>
            <w:shd w:val="clear" w:color="auto" w:fill="CCEEFF"/>
          </w:tcPr>
          <w:p>
            <w:pPr>
              <w:jc w:val="right"/>
              <w:ind w:right="254"/>
              <w:spacing w:after="0" w:line="147" w:lineRule="exact"/>
              <w:rPr>
                <w:sz w:val="20"/>
                <w:szCs w:val="20"/>
                <w:color w:val="auto"/>
              </w:rPr>
            </w:pPr>
            <w:r>
              <w:rPr>
                <w:rFonts w:ascii="Times New Roman" w:cs="Times New Roman" w:eastAsia="Times New Roman" w:hAnsi="Times New Roman"/>
                <w:sz w:val="14"/>
                <w:szCs w:val="14"/>
                <w:color w:val="auto"/>
              </w:rPr>
              <w:t>51.2</w:t>
            </w:r>
          </w:p>
        </w:tc>
        <w:tc>
          <w:tcPr>
            <w:tcW w:w="1040" w:type="dxa"/>
            <w:vAlign w:val="bottom"/>
            <w:gridSpan w:val="2"/>
            <w:shd w:val="clear" w:color="auto" w:fill="CCEEFF"/>
          </w:tcPr>
          <w:p>
            <w:pPr>
              <w:jc w:val="right"/>
              <w:ind w:right="249"/>
              <w:spacing w:after="0" w:line="147" w:lineRule="exact"/>
              <w:rPr>
                <w:sz w:val="20"/>
                <w:szCs w:val="20"/>
                <w:color w:val="auto"/>
              </w:rPr>
            </w:pPr>
            <w:r>
              <w:rPr>
                <w:rFonts w:ascii="Times New Roman" w:cs="Times New Roman" w:eastAsia="Times New Roman" w:hAnsi="Times New Roman"/>
                <w:sz w:val="14"/>
                <w:szCs w:val="14"/>
                <w:color w:val="auto"/>
              </w:rPr>
              <w:t>48.4</w:t>
            </w:r>
          </w:p>
        </w:tc>
        <w:tc>
          <w:tcPr>
            <w:tcW w:w="1040" w:type="dxa"/>
            <w:vAlign w:val="bottom"/>
            <w:gridSpan w:val="2"/>
            <w:shd w:val="clear" w:color="auto" w:fill="CCEEFF"/>
          </w:tcPr>
          <w:p>
            <w:pPr>
              <w:jc w:val="right"/>
              <w:ind w:right="249"/>
              <w:spacing w:after="0" w:line="147" w:lineRule="exact"/>
              <w:rPr>
                <w:sz w:val="20"/>
                <w:szCs w:val="20"/>
                <w:color w:val="auto"/>
              </w:rPr>
            </w:pPr>
            <w:r>
              <w:rPr>
                <w:rFonts w:ascii="Times New Roman" w:cs="Times New Roman" w:eastAsia="Times New Roman" w:hAnsi="Times New Roman"/>
                <w:sz w:val="14"/>
                <w:szCs w:val="14"/>
                <w:color w:val="auto"/>
              </w:rPr>
              <w:t>50.1</w:t>
            </w:r>
          </w:p>
        </w:tc>
        <w:tc>
          <w:tcPr>
            <w:tcW w:w="860" w:type="dxa"/>
            <w:vAlign w:val="bottom"/>
            <w:gridSpan w:val="2"/>
            <w:shd w:val="clear" w:color="auto" w:fill="CCEEFF"/>
          </w:tcPr>
          <w:p>
            <w:pPr>
              <w:jc w:val="right"/>
              <w:ind w:right="249"/>
              <w:spacing w:after="0" w:line="147" w:lineRule="exact"/>
              <w:rPr>
                <w:sz w:val="20"/>
                <w:szCs w:val="20"/>
                <w:color w:val="auto"/>
              </w:rPr>
            </w:pPr>
            <w:r>
              <w:rPr>
                <w:rFonts w:ascii="Times New Roman" w:cs="Times New Roman" w:eastAsia="Times New Roman" w:hAnsi="Times New Roman"/>
                <w:sz w:val="14"/>
                <w:szCs w:val="14"/>
                <w:color w:val="auto"/>
              </w:rPr>
              <w:t>52.9</w:t>
            </w:r>
          </w:p>
        </w:tc>
        <w:tc>
          <w:tcPr>
            <w:tcW w:w="820" w:type="dxa"/>
            <w:vAlign w:val="bottom"/>
            <w:gridSpan w:val="2"/>
            <w:shd w:val="clear" w:color="auto" w:fill="CCEEFF"/>
          </w:tcPr>
          <w:p>
            <w:pPr>
              <w:jc w:val="right"/>
              <w:ind w:right="269"/>
              <w:spacing w:after="0" w:line="147" w:lineRule="exact"/>
              <w:rPr>
                <w:sz w:val="20"/>
                <w:szCs w:val="20"/>
                <w:color w:val="auto"/>
              </w:rPr>
            </w:pPr>
            <w:r>
              <w:rPr>
                <w:rFonts w:ascii="Times New Roman" w:cs="Times New Roman" w:eastAsia="Times New Roman" w:hAnsi="Times New Roman"/>
                <w:sz w:val="14"/>
                <w:szCs w:val="14"/>
                <w:color w:val="auto"/>
              </w:rPr>
              <w:t>53.8</w:t>
            </w:r>
          </w:p>
        </w:tc>
        <w:tc>
          <w:tcPr>
            <w:tcW w:w="1060" w:type="dxa"/>
            <w:vAlign w:val="bottom"/>
            <w:gridSpan w:val="2"/>
            <w:shd w:val="clear" w:color="auto" w:fill="CCEEFF"/>
          </w:tcPr>
          <w:p>
            <w:pPr>
              <w:jc w:val="right"/>
              <w:ind w:right="269"/>
              <w:spacing w:after="0" w:line="147" w:lineRule="exact"/>
              <w:rPr>
                <w:sz w:val="20"/>
                <w:szCs w:val="20"/>
                <w:color w:val="auto"/>
              </w:rPr>
            </w:pPr>
            <w:r>
              <w:rPr>
                <w:rFonts w:ascii="Times New Roman" w:cs="Times New Roman" w:eastAsia="Times New Roman" w:hAnsi="Times New Roman"/>
                <w:sz w:val="14"/>
                <w:szCs w:val="14"/>
                <w:color w:val="auto"/>
              </w:rPr>
              <w:t>55.4</w:t>
            </w:r>
          </w:p>
        </w:tc>
        <w:tc>
          <w:tcPr>
            <w:tcW w:w="1060" w:type="dxa"/>
            <w:vAlign w:val="bottom"/>
            <w:gridSpan w:val="2"/>
            <w:shd w:val="clear" w:color="auto" w:fill="CCEEFF"/>
          </w:tcPr>
          <w:p>
            <w:pPr>
              <w:jc w:val="right"/>
              <w:ind w:right="269"/>
              <w:spacing w:after="0" w:line="147" w:lineRule="exact"/>
              <w:rPr>
                <w:sz w:val="20"/>
                <w:szCs w:val="20"/>
                <w:color w:val="auto"/>
              </w:rPr>
            </w:pPr>
            <w:r>
              <w:rPr>
                <w:rFonts w:ascii="Times New Roman" w:cs="Times New Roman" w:eastAsia="Times New Roman" w:hAnsi="Times New Roman"/>
                <w:sz w:val="14"/>
                <w:szCs w:val="14"/>
                <w:color w:val="auto"/>
              </w:rPr>
              <w:t>52.3</w:t>
            </w:r>
          </w:p>
        </w:tc>
        <w:tc>
          <w:tcPr>
            <w:tcW w:w="820" w:type="dxa"/>
            <w:vAlign w:val="bottom"/>
            <w:gridSpan w:val="2"/>
            <w:shd w:val="clear" w:color="auto" w:fill="CCEEFF"/>
          </w:tcPr>
          <w:p>
            <w:pPr>
              <w:jc w:val="right"/>
              <w:ind w:right="209"/>
              <w:spacing w:after="0" w:line="147" w:lineRule="exact"/>
              <w:rPr>
                <w:sz w:val="20"/>
                <w:szCs w:val="20"/>
                <w:color w:val="auto"/>
              </w:rPr>
            </w:pPr>
            <w:r>
              <w:rPr>
                <w:rFonts w:ascii="Times New Roman" w:cs="Times New Roman" w:eastAsia="Times New Roman" w:hAnsi="Times New Roman"/>
                <w:sz w:val="14"/>
                <w:szCs w:val="14"/>
                <w:color w:val="auto"/>
              </w:rPr>
              <w:t>57.8</w:t>
            </w:r>
          </w:p>
        </w:tc>
        <w:tc>
          <w:tcPr>
            <w:tcW w:w="700" w:type="dxa"/>
            <w:vAlign w:val="bottom"/>
            <w:gridSpan w:val="2"/>
            <w:shd w:val="clear" w:color="auto" w:fill="CCEEFF"/>
          </w:tcPr>
          <w:p>
            <w:pPr>
              <w:jc w:val="right"/>
              <w:ind w:right="149"/>
              <w:spacing w:after="0" w:line="147" w:lineRule="exact"/>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154"/>
        </w:trPr>
        <w:tc>
          <w:tcPr>
            <w:tcW w:w="184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Operating expenses:</w:t>
            </w: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Sales and marketing</w:t>
            </w:r>
          </w:p>
        </w:tc>
        <w:tc>
          <w:tcPr>
            <w:tcW w:w="860" w:type="dxa"/>
            <w:vAlign w:val="bottom"/>
            <w:gridSpan w:val="2"/>
            <w:shd w:val="clear" w:color="auto" w:fill="CCEEFF"/>
          </w:tcPr>
          <w:p>
            <w:pPr>
              <w:jc w:val="right"/>
              <w:ind w:right="249"/>
              <w:spacing w:after="0" w:line="147" w:lineRule="exact"/>
              <w:rPr>
                <w:sz w:val="20"/>
                <w:szCs w:val="20"/>
                <w:color w:val="auto"/>
              </w:rPr>
            </w:pPr>
            <w:r>
              <w:rPr>
                <w:rFonts w:ascii="Times New Roman" w:cs="Times New Roman" w:eastAsia="Times New Roman" w:hAnsi="Times New Roman"/>
                <w:sz w:val="14"/>
                <w:szCs w:val="14"/>
                <w:color w:val="auto"/>
              </w:rPr>
              <w:t>30.6</w:t>
            </w:r>
          </w:p>
        </w:tc>
        <w:tc>
          <w:tcPr>
            <w:tcW w:w="820" w:type="dxa"/>
            <w:vAlign w:val="bottom"/>
            <w:gridSpan w:val="2"/>
            <w:shd w:val="clear" w:color="auto" w:fill="CCEEFF"/>
          </w:tcPr>
          <w:p>
            <w:pPr>
              <w:jc w:val="right"/>
              <w:ind w:right="254"/>
              <w:spacing w:after="0" w:line="147" w:lineRule="exact"/>
              <w:rPr>
                <w:sz w:val="20"/>
                <w:szCs w:val="20"/>
                <w:color w:val="auto"/>
              </w:rPr>
            </w:pPr>
            <w:r>
              <w:rPr>
                <w:rFonts w:ascii="Times New Roman" w:cs="Times New Roman" w:eastAsia="Times New Roman" w:hAnsi="Times New Roman"/>
                <w:sz w:val="14"/>
                <w:szCs w:val="14"/>
                <w:color w:val="auto"/>
              </w:rPr>
              <w:t>34.9</w:t>
            </w:r>
          </w:p>
        </w:tc>
        <w:tc>
          <w:tcPr>
            <w:tcW w:w="1040" w:type="dxa"/>
            <w:vAlign w:val="bottom"/>
            <w:gridSpan w:val="2"/>
            <w:shd w:val="clear" w:color="auto" w:fill="CCEEFF"/>
          </w:tcPr>
          <w:p>
            <w:pPr>
              <w:jc w:val="right"/>
              <w:ind w:right="249"/>
              <w:spacing w:after="0" w:line="147" w:lineRule="exact"/>
              <w:rPr>
                <w:sz w:val="20"/>
                <w:szCs w:val="20"/>
                <w:color w:val="auto"/>
              </w:rPr>
            </w:pPr>
            <w:r>
              <w:rPr>
                <w:rFonts w:ascii="Times New Roman" w:cs="Times New Roman" w:eastAsia="Times New Roman" w:hAnsi="Times New Roman"/>
                <w:sz w:val="14"/>
                <w:szCs w:val="14"/>
                <w:color w:val="auto"/>
              </w:rPr>
              <w:t>33.1</w:t>
            </w:r>
          </w:p>
        </w:tc>
        <w:tc>
          <w:tcPr>
            <w:tcW w:w="1040" w:type="dxa"/>
            <w:vAlign w:val="bottom"/>
            <w:gridSpan w:val="2"/>
            <w:shd w:val="clear" w:color="auto" w:fill="CCEEFF"/>
          </w:tcPr>
          <w:p>
            <w:pPr>
              <w:jc w:val="right"/>
              <w:ind w:right="249"/>
              <w:spacing w:after="0" w:line="147" w:lineRule="exact"/>
              <w:rPr>
                <w:sz w:val="20"/>
                <w:szCs w:val="20"/>
                <w:color w:val="auto"/>
              </w:rPr>
            </w:pPr>
            <w:r>
              <w:rPr>
                <w:rFonts w:ascii="Times New Roman" w:cs="Times New Roman" w:eastAsia="Times New Roman" w:hAnsi="Times New Roman"/>
                <w:sz w:val="14"/>
                <w:szCs w:val="14"/>
                <w:color w:val="auto"/>
              </w:rPr>
              <w:t>37.0</w:t>
            </w:r>
          </w:p>
        </w:tc>
        <w:tc>
          <w:tcPr>
            <w:tcW w:w="860" w:type="dxa"/>
            <w:vAlign w:val="bottom"/>
            <w:gridSpan w:val="2"/>
            <w:shd w:val="clear" w:color="auto" w:fill="CCEEFF"/>
          </w:tcPr>
          <w:p>
            <w:pPr>
              <w:jc w:val="right"/>
              <w:ind w:right="249"/>
              <w:spacing w:after="0" w:line="147" w:lineRule="exact"/>
              <w:rPr>
                <w:sz w:val="20"/>
                <w:szCs w:val="20"/>
                <w:color w:val="auto"/>
              </w:rPr>
            </w:pPr>
            <w:r>
              <w:rPr>
                <w:rFonts w:ascii="Times New Roman" w:cs="Times New Roman" w:eastAsia="Times New Roman" w:hAnsi="Times New Roman"/>
                <w:sz w:val="14"/>
                <w:szCs w:val="14"/>
                <w:color w:val="auto"/>
              </w:rPr>
              <w:t>26.9</w:t>
            </w:r>
          </w:p>
        </w:tc>
        <w:tc>
          <w:tcPr>
            <w:tcW w:w="820" w:type="dxa"/>
            <w:vAlign w:val="bottom"/>
            <w:gridSpan w:val="2"/>
            <w:shd w:val="clear" w:color="auto" w:fill="CCEEFF"/>
          </w:tcPr>
          <w:p>
            <w:pPr>
              <w:jc w:val="right"/>
              <w:ind w:right="269"/>
              <w:spacing w:after="0" w:line="147" w:lineRule="exact"/>
              <w:rPr>
                <w:sz w:val="20"/>
                <w:szCs w:val="20"/>
                <w:color w:val="auto"/>
              </w:rPr>
            </w:pPr>
            <w:r>
              <w:rPr>
                <w:rFonts w:ascii="Times New Roman" w:cs="Times New Roman" w:eastAsia="Times New Roman" w:hAnsi="Times New Roman"/>
                <w:sz w:val="14"/>
                <w:szCs w:val="14"/>
                <w:color w:val="auto"/>
              </w:rPr>
              <w:t>32.7</w:t>
            </w:r>
          </w:p>
        </w:tc>
        <w:tc>
          <w:tcPr>
            <w:tcW w:w="1060" w:type="dxa"/>
            <w:vAlign w:val="bottom"/>
            <w:gridSpan w:val="2"/>
            <w:shd w:val="clear" w:color="auto" w:fill="CCEEFF"/>
          </w:tcPr>
          <w:p>
            <w:pPr>
              <w:jc w:val="right"/>
              <w:ind w:right="269"/>
              <w:spacing w:after="0" w:line="147" w:lineRule="exact"/>
              <w:rPr>
                <w:sz w:val="20"/>
                <w:szCs w:val="20"/>
                <w:color w:val="auto"/>
              </w:rPr>
            </w:pPr>
            <w:r>
              <w:rPr>
                <w:rFonts w:ascii="Times New Roman" w:cs="Times New Roman" w:eastAsia="Times New Roman" w:hAnsi="Times New Roman"/>
                <w:sz w:val="14"/>
                <w:szCs w:val="14"/>
                <w:color w:val="auto"/>
              </w:rPr>
              <w:t>33.3</w:t>
            </w:r>
          </w:p>
        </w:tc>
        <w:tc>
          <w:tcPr>
            <w:tcW w:w="1060" w:type="dxa"/>
            <w:vAlign w:val="bottom"/>
            <w:gridSpan w:val="2"/>
            <w:shd w:val="clear" w:color="auto" w:fill="CCEEFF"/>
          </w:tcPr>
          <w:p>
            <w:pPr>
              <w:jc w:val="right"/>
              <w:ind w:right="269"/>
              <w:spacing w:after="0" w:line="147" w:lineRule="exact"/>
              <w:rPr>
                <w:sz w:val="20"/>
                <w:szCs w:val="20"/>
                <w:color w:val="auto"/>
              </w:rPr>
            </w:pPr>
            <w:r>
              <w:rPr>
                <w:rFonts w:ascii="Times New Roman" w:cs="Times New Roman" w:eastAsia="Times New Roman" w:hAnsi="Times New Roman"/>
                <w:sz w:val="14"/>
                <w:szCs w:val="14"/>
                <w:color w:val="auto"/>
              </w:rPr>
              <w:t>34.7</w:t>
            </w:r>
          </w:p>
        </w:tc>
        <w:tc>
          <w:tcPr>
            <w:tcW w:w="820" w:type="dxa"/>
            <w:vAlign w:val="bottom"/>
            <w:gridSpan w:val="2"/>
            <w:shd w:val="clear" w:color="auto" w:fill="CCEEFF"/>
          </w:tcPr>
          <w:p>
            <w:pPr>
              <w:jc w:val="right"/>
              <w:ind w:right="209"/>
              <w:spacing w:after="0" w:line="147" w:lineRule="exact"/>
              <w:rPr>
                <w:sz w:val="20"/>
                <w:szCs w:val="20"/>
                <w:color w:val="auto"/>
              </w:rPr>
            </w:pPr>
            <w:r>
              <w:rPr>
                <w:rFonts w:ascii="Times New Roman" w:cs="Times New Roman" w:eastAsia="Times New Roman" w:hAnsi="Times New Roman"/>
                <w:sz w:val="14"/>
                <w:szCs w:val="14"/>
                <w:color w:val="auto"/>
              </w:rPr>
              <w:t>27.3</w:t>
            </w:r>
          </w:p>
        </w:tc>
        <w:tc>
          <w:tcPr>
            <w:tcW w:w="700" w:type="dxa"/>
            <w:vAlign w:val="bottom"/>
            <w:gridSpan w:val="2"/>
            <w:shd w:val="clear" w:color="auto" w:fill="CCEEFF"/>
          </w:tcPr>
          <w:p>
            <w:pPr>
              <w:jc w:val="right"/>
              <w:ind w:right="149"/>
              <w:spacing w:after="0" w:line="147" w:lineRule="exact"/>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20" w:type="dxa"/>
            <w:vAlign w:val="bottom"/>
          </w:tcPr>
          <w:p>
            <w:pPr>
              <w:ind w:left="280"/>
              <w:spacing w:after="0" w:line="125" w:lineRule="exact"/>
              <w:rPr>
                <w:sz w:val="20"/>
                <w:szCs w:val="20"/>
                <w:color w:val="auto"/>
              </w:rPr>
            </w:pPr>
            <w:r>
              <w:rPr>
                <w:rFonts w:ascii="Times New Roman" w:cs="Times New Roman" w:eastAsia="Times New Roman" w:hAnsi="Times New Roman"/>
                <w:sz w:val="14"/>
                <w:szCs w:val="14"/>
                <w:color w:val="auto"/>
              </w:rPr>
              <w:t>Research and</w:t>
            </w:r>
          </w:p>
        </w:tc>
        <w:tc>
          <w:tcPr>
            <w:tcW w:w="860" w:type="dxa"/>
            <w:vAlign w:val="bottom"/>
            <w:gridSpan w:val="2"/>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24.1</w:t>
            </w:r>
          </w:p>
        </w:tc>
        <w:tc>
          <w:tcPr>
            <w:tcW w:w="820" w:type="dxa"/>
            <w:vAlign w:val="bottom"/>
            <w:gridSpan w:val="2"/>
            <w:vMerge w:val="restart"/>
          </w:tcPr>
          <w:p>
            <w:pPr>
              <w:jc w:val="right"/>
              <w:ind w:right="254"/>
              <w:spacing w:after="0"/>
              <w:rPr>
                <w:sz w:val="20"/>
                <w:szCs w:val="20"/>
                <w:color w:val="auto"/>
              </w:rPr>
            </w:pPr>
            <w:r>
              <w:rPr>
                <w:rFonts w:ascii="Times New Roman" w:cs="Times New Roman" w:eastAsia="Times New Roman" w:hAnsi="Times New Roman"/>
                <w:sz w:val="14"/>
                <w:szCs w:val="14"/>
                <w:color w:val="auto"/>
              </w:rPr>
              <w:t>21.8</w:t>
            </w:r>
          </w:p>
        </w:tc>
        <w:tc>
          <w:tcPr>
            <w:tcW w:w="1040" w:type="dxa"/>
            <w:vAlign w:val="bottom"/>
            <w:gridSpan w:val="2"/>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24.6</w:t>
            </w:r>
          </w:p>
        </w:tc>
        <w:tc>
          <w:tcPr>
            <w:tcW w:w="1040" w:type="dxa"/>
            <w:vAlign w:val="bottom"/>
            <w:gridSpan w:val="2"/>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26.2</w:t>
            </w:r>
          </w:p>
        </w:tc>
        <w:tc>
          <w:tcPr>
            <w:tcW w:w="860" w:type="dxa"/>
            <w:vAlign w:val="bottom"/>
            <w:gridSpan w:val="2"/>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24.7</w:t>
            </w:r>
          </w:p>
        </w:tc>
        <w:tc>
          <w:tcPr>
            <w:tcW w:w="820" w:type="dxa"/>
            <w:vAlign w:val="bottom"/>
            <w:gridSpan w:val="2"/>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25.9</w:t>
            </w:r>
          </w:p>
        </w:tc>
        <w:tc>
          <w:tcPr>
            <w:tcW w:w="1060" w:type="dxa"/>
            <w:vAlign w:val="bottom"/>
            <w:gridSpan w:val="2"/>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25.2</w:t>
            </w:r>
          </w:p>
        </w:tc>
        <w:tc>
          <w:tcPr>
            <w:tcW w:w="1060" w:type="dxa"/>
            <w:vAlign w:val="bottom"/>
            <w:gridSpan w:val="2"/>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26.3</w:t>
            </w:r>
          </w:p>
        </w:tc>
        <w:tc>
          <w:tcPr>
            <w:tcW w:w="820" w:type="dxa"/>
            <w:vAlign w:val="bottom"/>
            <w:gridSpan w:val="2"/>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24.5</w:t>
            </w:r>
          </w:p>
        </w:tc>
        <w:tc>
          <w:tcPr>
            <w:tcW w:w="70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development</w:t>
            </w:r>
          </w:p>
        </w:tc>
        <w:tc>
          <w:tcPr>
            <w:tcW w:w="8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20" w:type="dxa"/>
            <w:vAlign w:val="bottom"/>
            <w:shd w:val="clear" w:color="auto" w:fill="CCEEFF"/>
          </w:tcPr>
          <w:p>
            <w:pPr>
              <w:ind w:left="280"/>
              <w:spacing w:after="0" w:line="125" w:lineRule="exact"/>
              <w:rPr>
                <w:sz w:val="20"/>
                <w:szCs w:val="20"/>
                <w:color w:val="auto"/>
              </w:rPr>
            </w:pPr>
            <w:r>
              <w:rPr>
                <w:rFonts w:ascii="Times New Roman" w:cs="Times New Roman" w:eastAsia="Times New Roman" w:hAnsi="Times New Roman"/>
                <w:sz w:val="14"/>
                <w:szCs w:val="14"/>
                <w:color w:val="auto"/>
              </w:rPr>
              <w:t>General and</w:t>
            </w:r>
          </w:p>
        </w:tc>
        <w:tc>
          <w:tcPr>
            <w:tcW w:w="860" w:type="dxa"/>
            <w:vAlign w:val="bottom"/>
            <w:gridSpan w:val="2"/>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15.3</w:t>
            </w:r>
          </w:p>
        </w:tc>
        <w:tc>
          <w:tcPr>
            <w:tcW w:w="820" w:type="dxa"/>
            <w:vAlign w:val="bottom"/>
            <w:gridSpan w:val="2"/>
            <w:vMerge w:val="restart"/>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color w:val="auto"/>
              </w:rPr>
              <w:t>18.6</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3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18.5</w:t>
            </w:r>
          </w:p>
        </w:tc>
        <w:tc>
          <w:tcPr>
            <w:tcW w:w="860" w:type="dxa"/>
            <w:vAlign w:val="bottom"/>
            <w:gridSpan w:val="2"/>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13.1</w:t>
            </w:r>
          </w:p>
        </w:tc>
        <w:tc>
          <w:tcPr>
            <w:tcW w:w="820" w:type="dxa"/>
            <w:vAlign w:val="bottom"/>
            <w:gridSpan w:val="2"/>
            <w:vMerge w:val="restart"/>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20.1</w:t>
            </w:r>
          </w:p>
        </w:tc>
        <w:tc>
          <w:tcPr>
            <w:tcW w:w="1060" w:type="dxa"/>
            <w:vAlign w:val="bottom"/>
            <w:gridSpan w:val="2"/>
            <w:vMerge w:val="restart"/>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14.7</w:t>
            </w:r>
          </w:p>
        </w:tc>
        <w:tc>
          <w:tcPr>
            <w:tcW w:w="1060" w:type="dxa"/>
            <w:vAlign w:val="bottom"/>
            <w:gridSpan w:val="2"/>
            <w:vMerge w:val="restart"/>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17.2</w:t>
            </w:r>
          </w:p>
        </w:tc>
        <w:tc>
          <w:tcPr>
            <w:tcW w:w="820" w:type="dxa"/>
            <w:vAlign w:val="bottom"/>
            <w:gridSpan w:val="2"/>
            <w:vMerge w:val="restart"/>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15.5</w:t>
            </w:r>
          </w:p>
        </w:tc>
        <w:tc>
          <w:tcPr>
            <w:tcW w:w="700" w:type="dxa"/>
            <w:vAlign w:val="bottom"/>
            <w:gridSpan w:val="2"/>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administrative</w:t>
            </w:r>
          </w:p>
        </w:tc>
        <w:tc>
          <w:tcPr>
            <w:tcW w:w="8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vMerge w:val="restart"/>
          </w:tcPr>
          <w:p>
            <w:pPr>
              <w:ind w:left="560"/>
              <w:spacing w:after="0" w:line="151" w:lineRule="exact"/>
              <w:rPr>
                <w:sz w:val="20"/>
                <w:szCs w:val="20"/>
                <w:color w:val="auto"/>
              </w:rPr>
            </w:pPr>
            <w:r>
              <w:rPr>
                <w:rFonts w:ascii="Times New Roman" w:cs="Times New Roman" w:eastAsia="Times New Roman" w:hAnsi="Times New Roman"/>
                <w:sz w:val="14"/>
                <w:szCs w:val="14"/>
                <w:color w:val="auto"/>
              </w:rPr>
              <w:t>Total operating</w:t>
            </w: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860" w:type="dxa"/>
            <w:vAlign w:val="bottom"/>
            <w:gridSpan w:val="2"/>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70.0</w:t>
            </w:r>
          </w:p>
        </w:tc>
        <w:tc>
          <w:tcPr>
            <w:tcW w:w="820" w:type="dxa"/>
            <w:vAlign w:val="bottom"/>
            <w:gridSpan w:val="2"/>
            <w:vMerge w:val="restart"/>
          </w:tcPr>
          <w:p>
            <w:pPr>
              <w:jc w:val="right"/>
              <w:ind w:right="254"/>
              <w:spacing w:after="0"/>
              <w:rPr>
                <w:sz w:val="20"/>
                <w:szCs w:val="20"/>
                <w:color w:val="auto"/>
              </w:rPr>
            </w:pPr>
            <w:r>
              <w:rPr>
                <w:rFonts w:ascii="Times New Roman" w:cs="Times New Roman" w:eastAsia="Times New Roman" w:hAnsi="Times New Roman"/>
                <w:sz w:val="14"/>
                <w:szCs w:val="14"/>
                <w:color w:val="auto"/>
              </w:rPr>
              <w:t>75.3</w:t>
            </w:r>
          </w:p>
        </w:tc>
        <w:tc>
          <w:tcPr>
            <w:tcW w:w="1040" w:type="dxa"/>
            <w:vAlign w:val="bottom"/>
            <w:gridSpan w:val="2"/>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69.6</w:t>
            </w:r>
          </w:p>
        </w:tc>
        <w:tc>
          <w:tcPr>
            <w:tcW w:w="1040" w:type="dxa"/>
            <w:vAlign w:val="bottom"/>
            <w:gridSpan w:val="2"/>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81.7</w:t>
            </w:r>
          </w:p>
        </w:tc>
        <w:tc>
          <w:tcPr>
            <w:tcW w:w="860" w:type="dxa"/>
            <w:vAlign w:val="bottom"/>
            <w:gridSpan w:val="2"/>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64.7</w:t>
            </w:r>
          </w:p>
        </w:tc>
        <w:tc>
          <w:tcPr>
            <w:tcW w:w="820" w:type="dxa"/>
            <w:vAlign w:val="bottom"/>
            <w:gridSpan w:val="2"/>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78.7</w:t>
            </w:r>
          </w:p>
        </w:tc>
        <w:tc>
          <w:tcPr>
            <w:tcW w:w="1060" w:type="dxa"/>
            <w:vAlign w:val="bottom"/>
            <w:gridSpan w:val="2"/>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73.2</w:t>
            </w:r>
          </w:p>
        </w:tc>
        <w:tc>
          <w:tcPr>
            <w:tcW w:w="1060" w:type="dxa"/>
            <w:vAlign w:val="bottom"/>
            <w:gridSpan w:val="2"/>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78.2</w:t>
            </w:r>
          </w:p>
        </w:tc>
        <w:tc>
          <w:tcPr>
            <w:tcW w:w="820" w:type="dxa"/>
            <w:vAlign w:val="bottom"/>
            <w:gridSpan w:val="2"/>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67.3</w:t>
            </w:r>
          </w:p>
        </w:tc>
        <w:tc>
          <w:tcPr>
            <w:tcW w:w="70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85.9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2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expenses</w:t>
            </w:r>
          </w:p>
        </w:tc>
        <w:tc>
          <w:tcPr>
            <w:tcW w:w="8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Loss from operations</w:t>
            </w:r>
          </w:p>
        </w:tc>
        <w:tc>
          <w:tcPr>
            <w:tcW w:w="860" w:type="dxa"/>
            <w:vAlign w:val="bottom"/>
            <w:gridSpan w:val="2"/>
            <w:shd w:val="clear" w:color="auto" w:fill="CCEEFF"/>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(23.1)</w:t>
            </w:r>
          </w:p>
        </w:tc>
        <w:tc>
          <w:tcPr>
            <w:tcW w:w="820" w:type="dxa"/>
            <w:vAlign w:val="bottom"/>
            <w:gridSpan w:val="2"/>
            <w:shd w:val="clear" w:color="auto" w:fill="CCEEFF"/>
          </w:tcPr>
          <w:p>
            <w:pPr>
              <w:jc w:val="right"/>
              <w:ind w:right="214"/>
              <w:spacing w:after="0" w:line="147" w:lineRule="exact"/>
              <w:rPr>
                <w:sz w:val="20"/>
                <w:szCs w:val="20"/>
                <w:color w:val="auto"/>
              </w:rPr>
            </w:pPr>
            <w:r>
              <w:rPr>
                <w:rFonts w:ascii="Times New Roman" w:cs="Times New Roman" w:eastAsia="Times New Roman" w:hAnsi="Times New Roman"/>
                <w:sz w:val="14"/>
                <w:szCs w:val="14"/>
                <w:color w:val="auto"/>
              </w:rPr>
              <w:t>(24.1)</w:t>
            </w:r>
          </w:p>
        </w:tc>
        <w:tc>
          <w:tcPr>
            <w:tcW w:w="1040" w:type="dxa"/>
            <w:vAlign w:val="bottom"/>
            <w:gridSpan w:val="2"/>
            <w:shd w:val="clear" w:color="auto" w:fill="CCEEFF"/>
          </w:tcPr>
          <w:p>
            <w:pPr>
              <w:jc w:val="right"/>
              <w:ind w:right="209"/>
              <w:spacing w:after="0" w:line="147" w:lineRule="exact"/>
              <w:rPr>
                <w:sz w:val="20"/>
                <w:szCs w:val="20"/>
                <w:color w:val="auto"/>
              </w:rPr>
            </w:pPr>
            <w:r>
              <w:rPr>
                <w:rFonts w:ascii="Times New Roman" w:cs="Times New Roman" w:eastAsia="Times New Roman" w:hAnsi="Times New Roman"/>
                <w:sz w:val="14"/>
                <w:szCs w:val="14"/>
                <w:color w:val="auto"/>
              </w:rPr>
              <w:t>(21.2)</w:t>
            </w:r>
          </w:p>
        </w:tc>
        <w:tc>
          <w:tcPr>
            <w:tcW w:w="1040" w:type="dxa"/>
            <w:vAlign w:val="bottom"/>
            <w:gridSpan w:val="2"/>
            <w:shd w:val="clear" w:color="auto" w:fill="CCEEFF"/>
          </w:tcPr>
          <w:p>
            <w:pPr>
              <w:jc w:val="right"/>
              <w:ind w:right="209"/>
              <w:spacing w:after="0" w:line="147" w:lineRule="exact"/>
              <w:rPr>
                <w:sz w:val="20"/>
                <w:szCs w:val="20"/>
                <w:color w:val="auto"/>
              </w:rPr>
            </w:pPr>
            <w:r>
              <w:rPr>
                <w:rFonts w:ascii="Times New Roman" w:cs="Times New Roman" w:eastAsia="Times New Roman" w:hAnsi="Times New Roman"/>
                <w:sz w:val="14"/>
                <w:szCs w:val="14"/>
                <w:color w:val="auto"/>
              </w:rPr>
              <w:t>(31.6)</w:t>
            </w:r>
          </w:p>
        </w:tc>
        <w:tc>
          <w:tcPr>
            <w:tcW w:w="860" w:type="dxa"/>
            <w:vAlign w:val="bottom"/>
            <w:gridSpan w:val="2"/>
            <w:shd w:val="clear" w:color="auto" w:fill="CCEEFF"/>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(11.8)</w:t>
            </w:r>
          </w:p>
        </w:tc>
        <w:tc>
          <w:tcPr>
            <w:tcW w:w="820" w:type="dxa"/>
            <w:vAlign w:val="bottom"/>
            <w:gridSpan w:val="2"/>
            <w:shd w:val="clear" w:color="auto" w:fill="CCEEFF"/>
          </w:tcPr>
          <w:p>
            <w:pPr>
              <w:jc w:val="right"/>
              <w:ind w:right="209"/>
              <w:spacing w:after="0" w:line="147" w:lineRule="exact"/>
              <w:rPr>
                <w:sz w:val="20"/>
                <w:szCs w:val="20"/>
                <w:color w:val="auto"/>
              </w:rPr>
            </w:pPr>
            <w:r>
              <w:rPr>
                <w:rFonts w:ascii="Times New Roman" w:cs="Times New Roman" w:eastAsia="Times New Roman" w:hAnsi="Times New Roman"/>
                <w:sz w:val="14"/>
                <w:szCs w:val="14"/>
                <w:color w:val="auto"/>
              </w:rPr>
              <w:t>(24.9)</w:t>
            </w:r>
          </w:p>
        </w:tc>
        <w:tc>
          <w:tcPr>
            <w:tcW w:w="1060" w:type="dxa"/>
            <w:vAlign w:val="bottom"/>
            <w:gridSpan w:val="2"/>
            <w:shd w:val="clear" w:color="auto" w:fill="CCEEFF"/>
          </w:tcPr>
          <w:p>
            <w:pPr>
              <w:jc w:val="right"/>
              <w:ind w:right="209"/>
              <w:spacing w:after="0" w:line="147" w:lineRule="exact"/>
              <w:rPr>
                <w:sz w:val="20"/>
                <w:szCs w:val="20"/>
                <w:color w:val="auto"/>
              </w:rPr>
            </w:pPr>
            <w:r>
              <w:rPr>
                <w:rFonts w:ascii="Times New Roman" w:cs="Times New Roman" w:eastAsia="Times New Roman" w:hAnsi="Times New Roman"/>
                <w:sz w:val="14"/>
                <w:szCs w:val="14"/>
                <w:color w:val="auto"/>
              </w:rPr>
              <w:t>(17.8)</w:t>
            </w:r>
          </w:p>
        </w:tc>
        <w:tc>
          <w:tcPr>
            <w:tcW w:w="1060" w:type="dxa"/>
            <w:vAlign w:val="bottom"/>
            <w:gridSpan w:val="2"/>
            <w:shd w:val="clear" w:color="auto" w:fill="CCEEFF"/>
          </w:tcPr>
          <w:p>
            <w:pPr>
              <w:jc w:val="right"/>
              <w:ind w:right="229"/>
              <w:spacing w:after="0" w:line="147" w:lineRule="exact"/>
              <w:rPr>
                <w:sz w:val="20"/>
                <w:szCs w:val="20"/>
                <w:color w:val="auto"/>
              </w:rPr>
            </w:pPr>
            <w:r>
              <w:rPr>
                <w:rFonts w:ascii="Times New Roman" w:cs="Times New Roman" w:eastAsia="Times New Roman" w:hAnsi="Times New Roman"/>
                <w:sz w:val="14"/>
                <w:szCs w:val="14"/>
                <w:color w:val="auto"/>
              </w:rPr>
              <w:t>(25.9)</w:t>
            </w:r>
          </w:p>
        </w:tc>
        <w:tc>
          <w:tcPr>
            <w:tcW w:w="820" w:type="dxa"/>
            <w:vAlign w:val="bottom"/>
            <w:gridSpan w:val="2"/>
            <w:shd w:val="clear" w:color="auto" w:fill="CCEEFF"/>
          </w:tcPr>
          <w:p>
            <w:pPr>
              <w:jc w:val="right"/>
              <w:ind w:right="149"/>
              <w:spacing w:after="0" w:line="147" w:lineRule="exact"/>
              <w:rPr>
                <w:sz w:val="20"/>
                <w:szCs w:val="20"/>
                <w:color w:val="auto"/>
              </w:rPr>
            </w:pPr>
            <w:r>
              <w:rPr>
                <w:rFonts w:ascii="Times New Roman" w:cs="Times New Roman" w:eastAsia="Times New Roman" w:hAnsi="Times New Roman"/>
                <w:sz w:val="14"/>
                <w:szCs w:val="14"/>
                <w:color w:val="auto"/>
              </w:rPr>
              <w:t>(9.5)</w:t>
            </w:r>
          </w:p>
        </w:tc>
        <w:tc>
          <w:tcPr>
            <w:tcW w:w="700" w:type="dxa"/>
            <w:vAlign w:val="bottom"/>
            <w:gridSpan w:val="2"/>
            <w:shd w:val="clear" w:color="auto" w:fill="CCEEFF"/>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131"/>
        </w:trPr>
        <w:tc>
          <w:tcPr>
            <w:tcW w:w="184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color w:val="auto"/>
              </w:rPr>
              <w:t>Non-operating income</w:t>
            </w:r>
          </w:p>
        </w:tc>
        <w:tc>
          <w:tcPr>
            <w:tcW w:w="5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Interest income</w:t>
            </w:r>
          </w:p>
        </w:tc>
        <w:tc>
          <w:tcPr>
            <w:tcW w:w="860" w:type="dxa"/>
            <w:vAlign w:val="bottom"/>
            <w:gridSpan w:val="2"/>
            <w:shd w:val="clear" w:color="auto" w:fill="CCEEFF"/>
          </w:tcPr>
          <w:p>
            <w:pPr>
              <w:jc w:val="right"/>
              <w:ind w:right="249"/>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820" w:type="dxa"/>
            <w:vAlign w:val="bottom"/>
            <w:gridSpan w:val="2"/>
            <w:shd w:val="clear" w:color="auto" w:fill="CCEEFF"/>
          </w:tcPr>
          <w:p>
            <w:pPr>
              <w:jc w:val="right"/>
              <w:ind w:right="254"/>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1040" w:type="dxa"/>
            <w:vAlign w:val="bottom"/>
            <w:gridSpan w:val="2"/>
            <w:shd w:val="clear" w:color="auto" w:fill="CCEEFF"/>
          </w:tcPr>
          <w:p>
            <w:pPr>
              <w:jc w:val="right"/>
              <w:ind w:right="249"/>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1040" w:type="dxa"/>
            <w:vAlign w:val="bottom"/>
            <w:gridSpan w:val="2"/>
            <w:shd w:val="clear" w:color="auto" w:fill="CCEEFF"/>
          </w:tcPr>
          <w:p>
            <w:pPr>
              <w:jc w:val="right"/>
              <w:ind w:right="249"/>
              <w:spacing w:after="0" w:line="147" w:lineRule="exact"/>
              <w:rPr>
                <w:sz w:val="20"/>
                <w:szCs w:val="20"/>
                <w:color w:val="auto"/>
              </w:rPr>
            </w:pPr>
            <w:r>
              <w:rPr>
                <w:rFonts w:ascii="Times New Roman" w:cs="Times New Roman" w:eastAsia="Times New Roman" w:hAnsi="Times New Roman"/>
                <w:sz w:val="14"/>
                <w:szCs w:val="14"/>
                <w:color w:val="auto"/>
              </w:rPr>
              <w:t>1.2</w:t>
            </w:r>
          </w:p>
        </w:tc>
        <w:tc>
          <w:tcPr>
            <w:tcW w:w="860" w:type="dxa"/>
            <w:vAlign w:val="bottom"/>
            <w:gridSpan w:val="2"/>
            <w:shd w:val="clear" w:color="auto" w:fill="CCEEFF"/>
          </w:tcPr>
          <w:p>
            <w:pPr>
              <w:jc w:val="right"/>
              <w:ind w:right="249"/>
              <w:spacing w:after="0" w:line="147" w:lineRule="exact"/>
              <w:rPr>
                <w:sz w:val="20"/>
                <w:szCs w:val="20"/>
                <w:color w:val="auto"/>
              </w:rPr>
            </w:pPr>
            <w:r>
              <w:rPr>
                <w:rFonts w:ascii="Times New Roman" w:cs="Times New Roman" w:eastAsia="Times New Roman" w:hAnsi="Times New Roman"/>
                <w:sz w:val="14"/>
                <w:szCs w:val="14"/>
                <w:color w:val="auto"/>
              </w:rPr>
              <w:t>1.1</w:t>
            </w:r>
          </w:p>
        </w:tc>
        <w:tc>
          <w:tcPr>
            <w:tcW w:w="820" w:type="dxa"/>
            <w:vAlign w:val="bottom"/>
            <w:gridSpan w:val="2"/>
            <w:shd w:val="clear" w:color="auto" w:fill="CCEEFF"/>
          </w:tcPr>
          <w:p>
            <w:pPr>
              <w:jc w:val="right"/>
              <w:ind w:right="269"/>
              <w:spacing w:after="0" w:line="147" w:lineRule="exact"/>
              <w:rPr>
                <w:sz w:val="20"/>
                <w:szCs w:val="20"/>
                <w:color w:val="auto"/>
              </w:rPr>
            </w:pPr>
            <w:r>
              <w:rPr>
                <w:rFonts w:ascii="Times New Roman" w:cs="Times New Roman" w:eastAsia="Times New Roman" w:hAnsi="Times New Roman"/>
                <w:sz w:val="14"/>
                <w:szCs w:val="14"/>
                <w:color w:val="auto"/>
              </w:rPr>
              <w:t>0.8</w:t>
            </w:r>
          </w:p>
        </w:tc>
        <w:tc>
          <w:tcPr>
            <w:tcW w:w="1060" w:type="dxa"/>
            <w:vAlign w:val="bottom"/>
            <w:gridSpan w:val="2"/>
            <w:shd w:val="clear" w:color="auto" w:fill="CCEEFF"/>
          </w:tcPr>
          <w:p>
            <w:pPr>
              <w:jc w:val="right"/>
              <w:ind w:right="269"/>
              <w:spacing w:after="0" w:line="147" w:lineRule="exact"/>
              <w:rPr>
                <w:sz w:val="20"/>
                <w:szCs w:val="20"/>
                <w:color w:val="auto"/>
              </w:rPr>
            </w:pPr>
            <w:r>
              <w:rPr>
                <w:rFonts w:ascii="Times New Roman" w:cs="Times New Roman" w:eastAsia="Times New Roman" w:hAnsi="Times New Roman"/>
                <w:sz w:val="14"/>
                <w:szCs w:val="14"/>
                <w:color w:val="auto"/>
              </w:rPr>
              <w:t>0.3</w:t>
            </w:r>
          </w:p>
        </w:tc>
        <w:tc>
          <w:tcPr>
            <w:tcW w:w="1060" w:type="dxa"/>
            <w:vAlign w:val="bottom"/>
            <w:gridSpan w:val="2"/>
            <w:shd w:val="clear" w:color="auto" w:fill="CCEEFF"/>
          </w:tcPr>
          <w:p>
            <w:pPr>
              <w:jc w:val="right"/>
              <w:ind w:right="269"/>
              <w:spacing w:after="0" w:line="147" w:lineRule="exact"/>
              <w:rPr>
                <w:sz w:val="20"/>
                <w:szCs w:val="20"/>
                <w:color w:val="auto"/>
              </w:rPr>
            </w:pPr>
            <w:r>
              <w:rPr>
                <w:rFonts w:ascii="Times New Roman" w:cs="Times New Roman" w:eastAsia="Times New Roman" w:hAnsi="Times New Roman"/>
                <w:sz w:val="14"/>
                <w:szCs w:val="14"/>
                <w:color w:val="auto"/>
              </w:rPr>
              <w:t>0.8</w:t>
            </w:r>
          </w:p>
        </w:tc>
        <w:tc>
          <w:tcPr>
            <w:tcW w:w="820" w:type="dxa"/>
            <w:vAlign w:val="bottom"/>
            <w:gridSpan w:val="2"/>
            <w:shd w:val="clear" w:color="auto" w:fill="CCEEFF"/>
          </w:tcPr>
          <w:p>
            <w:pPr>
              <w:jc w:val="right"/>
              <w:ind w:right="209"/>
              <w:spacing w:after="0" w:line="147" w:lineRule="exact"/>
              <w:rPr>
                <w:sz w:val="20"/>
                <w:szCs w:val="20"/>
                <w:color w:val="auto"/>
              </w:rPr>
            </w:pPr>
            <w:r>
              <w:rPr>
                <w:rFonts w:ascii="Times New Roman" w:cs="Times New Roman" w:eastAsia="Times New Roman" w:hAnsi="Times New Roman"/>
                <w:sz w:val="14"/>
                <w:szCs w:val="14"/>
                <w:color w:val="auto"/>
              </w:rPr>
              <w:t>0.3</w:t>
            </w:r>
          </w:p>
        </w:tc>
        <w:tc>
          <w:tcPr>
            <w:tcW w:w="700" w:type="dxa"/>
            <w:vAlign w:val="bottom"/>
            <w:gridSpan w:val="2"/>
            <w:shd w:val="clear" w:color="auto" w:fill="CCEEFF"/>
          </w:tcPr>
          <w:p>
            <w:pPr>
              <w:jc w:val="right"/>
              <w:ind w:right="149"/>
              <w:spacing w:after="0" w:line="147"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2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Other</w:t>
            </w:r>
          </w:p>
        </w:tc>
        <w:tc>
          <w:tcPr>
            <w:tcW w:w="860" w:type="dxa"/>
            <w:vAlign w:val="bottom"/>
            <w:gridSpan w:val="2"/>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(0.2)</w:t>
            </w:r>
          </w:p>
        </w:tc>
        <w:tc>
          <w:tcPr>
            <w:tcW w:w="820" w:type="dxa"/>
            <w:vAlign w:val="bottom"/>
            <w:gridSpan w:val="2"/>
          </w:tcPr>
          <w:p>
            <w:pPr>
              <w:jc w:val="right"/>
              <w:ind w:right="214"/>
              <w:spacing w:after="0" w:line="147" w:lineRule="exact"/>
              <w:rPr>
                <w:sz w:val="20"/>
                <w:szCs w:val="20"/>
                <w:color w:val="auto"/>
              </w:rPr>
            </w:pPr>
            <w:r>
              <w:rPr>
                <w:rFonts w:ascii="Times New Roman" w:cs="Times New Roman" w:eastAsia="Times New Roman" w:hAnsi="Times New Roman"/>
                <w:sz w:val="14"/>
                <w:szCs w:val="14"/>
                <w:color w:val="auto"/>
              </w:rPr>
              <w:t>(0.4)</w:t>
            </w:r>
          </w:p>
        </w:tc>
        <w:tc>
          <w:tcPr>
            <w:tcW w:w="1040" w:type="dxa"/>
            <w:vAlign w:val="bottom"/>
            <w:gridSpan w:val="2"/>
          </w:tcPr>
          <w:p>
            <w:pPr>
              <w:jc w:val="right"/>
              <w:ind w:right="209"/>
              <w:spacing w:after="0" w:line="147" w:lineRule="exact"/>
              <w:rPr>
                <w:sz w:val="20"/>
                <w:szCs w:val="20"/>
                <w:color w:val="auto"/>
              </w:rPr>
            </w:pPr>
            <w:r>
              <w:rPr>
                <w:rFonts w:ascii="Times New Roman" w:cs="Times New Roman" w:eastAsia="Times New Roman" w:hAnsi="Times New Roman"/>
                <w:sz w:val="14"/>
                <w:szCs w:val="14"/>
                <w:color w:val="auto"/>
              </w:rPr>
              <w:t>(0.9)</w:t>
            </w:r>
          </w:p>
        </w:tc>
        <w:tc>
          <w:tcPr>
            <w:tcW w:w="1040" w:type="dxa"/>
            <w:vAlign w:val="bottom"/>
            <w:gridSpan w:val="2"/>
          </w:tcPr>
          <w:p>
            <w:pPr>
              <w:jc w:val="right"/>
              <w:ind w:right="249"/>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860" w:type="dxa"/>
            <w:vAlign w:val="bottom"/>
            <w:gridSpan w:val="2"/>
          </w:tcPr>
          <w:p>
            <w:pPr>
              <w:jc w:val="right"/>
              <w:ind w:right="189"/>
              <w:spacing w:after="0" w:line="147" w:lineRule="exact"/>
              <w:rPr>
                <w:sz w:val="20"/>
                <w:szCs w:val="20"/>
                <w:color w:val="auto"/>
              </w:rPr>
            </w:pPr>
            <w:r>
              <w:rPr>
                <w:rFonts w:ascii="Times New Roman" w:cs="Times New Roman" w:eastAsia="Times New Roman" w:hAnsi="Times New Roman"/>
                <w:sz w:val="14"/>
                <w:szCs w:val="14"/>
                <w:color w:val="auto"/>
              </w:rPr>
              <w:t>(0.4)</w:t>
            </w:r>
          </w:p>
        </w:tc>
        <w:tc>
          <w:tcPr>
            <w:tcW w:w="820" w:type="dxa"/>
            <w:vAlign w:val="bottom"/>
            <w:gridSpan w:val="2"/>
          </w:tcPr>
          <w:p>
            <w:pPr>
              <w:jc w:val="right"/>
              <w:ind w:right="209"/>
              <w:spacing w:after="0" w:line="147" w:lineRule="exact"/>
              <w:rPr>
                <w:sz w:val="20"/>
                <w:szCs w:val="20"/>
                <w:color w:val="auto"/>
              </w:rPr>
            </w:pPr>
            <w:r>
              <w:rPr>
                <w:rFonts w:ascii="Times New Roman" w:cs="Times New Roman" w:eastAsia="Times New Roman" w:hAnsi="Times New Roman"/>
                <w:sz w:val="14"/>
                <w:szCs w:val="14"/>
                <w:color w:val="auto"/>
              </w:rPr>
              <w:t>(1.9)</w:t>
            </w:r>
          </w:p>
        </w:tc>
        <w:tc>
          <w:tcPr>
            <w:tcW w:w="1060" w:type="dxa"/>
            <w:vAlign w:val="bottom"/>
            <w:gridSpan w:val="2"/>
          </w:tcPr>
          <w:p>
            <w:pPr>
              <w:jc w:val="right"/>
              <w:ind w:right="269"/>
              <w:spacing w:after="0" w:line="147" w:lineRule="exact"/>
              <w:rPr>
                <w:sz w:val="20"/>
                <w:szCs w:val="20"/>
                <w:color w:val="auto"/>
              </w:rPr>
            </w:pPr>
            <w:r>
              <w:rPr>
                <w:rFonts w:ascii="Times New Roman" w:cs="Times New Roman" w:eastAsia="Times New Roman" w:hAnsi="Times New Roman"/>
                <w:sz w:val="14"/>
                <w:szCs w:val="14"/>
                <w:color w:val="auto"/>
              </w:rPr>
              <w:t>1.8</w:t>
            </w:r>
          </w:p>
        </w:tc>
        <w:tc>
          <w:tcPr>
            <w:tcW w:w="1060" w:type="dxa"/>
            <w:vAlign w:val="bottom"/>
            <w:gridSpan w:val="2"/>
          </w:tcPr>
          <w:p>
            <w:pPr>
              <w:jc w:val="right"/>
              <w:ind w:right="269"/>
              <w:spacing w:after="0" w:line="147" w:lineRule="exact"/>
              <w:rPr>
                <w:sz w:val="20"/>
                <w:szCs w:val="20"/>
                <w:color w:val="auto"/>
              </w:rPr>
            </w:pPr>
            <w:r>
              <w:rPr>
                <w:rFonts w:ascii="Times New Roman" w:cs="Times New Roman" w:eastAsia="Times New Roman" w:hAnsi="Times New Roman"/>
                <w:sz w:val="14"/>
                <w:szCs w:val="14"/>
                <w:color w:val="auto"/>
              </w:rPr>
              <w:t>0.2</w:t>
            </w:r>
          </w:p>
        </w:tc>
        <w:tc>
          <w:tcPr>
            <w:tcW w:w="820" w:type="dxa"/>
            <w:vAlign w:val="bottom"/>
            <w:gridSpan w:val="2"/>
          </w:tcPr>
          <w:p>
            <w:pPr>
              <w:jc w:val="right"/>
              <w:ind w:right="149"/>
              <w:spacing w:after="0" w:line="147" w:lineRule="exact"/>
              <w:rPr>
                <w:sz w:val="20"/>
                <w:szCs w:val="20"/>
                <w:color w:val="auto"/>
              </w:rPr>
            </w:pPr>
            <w:r>
              <w:rPr>
                <w:rFonts w:ascii="Times New Roman" w:cs="Times New Roman" w:eastAsia="Times New Roman" w:hAnsi="Times New Roman"/>
                <w:sz w:val="14"/>
                <w:szCs w:val="14"/>
                <w:color w:val="auto"/>
              </w:rPr>
              <w:t>(1.2)</w:t>
            </w:r>
          </w:p>
        </w:tc>
        <w:tc>
          <w:tcPr>
            <w:tcW w:w="700" w:type="dxa"/>
            <w:vAlign w:val="bottom"/>
            <w:gridSpan w:val="2"/>
          </w:tcPr>
          <w:p>
            <w:pPr>
              <w:jc w:val="right"/>
              <w:ind w:right="149"/>
              <w:spacing w:after="0" w:line="147"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82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Loss before income tax</w:t>
            </w:r>
          </w:p>
        </w:tc>
        <w:tc>
          <w:tcPr>
            <w:tcW w:w="860" w:type="dxa"/>
            <w:vAlign w:val="bottom"/>
            <w:gridSpan w:val="2"/>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(22.0)</w:t>
            </w:r>
          </w:p>
        </w:tc>
        <w:tc>
          <w:tcPr>
            <w:tcW w:w="820" w:type="dxa"/>
            <w:vAlign w:val="bottom"/>
            <w:gridSpan w:val="2"/>
            <w:vMerge w:val="restart"/>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(23.2)</w:t>
            </w:r>
          </w:p>
        </w:tc>
        <w:tc>
          <w:tcPr>
            <w:tcW w:w="1040" w:type="dxa"/>
            <w:vAlign w:val="bottom"/>
            <w:gridSpan w:val="2"/>
            <w:vMerge w:val="restart"/>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(20.7)</w:t>
            </w:r>
          </w:p>
        </w:tc>
        <w:tc>
          <w:tcPr>
            <w:tcW w:w="1040" w:type="dxa"/>
            <w:vAlign w:val="bottom"/>
            <w:gridSpan w:val="2"/>
            <w:vMerge w:val="restart"/>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(29.4)</w:t>
            </w:r>
          </w:p>
        </w:tc>
        <w:tc>
          <w:tcPr>
            <w:tcW w:w="860" w:type="dxa"/>
            <w:vAlign w:val="bottom"/>
            <w:gridSpan w:val="2"/>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(11.1)</w:t>
            </w:r>
          </w:p>
        </w:tc>
        <w:tc>
          <w:tcPr>
            <w:tcW w:w="820" w:type="dxa"/>
            <w:vAlign w:val="bottom"/>
            <w:gridSpan w:val="2"/>
            <w:vMerge w:val="restart"/>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(26.0)</w:t>
            </w:r>
          </w:p>
        </w:tc>
        <w:tc>
          <w:tcPr>
            <w:tcW w:w="1060" w:type="dxa"/>
            <w:vAlign w:val="bottom"/>
            <w:gridSpan w:val="2"/>
            <w:vMerge w:val="restart"/>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(15.7)</w:t>
            </w:r>
          </w:p>
        </w:tc>
        <w:tc>
          <w:tcPr>
            <w:tcW w:w="1060" w:type="dxa"/>
            <w:vAlign w:val="bottom"/>
            <w:gridSpan w:val="2"/>
            <w:vMerge w:val="restart"/>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(24.9)</w:t>
            </w:r>
          </w:p>
        </w:tc>
        <w:tc>
          <w:tcPr>
            <w:tcW w:w="820" w:type="dxa"/>
            <w:vAlign w:val="bottom"/>
            <w:gridSpan w:val="2"/>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(10.4)</w:t>
            </w:r>
          </w:p>
        </w:tc>
        <w:tc>
          <w:tcPr>
            <w:tcW w:w="700" w:type="dxa"/>
            <w:vAlign w:val="bottom"/>
            <w:gridSpan w:val="2"/>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8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2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Income tax expense</w:t>
            </w:r>
          </w:p>
        </w:tc>
        <w:tc>
          <w:tcPr>
            <w:tcW w:w="860" w:type="dxa"/>
            <w:vAlign w:val="bottom"/>
            <w:gridSpan w:val="2"/>
          </w:tcPr>
          <w:p>
            <w:pPr>
              <w:jc w:val="right"/>
              <w:ind w:right="249"/>
              <w:spacing w:after="0" w:line="147" w:lineRule="exact"/>
              <w:rPr>
                <w:sz w:val="20"/>
                <w:szCs w:val="20"/>
                <w:color w:val="auto"/>
              </w:rPr>
            </w:pPr>
            <w:r>
              <w:rPr>
                <w:rFonts w:ascii="Times New Roman" w:cs="Times New Roman" w:eastAsia="Times New Roman" w:hAnsi="Times New Roman"/>
                <w:sz w:val="14"/>
                <w:szCs w:val="14"/>
                <w:color w:val="auto"/>
              </w:rPr>
              <w:t>0.3</w:t>
            </w:r>
          </w:p>
        </w:tc>
        <w:tc>
          <w:tcPr>
            <w:tcW w:w="820" w:type="dxa"/>
            <w:vAlign w:val="bottom"/>
            <w:gridSpan w:val="2"/>
          </w:tcPr>
          <w:p>
            <w:pPr>
              <w:jc w:val="right"/>
              <w:ind w:right="254"/>
              <w:spacing w:after="0" w:line="147" w:lineRule="exact"/>
              <w:rPr>
                <w:sz w:val="20"/>
                <w:szCs w:val="20"/>
                <w:color w:val="auto"/>
              </w:rPr>
            </w:pPr>
            <w:r>
              <w:rPr>
                <w:rFonts w:ascii="Times New Roman" w:cs="Times New Roman" w:eastAsia="Times New Roman" w:hAnsi="Times New Roman"/>
                <w:sz w:val="14"/>
                <w:szCs w:val="14"/>
                <w:color w:val="auto"/>
              </w:rPr>
              <w:t>0.2</w:t>
            </w:r>
          </w:p>
        </w:tc>
        <w:tc>
          <w:tcPr>
            <w:tcW w:w="1040" w:type="dxa"/>
            <w:vAlign w:val="bottom"/>
            <w:gridSpan w:val="2"/>
          </w:tcPr>
          <w:p>
            <w:pPr>
              <w:jc w:val="right"/>
              <w:ind w:right="249"/>
              <w:spacing w:after="0" w:line="147" w:lineRule="exact"/>
              <w:rPr>
                <w:sz w:val="20"/>
                <w:szCs w:val="20"/>
                <w:color w:val="auto"/>
              </w:rPr>
            </w:pPr>
            <w:r>
              <w:rPr>
                <w:rFonts w:ascii="Times New Roman" w:cs="Times New Roman" w:eastAsia="Times New Roman" w:hAnsi="Times New Roman"/>
                <w:sz w:val="14"/>
                <w:szCs w:val="14"/>
                <w:color w:val="auto"/>
              </w:rPr>
              <w:t>0.1</w:t>
            </w:r>
          </w:p>
        </w:tc>
        <w:tc>
          <w:tcPr>
            <w:tcW w:w="1040" w:type="dxa"/>
            <w:vAlign w:val="bottom"/>
            <w:gridSpan w:val="2"/>
          </w:tcPr>
          <w:p>
            <w:pPr>
              <w:jc w:val="right"/>
              <w:ind w:right="249"/>
              <w:spacing w:after="0" w:line="147" w:lineRule="exact"/>
              <w:rPr>
                <w:sz w:val="20"/>
                <w:szCs w:val="20"/>
                <w:color w:val="auto"/>
              </w:rPr>
            </w:pPr>
            <w:r>
              <w:rPr>
                <w:rFonts w:ascii="Times New Roman" w:cs="Times New Roman" w:eastAsia="Times New Roman" w:hAnsi="Times New Roman"/>
                <w:sz w:val="14"/>
                <w:szCs w:val="14"/>
                <w:color w:val="auto"/>
              </w:rPr>
              <w:t>0.3</w:t>
            </w:r>
          </w:p>
        </w:tc>
        <w:tc>
          <w:tcPr>
            <w:tcW w:w="860" w:type="dxa"/>
            <w:vAlign w:val="bottom"/>
            <w:gridSpan w:val="2"/>
          </w:tcPr>
          <w:p>
            <w:pPr>
              <w:jc w:val="right"/>
              <w:ind w:right="249"/>
              <w:spacing w:after="0" w:line="147" w:lineRule="exact"/>
              <w:rPr>
                <w:sz w:val="20"/>
                <w:szCs w:val="20"/>
                <w:color w:val="auto"/>
              </w:rPr>
            </w:pPr>
            <w:r>
              <w:rPr>
                <w:rFonts w:ascii="Times New Roman" w:cs="Times New Roman" w:eastAsia="Times New Roman" w:hAnsi="Times New Roman"/>
                <w:sz w:val="14"/>
                <w:szCs w:val="14"/>
                <w:color w:val="auto"/>
              </w:rPr>
              <w:t>0.5</w:t>
            </w:r>
          </w:p>
        </w:tc>
        <w:tc>
          <w:tcPr>
            <w:tcW w:w="820" w:type="dxa"/>
            <w:vAlign w:val="bottom"/>
            <w:gridSpan w:val="2"/>
          </w:tcPr>
          <w:p>
            <w:pPr>
              <w:jc w:val="right"/>
              <w:ind w:right="269"/>
              <w:spacing w:after="0" w:line="147" w:lineRule="exact"/>
              <w:rPr>
                <w:sz w:val="20"/>
                <w:szCs w:val="20"/>
                <w:color w:val="auto"/>
              </w:rPr>
            </w:pPr>
            <w:r>
              <w:rPr>
                <w:rFonts w:ascii="Times New Roman" w:cs="Times New Roman" w:eastAsia="Times New Roman" w:hAnsi="Times New Roman"/>
                <w:sz w:val="14"/>
                <w:szCs w:val="14"/>
                <w:color w:val="auto"/>
              </w:rPr>
              <w:t>0.6</w:t>
            </w:r>
          </w:p>
        </w:tc>
        <w:tc>
          <w:tcPr>
            <w:tcW w:w="1060" w:type="dxa"/>
            <w:vAlign w:val="bottom"/>
            <w:gridSpan w:val="2"/>
          </w:tcPr>
          <w:p>
            <w:pPr>
              <w:jc w:val="right"/>
              <w:ind w:right="269"/>
              <w:spacing w:after="0" w:line="147" w:lineRule="exact"/>
              <w:rPr>
                <w:sz w:val="20"/>
                <w:szCs w:val="20"/>
                <w:color w:val="auto"/>
              </w:rPr>
            </w:pPr>
            <w:r>
              <w:rPr>
                <w:rFonts w:ascii="Times New Roman" w:cs="Times New Roman" w:eastAsia="Times New Roman" w:hAnsi="Times New Roman"/>
                <w:sz w:val="14"/>
                <w:szCs w:val="14"/>
                <w:color w:val="auto"/>
              </w:rPr>
              <w:t>0.4</w:t>
            </w:r>
          </w:p>
        </w:tc>
        <w:tc>
          <w:tcPr>
            <w:tcW w:w="1060" w:type="dxa"/>
            <w:vAlign w:val="bottom"/>
            <w:gridSpan w:val="2"/>
          </w:tcPr>
          <w:p>
            <w:pPr>
              <w:jc w:val="right"/>
              <w:ind w:right="269"/>
              <w:spacing w:after="0" w:line="147" w:lineRule="exact"/>
              <w:rPr>
                <w:sz w:val="20"/>
                <w:szCs w:val="20"/>
                <w:color w:val="auto"/>
              </w:rPr>
            </w:pPr>
            <w:r>
              <w:rPr>
                <w:rFonts w:ascii="Times New Roman" w:cs="Times New Roman" w:eastAsia="Times New Roman" w:hAnsi="Times New Roman"/>
                <w:sz w:val="14"/>
                <w:szCs w:val="14"/>
                <w:color w:val="auto"/>
              </w:rPr>
              <w:t>0.2</w:t>
            </w:r>
          </w:p>
        </w:tc>
        <w:tc>
          <w:tcPr>
            <w:tcW w:w="820" w:type="dxa"/>
            <w:vAlign w:val="bottom"/>
            <w:gridSpan w:val="2"/>
          </w:tcPr>
          <w:p>
            <w:pPr>
              <w:jc w:val="right"/>
              <w:ind w:right="209"/>
              <w:spacing w:after="0" w:line="147" w:lineRule="exact"/>
              <w:rPr>
                <w:sz w:val="20"/>
                <w:szCs w:val="20"/>
                <w:color w:val="auto"/>
              </w:rPr>
            </w:pPr>
            <w:r>
              <w:rPr>
                <w:rFonts w:ascii="Times New Roman" w:cs="Times New Roman" w:eastAsia="Times New Roman" w:hAnsi="Times New Roman"/>
                <w:sz w:val="14"/>
                <w:szCs w:val="14"/>
                <w:color w:val="auto"/>
              </w:rPr>
              <w:t>0.4</w:t>
            </w:r>
          </w:p>
        </w:tc>
        <w:tc>
          <w:tcPr>
            <w:tcW w:w="700" w:type="dxa"/>
            <w:vAlign w:val="bottom"/>
            <w:gridSpan w:val="2"/>
          </w:tcPr>
          <w:p>
            <w:pPr>
              <w:jc w:val="right"/>
              <w:ind w:right="149"/>
              <w:spacing w:after="0" w:line="147"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2"/>
            <w:shd w:val="clear" w:color="auto" w:fill="CCEEFF"/>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(22.3 )%</w:t>
            </w:r>
          </w:p>
        </w:tc>
        <w:tc>
          <w:tcPr>
            <w:tcW w:w="820" w:type="dxa"/>
            <w:vAlign w:val="bottom"/>
            <w:gridSpan w:val="2"/>
            <w:shd w:val="clear" w:color="auto" w:fill="CCEEFF"/>
          </w:tcPr>
          <w:p>
            <w:pPr>
              <w:jc w:val="right"/>
              <w:ind w:right="94"/>
              <w:spacing w:after="0" w:line="147" w:lineRule="exact"/>
              <w:rPr>
                <w:sz w:val="20"/>
                <w:szCs w:val="20"/>
                <w:color w:val="auto"/>
              </w:rPr>
            </w:pPr>
            <w:r>
              <w:rPr>
                <w:rFonts w:ascii="Times New Roman" w:cs="Times New Roman" w:eastAsia="Times New Roman" w:hAnsi="Times New Roman"/>
                <w:sz w:val="14"/>
                <w:szCs w:val="14"/>
                <w:color w:val="auto"/>
              </w:rPr>
              <w:t>(23.4 )%</w:t>
            </w:r>
          </w:p>
        </w:tc>
        <w:tc>
          <w:tcPr>
            <w:tcW w:w="1040" w:type="dxa"/>
            <w:vAlign w:val="bottom"/>
            <w:gridSpan w:val="2"/>
            <w:shd w:val="clear" w:color="auto" w:fill="CCEEFF"/>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rPr>
              <w:t>(20.8 )%</w:t>
            </w:r>
          </w:p>
        </w:tc>
        <w:tc>
          <w:tcPr>
            <w:tcW w:w="1040" w:type="dxa"/>
            <w:vAlign w:val="bottom"/>
            <w:gridSpan w:val="2"/>
            <w:shd w:val="clear" w:color="auto" w:fill="CCEEFF"/>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rPr>
              <w:t>(29.7 )%</w:t>
            </w:r>
          </w:p>
        </w:tc>
        <w:tc>
          <w:tcPr>
            <w:tcW w:w="860" w:type="dxa"/>
            <w:vAlign w:val="bottom"/>
            <w:gridSpan w:val="2"/>
            <w:shd w:val="clear" w:color="auto" w:fill="CCEEFF"/>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(11.6 )%</w:t>
            </w:r>
          </w:p>
        </w:tc>
        <w:tc>
          <w:tcPr>
            <w:tcW w:w="820" w:type="dxa"/>
            <w:vAlign w:val="bottom"/>
            <w:gridSpan w:val="2"/>
            <w:shd w:val="clear" w:color="auto" w:fill="CCEEFF"/>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rPr>
              <w:t>(26.6 )%</w:t>
            </w:r>
          </w:p>
        </w:tc>
        <w:tc>
          <w:tcPr>
            <w:tcW w:w="1060" w:type="dxa"/>
            <w:vAlign w:val="bottom"/>
            <w:gridSpan w:val="2"/>
            <w:shd w:val="clear" w:color="auto" w:fill="CCEEFF"/>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rPr>
              <w:t>(16.1 )%</w:t>
            </w:r>
          </w:p>
        </w:tc>
        <w:tc>
          <w:tcPr>
            <w:tcW w:w="1060" w:type="dxa"/>
            <w:vAlign w:val="bottom"/>
            <w:gridSpan w:val="2"/>
            <w:shd w:val="clear" w:color="auto" w:fill="CCEEFF"/>
          </w:tcPr>
          <w:p>
            <w:pPr>
              <w:jc w:val="right"/>
              <w:ind w:right="109"/>
              <w:spacing w:after="0" w:line="147" w:lineRule="exact"/>
              <w:rPr>
                <w:sz w:val="20"/>
                <w:szCs w:val="20"/>
                <w:color w:val="auto"/>
              </w:rPr>
            </w:pPr>
            <w:r>
              <w:rPr>
                <w:rFonts w:ascii="Times New Roman" w:cs="Times New Roman" w:eastAsia="Times New Roman" w:hAnsi="Times New Roman"/>
                <w:sz w:val="14"/>
                <w:szCs w:val="14"/>
                <w:color w:val="auto"/>
              </w:rPr>
              <w:t>(25.1 )%</w:t>
            </w:r>
          </w:p>
        </w:tc>
        <w:tc>
          <w:tcPr>
            <w:tcW w:w="820" w:type="dxa"/>
            <w:vAlign w:val="bottom"/>
            <w:gridSpan w:val="2"/>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(10.8 )%</w:t>
            </w: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(30.2 )%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Quarterly Trends</w:t>
      </w:r>
    </w:p>
    <w:p>
      <w:pPr>
        <w:spacing w:after="0" w:line="223" w:lineRule="exact"/>
        <w:rPr>
          <w:sz w:val="20"/>
          <w:szCs w:val="20"/>
          <w:color w:val="auto"/>
        </w:rPr>
      </w:pPr>
    </w:p>
    <w:p>
      <w:pPr>
        <w:ind w:left="160" w:right="400" w:firstLine="873"/>
        <w:spacing w:after="0" w:line="278" w:lineRule="auto"/>
        <w:rPr>
          <w:sz w:val="20"/>
          <w:szCs w:val="20"/>
          <w:color w:val="auto"/>
        </w:rPr>
      </w:pPr>
      <w:r>
        <w:rPr>
          <w:rFonts w:ascii="Times New Roman" w:cs="Times New Roman" w:eastAsia="Times New Roman" w:hAnsi="Times New Roman"/>
          <w:sz w:val="18"/>
          <w:szCs w:val="18"/>
          <w:color w:val="auto"/>
        </w:rPr>
        <w:t>We have experienced rapid growth in our business in recent periods and as a result, our revenues, margins and operating expenses have fluctuated for a variety of reasons. We expect quarterly fluctuations in our operating results to continue for the foreseeable future.</w:t>
      </w:r>
    </w:p>
    <w:p>
      <w:pPr>
        <w:spacing w:after="0" w:line="162" w:lineRule="exact"/>
        <w:rPr>
          <w:sz w:val="20"/>
          <w:szCs w:val="20"/>
          <w:color w:val="auto"/>
        </w:rPr>
      </w:pPr>
    </w:p>
    <w:p>
      <w:pPr>
        <w:ind w:left="160" w:right="100" w:firstLine="873"/>
        <w:spacing w:after="0" w:line="251" w:lineRule="auto"/>
        <w:rPr>
          <w:sz w:val="20"/>
          <w:szCs w:val="20"/>
          <w:color w:val="auto"/>
        </w:rPr>
      </w:pPr>
      <w:r>
        <w:rPr>
          <w:rFonts w:ascii="Times New Roman" w:cs="Times New Roman" w:eastAsia="Times New Roman" w:hAnsi="Times New Roman"/>
          <w:sz w:val="18"/>
          <w:szCs w:val="18"/>
          <w:color w:val="auto"/>
        </w:rPr>
        <w:t>Our total revenues increased consecutively for all periods presented primarily due to increased subscription revenues from new customers and expansion within existing customers. Variability in professional services revenues from quarter to quarter is driven primarily by the mix of engagements where we perform integration services versus those where our SI partners perform such services. Over the past ten quarters, professional services revenues have generally trended down as a percentage of total revenues, as we have increasingly penetrated larger financial institutions where we rely more heavily on our SI partners for these engagements. Our subscription gross margins have gradually improved over the quarters presented as we benefited from the mix of solutions sold. Professional services gross margins can vary substantially from quarter to quarter, based in part on the mix of engagements where we, as opposed to our SI partners, provide professional services. In the quarter ended January 31, 2020, we recorded negative professional services margins due to project mix, and in the quarter ended July 31, 2020, we recorded negative professional services gross margins primarily as a result of the one-time increase in stock-based compensation expenses as a result of our IPO.</w:t>
      </w:r>
    </w:p>
    <w:p>
      <w:pPr>
        <w:spacing w:after="0" w:line="192" w:lineRule="exact"/>
        <w:rPr>
          <w:sz w:val="20"/>
          <w:szCs w:val="20"/>
          <w:color w:val="auto"/>
        </w:rPr>
      </w:pPr>
    </w:p>
    <w:p>
      <w:pPr>
        <w:ind w:left="160" w:right="480" w:firstLine="873"/>
        <w:spacing w:after="0" w:line="278" w:lineRule="auto"/>
        <w:rPr>
          <w:sz w:val="20"/>
          <w:szCs w:val="20"/>
          <w:color w:val="auto"/>
        </w:rPr>
      </w:pPr>
      <w:r>
        <w:rPr>
          <w:rFonts w:ascii="Times New Roman" w:cs="Times New Roman" w:eastAsia="Times New Roman" w:hAnsi="Times New Roman"/>
          <w:sz w:val="18"/>
          <w:szCs w:val="18"/>
          <w:color w:val="auto"/>
        </w:rPr>
        <w:t>Total operating expenses generally increased consecutively for all periods presented due primarily to increases in headcount and other related personnel costs, including stock-based compensation expenses, to support our growth</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4" w:right="49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20"/>
        <w:spacing w:after="0" w:line="252" w:lineRule="auto"/>
        <w:rPr>
          <w:sz w:val="20"/>
          <w:szCs w:val="20"/>
          <w:color w:val="auto"/>
        </w:rPr>
      </w:pPr>
      <w:r>
        <w:rPr>
          <w:rFonts w:ascii="Times New Roman" w:cs="Times New Roman" w:eastAsia="Times New Roman" w:hAnsi="Times New Roman"/>
          <w:sz w:val="18"/>
          <w:szCs w:val="18"/>
          <w:color w:val="auto"/>
        </w:rPr>
        <w:t>quarter-over-quarter. We plan to continue our investment in sales and marketing for the foreseeable future and incur additional costs for increased headcount for our sales department. The decreased sales and marketing expenses in the quarter ended April 30, 2019 compared to the previous quarter was driven by seasonality of commissions achievement and conferences. We also plan to continue our investment in research and development for the foreseeable future as we focus on developing new applications and further enhancing the nCino Bank Operating System. For the foreseeable future, we also expect to continue to expand our general and administrative functions to support the continued growth of our business and our operations as a public company. During the second quarter of fiscal 2021, we experienced a significant one-time increase in operating expenses from stock-based compensation expenses that was due to the initial expense related to employee RSUs vesting as a result of the completion of our IPO on July 16, 2020 of $10.0 million.</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As of July 31, 2020, we had $388.2 million in cash and cash equivalents, and an accumulated deficit of $140.1 million. In July 2020, we received net proceeds of $268.4 million upon completion of our IPO on July 16, 2020. Our net losses have been driven by our investments in developing the nCino Bank Operating System, expanding our sales and marketing organization and scaling our finance and administrative functions to support our rapid growth. We expect to continue to incur operating losses for the foreseeable future.</w:t>
      </w:r>
    </w:p>
    <w:p>
      <w:pPr>
        <w:spacing w:after="0" w:line="180"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To date, we have funded our capital needs through issuances of common stock and collections from our customers. In July 2020, we closed our IPO of 9,269,000 shares of common stock (including shares issued pursuant to the exercise in full of the underwriters’ options to purchase additional shares) at a public offering price of $31.00 per share, resulting in aggregate net proceeds to us of $268.4 million after deducting underwriting discounts and commissions. We paid $1.3 million in additional IPO related costs during the six months ended July 31, 2020.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 In addition, our advanced billing and collection coupled with our recent growth has resulted in our cash used in operating activities generally being less than our net operating losses in recent periods.</w:t>
      </w:r>
    </w:p>
    <w:p>
      <w:pPr>
        <w:spacing w:after="0" w:line="187" w:lineRule="exact"/>
        <w:rPr>
          <w:sz w:val="20"/>
          <w:szCs w:val="20"/>
          <w:color w:val="auto"/>
        </w:rPr>
      </w:pPr>
    </w:p>
    <w:p>
      <w:pPr>
        <w:ind w:left="160" w:right="60" w:firstLine="873"/>
        <w:spacing w:after="0" w:line="253" w:lineRule="auto"/>
        <w:rPr>
          <w:sz w:val="20"/>
          <w:szCs w:val="20"/>
          <w:color w:val="auto"/>
        </w:rPr>
      </w:pPr>
      <w:r>
        <w:rPr>
          <w:rFonts w:ascii="Times New Roman" w:cs="Times New Roman" w:eastAsia="Times New Roman" w:hAnsi="Times New Roman"/>
          <w:sz w:val="18"/>
          <w:szCs w:val="18"/>
          <w:color w:val="auto"/>
        </w:rPr>
        <w:t>We believe that current cash and cash equivalents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 the continued expansion of our sales and marketing activities, investments in office facilities and other capital expenditure requirements and any potential future acquisitions.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nCino K.K.</w:t>
      </w:r>
    </w:p>
    <w:p>
      <w:pPr>
        <w:spacing w:after="0" w:line="225"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2020 and July 31, 2020, the redeemable non-controlling interest of non-controlling interests in nCino K.K. was $4.4 million.</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4" w:right="4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Summary Cash Flow information for fiscal 2018, 2019 and 2020 are set forth below.</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0" w:type="dxa"/>
            <w:vAlign w:val="bottom"/>
          </w:tcPr>
          <w:p>
            <w:pPr>
              <w:spacing w:after="0"/>
              <w:rPr>
                <w:sz w:val="1"/>
                <w:szCs w:val="1"/>
                <w:color w:val="auto"/>
              </w:rPr>
            </w:pPr>
          </w:p>
        </w:tc>
      </w:tr>
      <w:tr>
        <w:trPr>
          <w:trHeight w:val="140"/>
        </w:trPr>
        <w:tc>
          <w:tcPr>
            <w:tcW w:w="49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660" w:type="dxa"/>
            <w:vAlign w:val="bottom"/>
            <w:tcBorders>
              <w:top w:val="single" w:sz="8" w:color="auto"/>
            </w:tcBorders>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51"/>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5"/>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jc w:val="right"/>
              <w:ind w:right="104"/>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5"/>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$(15,958)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$(4,589)</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(8,998)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$ 10,707</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31,906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(2,837)</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(7,965)</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(58,027)</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(50,843)</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(2,936)</w:t>
            </w:r>
          </w:p>
        </w:tc>
        <w:tc>
          <w:tcPr>
            <w:tcW w:w="0" w:type="dxa"/>
            <w:vAlign w:val="bottom"/>
          </w:tcPr>
          <w:p>
            <w:pPr>
              <w:spacing w:after="0"/>
              <w:rPr>
                <w:sz w:val="1"/>
                <w:szCs w:val="1"/>
                <w:color w:val="auto"/>
              </w:rPr>
            </w:pPr>
          </w:p>
        </w:tc>
      </w:tr>
      <w:tr>
        <w:trPr>
          <w:trHeight w:val="21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70,137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84,091</w:t>
            </w: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537</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(267,891)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223"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color w:val="auto"/>
        </w:rPr>
        <w:t>The $31.9 million provided by operating activities in the six months ended July 31, 2020 reflects our net loss of $19.6 million, offset by $20.9 million in non-cash charges and $30.6 million generated by changes in working capital accounts. Non-cash charges primarily consisted of stock-based compensation, depreciation and amortization, and amortization of costs capitalized to obtain revenue contracts. Cash generated by working capital accounts was principally a function of a $25.2 million increase in our deferred revenue, as we expanded our customer base and renewed existing customers, and a $12.6 million decrease in accounts receivable. The cash generated by working capital accounts was partially offset by a $3.5 million decrease in accounts payable and accrued expenses and other liabilities, a decrease of $0.1 million in deferred rent, and payments of $3.6 million of capitalized costs to obtain revenue contracts, which consisted primarily of sales commissions.</w:t>
      </w:r>
    </w:p>
    <w:p>
      <w:pPr>
        <w:spacing w:after="0" w:line="184" w:lineRule="exact"/>
        <w:rPr>
          <w:sz w:val="20"/>
          <w:szCs w:val="20"/>
          <w:color w:val="auto"/>
        </w:rPr>
      </w:pPr>
    </w:p>
    <w:p>
      <w:pPr>
        <w:ind w:left="160" w:firstLine="873"/>
        <w:spacing w:after="0" w:line="270" w:lineRule="auto"/>
        <w:rPr>
          <w:sz w:val="20"/>
          <w:szCs w:val="20"/>
          <w:color w:val="auto"/>
        </w:rPr>
      </w:pPr>
      <w:r>
        <w:rPr>
          <w:rFonts w:ascii="Times New Roman" w:cs="Times New Roman" w:eastAsia="Times New Roman" w:hAnsi="Times New Roman"/>
          <w:sz w:val="17"/>
          <w:szCs w:val="17"/>
          <w:color w:val="auto"/>
        </w:rPr>
        <w:t>The $10.7 million provided by operating activities in the six months ended July 31, 2019 reflects our net loss of $11.9 million, offset by $6.5 million in non-cash charges and $16.1 million generated by changes in working capital accounts. Non-cash charges primarily consisted of stock-based compensation, depreciation and amortization, and amortization of costs capitalized to obtain revenue contracts. Cash generated by working capital accounts was principally a function of a $14.4 million increase in our deferred revenue, as we expanded our customer base and renewed existing customers, a $1.0 million increase in deferred rent, and a $4.2 million decrease in accounts receivable. The cash generated by working capital accounts was partially offset by a $1.6 million decrease in accounts payable and accrued expenses and other liabilities, a $0.1 million increase in prepaid expenses and other assets, and payments of $1.8 million of capitalized costs to obtain revenue contracts, which consisted primarily of sales commissions.</w:t>
      </w:r>
    </w:p>
    <w:p>
      <w:pPr>
        <w:spacing w:after="0" w:line="172" w:lineRule="exact"/>
        <w:rPr>
          <w:sz w:val="20"/>
          <w:szCs w:val="20"/>
          <w:color w:val="auto"/>
        </w:rPr>
      </w:pPr>
    </w:p>
    <w:p>
      <w:pPr>
        <w:ind w:left="160" w:right="120" w:firstLine="873"/>
        <w:spacing w:after="0" w:line="254" w:lineRule="auto"/>
        <w:rPr>
          <w:sz w:val="20"/>
          <w:szCs w:val="20"/>
          <w:color w:val="auto"/>
        </w:rPr>
      </w:pPr>
      <w:r>
        <w:rPr>
          <w:rFonts w:ascii="Times New Roman" w:cs="Times New Roman" w:eastAsia="Times New Roman" w:hAnsi="Times New Roman"/>
          <w:sz w:val="18"/>
          <w:szCs w:val="18"/>
          <w:color w:val="auto"/>
        </w:rPr>
        <w:t>The $9.0 million we used in operating activities in fiscal 2020 was driven by our net loss of $27.7 million, partially offset by $13.7 million in non-cash charges and $5.1 million generated by changes in working capital accounts. Cash generated by working capital accounts was principally a function of a $22.0 million increase in our deferred revenue, as we expanded our customer base and renewed existing customers, and a $3.5 million increase in accounts payable and accrued expenses and other liabilities. The cash generated by working capital accounts was partially offset by an increase of $14.2 million in accounts receivable due to the timing of collections from customers, payments of $5.6 million of capitalized costs to obtain revenue contracts, which consist primarily of sales commissions, and a $1.6 million increase in prepaid expenses and other assets.</w:t>
      </w:r>
    </w:p>
    <w:p>
      <w:pPr>
        <w:spacing w:after="0" w:line="184"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The $4.6 million we used in operating activities in fiscal 2019 was driven by our net loss of $22.3 million, partially offset by $5.7 million in non-cash charges and $12.1 million generated by changes in working capital accounts. Cash generated by working capital accounts was principally a function of a $13.5 million increase in our deferred revenue, as we expanded our customer base and renewed existing customers, and a $4.7 million increase in accounts payable and accrued expenses. The cash generated by working capital accounts was partially offset by an increase of $5.7 million in accounts receivable due to the timing of collections from customers and a $1.2 million increase in prepaid expenses and other assets.</w:t>
      </w:r>
    </w:p>
    <w:p>
      <w:pPr>
        <w:spacing w:after="0" w:line="184"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The $16.0 million we used in operating activities in fiscal 2018 was driven by our net loss of $18.6 million and $1.8 million used in working capital accounts, partially offset by $4.5 million in non-cash</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4" w:right="49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charges. Cash used in working capital was principally a function of a $12.4 million increase in accounts receivable due to the timing of collections from customers, partially offset by a $10.8 million increase in deferred revenue, as we expanded our customer base and renewed existing customers.</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223" w:lineRule="exact"/>
        <w:rPr>
          <w:sz w:val="20"/>
          <w:szCs w:val="20"/>
          <w:color w:val="auto"/>
        </w:rPr>
      </w:pPr>
    </w:p>
    <w:p>
      <w:pPr>
        <w:ind w:left="160" w:right="520" w:firstLine="873"/>
        <w:spacing w:after="0" w:line="278" w:lineRule="auto"/>
        <w:rPr>
          <w:sz w:val="20"/>
          <w:szCs w:val="20"/>
          <w:color w:val="auto"/>
        </w:rPr>
      </w:pPr>
      <w:r>
        <w:rPr>
          <w:rFonts w:ascii="Times New Roman" w:cs="Times New Roman" w:eastAsia="Times New Roman" w:hAnsi="Times New Roman"/>
          <w:sz w:val="18"/>
          <w:szCs w:val="18"/>
          <w:color w:val="auto"/>
        </w:rPr>
        <w:t>In fiscal 2020, we used $52.3 million in investing activities to acquire Visible Equity and FinSuite for their product offerings, domain expertise, analytics and data recognition capabilities.</w:t>
      </w:r>
    </w:p>
    <w:p>
      <w:pPr>
        <w:spacing w:after="0" w:line="162" w:lineRule="exact"/>
        <w:rPr>
          <w:sz w:val="20"/>
          <w:szCs w:val="20"/>
          <w:color w:val="auto"/>
        </w:rPr>
      </w:pPr>
    </w:p>
    <w:p>
      <w:pPr>
        <w:ind w:left="160" w:right="260" w:firstLine="873"/>
        <w:spacing w:after="0" w:line="255" w:lineRule="auto"/>
        <w:rPr>
          <w:sz w:val="20"/>
          <w:szCs w:val="20"/>
          <w:color w:val="auto"/>
        </w:rPr>
      </w:pPr>
      <w:r>
        <w:rPr>
          <w:rFonts w:ascii="Times New Roman" w:cs="Times New Roman" w:eastAsia="Times New Roman" w:hAnsi="Times New Roman"/>
          <w:sz w:val="18"/>
          <w:szCs w:val="18"/>
          <w:color w:val="auto"/>
        </w:rPr>
        <w:t>We used $5.8 million, $8.0 million and $2.8 million in investing activities in fiscal 2020, 2019 and fiscal 2018, respectively. We used $2.9 million in investing activities in the six months ended July 31, 2020 for the purchase of property and equipment and leasehold improvements to support the expansion of our business. The $50.8 million used in investing activities in the six months ended July 31, 2019 comprised of $2.6 million used for the purchase of property and equipment and leasehold improvements to support the expansion of our business and $48.2 million used in the acquisition of Visible Equity.</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3" w:lineRule="exact"/>
        <w:rPr>
          <w:sz w:val="20"/>
          <w:szCs w:val="20"/>
          <w:color w:val="auto"/>
        </w:rPr>
      </w:pPr>
    </w:p>
    <w:p>
      <w:pPr>
        <w:ind w:left="160" w:right="140" w:firstLine="873"/>
        <w:spacing w:after="0" w:line="258" w:lineRule="auto"/>
        <w:rPr>
          <w:sz w:val="20"/>
          <w:szCs w:val="20"/>
          <w:color w:val="auto"/>
        </w:rPr>
      </w:pPr>
      <w:r>
        <w:rPr>
          <w:rFonts w:ascii="Times New Roman" w:cs="Times New Roman" w:eastAsia="Times New Roman" w:hAnsi="Times New Roman"/>
          <w:sz w:val="18"/>
          <w:szCs w:val="18"/>
          <w:color w:val="auto"/>
        </w:rPr>
        <w:t>The $267.9 million provided by financing activities in the six months ended July 31, 2020 was comprised $268.4 million in proceeds from the initial public offering in July 2020, net of underwriting discounts and commissions and $0.9 million of proceeds from the exercise of stock options. The cash provided by financing activities was partially reduced by payments of $1.3 million in costs related to the IPO. The $0.5 million provided by financing activities in the six months ended July 31, 2019 was comprised of proceeds from the exercise of stock options.</w:t>
      </w:r>
    </w:p>
    <w:p>
      <w:pPr>
        <w:spacing w:after="0" w:line="180"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The $84.1 million provided by financing activities in fiscal 2020 was comprised principally of $79.9 million in proceeds from equity financings, net of issuance costs, as well as $4.5 million in proceeds from the non-controlling interest for our Japan joint venture and $1.0 million of proceeds from the exercise of stock options. The cash provided by financing activities was partially offset by payments of $1.4 million in deferred costs associated with our IPO. The $6.3 million provided by financing activities in fiscal 2019 was comprised of proceeds from the exercise of stock options. The $70.1 million provided by financing activities in fiscal 2018 was comprised principally of $69.2 million in proceeds from equity financings, net of issuance costs, as well as $0.9 million of proceeds from the exercise of stock options.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ind w:left="160" w:right="80" w:firstLine="873"/>
        <w:spacing w:after="0" w:line="263" w:lineRule="auto"/>
        <w:rPr>
          <w:sz w:val="20"/>
          <w:szCs w:val="20"/>
          <w:color w:val="auto"/>
        </w:rPr>
      </w:pPr>
      <w:r>
        <w:rPr>
          <w:rFonts w:ascii="Times New Roman" w:cs="Times New Roman" w:eastAsia="Times New Roman" w:hAnsi="Times New Roman"/>
          <w:sz w:val="18"/>
          <w:szCs w:val="18"/>
          <w:color w:val="auto"/>
        </w:rPr>
        <w:t>Our principal commitments consist of future minimum lease payments under non-cancelable operating leases related to our facilities and equipment and a minimum purchase commitment to a related party. The following table summarizes our contractual obligations and commitments as of January 31, 2020.</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Payment due by period (in thousands)</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40" w:type="dxa"/>
            <w:vAlign w:val="bottom"/>
          </w:tcPr>
          <w:p>
            <w:pPr>
              <w:spacing w:after="0"/>
              <w:rPr>
                <w:sz w:val="10"/>
                <w:szCs w:val="10"/>
                <w:color w:val="auto"/>
              </w:rPr>
            </w:pPr>
          </w:p>
        </w:tc>
        <w:tc>
          <w:tcPr>
            <w:tcW w:w="78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80" w:type="dxa"/>
            <w:vAlign w:val="bottom"/>
          </w:tcPr>
          <w:p>
            <w:pPr>
              <w:spacing w:after="0"/>
              <w:rPr>
                <w:sz w:val="10"/>
                <w:szCs w:val="10"/>
                <w:color w:val="auto"/>
              </w:rPr>
            </w:pPr>
          </w:p>
        </w:tc>
        <w:tc>
          <w:tcPr>
            <w:tcW w:w="880" w:type="dxa"/>
            <w:vAlign w:val="bottom"/>
            <w:gridSpan w:val="2"/>
          </w:tcPr>
          <w:p>
            <w:pPr>
              <w:jc w:val="center"/>
              <w:ind w:right="380"/>
              <w:spacing w:after="0" w:line="116" w:lineRule="exact"/>
              <w:rPr>
                <w:sz w:val="20"/>
                <w:szCs w:val="20"/>
                <w:color w:val="auto"/>
              </w:rPr>
            </w:pPr>
            <w:r>
              <w:rPr>
                <w:rFonts w:ascii="Times New Roman" w:cs="Times New Roman" w:eastAsia="Times New Roman" w:hAnsi="Times New Roman"/>
                <w:sz w:val="13"/>
                <w:szCs w:val="13"/>
                <w:b w:val="1"/>
                <w:bCs w:val="1"/>
                <w:color w:val="auto"/>
              </w:rPr>
              <w:t>1 to 3</w:t>
            </w:r>
          </w:p>
        </w:tc>
        <w:tc>
          <w:tcPr>
            <w:tcW w:w="680" w:type="dxa"/>
            <w:vAlign w:val="bottom"/>
            <w:gridSpan w:val="2"/>
          </w:tcPr>
          <w:p>
            <w:pPr>
              <w:ind w:left="80"/>
              <w:spacing w:after="0" w:line="116" w:lineRule="exact"/>
              <w:rPr>
                <w:sz w:val="20"/>
                <w:szCs w:val="20"/>
                <w:color w:val="auto"/>
              </w:rPr>
            </w:pPr>
            <w:r>
              <w:rPr>
                <w:rFonts w:ascii="Times New Roman" w:cs="Times New Roman" w:eastAsia="Times New Roman" w:hAnsi="Times New Roman"/>
                <w:sz w:val="13"/>
                <w:szCs w:val="13"/>
                <w:b w:val="1"/>
                <w:bCs w:val="1"/>
                <w:color w:val="auto"/>
              </w:rPr>
              <w:t>3 to 5</w:t>
            </w:r>
          </w:p>
        </w:tc>
        <w:tc>
          <w:tcPr>
            <w:tcW w:w="180" w:type="dxa"/>
            <w:vAlign w:val="bottom"/>
          </w:tcPr>
          <w:p>
            <w:pPr>
              <w:spacing w:after="0"/>
              <w:rPr>
                <w:sz w:val="10"/>
                <w:szCs w:val="10"/>
                <w:color w:val="auto"/>
              </w:rPr>
            </w:pPr>
          </w:p>
        </w:tc>
        <w:tc>
          <w:tcPr>
            <w:tcW w:w="114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More than 5</w:t>
            </w:r>
          </w:p>
        </w:tc>
        <w:tc>
          <w:tcPr>
            <w:tcW w:w="6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2"/>
        </w:trPr>
        <w:tc>
          <w:tcPr>
            <w:tcW w:w="420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18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$8,338</w:t>
            </w:r>
          </w:p>
        </w:tc>
        <w:tc>
          <w:tcPr>
            <w:tcW w:w="3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2"/>
              </w:rPr>
              <w:t>$4,521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$22,725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Purchase commitments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6,268</w:t>
            </w:r>
          </w:p>
        </w:tc>
        <w:tc>
          <w:tcPr>
            <w:tcW w:w="106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8,338</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4,521</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3,798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22,925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right="500" w:firstLine="873"/>
        <w:spacing w:after="0" w:line="263" w:lineRule="auto"/>
        <w:rPr>
          <w:sz w:val="20"/>
          <w:szCs w:val="20"/>
          <w:color w:val="auto"/>
        </w:rPr>
      </w:pPr>
      <w:r>
        <w:rPr>
          <w:rFonts w:ascii="Times New Roman" w:cs="Times New Roman" w:eastAsia="Times New Roman" w:hAnsi="Times New Roman"/>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54" w:right="49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5" w:lineRule="exact"/>
        <w:rPr>
          <w:sz w:val="20"/>
          <w:szCs w:val="20"/>
          <w:color w:val="auto"/>
        </w:rPr>
      </w:pPr>
    </w:p>
    <w:p>
      <w:pPr>
        <w:ind w:left="160" w:right="360" w:firstLine="873"/>
        <w:spacing w:after="0" w:line="285"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225" w:lineRule="exact"/>
        <w:rPr>
          <w:sz w:val="20"/>
          <w:szCs w:val="20"/>
          <w:color w:val="auto"/>
        </w:rPr>
      </w:pPr>
    </w:p>
    <w:p>
      <w:pPr>
        <w:jc w:val="both"/>
        <w:ind w:left="160" w:right="60" w:firstLine="873"/>
        <w:spacing w:after="0" w:line="263"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5" w:lineRule="exact"/>
        <w:rPr>
          <w:sz w:val="20"/>
          <w:szCs w:val="20"/>
          <w:color w:val="auto"/>
        </w:rPr>
      </w:pPr>
    </w:p>
    <w:p>
      <w:pPr>
        <w:ind w:left="160" w:right="40" w:firstLine="873"/>
        <w:spacing w:after="0" w:line="258" w:lineRule="auto"/>
        <w:rPr>
          <w:sz w:val="20"/>
          <w:szCs w:val="20"/>
          <w:color w:val="auto"/>
        </w:rPr>
      </w:pPr>
      <w:r>
        <w:rPr>
          <w:rFonts w:ascii="Times New Roman" w:cs="Times New Roman" w:eastAsia="Times New Roman" w:hAnsi="Times New Roman"/>
          <w:sz w:val="18"/>
          <w:szCs w:val="18"/>
          <w:color w:val="auto"/>
        </w:rPr>
        <w:t>At July 31, 2020, we had cash and cash equivalents of $388.2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prospectus. We do not enter into investments for trading or speculative purposes and have not used any derivative financial instruments to manage our interest rate risk exposure.</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5" w:lineRule="exact"/>
        <w:rPr>
          <w:sz w:val="20"/>
          <w:szCs w:val="20"/>
          <w:color w:val="auto"/>
        </w:rPr>
      </w:pPr>
    </w:p>
    <w:p>
      <w:pPr>
        <w:ind w:left="160" w:right="240" w:firstLine="873"/>
        <w:spacing w:after="0" w:line="268" w:lineRule="auto"/>
        <w:rPr>
          <w:sz w:val="20"/>
          <w:szCs w:val="20"/>
          <w:color w:val="auto"/>
        </w:rPr>
      </w:pPr>
      <w:r>
        <w:rPr>
          <w:rFonts w:ascii="Times New Roman" w:cs="Times New Roman" w:eastAsia="Times New Roman" w:hAnsi="Times New Roman"/>
          <w:sz w:val="17"/>
          <w:szCs w:val="17"/>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United States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5"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appearing elsewhere in this prospectus for a description of our other significant accounting policies. The preparation of our consolidated financial statements in conformity with accounting principles generally accepted in the U.S.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ind w:left="160" w:right="180" w:firstLine="873"/>
        <w:spacing w:after="0" w:line="278" w:lineRule="auto"/>
        <w:rPr>
          <w:sz w:val="20"/>
          <w:szCs w:val="20"/>
          <w:color w:val="auto"/>
        </w:rPr>
      </w:pPr>
      <w:r>
        <w:rPr>
          <w:rFonts w:ascii="Times New Roman" w:cs="Times New Roman" w:eastAsia="Times New Roman" w:hAnsi="Times New Roman"/>
          <w:sz w:val="18"/>
          <w:szCs w:val="18"/>
          <w:color w:val="auto"/>
        </w:rPr>
        <w:t>Effective February 1, 2019, we adopted the requirement of Accounting Standards Update, or ASU No. 2014-09 “Revenue from Contracts with Customers (Topic 606)” (“ASU 2014-09”) utilizing the modified</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40"/>
          </w:cols>
          <w:pgMar w:left="320" w:top="454" w:right="5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160"/>
        <w:spacing w:after="0" w:line="258" w:lineRule="auto"/>
        <w:rPr>
          <w:sz w:val="20"/>
          <w:szCs w:val="20"/>
          <w:color w:val="auto"/>
        </w:rPr>
      </w:pPr>
      <w:r>
        <w:rPr>
          <w:rFonts w:ascii="Times New Roman" w:cs="Times New Roman" w:eastAsia="Times New Roman" w:hAnsi="Times New Roman"/>
          <w:sz w:val="18"/>
          <w:szCs w:val="18"/>
          <w:color w:val="auto"/>
        </w:rPr>
        <w:t>retrospective method of transition. Prior period information has not been restated and continues to be reported under the accounting standards in effect for those periods. The new revenue standard was applied to contracts that were not completed as of the adoption date, consistent with transition guidance. For further information regarding the effects of the adoption of Topic 606 on revenue recognition, please refer to Note 2 to our Consolidated Financial Statements appearing elsewhere in this prospectus.</w:t>
      </w:r>
    </w:p>
    <w:p>
      <w:pPr>
        <w:spacing w:after="0" w:line="180"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We derive our revenues from subscriptions and professional services. We recognize revenues when a contract exists between the Company and a customer and upon transfer of control of promised products or services to such customer in an amount that reflects the consideration we expect to receive in exchange for those products or services. We enter into contracts that can include various combinations of subscriptions and professional services, which may be capable of being distinct and accounted for as separate performance obligations, or in the case of offerings such as subscriptions, services and support, accounted for as a single performance obligation. Revenues are recognized net of allowances and any taxes collected from customers, which are subsequently remitted to governmental authorities.</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248" w:lineRule="exact"/>
        <w:rPr>
          <w:sz w:val="20"/>
          <w:szCs w:val="20"/>
          <w:color w:val="auto"/>
        </w:rPr>
      </w:pPr>
    </w:p>
    <w:p>
      <w:pPr>
        <w:ind w:left="1460" w:hanging="316"/>
        <w:spacing w:after="0"/>
        <w:tabs>
          <w:tab w:leader="none" w:pos="1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revenues when, or as, the Company satisfies a performance obligation</w:t>
      </w:r>
    </w:p>
    <w:p>
      <w:pPr>
        <w:spacing w:after="0" w:line="21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223" w:lineRule="exact"/>
        <w:rPr>
          <w:sz w:val="20"/>
          <w:szCs w:val="20"/>
          <w:color w:val="auto"/>
        </w:rPr>
      </w:pPr>
    </w:p>
    <w:p>
      <w:pPr>
        <w:ind w:left="160" w:right="60" w:firstLine="873"/>
        <w:spacing w:after="0" w:line="270" w:lineRule="auto"/>
        <w:rPr>
          <w:sz w:val="20"/>
          <w:szCs w:val="20"/>
          <w:color w:val="auto"/>
        </w:rPr>
      </w:pPr>
      <w:r>
        <w:rPr>
          <w:rFonts w:ascii="Times New Roman" w:cs="Times New Roman" w:eastAsia="Times New Roman" w:hAnsi="Times New Roman"/>
          <w:sz w:val="17"/>
          <w:szCs w:val="17"/>
          <w:color w:val="auto"/>
        </w:rPr>
        <w:t>Subscription revenues primarily consist of fees for providing customers access to our cloud applications,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our service is made available to the customer, which we believe best reflects the manner in which our customers utilize our subscription offerings. Arrangements with customers do not provide the customer with the right to take possession of the software supporting the cloud-based application service at any time and, as a result, are accounted for as a service contract. Generally, our subscription contracts are three years or longer in length, billed annually in advance, are non-cancelable and do not contain refund-type provisions. Any subscription arrangements that are cancelable generally have penalty clauses.</w:t>
      </w:r>
    </w:p>
    <w:p>
      <w:pPr>
        <w:spacing w:after="0" w:line="17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Professional Services Revenues</w:t>
      </w:r>
    </w:p>
    <w:p>
      <w:pPr>
        <w:spacing w:after="0" w:line="223" w:lineRule="exact"/>
        <w:rPr>
          <w:sz w:val="20"/>
          <w:szCs w:val="20"/>
          <w:color w:val="auto"/>
        </w:rPr>
      </w:pPr>
    </w:p>
    <w:p>
      <w:pPr>
        <w:ind w:left="160" w:right="260" w:firstLine="873"/>
        <w:spacing w:after="0" w:line="258" w:lineRule="auto"/>
        <w:rPr>
          <w:sz w:val="20"/>
          <w:szCs w:val="20"/>
          <w:color w:val="auto"/>
        </w:rPr>
      </w:pPr>
      <w:r>
        <w:rPr>
          <w:rFonts w:ascii="Times New Roman" w:cs="Times New Roman" w:eastAsia="Times New Roman" w:hAnsi="Times New Roman"/>
          <w:sz w:val="18"/>
          <w:szCs w:val="18"/>
          <w:color w:val="auto"/>
        </w:rPr>
        <w:t>Professional services revenues primarily consist of fees for deployment, configuration and optimization services, as well as training. The majority of our professional services contracts are billed on a fixed price basis, and revenues are recognized over time based on a proportional performance methodology which utilizes input methods. A portion of our professional services contracts are billed on a time and materials basis and revenues are recognized over time as the services are performed.</w:t>
      </w:r>
    </w:p>
    <w:p>
      <w:pPr>
        <w:spacing w:after="0" w:line="17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223" w:lineRule="exact"/>
        <w:rPr>
          <w:sz w:val="20"/>
          <w:szCs w:val="20"/>
          <w:color w:val="auto"/>
        </w:rPr>
      </w:pPr>
    </w:p>
    <w:p>
      <w:pPr>
        <w:ind w:left="160" w:right="80" w:firstLine="873"/>
        <w:spacing w:after="0" w:line="278" w:lineRule="auto"/>
        <w:rPr>
          <w:sz w:val="20"/>
          <w:szCs w:val="20"/>
          <w:color w:val="auto"/>
        </w:rPr>
      </w:pPr>
      <w:r>
        <w:rPr>
          <w:rFonts w:ascii="Times New Roman" w:cs="Times New Roman" w:eastAsia="Times New Roman" w:hAnsi="Times New Roman"/>
          <w:sz w:val="18"/>
          <w:szCs w:val="18"/>
          <w:color w:val="auto"/>
        </w:rPr>
        <w:t>Most of our contracts with customers contain multiple performance obligations. For these contracts, we account for individual performance obligations separately if they are distinct. The transaction price is allocated to</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60"/>
          </w:cols>
          <w:pgMar w:left="320" w:top="454" w:right="51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the separate performance obligations on a relative standalone selling price (“SSP”) basis. We determine SSP by considering its overall pricing objectives and market conditions. Significant pricing practices taken into consideration include our discounting practices, the size and volume of our transactions, the customer demographic, the geographic area where services are sold, price lists, our go-to-market strategy, historical sales and contract prices. As our go-to-market strategies evolve, we may modify its pricing practices in the future, which could result in changes to SSP.</w:t>
      </w:r>
    </w:p>
    <w:p>
      <w:pPr>
        <w:spacing w:after="0" w:line="180" w:lineRule="exact"/>
        <w:rPr>
          <w:sz w:val="20"/>
          <w:szCs w:val="20"/>
          <w:color w:val="auto"/>
        </w:rPr>
      </w:pPr>
    </w:p>
    <w:p>
      <w:pPr>
        <w:jc w:val="both"/>
        <w:ind w:left="160" w:right="140" w:firstLine="873"/>
        <w:spacing w:after="0" w:line="263" w:lineRule="auto"/>
        <w:rPr>
          <w:sz w:val="20"/>
          <w:szCs w:val="20"/>
          <w:color w:val="auto"/>
        </w:rPr>
      </w:pPr>
      <w:r>
        <w:rPr>
          <w:rFonts w:ascii="Times New Roman" w:cs="Times New Roman" w:eastAsia="Times New Roman" w:hAnsi="Times New Roman"/>
          <w:sz w:val="18"/>
          <w:szCs w:val="18"/>
          <w:color w:val="auto"/>
        </w:rPr>
        <w:t>Given the variability of pricing, we use a range of SSP. We determine the SSP range using information that may include market conditions or other observable inputs. We typically have more than one SSP for individual products and services due to the stratification of products and services by customer size.</w:t>
      </w:r>
    </w:p>
    <w:p>
      <w:pPr>
        <w:spacing w:after="0" w:line="175" w:lineRule="exact"/>
        <w:rPr>
          <w:sz w:val="20"/>
          <w:szCs w:val="20"/>
          <w:color w:val="auto"/>
        </w:rPr>
      </w:pPr>
    </w:p>
    <w:p>
      <w:pPr>
        <w:ind w:left="160" w:right="60" w:firstLine="873"/>
        <w:spacing w:after="0" w:line="254" w:lineRule="auto"/>
        <w:rPr>
          <w:sz w:val="20"/>
          <w:szCs w:val="20"/>
          <w:color w:val="auto"/>
        </w:rPr>
      </w:pPr>
      <w:r>
        <w:rPr>
          <w:rFonts w:ascii="Times New Roman" w:cs="Times New Roman" w:eastAsia="Times New Roman" w:hAnsi="Times New Roman"/>
          <w:sz w:val="18"/>
          <w:szCs w:val="18"/>
          <w:color w:val="auto"/>
        </w:rPr>
        <w:t>In accordance with ASU 2014-09, each quarter we disclose remaining performance obligations (RPOs) in the footnotes to our financial statements. RPOs represent contracted revenues that have not yet been recognized, including deferred revenue and unbilled amounts that we expect will be recognized as revenues in future periods. Our reported RPO balance is influenced by several factors, including the timing of renewals, average contract terms and foreign currency exchange rates. Because we often enter into large, multi-year contracts and the timing of renewal of these contracts varies by customer, our reported RPOs may fluctuate significantly from period to period, and we do not believe this measure is a useful gauge of our future performance. For these reasons, we do not use RPOs as a tool for managing our business.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5" w:lineRule="exact"/>
        <w:rPr>
          <w:sz w:val="20"/>
          <w:szCs w:val="20"/>
          <w:color w:val="auto"/>
        </w:rPr>
      </w:pPr>
    </w:p>
    <w:p>
      <w:pPr>
        <w:ind w:left="160" w:right="800" w:firstLine="873"/>
        <w:spacing w:after="0" w:line="278" w:lineRule="auto"/>
        <w:rPr>
          <w:sz w:val="20"/>
          <w:szCs w:val="20"/>
          <w:color w:val="auto"/>
        </w:rPr>
      </w:pPr>
      <w:r>
        <w:rPr>
          <w:rFonts w:ascii="Times New Roman" w:cs="Times New Roman" w:eastAsia="Times New Roman" w:hAnsi="Times New Roman"/>
          <w:sz w:val="18"/>
          <w:szCs w:val="18"/>
          <w:color w:val="auto"/>
        </w:rPr>
        <w:t>Accrued income taxes are reported as a component of either other current assets or other accrued liabilities, as appropriate, in our consolidated balance sheets and reflect our estimate of income taxes to be paid or received.</w:t>
      </w:r>
    </w:p>
    <w:p>
      <w:pPr>
        <w:spacing w:after="0" w:line="162" w:lineRule="exact"/>
        <w:rPr>
          <w:sz w:val="20"/>
          <w:szCs w:val="20"/>
          <w:color w:val="auto"/>
        </w:rPr>
      </w:pPr>
    </w:p>
    <w:p>
      <w:pPr>
        <w:jc w:val="both"/>
        <w:ind w:left="160" w:right="40" w:firstLine="873"/>
        <w:spacing w:after="0" w:line="263" w:lineRule="auto"/>
        <w:rPr>
          <w:sz w:val="20"/>
          <w:szCs w:val="20"/>
          <w:color w:val="auto"/>
        </w:rPr>
      </w:pPr>
      <w:r>
        <w:rPr>
          <w:rFonts w:ascii="Times New Roman" w:cs="Times New Roman" w:eastAsia="Times New Roman" w:hAnsi="Times New Roman"/>
          <w:sz w:val="18"/>
          <w:szCs w:val="18"/>
          <w:color w:val="auto"/>
        </w:rPr>
        <w:t>Deferred income taxes represent the amount of future income taxes to be paid or refunded and are accounted for using the asset and liability method. Temporary differences are the differences between the reported amounts of assets and liabilities and their tax bases. We recognize deferred tax assets for temporary deductible differences and deferred tax liabilities for temporary taxable differences.</w:t>
      </w:r>
    </w:p>
    <w:p>
      <w:pPr>
        <w:spacing w:after="0" w:line="175" w:lineRule="exact"/>
        <w:rPr>
          <w:sz w:val="20"/>
          <w:szCs w:val="20"/>
          <w:color w:val="auto"/>
        </w:rPr>
      </w:pPr>
    </w:p>
    <w:p>
      <w:pPr>
        <w:ind w:left="160" w:right="120" w:firstLine="873"/>
        <w:spacing w:after="0" w:line="254" w:lineRule="auto"/>
        <w:rPr>
          <w:sz w:val="20"/>
          <w:szCs w:val="20"/>
          <w:color w:val="auto"/>
        </w:rPr>
      </w:pPr>
      <w:r>
        <w:rPr>
          <w:rFonts w:ascii="Times New Roman" w:cs="Times New Roman" w:eastAsia="Times New Roman" w:hAnsi="Times New Roman"/>
          <w:sz w:val="18"/>
          <w:szCs w:val="18"/>
          <w:color w:val="auto"/>
        </w:rPr>
        <w:t>A valuation allowance is provided against a deferred tax asset when we determine that it is more likely than not that all, or a portion of, the balance will not be realized. This requires management to utilize significant judgement and the use of estimates. Any realization of the Company’s deferred tax assets is based upon the evaluation of four sources of taxable income, the future reversals of taxable temporary differences, future taxable income exclusive of reversing temporary differences and carryforwards, taxable income in prior carryback years and tax-planning strategies. At January 31, 2020, we determined that it is more likely than not that the majority of our deferred tax assets will not be realized and as such, recorded a valuation allowance of $36.4 million against our deferred tax assets of $39.7 million as of that date.</w:t>
      </w:r>
    </w:p>
    <w:p>
      <w:pPr>
        <w:spacing w:after="0" w:line="184" w:lineRule="exact"/>
        <w:rPr>
          <w:sz w:val="20"/>
          <w:szCs w:val="20"/>
          <w:color w:val="auto"/>
        </w:rPr>
      </w:pPr>
    </w:p>
    <w:p>
      <w:pPr>
        <w:jc w:val="both"/>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The Company is subject to income tax in the United States, multiple state and local jurisdictions and various foreign countries. The tax laws and regulations in each jurisdiction may be interpreted differently in certain situations, which could result in differing financial results. The Company is required to exercise judgement regarding the application of these tax laws and regulations. Through this judgement process, the Company will evaluate and recognize any tax liabilities related to any income tax uncertainties. Due to the complexity of any uncertainty, the ultimate resolution may result in a remittance that is different from the current estimate of any tax liabilities.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3" w:lineRule="exact"/>
        <w:rPr>
          <w:sz w:val="20"/>
          <w:szCs w:val="20"/>
          <w:color w:val="auto"/>
        </w:rPr>
      </w:pPr>
    </w:p>
    <w:p>
      <w:pPr>
        <w:ind w:left="160" w:right="380" w:firstLine="873"/>
        <w:spacing w:after="0" w:line="278" w:lineRule="auto"/>
        <w:rPr>
          <w:sz w:val="20"/>
          <w:szCs w:val="20"/>
          <w:color w:val="auto"/>
        </w:rPr>
      </w:pPr>
      <w:r>
        <w:rPr>
          <w:rFonts w:ascii="Times New Roman" w:cs="Times New Roman" w:eastAsia="Times New Roman" w:hAnsi="Times New Roman"/>
          <w:sz w:val="18"/>
          <w:szCs w:val="18"/>
          <w:color w:val="auto"/>
        </w:rPr>
        <w:t>Stock-based compensation expense related to employees is measured based on the grant-date fair value of the awards. We establish fair value as the measurement objective in accounting for share-based payment</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60"/>
          </w:cols>
          <w:pgMar w:left="320" w:top="454" w:right="51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spacing w:after="0" w:line="263" w:lineRule="auto"/>
        <w:rPr>
          <w:sz w:val="20"/>
          <w:szCs w:val="20"/>
          <w:color w:val="auto"/>
        </w:rPr>
      </w:pPr>
      <w:r>
        <w:rPr>
          <w:rFonts w:ascii="Times New Roman" w:cs="Times New Roman" w:eastAsia="Times New Roman" w:hAnsi="Times New Roman"/>
          <w:sz w:val="18"/>
          <w:szCs w:val="18"/>
          <w:color w:val="auto"/>
        </w:rPr>
        <w:t>transactions and recognize expense on a straight-line basis over the requisite service period, which is generally the vesting term of four years. Stock-based compensation is recognized net of estimated forfeiture activity. The estimated forfeiture rate applied is based on historical forfeiture rates. The fair value of each award is estimated on the grant date using the Black-Scholes option-pricing model.</w:t>
      </w:r>
    </w:p>
    <w:p>
      <w:pPr>
        <w:spacing w:after="0" w:line="175" w:lineRule="exact"/>
        <w:rPr>
          <w:sz w:val="20"/>
          <w:szCs w:val="20"/>
          <w:color w:val="auto"/>
        </w:rPr>
      </w:pPr>
    </w:p>
    <w:p>
      <w:pPr>
        <w:ind w:left="160" w:right="60" w:firstLine="873"/>
        <w:spacing w:after="0" w:line="255" w:lineRule="auto"/>
        <w:rPr>
          <w:sz w:val="20"/>
          <w:szCs w:val="20"/>
          <w:color w:val="auto"/>
        </w:rPr>
      </w:pPr>
      <w:r>
        <w:rPr>
          <w:rFonts w:ascii="Times New Roman" w:cs="Times New Roman" w:eastAsia="Times New Roman" w:hAnsi="Times New Roman"/>
          <w:sz w:val="18"/>
          <w:szCs w:val="18"/>
          <w:color w:val="auto"/>
        </w:rPr>
        <w:t>Determining the fair value of stock-based awards at the grant date requires significant judgement. The determination of the grant date fair value of stock-based awards using the Black-Scholes option-pricing model is affected by our estimated common stock fair value as well as other subjective assumptions including the expected term of the awards, the expected volatility over the expected term of the awards, expected dividend yield and risk-free interest rates. The assumptions used in our option-pricing model represent management’s best estimates. These assumptions and estimates are as follows:</w:t>
      </w:r>
    </w:p>
    <w:p>
      <w:pPr>
        <w:spacing w:after="0" w:line="209" w:lineRule="exact"/>
        <w:rPr>
          <w:sz w:val="20"/>
          <w:szCs w:val="20"/>
          <w:color w:val="auto"/>
        </w:rPr>
      </w:pPr>
    </w:p>
    <w:p>
      <w:pPr>
        <w:ind w:left="1460" w:right="1120" w:hanging="316"/>
        <w:spacing w:after="0" w:line="280" w:lineRule="auto"/>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As our stock is not publicly traded, we estimate the fair value of common stock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contemporaneous valuations and other factors deemed relevant by management.</w:t>
      </w:r>
    </w:p>
    <w:p>
      <w:pPr>
        <w:spacing w:after="0" w:line="185" w:lineRule="exact"/>
        <w:rPr>
          <w:rFonts w:ascii="Times New Roman" w:cs="Times New Roman" w:eastAsia="Times New Roman" w:hAnsi="Times New Roman"/>
          <w:sz w:val="18"/>
          <w:szCs w:val="18"/>
          <w:color w:val="auto"/>
        </w:rPr>
      </w:pPr>
    </w:p>
    <w:p>
      <w:pPr>
        <w:ind w:left="1460" w:right="320" w:hanging="316"/>
        <w:spacing w:after="0" w:line="264" w:lineRule="auto"/>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of employee stock options reflects the period for which the Company believes the option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 outstanding. To determine the expected term, we generally apply the simplified approach in which the expected term of an award is presumed to be the mid-point between the vesting date and the expiration date of the award.</w:t>
      </w:r>
    </w:p>
    <w:p>
      <w:pPr>
        <w:spacing w:after="0" w:line="199" w:lineRule="exact"/>
        <w:rPr>
          <w:rFonts w:ascii="Times New Roman" w:cs="Times New Roman" w:eastAsia="Times New Roman" w:hAnsi="Times New Roman"/>
          <w:sz w:val="18"/>
          <w:szCs w:val="18"/>
          <w:color w:val="auto"/>
        </w:rPr>
      </w:pPr>
    </w:p>
    <w:p>
      <w:pPr>
        <w:ind w:left="1460" w:right="60" w:hanging="316"/>
        <w:spacing w:after="0" w:line="264" w:lineRule="auto"/>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As we do not have trading history for our common stock, the selected volatility used is representative of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volatility. We base expected future volatility on the historical and implied volatility of comparable publicly traded companies over a similar expected term.</w:t>
      </w:r>
    </w:p>
    <w:p>
      <w:pPr>
        <w:spacing w:after="0" w:line="199" w:lineRule="exact"/>
        <w:rPr>
          <w:rFonts w:ascii="Times New Roman" w:cs="Times New Roman" w:eastAsia="Times New Roman" w:hAnsi="Times New Roman"/>
          <w:sz w:val="18"/>
          <w:szCs w:val="18"/>
          <w:color w:val="auto"/>
        </w:rPr>
      </w:pPr>
    </w:p>
    <w:p>
      <w:pPr>
        <w:ind w:left="1460" w:right="100" w:hanging="316"/>
        <w:spacing w:after="0" w:line="280" w:lineRule="auto"/>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We have never declared or paid any cash dividends and do not presently intend to pay cash dividends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As a result, we used an expected dividend yield of zero.</w:t>
      </w:r>
    </w:p>
    <w:p>
      <w:pPr>
        <w:spacing w:after="0" w:line="185" w:lineRule="exact"/>
        <w:rPr>
          <w:rFonts w:ascii="Times New Roman" w:cs="Times New Roman" w:eastAsia="Times New Roman" w:hAnsi="Times New Roman"/>
          <w:sz w:val="18"/>
          <w:szCs w:val="18"/>
          <w:color w:val="auto"/>
        </w:rPr>
      </w:pPr>
    </w:p>
    <w:p>
      <w:pPr>
        <w:ind w:left="1460" w:right="140" w:hanging="316"/>
        <w:spacing w:after="0" w:line="280" w:lineRule="auto"/>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Rates</w:t>
      </w:r>
      <w:r>
        <w:rPr>
          <w:rFonts w:ascii="Times New Roman" w:cs="Times New Roman" w:eastAsia="Times New Roman" w:hAnsi="Times New Roman"/>
          <w:sz w:val="18"/>
          <w:szCs w:val="18"/>
          <w:color w:val="auto"/>
        </w:rPr>
        <w:t>. We base the risk-free interest rate on the rate for a U.S. Treasury zero-coupon issue with a term that closely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approximates the expected life of the option grant at the date nearest the option grant date.</w:t>
      </w:r>
    </w:p>
    <w:p>
      <w:pPr>
        <w:spacing w:after="0" w:line="1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following table reflects the weighted average assumptions used to estimate the fair value of options granted during fiscal 2018, 2019</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and 2020:</w:t>
      </w:r>
    </w:p>
    <w:p>
      <w:pPr>
        <w:spacing w:after="0" w:line="223"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4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480" w:type="dxa"/>
            <w:vAlign w:val="bottom"/>
            <w:tcBorders>
              <w:bottom w:val="single" w:sz="8" w:color="auto"/>
            </w:tcBorders>
          </w:tcPr>
          <w:p>
            <w:pPr>
              <w:spacing w:after="0"/>
              <w:rPr>
                <w:sz w:val="14"/>
                <w:szCs w:val="14"/>
                <w:color w:val="auto"/>
              </w:rPr>
            </w:pPr>
          </w:p>
        </w:tc>
      </w:tr>
      <w:tr>
        <w:trPr>
          <w:trHeight w:val="140"/>
        </w:trPr>
        <w:tc>
          <w:tcPr>
            <w:tcW w:w="4360" w:type="dxa"/>
            <w:vAlign w:val="bottom"/>
          </w:tcPr>
          <w:p>
            <w:pPr>
              <w:spacing w:after="0"/>
              <w:rPr>
                <w:sz w:val="12"/>
                <w:szCs w:val="12"/>
                <w:color w:val="auto"/>
              </w:rPr>
            </w:pPr>
          </w:p>
        </w:tc>
        <w:tc>
          <w:tcPr>
            <w:tcW w:w="1480" w:type="dxa"/>
            <w:vAlign w:val="bottom"/>
            <w:gridSpan w:val="2"/>
          </w:tcPr>
          <w:p>
            <w:pPr>
              <w:jc w:val="right"/>
              <w:ind w:right="451"/>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1800" w:type="dxa"/>
            <w:vAlign w:val="bottom"/>
            <w:gridSpan w:val="3"/>
          </w:tcPr>
          <w:p>
            <w:pPr>
              <w:jc w:val="center"/>
              <w:ind w:left="123"/>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74"/>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07"/>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 from vesting)</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6.25</w:t>
            </w: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ind w:right="74"/>
              <w:spacing w:after="0"/>
              <w:rPr>
                <w:sz w:val="20"/>
                <w:szCs w:val="20"/>
                <w:color w:val="auto"/>
              </w:rPr>
            </w:pPr>
            <w:r>
              <w:rPr>
                <w:rFonts w:ascii="Times New Roman" w:cs="Times New Roman" w:eastAsia="Times New Roman" w:hAnsi="Times New Roman"/>
                <w:sz w:val="18"/>
                <w:szCs w:val="18"/>
                <w:color w:val="auto"/>
                <w:w w:val="97"/>
              </w:rPr>
              <w:t>6.10 — 6.25</w:t>
            </w:r>
          </w:p>
        </w:tc>
      </w:tr>
      <w:tr>
        <w:trPr>
          <w:trHeight w:val="21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40% — 41%</w:t>
            </w:r>
          </w:p>
        </w:tc>
        <w:tc>
          <w:tcPr>
            <w:tcW w:w="148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6"/>
              </w:rPr>
              <w:t>40%</w:t>
            </w:r>
          </w:p>
        </w:tc>
      </w:tr>
      <w:tr>
        <w:trPr>
          <w:trHeight w:val="21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480" w:type="dxa"/>
            <w:vAlign w:val="bottom"/>
            <w:gridSpan w:val="2"/>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0.00%</w:t>
            </w:r>
          </w:p>
        </w:tc>
        <w:tc>
          <w:tcPr>
            <w:tcW w:w="1800" w:type="dxa"/>
            <w:vAlign w:val="bottom"/>
            <w:gridSpan w:val="3"/>
            <w:shd w:val="clear" w:color="auto" w:fill="CCEEFF"/>
          </w:tcPr>
          <w:p>
            <w:pPr>
              <w:jc w:val="center"/>
              <w:ind w:left="103"/>
              <w:spacing w:after="0"/>
              <w:rPr>
                <w:sz w:val="20"/>
                <w:szCs w:val="20"/>
                <w:color w:val="auto"/>
              </w:rPr>
            </w:pPr>
            <w:r>
              <w:rPr>
                <w:rFonts w:ascii="Times New Roman" w:cs="Times New Roman" w:eastAsia="Times New Roman" w:hAnsi="Times New Roman"/>
                <w:sz w:val="18"/>
                <w:szCs w:val="18"/>
                <w:color w:val="auto"/>
                <w:w w:val="98"/>
              </w:rPr>
              <w:t>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2.27%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2.71% — 3.06%</w:t>
            </w:r>
          </w:p>
        </w:tc>
        <w:tc>
          <w:tcPr>
            <w:tcW w:w="148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9"/>
              </w:rPr>
              <w:t>1.63% — 2.59%</w:t>
            </w:r>
          </w:p>
        </w:tc>
      </w:tr>
    </w:tbl>
    <w:p>
      <w:pPr>
        <w:spacing w:after="0" w:line="177" w:lineRule="exact"/>
        <w:rPr>
          <w:sz w:val="20"/>
          <w:szCs w:val="20"/>
          <w:color w:val="auto"/>
        </w:rPr>
      </w:pPr>
    </w:p>
    <w:p>
      <w:pPr>
        <w:ind w:left="160" w:right="60" w:firstLine="873"/>
        <w:spacing w:after="0" w:line="252" w:lineRule="auto"/>
        <w:rPr>
          <w:sz w:val="20"/>
          <w:szCs w:val="20"/>
          <w:color w:val="auto"/>
        </w:rPr>
      </w:pPr>
      <w:r>
        <w:rPr>
          <w:rFonts w:ascii="Times New Roman" w:cs="Times New Roman" w:eastAsia="Times New Roman" w:hAnsi="Times New Roman"/>
          <w:sz w:val="18"/>
          <w:szCs w:val="18"/>
          <w:color w:val="auto"/>
        </w:rPr>
        <w:t>In addition to assumptions used in the Black-Scholes option-pricing model, we must also estimate a forfeiture rate to calculate the stock-based compensation expense for our option awards. Our forfeiture rate is based on an analysis of our actual forfeitures. We will continue to evaluate the appropriateness of the forfeiture rate based on actual forfeiture experience, analysis of employee turnover and other factors. Changes in the estimated forfeiture rate can have a significant impact on our stock-based compensation expense as the cumulative effect of adjusting the rate is recognized in the period the forfeiture rate is revised. If a revised forfeiture rate is higher than the previously estimated forfeiture rate, an adjustment is made that will result in a decrease to the stock-based compensation expense recognized in the financial statements. If a revised forfeiture rate is lower than the previously estimated forfeiture rate, an adjustment is made that will result in an increase to the stock-based compensation expense recognized in the financial statements.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60"/>
          </w:cols>
          <w:pgMar w:left="320" w:top="454" w:right="51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We will continue to use judgment in evaluating the assumptions related to our stock-based compensation expense on a prospective basis. If any assumptions used in the Black-Scholes option-pricing model change significantly, stock-based compensation for future awards may differ materially compared with the awards granted previously. As we continue to accumulate additional data related to our common stock, we may have refinements to our estimates, which could materially impact our future stock-based compensation expense.</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3" w:lineRule="exact"/>
        <w:rPr>
          <w:sz w:val="20"/>
          <w:szCs w:val="20"/>
          <w:color w:val="auto"/>
        </w:rPr>
      </w:pPr>
    </w:p>
    <w:p>
      <w:pPr>
        <w:ind w:left="160" w:right="60" w:firstLine="873"/>
        <w:spacing w:after="0" w:line="263" w:lineRule="auto"/>
        <w:rPr>
          <w:sz w:val="20"/>
          <w:szCs w:val="20"/>
          <w:color w:val="auto"/>
        </w:rPr>
      </w:pPr>
      <w:r>
        <w:rPr>
          <w:rFonts w:ascii="Times New Roman" w:cs="Times New Roman" w:eastAsia="Times New Roman" w:hAnsi="Times New Roman"/>
          <w:sz w:val="18"/>
          <w:szCs w:val="18"/>
          <w:color w:val="auto"/>
        </w:rPr>
        <w:t>RSUs are subject to time-based and performance-based vesting conditions. RSUs are generally earned over a service period of four years, expire seven years from the grant date and will only vest upon an initial public offering or change in control. The compensation expense related to these awards is based on the grant date fair value of the RSUs and is recognized on a ratable basis over the applicable service period.</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ind w:left="160" w:right="120" w:firstLine="873"/>
        <w:spacing w:after="0" w:line="278"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elsewhere in this prospectus for recently adopted accounting pronouncements and recently issued accounting pronouncements not yet adopted as of the date of this prospectus.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5" w:lineRule="exact"/>
        <w:rPr>
          <w:sz w:val="20"/>
          <w:szCs w:val="20"/>
          <w:color w:val="auto"/>
        </w:rPr>
      </w:pPr>
    </w:p>
    <w:p>
      <w:pPr>
        <w:ind w:left="160" w:right="80" w:firstLine="873"/>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60"/>
          </w:cols>
          <w:pgMar w:left="320" w:top="454" w:right="51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Our mission is to transform financial services through innovation, reputation and speed.</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87" w:lineRule="exact"/>
        <w:rPr>
          <w:sz w:val="20"/>
          <w:szCs w:val="20"/>
          <w:color w:val="auto"/>
        </w:rPr>
      </w:pPr>
    </w:p>
    <w:p>
      <w:pPr>
        <w:ind w:left="160" w:right="400" w:firstLine="873"/>
        <w:spacing w:after="0" w:line="278" w:lineRule="auto"/>
        <w:rPr>
          <w:sz w:val="20"/>
          <w:szCs w:val="20"/>
          <w:color w:val="auto"/>
        </w:rPr>
      </w:pPr>
      <w:r>
        <w:rPr>
          <w:rFonts w:ascii="Times New Roman" w:cs="Times New Roman" w:eastAsia="Times New Roman" w:hAnsi="Times New Roman"/>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89" w:lineRule="exact"/>
        <w:rPr>
          <w:sz w:val="20"/>
          <w:szCs w:val="20"/>
          <w:color w:val="auto"/>
        </w:rPr>
      </w:pPr>
    </w:p>
    <w:p>
      <w:pPr>
        <w:ind w:left="1460" w:hanging="316"/>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digitally serve their clients across commercial, small business and retail lines of business,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financial results,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more efficiently,</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and compliance more effectively,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data, audit and business intelligence hub.</w:t>
      </w:r>
    </w:p>
    <w:p>
      <w:pPr>
        <w:spacing w:after="0" w:line="221" w:lineRule="exact"/>
        <w:rPr>
          <w:sz w:val="20"/>
          <w:szCs w:val="20"/>
          <w:color w:val="auto"/>
        </w:rPr>
      </w:pPr>
    </w:p>
    <w:p>
      <w:pPr>
        <w:ind w:left="160" w:right="80" w:firstLine="873"/>
        <w:spacing w:after="0" w:line="251" w:lineRule="auto"/>
        <w:rPr>
          <w:sz w:val="20"/>
          <w:szCs w:val="20"/>
          <w:color w:val="auto"/>
        </w:rPr>
      </w:pPr>
      <w:r>
        <w:rPr>
          <w:rFonts w:ascii="Times New Roman" w:cs="Times New Roman" w:eastAsia="Times New Roman" w:hAnsi="Times New Roman"/>
          <w:sz w:val="18"/>
          <w:szCs w:val="18"/>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APAC. Throughout this market expansion, we broadened our solution by adding functionality for retail lending, client onboarding, deposit account opening, analytics and AI/ML. Our holistic solution enables us to provide a single digital banking platform for financial institutions of all sizes on a global basis. We work with some of the world’s leading SIs to help implement our solution, which has increased our capacity to deliver and deploy the nCino Bank Operating System and enabled us to scale more quickly.</w:t>
      </w:r>
    </w:p>
    <w:p>
      <w:pPr>
        <w:spacing w:after="0" w:line="192"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As a native cloud platform that utilizes a single code base regardless of the size and complexity of the financial institution, the nCino Bank Operating System is highly scalable and configurable for the specific needs of each of our customers. Once implemented, our solution becomes deeply embedded in our customers’ business processes, enabling mission critical workflow across the financial institution on a single platform and allowing our customers to serve their clients without locality or access constraints. The nCino Bank Operating System</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80"/>
          </w:cols>
          <w:pgMar w:left="320" w:top="454" w:right="49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connects the front, middle and back office employees of a financial institution with clients and third parties across lines of business. We deliver data analytics and AI/ML capabilities through our nIQ application suite to provide our customers with automation and insights into their operations, such as tools for analyzing, measuring and managing credit risk, as well as to improve their ability to comply with regulatory requirements. Fundamental elements of the nCino Bank Operating System are built on the Salesforce platform, which allows us to focus our product development efforts on building deep vertical functionality specifically for banks and credit unions while leveraging the Salesforce Platform’s global infrastructure, reliability and scalability.</w:t>
      </w:r>
    </w:p>
    <w:p>
      <w:pPr>
        <w:spacing w:after="0" w:line="184"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color w:val="auto"/>
        </w:rPr>
        <w:t>We offer the nCino Bank Operating System on a subscription basis pursuant to non-cancellable multi-year contracts that typically range from three to five years, and we employ a “land and expand” business model. Our initial deployment with a customer generally focuses on implementing a client onboarding, loan origination and/or deposit account opening application in a specific line of business within the financial institution, such as commercial, small business or retail. The nCino Bank Operating System is designed to scale with our customers and once our solution is deployed, we seek to have our customers expand adoption within and across lines of business. The nCino Bank Operating System leverages common data sets and functionality across applications, which optimizes and accelerates the deployment of our solution throughout a financial institution.</w:t>
      </w:r>
    </w:p>
    <w:p>
      <w:pPr>
        <w:spacing w:after="0" w:line="184"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The nCino Bank Operating System serves a large addressable market opportunity globally as financial institutions make significant investments in IT applications and infrastructure, with demand for cloud-based solutions in banking continuing to grow. According to Gartner, banking had the highest global enterprise IT spending of all industries with approximately $376 billion spent in 2018. Based on our internal analysis and experience, we estimate the current serviceable market for the nCino Bank Operating System to be greater than $10 billion.</w:t>
      </w:r>
    </w:p>
    <w:p>
      <w:pPr>
        <w:spacing w:after="0" w:line="180" w:lineRule="exact"/>
        <w:rPr>
          <w:sz w:val="20"/>
          <w:szCs w:val="20"/>
          <w:color w:val="auto"/>
        </w:rPr>
      </w:pPr>
    </w:p>
    <w:p>
      <w:pPr>
        <w:ind w:left="160" w:right="20" w:firstLine="873"/>
        <w:spacing w:after="0" w:line="268" w:lineRule="auto"/>
        <w:rPr>
          <w:sz w:val="20"/>
          <w:szCs w:val="20"/>
          <w:color w:val="auto"/>
        </w:rPr>
      </w:pPr>
      <w:r>
        <w:rPr>
          <w:rFonts w:ascii="Times New Roman" w:cs="Times New Roman" w:eastAsia="Times New Roman" w:hAnsi="Times New Roman"/>
          <w:sz w:val="17"/>
          <w:szCs w:val="17"/>
          <w:color w:val="auto"/>
        </w:rPr>
        <w:t>Our business has achieved rapid growth since its inception. We plan to continue investing in expanding the breadth and depth of the nCino Bank Operating System and expanding internationally. We believe our product development and global expansion initiatives will continue to drive revenue and customer growth. Our total revenues were $138.2 million, $91.5 million and $58.1 million for fiscal 2020, 2019 and 2018, respectively, representing a 54.2% compound annual growth rate. We also had recurring, subscription-based revenues of $103.3 million, $64.5 million and</w:t>
      </w:r>
    </w:p>
    <w:p>
      <w:pPr>
        <w:spacing w:after="0" w:line="2" w:lineRule="exact"/>
        <w:rPr>
          <w:sz w:val="20"/>
          <w:szCs w:val="20"/>
          <w:color w:val="auto"/>
        </w:rPr>
      </w:pPr>
    </w:p>
    <w:p>
      <w:pPr>
        <w:ind w:left="160" w:right="40"/>
        <w:spacing w:after="0" w:line="268" w:lineRule="auto"/>
        <w:rPr>
          <w:sz w:val="20"/>
          <w:szCs w:val="20"/>
          <w:color w:val="auto"/>
        </w:rPr>
      </w:pPr>
      <w:r>
        <w:rPr>
          <w:rFonts w:ascii="Times New Roman" w:cs="Times New Roman" w:eastAsia="Times New Roman" w:hAnsi="Times New Roman"/>
          <w:sz w:val="17"/>
          <w:szCs w:val="17"/>
          <w:color w:val="auto"/>
        </w:rPr>
        <w:t>$38.0 million for fiscal 2020, 2019 and 2018, respectively, representing a 64.7% compound annual growth rate. For fiscal 2020, we had a subscription revenue retention rate of 147%. Net losses attributable to nCino for fiscal 2020, 2019 and 2018 were $27.6 million, $22.3 million and $18.6 million, respectively. For the six months ended July 31, 2020 and 2019, our total revenues were $93.5 million and $61.8 million, respectively, representing a 51.2% annual growth rate, and our subscription revenues were $74.2 million and $44.1 million, respectively, representing a 68.1% annual growth rate, and we had net losses attributable to nCino of $19.4 million and $11.9 million for the six months ended July 31, 2020 and 2019, respectively.</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5"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color w:val="auto"/>
        </w:rPr>
        <w:t>With more than 28,000 financial institutions worldwide, banking is one of the largest and most complex industries in the global economy and is characterized by intense competition between incumbent financial institutions, as well as with new challenger banks and non-bank lenders. This competitive environment, combined with high levels of regulatory oversight and persistently low interest rates over the last several years, can make executing and delivering favorable financial results difficult for financial institutions. Furthermore, technologies like social media, mobile and online commerce are challenging financial institutions to engage with clients and employees more efficiently, intelligently and transparently through new channels. In response to these challenges, many financial institutions have embarked on digital transformations, investing in technology to make their operations more client focused, automated and agile. The most forward-thinking financial institutions are going a step further by adopting modern predictive analytics and AI/ML to become more truly data-driven organizations.</w:t>
      </w:r>
    </w:p>
    <w:p>
      <w:pPr>
        <w:spacing w:after="0" w:line="1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40"/>
          </w:cols>
          <w:pgMar w:left="320" w:top="454" w:right="6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Institution Clients Increasingly Demand a Seamless, Modern and Transparent Experience</w:t>
      </w:r>
    </w:p>
    <w:p>
      <w:pPr>
        <w:spacing w:after="0" w:line="225"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Evolving client expectations are driving the need for change across financial services. Today, a typical client expects to interact with a financial institution in a myriad of ways, from visiting a branch to logging in remotely from a variety of devices. These clients increasingly value a consistent and seamless experience across these diverse channels. According to a 2019 PwC survey, there has been a 21% increase since 2015 in consumers who use financial institutions that place more importance on experiential factors than interest rates. Additionally, this survey notes that 35% of clients choose their financial institution based on ease of use and client service. Financial institutions, which have historically required clients to adapt to the institution’s operating structure, must increasingly adapt their operating structures to the needs of their clients. This transformation requires a flexible, scalable, agile and secure technology platform. According to a 2018 Accenture survey, 74% of bank operation leaders say that client experience is their top strategic priority, yet 69% believe they are not optimizing their data and capabilities to improve the client journey, with legacy environments most frequently cited as the greatest barrier to change.</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Digital Transformation is Driving Financial Institution Technology Spend Even Higher</w:t>
      </w:r>
    </w:p>
    <w:p>
      <w:pPr>
        <w:spacing w:after="0" w:line="225" w:lineRule="exact"/>
        <w:rPr>
          <w:sz w:val="20"/>
          <w:szCs w:val="20"/>
          <w:color w:val="auto"/>
        </w:rPr>
      </w:pPr>
    </w:p>
    <w:p>
      <w:pPr>
        <w:ind w:left="160" w:right="60" w:firstLine="873"/>
        <w:spacing w:after="0" w:line="252" w:lineRule="auto"/>
        <w:rPr>
          <w:sz w:val="20"/>
          <w:szCs w:val="20"/>
          <w:color w:val="auto"/>
        </w:rPr>
      </w:pPr>
      <w:r>
        <w:rPr>
          <w:rFonts w:ascii="Times New Roman" w:cs="Times New Roman" w:eastAsia="Times New Roman" w:hAnsi="Times New Roman"/>
          <w:sz w:val="18"/>
          <w:szCs w:val="18"/>
          <w:color w:val="auto"/>
        </w:rPr>
        <w:t>Financial institutions spend more on technology than any other industry and digital transformation is expected to accelerate this trend. According to a 2018 EY survey, 85% of banks are currently undertaking digital transformations to modernize their businesses and 60% of banks plan to increase their technology budgets by at least 10% over the next 12 months. While cloud computing is a key enabler of digital transformation, financial institutions have historically been slow to adopt cloud computing out of concerns over stability, security and control. As a result, financial institutions are generally in the early stages of their transition to the cloud, and accessing a highly reliable and secure platform for 24/7/365 “anywhere” operations is becoming increasingly important. In the 2018 EY survey, 60% to 80% of global banks said they planned to increase investment in cloud technology over the next three years. Additionally, according to a 2018 Celent report, financial services firms are expected to progressively abandon private data centers and triple the amount of data they upload to the cloud over the next three years.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Institutions Face Increased Regulatory Scrutiny</w:t>
      </w:r>
    </w:p>
    <w:p>
      <w:pPr>
        <w:spacing w:after="0" w:line="225" w:lineRule="exact"/>
        <w:rPr>
          <w:sz w:val="20"/>
          <w:szCs w:val="20"/>
          <w:color w:val="auto"/>
        </w:rPr>
      </w:pPr>
    </w:p>
    <w:p>
      <w:pPr>
        <w:ind w:left="160" w:right="60" w:firstLine="873"/>
        <w:spacing w:after="0" w:line="253" w:lineRule="auto"/>
        <w:rPr>
          <w:sz w:val="20"/>
          <w:szCs w:val="20"/>
          <w:color w:val="auto"/>
        </w:rPr>
      </w:pPr>
      <w:r>
        <w:rPr>
          <w:rFonts w:ascii="Times New Roman" w:cs="Times New Roman" w:eastAsia="Times New Roman" w:hAnsi="Times New Roman"/>
          <w:sz w:val="18"/>
          <w:szCs w:val="18"/>
          <w:color w:val="auto"/>
        </w:rPr>
        <w:t>Financial institutions are facing ever increasing regulatory requirements. The Dodd-Frank Wall Street Reform and Consumer Protection Act, the Basel capital requirement standards and the CECL accounting standard have imposed stringent regulations pertaining to capital and leverage ratios and how financial institutions are required to estimate allowances for credit losses. Additionally, increased privacy regulations, such as the European Union’s GDPR and California’s CCPA, have imposed tougher data protection requirements. According to a Thomson Reuters report, compliance costs for financial institutions have increased 13% year-over-year since 2017 and the cost of non-compliance can be material. The overhang of this and other regulation is driving increased demand for technology solutions to help financial institutions standardize processes, enhance visibility, ease the burden of regulatory exams and ultimately reduce compliance costs.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Shift to Automation and Data-Driven Banking</w:t>
      </w:r>
    </w:p>
    <w:p>
      <w:pPr>
        <w:spacing w:after="0" w:line="225" w:lineRule="exact"/>
        <w:rPr>
          <w:sz w:val="20"/>
          <w:szCs w:val="20"/>
          <w:color w:val="auto"/>
        </w:rPr>
      </w:pPr>
    </w:p>
    <w:p>
      <w:pPr>
        <w:ind w:left="160" w:right="100" w:firstLine="873"/>
        <w:spacing w:after="0" w:line="278" w:lineRule="auto"/>
        <w:rPr>
          <w:sz w:val="20"/>
          <w:szCs w:val="20"/>
          <w:color w:val="auto"/>
        </w:rPr>
      </w:pPr>
      <w:r>
        <w:rPr>
          <w:rFonts w:ascii="Times New Roman" w:cs="Times New Roman" w:eastAsia="Times New Roman" w:hAnsi="Times New Roman"/>
          <w:sz w:val="18"/>
          <w:szCs w:val="18"/>
          <w:color w:val="auto"/>
        </w:rPr>
        <w:t>To accelerate digital transformation, financial institutions are focusing their technology investments on automation, actionable intelligence, predictive analytics and AI/ML.</w:t>
      </w:r>
    </w:p>
    <w:p>
      <w:pPr>
        <w:spacing w:after="0" w:line="185" w:lineRule="exact"/>
        <w:rPr>
          <w:sz w:val="20"/>
          <w:szCs w:val="20"/>
          <w:color w:val="auto"/>
        </w:rPr>
      </w:pPr>
    </w:p>
    <w:p>
      <w:pPr>
        <w:ind w:left="1460" w:right="20" w:hanging="316"/>
        <w:spacing w:after="0" w:line="265"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Automation. </w:t>
      </w:r>
      <w:r>
        <w:rPr>
          <w:rFonts w:ascii="Times New Roman" w:cs="Times New Roman" w:eastAsia="Times New Roman" w:hAnsi="Times New Roman"/>
          <w:sz w:val="18"/>
          <w:szCs w:val="18"/>
          <w:color w:val="auto"/>
        </w:rPr>
        <w:t>Financial institutions are marrying digital technologies and data to modernize and automate what were traditionally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manual processes. The automation opportunity is an institution-wide mandate where dynamic data models are increasingly being used to monitor business processes and automate tasks and decisions to drive organizational efficiency, scalability and speed.</w:t>
      </w:r>
    </w:p>
    <w:p>
      <w:pPr>
        <w:spacing w:after="0" w:line="197" w:lineRule="exact"/>
        <w:rPr>
          <w:rFonts w:ascii="Times New Roman" w:cs="Times New Roman" w:eastAsia="Times New Roman" w:hAnsi="Times New Roman"/>
          <w:sz w:val="18"/>
          <w:szCs w:val="18"/>
          <w:color w:val="auto"/>
        </w:rPr>
      </w:pPr>
    </w:p>
    <w:p>
      <w:pPr>
        <w:ind w:left="1460" w:right="140" w:hanging="316"/>
        <w:spacing w:after="0" w:line="282"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Actionable Intelligence. </w:t>
      </w:r>
      <w:r>
        <w:rPr>
          <w:rFonts w:ascii="Times New Roman" w:cs="Times New Roman" w:eastAsia="Times New Roman" w:hAnsi="Times New Roman"/>
          <w:sz w:val="18"/>
          <w:szCs w:val="18"/>
          <w:color w:val="auto"/>
        </w:rPr>
        <w:t>Actionable intelligence technology offers the ability to synthesize disparate data sets into unified reportable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and provides a recommended course of action to make more informed real-time decisions.</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60"/>
          </w:cols>
          <w:pgMar w:left="320" w:top="454" w:right="51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460" w:right="80" w:hanging="316"/>
        <w:spacing w:after="0" w:line="255" w:lineRule="auto"/>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Predictive Analytics. </w:t>
      </w:r>
      <w:r>
        <w:rPr>
          <w:rFonts w:ascii="Times New Roman" w:cs="Times New Roman" w:eastAsia="Times New Roman" w:hAnsi="Times New Roman"/>
          <w:sz w:val="18"/>
          <w:szCs w:val="18"/>
          <w:color w:val="auto"/>
        </w:rPr>
        <w:t>Predictive analytics use cases in financial services include predicting fraud, modeling risk, personalizing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predicting client lifetime value, segmenting clients, enabling recommendation engines, predicting loan defaults and improving client support. The financial and operational benefits of these use cases can be substantial. For example, a 2018 McKinsey report estimated that successful implementations of “next-product-to-buy” recommendation engines within the financial services industry have resulted in an increase of more than 50% in the number of leads offered per client and as many as 6 out of 10 clients purchasing a new product in response to a sales call.</w:t>
      </w:r>
    </w:p>
    <w:p>
      <w:pPr>
        <w:spacing w:after="0" w:line="205" w:lineRule="exact"/>
        <w:rPr>
          <w:rFonts w:ascii="Times New Roman" w:cs="Times New Roman" w:eastAsia="Times New Roman" w:hAnsi="Times New Roman"/>
          <w:sz w:val="18"/>
          <w:szCs w:val="18"/>
          <w:color w:val="auto"/>
        </w:rPr>
      </w:pPr>
    </w:p>
    <w:p>
      <w:pPr>
        <w:ind w:left="1460" w:hanging="316"/>
        <w:spacing w:after="0" w:line="255" w:lineRule="auto"/>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AI/ML. </w:t>
      </w:r>
      <w:r>
        <w:rPr>
          <w:rFonts w:ascii="Times New Roman" w:cs="Times New Roman" w:eastAsia="Times New Roman" w:hAnsi="Times New Roman"/>
          <w:sz w:val="18"/>
          <w:szCs w:val="18"/>
          <w:color w:val="auto"/>
        </w:rPr>
        <w:t>Artificial intelligence makes it possible for machines to perform human-like tasks and analyses. Machine learning is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 of artificial intelligence that allows systems to automatically learn and improve their algorithms without being explicitly programmed. AI/ML can be used to continually improve operating results by, for example, modeling credit exposure and estimating the impact of a downturn on a financial institution’s portfolios. Other AI/ML use cases in financial services include streamlining credit decisions, preventing fraud and providing personalized services. According to a 2018 Accenture report, AI/ML will allow banks to save 20% to 25% across IT operations, infrastructure, maintenance and operations.</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225"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The digital transformation imperative for financial institutions creates a compelling opportunity for nCino. Financial institutions have been investing significantly in IT applications and infrastructure. Gartner estimates that software global enterprise IT spending within the banking market was approximately $63 billion in 2018, of which approximately $18 billion, or 29%, was for vertical specific software. In addition, demand for cloud-based solutions in banking continues to grow. According to IDC, SaaS revenues from banking is projected to grow from $13 billion in 2018 to $29 billion in 2023, representing a compound annual growth rate of 17%.</w:t>
      </w:r>
    </w:p>
    <w:p>
      <w:pPr>
        <w:spacing w:after="0" w:line="184" w:lineRule="exact"/>
        <w:rPr>
          <w:sz w:val="20"/>
          <w:szCs w:val="20"/>
          <w:color w:val="auto"/>
        </w:rPr>
      </w:pPr>
    </w:p>
    <w:p>
      <w:pPr>
        <w:ind w:left="160" w:right="40" w:firstLine="873"/>
        <w:spacing w:after="0" w:line="254" w:lineRule="auto"/>
        <w:rPr>
          <w:sz w:val="20"/>
          <w:szCs w:val="20"/>
          <w:color w:val="auto"/>
        </w:rPr>
      </w:pPr>
      <w:r>
        <w:rPr>
          <w:rFonts w:ascii="Times New Roman" w:cs="Times New Roman" w:eastAsia="Times New Roman" w:hAnsi="Times New Roman"/>
          <w:sz w:val="18"/>
          <w:szCs w:val="18"/>
          <w:color w:val="auto"/>
        </w:rPr>
        <w:t>We currently estimate the serviceable market for the nCino Bank Operating System to be greater than $10 billion. This analysis is based on a 2019 study conducted on our behalf by Grata Inc., a third-party market research firm that employed metrics regarding the number of full time employees at financial institutions across banking functions in positions for which the solution we offer is applicable and in geographical markets where we either had a current presence or may enter in the future. The number of such full time employees as estimated by Grata were then multiplied by the “fully-loaded annual price per user” we offered, which itself was determined by using our historical actual ACV for the applicable contracted solutions, divided by the quantities of users sold under such contracts.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Benefits of the nCino Bank Operating System</w:t>
      </w:r>
    </w:p>
    <w:p>
      <w:pPr>
        <w:spacing w:after="0" w:line="225" w:lineRule="exact"/>
        <w:rPr>
          <w:sz w:val="20"/>
          <w:szCs w:val="20"/>
          <w:color w:val="auto"/>
        </w:rPr>
      </w:pPr>
    </w:p>
    <w:p>
      <w:pPr>
        <w:ind w:left="160" w:right="120" w:firstLine="873"/>
        <w:spacing w:after="0" w:line="255" w:lineRule="auto"/>
        <w:rPr>
          <w:sz w:val="20"/>
          <w:szCs w:val="20"/>
          <w:color w:val="auto"/>
        </w:rPr>
      </w:pPr>
      <w:r>
        <w:rPr>
          <w:rFonts w:ascii="Times New Roman" w:cs="Times New Roman" w:eastAsia="Times New Roman" w:hAnsi="Times New Roman"/>
          <w:sz w:val="18"/>
          <w:szCs w:val="18"/>
          <w:color w:val="auto"/>
        </w:rPr>
        <w:t>The nCino Bank Operating System is a single, multi-tenant cloud platform that digitizes client onboarding, loan origination and deposit account opening across commercial, small business and retail lines of business. Our solution streamlines employee, client and third-party interactions and drives increased profitability, efficiency, transparency and regulatory compliance across a financial institution. The nCino Bank Operating System was designed by bankers who understand how financial institutions operate and delivers a significant and measurable return on investment by enabling them to:</w:t>
      </w:r>
    </w:p>
    <w:p>
      <w:pPr>
        <w:spacing w:after="0" w:line="207" w:lineRule="exact"/>
        <w:rPr>
          <w:sz w:val="20"/>
          <w:szCs w:val="20"/>
          <w:color w:val="auto"/>
        </w:rPr>
      </w:pPr>
    </w:p>
    <w:p>
      <w:pPr>
        <w:ind w:left="1460" w:right="20" w:hanging="316"/>
        <w:spacing w:after="0" w:line="256" w:lineRule="auto"/>
        <w:tabs>
          <w:tab w:leader="none" w:pos="1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Digitally Serve Their Clients Across Commercial, Small Business and Retail Lines of Business. </w:t>
      </w:r>
      <w:r>
        <w:rPr>
          <w:rFonts w:ascii="Times New Roman" w:cs="Times New Roman" w:eastAsia="Times New Roman" w:hAnsi="Times New Roman"/>
          <w:sz w:val="18"/>
          <w:szCs w:val="18"/>
          <w:color w:val="auto"/>
        </w:rPr>
        <w:t>The nCino Bank Operating System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delivers a seamless experience across devices, channels and products, enabling a unified digital relationship between a financial institution, its employees, clients and third parties, such as appraisers, lawyers and regulators. This empowers financial institution employees to be more efficient and effective, and enhance relationships with their clients. Additionally, because nCino is cloud native, these employees are able to work from the office or remotely 24/7/365.</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60"/>
          </w:cols>
          <w:pgMar w:left="320" w:top="454" w:right="51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460" w:hanging="316"/>
        <w:spacing w:after="0" w:line="255" w:lineRule="auto"/>
        <w:tabs>
          <w:tab w:leader="none" w:pos="1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Improve Financial Results. </w:t>
      </w:r>
      <w:r>
        <w:rPr>
          <w:rFonts w:ascii="Times New Roman" w:cs="Times New Roman" w:eastAsia="Times New Roman" w:hAnsi="Times New Roman"/>
          <w:sz w:val="18"/>
          <w:szCs w:val="18"/>
          <w:color w:val="auto"/>
        </w:rPr>
        <w:t>Our customers leverage nCino’s capabilities to drive revenue growth by digitally expanding their brand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presence and reach, increasing access and convenience for their employees and clients, delivering new products to grow client wallet share, and improving client satisfaction and retention. Our SaaS platform can reduce total cost of ownership by eliminating redundant legacy systems and simplifying our customers’ internal information technology landscape. The nCino Bank Operating System increases transparency at all organizational levels across lines of business, enabling our customers to measure their operations and performance more effectively.</w:t>
      </w:r>
    </w:p>
    <w:p>
      <w:pPr>
        <w:spacing w:after="0" w:line="205" w:lineRule="exact"/>
        <w:rPr>
          <w:rFonts w:ascii="Times New Roman" w:cs="Times New Roman" w:eastAsia="Times New Roman" w:hAnsi="Times New Roman"/>
          <w:sz w:val="18"/>
          <w:szCs w:val="18"/>
          <w:color w:val="auto"/>
        </w:rPr>
      </w:pPr>
    </w:p>
    <w:p>
      <w:pPr>
        <w:jc w:val="both"/>
        <w:ind w:left="1460" w:right="200" w:hanging="316"/>
        <w:spacing w:after="0" w:line="288" w:lineRule="auto"/>
        <w:tabs>
          <w:tab w:leader="none" w:pos="1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Operate More Efficiently. </w:t>
      </w:r>
      <w:r>
        <w:rPr>
          <w:rFonts w:ascii="Times New Roman" w:cs="Times New Roman" w:eastAsia="Times New Roman" w:hAnsi="Times New Roman"/>
          <w:sz w:val="17"/>
          <w:szCs w:val="17"/>
          <w:color w:val="auto"/>
        </w:rPr>
        <w:t>Utilizing the nCino Bank Operating System’s automation, workflow and digitization capabilities allows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financial institutions and their employees to focus on value-add work, reduce time spent on clearing exceptions, reduce duplicative data entry and data rekeying, help eliminate manual processes, decrease the use of paper files and accelerate document collection.</w:t>
      </w:r>
    </w:p>
    <w:p>
      <w:pPr>
        <w:spacing w:after="0" w:line="178" w:lineRule="exact"/>
        <w:rPr>
          <w:rFonts w:ascii="Times New Roman" w:cs="Times New Roman" w:eastAsia="Times New Roman" w:hAnsi="Times New Roman"/>
          <w:sz w:val="17"/>
          <w:szCs w:val="17"/>
          <w:color w:val="auto"/>
        </w:rPr>
      </w:pPr>
    </w:p>
    <w:p>
      <w:pPr>
        <w:ind w:left="1460" w:right="200" w:hanging="316"/>
        <w:spacing w:after="0" w:line="279" w:lineRule="auto"/>
        <w:tabs>
          <w:tab w:leader="none" w:pos="1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Manage Risk and Compliance More Effectively. </w:t>
      </w:r>
      <w:r>
        <w:rPr>
          <w:rFonts w:ascii="Times New Roman" w:cs="Times New Roman" w:eastAsia="Times New Roman" w:hAnsi="Times New Roman"/>
          <w:sz w:val="17"/>
          <w:szCs w:val="17"/>
          <w:color w:val="auto"/>
        </w:rPr>
        <w:t>The nCino Bank Operating System helps financial institutions reduce regulatory,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credit and operational risk through workflow and automation, data reporting, standardized risk rating calculations and financial modeling. For example, the content management, automated workflow and digital audit trail and snapshot functionality within the nCino Bank Operating System helps our customers more effectively and efficiently prepare for regulatory examinations.</w:t>
      </w:r>
    </w:p>
    <w:p>
      <w:pPr>
        <w:spacing w:after="0" w:line="187" w:lineRule="exact"/>
        <w:rPr>
          <w:rFonts w:ascii="Times New Roman" w:cs="Times New Roman" w:eastAsia="Times New Roman" w:hAnsi="Times New Roman"/>
          <w:sz w:val="17"/>
          <w:szCs w:val="17"/>
          <w:color w:val="auto"/>
        </w:rPr>
      </w:pPr>
    </w:p>
    <w:p>
      <w:pPr>
        <w:ind w:left="1460" w:hanging="316"/>
        <w:spacing w:after="0" w:line="256" w:lineRule="auto"/>
        <w:tabs>
          <w:tab w:leader="none" w:pos="1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 a Data, Audit and Business Intelligence Hub</w:t>
      </w:r>
      <w:r>
        <w:rPr>
          <w:rFonts w:ascii="Times New Roman" w:cs="Times New Roman" w:eastAsia="Times New Roman" w:hAnsi="Times New Roman"/>
          <w:sz w:val="18"/>
          <w:szCs w:val="18"/>
          <w:color w:val="auto"/>
        </w:rPr>
        <w:t>. With an open API technology framework and integrations with third-party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sources, financial institutions can use the nCino Bank Operating System to augment their client and operational data and create a paperless centralized data hub that enhances data-driven decision-making. This centralized hub enables data to be more easily accessed, modeled and analyzed to help deliver greater operational, portfolio and financial intelligence, a more complete client view, improved compliance monitoring and metrics, as well as the opportunity to more successfully leverage AI/ML.</w:t>
      </w:r>
    </w:p>
    <w:p>
      <w:pPr>
        <w:spacing w:after="0" w:line="11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320" w:top="454" w:right="5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How Our Solution Works</w:t>
      </w:r>
    </w:p>
    <w:p>
      <w:pPr>
        <w:spacing w:after="0" w:line="225"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The nCino Bank Operating System connects financial institution employees, clients and third parties on a single, cloud-based platform, eliminating silos and bringing new levels of coordination and transparency to the institution. By utilizing a single platform across business lines, processes and channels, banks and credit unions are able to leverage the same data and information across their entire organization. This unified platform provides all of the functionality necessary to complete mission-critical workflow, enabling client onboarding, loan origination, deposit account opening, analytics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145415</wp:posOffset>
            </wp:positionV>
            <wp:extent cx="5137785" cy="54095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37785" cy="5409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320" w:top="454" w:right="57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nCino Applications</w:t>
      </w:r>
    </w:p>
    <w:p>
      <w:pPr>
        <w:spacing w:after="0" w:line="221" w:lineRule="exact"/>
        <w:rPr>
          <w:sz w:val="20"/>
          <w:szCs w:val="20"/>
          <w:color w:val="auto"/>
        </w:rPr>
      </w:pPr>
    </w:p>
    <w:p>
      <w:pPr>
        <w:ind w:left="160" w:right="60" w:firstLine="87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Client Onboarding. </w:t>
      </w:r>
      <w:r>
        <w:rPr>
          <w:rFonts w:ascii="Times New Roman" w:cs="Times New Roman" w:eastAsia="Times New Roman" w:hAnsi="Times New Roman"/>
          <w:sz w:val="18"/>
          <w:szCs w:val="18"/>
          <w:color w:val="auto"/>
        </w:rPr>
        <w:t>Built into the nCino Bank Operating System is client onboarding functionality that supports the front, middle and back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 onboarding process, allowing financial institutions to effectively evaluate the risk of doing business with a client while providing clients an efficient and personalized user experience. Clients are able to upload documents directly into the nCino Bank Operating System, complete identity verification and provide information about themselves and their business, providing transparency to the financial institution that enables regulatory compliance, such as Know-Your-Customer (“KYC”). With enhanced onboarding reporting tools, banks and credit unions can generate customized reports and use real-time analytics and data from government watchlists and other third-party systems to achieve a holistic client view, enabling our customers to provide more value-added services and custom-tailored offerings.</w:t>
      </w:r>
    </w:p>
    <w:p>
      <w:pPr>
        <w:spacing w:after="0" w:line="184"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Loan Origination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loan origination functionality embedded within the nCino Bank Operating System combines an innovative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intuitive framework with automated workflow, checklists, document management, analytics and real-time reporting to provide a complete, end-to-end loan origination system from application, to underwriting, to adjudication, to document preparation, to closing. In one view, all stakeholders have visibility into where the loan process stands and what data is needed to complete the process. Post-closing, the nCino Bank Operating System provides a view into loan performance and tools for portfolio management, providing financial institution employees the ability to utilize information to maximize efficiency. Each stakeholder in the loan process works from a single digital loan file allowing clients to apply for loans and upload documents, third parties, such as appraisers, lawyers and regulators, to access and review loan files, and employees to seamlessly manage the entire loan process efficiently and compliantly.</w:t>
      </w:r>
    </w:p>
    <w:p>
      <w:pPr>
        <w:spacing w:after="0" w:line="184" w:lineRule="exact"/>
        <w:rPr>
          <w:sz w:val="20"/>
          <w:szCs w:val="20"/>
          <w:color w:val="auto"/>
        </w:rPr>
      </w:pPr>
    </w:p>
    <w:p>
      <w:pPr>
        <w:ind w:left="160" w:right="80" w:firstLine="873"/>
        <w:spacing w:after="0" w:line="253" w:lineRule="auto"/>
        <w:rPr>
          <w:sz w:val="20"/>
          <w:szCs w:val="20"/>
          <w:color w:val="auto"/>
        </w:rPr>
      </w:pPr>
      <w:r>
        <w:rPr>
          <w:rFonts w:ascii="Times New Roman" w:cs="Times New Roman" w:eastAsia="Times New Roman" w:hAnsi="Times New Roman"/>
          <w:sz w:val="18"/>
          <w:szCs w:val="18"/>
          <w:color w:val="auto"/>
        </w:rPr>
        <w:t>Our loan origination functionality supports a wide range of lending products across commercial, small business and retail lines of business. The nCino Bank Operating System can facilitate the origination of an institution’s most complex commercial lending products, including syndicated loans, commercial and industrial loans, commercial real estate loans and construction loans, while also supporting the depth required for specific products such as agriculture lending, asset based lending, SBA loans and leasing. Our solution also supports the speed and convenience required for small business and consumer loans across products, such as home equity lines of credit, home equity term loans, uncollateralized lines of credit, automobile loans and credit cards, while providing the tools needed to address regulatory compliance, including fair lending and the Home Mortgage Disclosure Act.</w:t>
      </w:r>
    </w:p>
    <w:p>
      <w:pPr>
        <w:spacing w:after="0" w:line="180" w:lineRule="exact"/>
        <w:rPr>
          <w:sz w:val="20"/>
          <w:szCs w:val="20"/>
          <w:color w:val="auto"/>
        </w:rPr>
      </w:pPr>
    </w:p>
    <w:p>
      <w:pPr>
        <w:ind w:left="160" w:right="220" w:firstLine="873"/>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Deposit Account Opening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nCino Bank Operating System’s deposit account opening application optimizes the process for opening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checking, savings, debit/ATM cards, money market, certificates of deposit and retirement accounts. Financial institutions can utilize the intuitive, scalable and flexible workflow to open retail, commercial or small business accounts efficiently while maintaining individual account processes and requirements. Seamlessly embedded within the account opening experience, the nCino Bank Operating System provides the new client onboarding capability to collect KYC related information to meet compliance standards. The deposit account opening application allows clients to open a deposit account digitally, across any device, in a branch, or through a call center, with speed and flexibility.</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nCino Platform</w:t>
      </w:r>
    </w:p>
    <w:p>
      <w:pPr>
        <w:spacing w:after="0" w:line="225" w:lineRule="exact"/>
        <w:rPr>
          <w:sz w:val="20"/>
          <w:szCs w:val="20"/>
          <w:color w:val="auto"/>
        </w:rPr>
      </w:pPr>
    </w:p>
    <w:p>
      <w:pPr>
        <w:ind w:left="160" w:right="120" w:firstLine="873"/>
        <w:spacing w:after="0" w:line="278" w:lineRule="auto"/>
        <w:rPr>
          <w:sz w:val="20"/>
          <w:szCs w:val="20"/>
          <w:color w:val="auto"/>
        </w:rPr>
      </w:pPr>
      <w:r>
        <w:rPr>
          <w:rFonts w:ascii="Times New Roman" w:cs="Times New Roman" w:eastAsia="Times New Roman" w:hAnsi="Times New Roman"/>
          <w:sz w:val="18"/>
          <w:szCs w:val="18"/>
          <w:color w:val="auto"/>
        </w:rPr>
        <w:t>The client onboarding, loan origination and deposit account opening applications are built on the nCino platform, which contains common data sets and functionality including:</w:t>
      </w:r>
    </w:p>
    <w:p>
      <w:pPr>
        <w:spacing w:after="0" w:line="189" w:lineRule="exact"/>
        <w:rPr>
          <w:sz w:val="20"/>
          <w:szCs w:val="20"/>
          <w:color w:val="auto"/>
        </w:rPr>
      </w:pPr>
    </w:p>
    <w:p>
      <w:pPr>
        <w:ind w:left="1460" w:right="60" w:hanging="316"/>
        <w:spacing w:after="0" w:line="277" w:lineRule="auto"/>
        <w:tabs>
          <w:tab w:leader="none" w:pos="14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process automation that provides workflow to define, streamline and connect the business processes associated with a financial institution’s front, middle and back office operations. Within the nCino platform, framework components use workflow to initiate and complete tasks in an efficient, reliable and effective manner which includes the ability to support complex processes and calculations across client onboarding, loan origination and deposit account opening, such as underwriting and automated decisioning.</w:t>
      </w:r>
    </w:p>
    <w:p>
      <w:pPr>
        <w:spacing w:after="0" w:line="1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40"/>
          </w:cols>
          <w:pgMar w:left="320" w:top="454" w:right="5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460" w:hanging="316"/>
        <w:spacing w:after="0" w:line="255" w:lineRule="auto"/>
        <w:tabs>
          <w:tab w:leader="none" w:pos="1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 risk management tools that provide financial institutions with audit, analytics and snapshot capabilities to more effectively manage internal regulation and risk, the examination process and overall compliance standards. The nCino Bank Operating System helps establish baseline performance metrics and sets standards and goals to achieve regulatory requirements and institution specific risk thresholds including with respect to CECL, Allowance for Loan and Lease Losses (“ALLL”) and fair lending. Because the nCino platform is highly configurable, it can adjust as regulations and the institution risk requirements evolve.</w:t>
      </w:r>
    </w:p>
    <w:p>
      <w:pPr>
        <w:spacing w:after="0" w:line="211" w:lineRule="exact"/>
        <w:rPr>
          <w:rFonts w:ascii="Times New Roman" w:cs="Times New Roman" w:eastAsia="Times New Roman" w:hAnsi="Times New Roman"/>
          <w:sz w:val="18"/>
          <w:szCs w:val="18"/>
          <w:color w:val="auto"/>
        </w:rPr>
      </w:pPr>
    </w:p>
    <w:p>
      <w:pPr>
        <w:ind w:left="1460" w:right="80" w:hanging="316"/>
        <w:spacing w:after="0" w:line="258" w:lineRule="auto"/>
        <w:tabs>
          <w:tab w:leader="none" w:pos="1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intelligent enterprise content management system that includes a standardized filing system across applications, providing instant and ongoing access to digital documentation and checklists to help ensure that compliance and credit requirements are met. For example, client documents are associated with a unique identifier eliminating the need for repeat document collection and duplicative data input.</w:t>
      </w:r>
    </w:p>
    <w:p>
      <w:pPr>
        <w:spacing w:after="0" w:line="206" w:lineRule="exact"/>
        <w:rPr>
          <w:rFonts w:ascii="Times New Roman" w:cs="Times New Roman" w:eastAsia="Times New Roman" w:hAnsi="Times New Roman"/>
          <w:sz w:val="18"/>
          <w:szCs w:val="18"/>
          <w:color w:val="auto"/>
        </w:rPr>
      </w:pPr>
    </w:p>
    <w:p>
      <w:pPr>
        <w:ind w:left="1460" w:right="160" w:hanging="316"/>
        <w:spacing w:after="0" w:line="254" w:lineRule="auto"/>
        <w:tabs>
          <w:tab w:leader="none" w:pos="1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360-degree client view and reporting capabilities that provide financial institutions the ability to break down internal business line silos and have visibility into the entire client banking relationship, making it easy to connect individuals and businesses to their accounts and products. The reporting capabilities in the nCino platform provide a view into a financial institution’s portfolio and pipeline to more effectively manage and measure operational performance and forecasting. Reports can be set to instantly display everything from loan, deposit and branch information to relationship data offering banks and credit unions greater transparency into their operations.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nCino IQ (nIQ)</w:t>
      </w:r>
    </w:p>
    <w:p>
      <w:pPr>
        <w:spacing w:after="0" w:line="225" w:lineRule="exact"/>
        <w:rPr>
          <w:sz w:val="20"/>
          <w:szCs w:val="20"/>
          <w:color w:val="auto"/>
        </w:rPr>
      </w:pPr>
    </w:p>
    <w:p>
      <w:pPr>
        <w:jc w:val="both"/>
        <w:ind w:left="160" w:right="280" w:firstLine="873"/>
        <w:spacing w:after="0" w:line="270" w:lineRule="auto"/>
        <w:rPr>
          <w:sz w:val="20"/>
          <w:szCs w:val="20"/>
          <w:color w:val="auto"/>
        </w:rPr>
      </w:pPr>
      <w:r>
        <w:rPr>
          <w:rFonts w:ascii="Times New Roman" w:cs="Times New Roman" w:eastAsia="Times New Roman" w:hAnsi="Times New Roman"/>
          <w:sz w:val="17"/>
          <w:szCs w:val="17"/>
          <w:color w:val="auto"/>
        </w:rPr>
        <w:t>nIQ uses AI/ML to increase efficiency through automation and provides insights through analytics across interactions and into portfolio management. As part of the nCino Bank Operating System, nIQ works across a financial institution’s front, middle and back office to empower bank and credit union employees to respond to client needs more quickly and remain compliant by providing increased visibility and actionable insights.</w:t>
      </w:r>
    </w:p>
    <w:p>
      <w:pPr>
        <w:spacing w:after="0" w:line="1" w:lineRule="exact"/>
        <w:rPr>
          <w:sz w:val="20"/>
          <w:szCs w:val="20"/>
          <w:color w:val="auto"/>
        </w:rPr>
      </w:pPr>
    </w:p>
    <w:p>
      <w:pPr>
        <w:ind w:left="160" w:right="260"/>
        <w:spacing w:after="0" w:line="250" w:lineRule="auto"/>
        <w:rPr>
          <w:sz w:val="20"/>
          <w:szCs w:val="20"/>
          <w:color w:val="auto"/>
        </w:rPr>
      </w:pPr>
      <w:r>
        <w:rPr>
          <w:rFonts w:ascii="Times New Roman" w:cs="Times New Roman" w:eastAsia="Times New Roman" w:hAnsi="Times New Roman"/>
          <w:sz w:val="18"/>
          <w:szCs w:val="18"/>
          <w:color w:val="auto"/>
        </w:rPr>
        <w:t>Leveraging optical character recognition technology, financial institutions can utilize nIQ to automate data extraction, such as extracting data from scanned tax returns and financial statements, providing new levels of automation in underwriting and greatly reducing loan origination timeframes. Financial institutions can also leverage predictive analytics to measure performance and monitor risk across the organization, including assessing the credit risk and cash flows of loans and supporting automated loan decisioning. nIQ provides information when it’s needed, at the point of interaction, allowing bank and credit union employees to focus on their client’s needs with increased levels of personalized, predictive data.</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Open APIs</w:t>
      </w:r>
    </w:p>
    <w:p>
      <w:pPr>
        <w:spacing w:after="0" w:line="225" w:lineRule="exact"/>
        <w:rPr>
          <w:sz w:val="20"/>
          <w:szCs w:val="20"/>
          <w:color w:val="auto"/>
        </w:rPr>
      </w:pPr>
    </w:p>
    <w:p>
      <w:pPr>
        <w:ind w:left="160" w:right="100" w:firstLine="873"/>
        <w:spacing w:after="0" w:line="263" w:lineRule="auto"/>
        <w:rPr>
          <w:sz w:val="20"/>
          <w:szCs w:val="20"/>
          <w:color w:val="auto"/>
        </w:rPr>
      </w:pPr>
      <w:r>
        <w:rPr>
          <w:rFonts w:ascii="Times New Roman" w:cs="Times New Roman" w:eastAsia="Times New Roman" w:hAnsi="Times New Roman"/>
          <w:sz w:val="18"/>
          <w:szCs w:val="18"/>
          <w:color w:val="auto"/>
        </w:rPr>
        <w:t>By leveraging open APIs and productized integrations, the nCino Bank Operating System creates an open ecosystem that brings together disparate data sources and systems, acting as a data hub that integrates with core systems, credit reporting agencies and other third-party applications to centralize a financial institution’s data creating an actionable single data platform and warehouse.</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225" w:lineRule="exact"/>
        <w:rPr>
          <w:sz w:val="20"/>
          <w:szCs w:val="20"/>
          <w:color w:val="auto"/>
        </w:rPr>
      </w:pPr>
    </w:p>
    <w:p>
      <w:pPr>
        <w:ind w:left="160" w:right="480" w:firstLine="873"/>
        <w:spacing w:after="0" w:line="278" w:lineRule="auto"/>
        <w:rPr>
          <w:sz w:val="20"/>
          <w:szCs w:val="20"/>
          <w:color w:val="auto"/>
        </w:rPr>
      </w:pPr>
      <w:r>
        <w:rPr>
          <w:rFonts w:ascii="Times New Roman" w:cs="Times New Roman" w:eastAsia="Times New Roman" w:hAnsi="Times New Roman"/>
          <w:sz w:val="18"/>
          <w:szCs w:val="18"/>
          <w:color w:val="auto"/>
        </w:rPr>
        <w:t>We believe our position as a leading global provider of cloud banking software for financial institutions is built on a foundation of the following strengths:</w:t>
      </w:r>
    </w:p>
    <w:p>
      <w:pPr>
        <w:spacing w:after="0" w:line="185" w:lineRule="exact"/>
        <w:rPr>
          <w:sz w:val="20"/>
          <w:szCs w:val="20"/>
          <w:color w:val="auto"/>
        </w:rPr>
      </w:pPr>
    </w:p>
    <w:p>
      <w:pPr>
        <w:ind w:left="1460" w:right="40" w:hanging="316"/>
        <w:spacing w:after="0" w:line="259" w:lineRule="auto"/>
        <w:tabs>
          <w:tab w:leader="none" w:pos="1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Built by Bankers for Bankers. </w:t>
      </w:r>
      <w:r>
        <w:rPr>
          <w:rFonts w:ascii="Times New Roman" w:cs="Times New Roman" w:eastAsia="Times New Roman" w:hAnsi="Times New Roman"/>
          <w:sz w:val="18"/>
          <w:szCs w:val="18"/>
          <w:color w:val="auto"/>
        </w:rPr>
        <w:t>Our company was started by banking professionals who recognized the need for a single cloud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to address the endemic challenges faced by financial institutions. This heritage is the foundation of our deep banking domain expertise, which differentiates us and continues to drive our strategy to design software that addresses the unique challenges of our financial institution customers globally.</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60"/>
          </w:cols>
          <w:pgMar w:left="320" w:top="454" w:right="51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460" w:right="40" w:hanging="316"/>
        <w:spacing w:after="0" w:line="259" w:lineRule="auto"/>
        <w:tabs>
          <w:tab w:leader="none" w:pos="1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Cloud Banking Technology Pioneer and Market Leader. </w:t>
      </w:r>
      <w:r>
        <w:rPr>
          <w:rFonts w:ascii="Times New Roman" w:cs="Times New Roman" w:eastAsia="Times New Roman" w:hAnsi="Times New Roman"/>
          <w:sz w:val="18"/>
          <w:szCs w:val="18"/>
          <w:color w:val="auto"/>
        </w:rPr>
        <w:t>The nCino Bank Operating System was developed from inception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native cloud application and we believe our over eight year track record of technology innovation in digitally transforming financial institutions distinguishes us in the market. As a first mover in this sector, we have developed trusted relationships and a reputation for successfully implementing our solution with financial institutions of all sizes in multiple geographies.</w:t>
      </w:r>
    </w:p>
    <w:p>
      <w:pPr>
        <w:spacing w:after="0" w:line="203" w:lineRule="exact"/>
        <w:rPr>
          <w:rFonts w:ascii="Times New Roman" w:cs="Times New Roman" w:eastAsia="Times New Roman" w:hAnsi="Times New Roman"/>
          <w:sz w:val="18"/>
          <w:szCs w:val="18"/>
          <w:color w:val="auto"/>
        </w:rPr>
      </w:pPr>
    </w:p>
    <w:p>
      <w:pPr>
        <w:ind w:left="1460" w:right="140" w:hanging="316"/>
        <w:spacing w:after="0" w:line="259" w:lineRule="auto"/>
        <w:tabs>
          <w:tab w:leader="none" w:pos="1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Single SaaS Platform. </w:t>
      </w:r>
      <w:r>
        <w:rPr>
          <w:rFonts w:ascii="Times New Roman" w:cs="Times New Roman" w:eastAsia="Times New Roman" w:hAnsi="Times New Roman"/>
          <w:sz w:val="18"/>
          <w:szCs w:val="18"/>
          <w:color w:val="auto"/>
        </w:rPr>
        <w:t>We deliver a single SaaS platform that spans business lines and replaces point and other legacy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for client onboarding, loan origination and deposit account opening. This approach allows financial institutions to leverage common data sets and workflow across lines of business, providing a consistent and engaging digital experience for their employees and clients and a more comprehensive view of client relationships.</w:t>
      </w:r>
    </w:p>
    <w:p>
      <w:pPr>
        <w:spacing w:after="0" w:line="203" w:lineRule="exact"/>
        <w:rPr>
          <w:rFonts w:ascii="Times New Roman" w:cs="Times New Roman" w:eastAsia="Times New Roman" w:hAnsi="Times New Roman"/>
          <w:sz w:val="18"/>
          <w:szCs w:val="18"/>
          <w:color w:val="auto"/>
        </w:rPr>
      </w:pPr>
    </w:p>
    <w:p>
      <w:pPr>
        <w:ind w:left="1460" w:right="200" w:hanging="316"/>
        <w:spacing w:after="0" w:line="253" w:lineRule="auto"/>
        <w:tabs>
          <w:tab w:leader="none" w:pos="1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Measurable Return on Investment. </w:t>
      </w:r>
      <w:r>
        <w:rPr>
          <w:rFonts w:ascii="Times New Roman" w:cs="Times New Roman" w:eastAsia="Times New Roman" w:hAnsi="Times New Roman"/>
          <w:sz w:val="18"/>
          <w:szCs w:val="18"/>
          <w:color w:val="auto"/>
        </w:rPr>
        <w:t>The nCino Bank Operating System provides quantifiable results for our customers,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client growth and retention, loan volume and efficiency and reduced loan closing times, policy exceptions and operating costs. We enable our customers to digitally serve their clients across products and channels, providing increased client engagement, enhanced communication and increased opportunities to grow wallet share. Our solution allows our customers to operate more efficiently by increasing employee accountability and productivity and shortening the time it takes to onboard a client, make a loan and open an account. Our solution empowers our customers with data driven, real-time insights into their business performance, enabling them to better measure and manage their operations.</w:t>
      </w:r>
    </w:p>
    <w:p>
      <w:pPr>
        <w:spacing w:after="0" w:line="211" w:lineRule="exact"/>
        <w:rPr>
          <w:rFonts w:ascii="Times New Roman" w:cs="Times New Roman" w:eastAsia="Times New Roman" w:hAnsi="Times New Roman"/>
          <w:sz w:val="18"/>
          <w:szCs w:val="18"/>
          <w:color w:val="auto"/>
        </w:rPr>
      </w:pPr>
    </w:p>
    <w:p>
      <w:pPr>
        <w:ind w:left="1460" w:right="20" w:hanging="316"/>
        <w:spacing w:after="0" w:line="256" w:lineRule="auto"/>
        <w:tabs>
          <w:tab w:leader="none" w:pos="1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Empowering the Intelligent Enterprise. </w:t>
      </w:r>
      <w:r>
        <w:rPr>
          <w:rFonts w:ascii="Times New Roman" w:cs="Times New Roman" w:eastAsia="Times New Roman" w:hAnsi="Times New Roman"/>
          <w:sz w:val="18"/>
          <w:szCs w:val="18"/>
          <w:color w:val="auto"/>
        </w:rPr>
        <w:t>Through our nIQ applications, we leverage analytics and AI/ML to help financial institutions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more predictive, personalized and proactive. nIQ automates data extraction and analysis, allowing our customers to focus on more value-add activities, and employs predictive analytics to, for example, assist in understanding risk and fair lending compliance. nIQ drives personalized experiences by embedding actionable information throughout the nCino Bank Operating System, which enables our customers to make more informed decisions in real time at the point of production.</w:t>
      </w:r>
    </w:p>
    <w:p>
      <w:pPr>
        <w:spacing w:after="0" w:line="206" w:lineRule="exact"/>
        <w:rPr>
          <w:rFonts w:ascii="Times New Roman" w:cs="Times New Roman" w:eastAsia="Times New Roman" w:hAnsi="Times New Roman"/>
          <w:sz w:val="18"/>
          <w:szCs w:val="18"/>
          <w:color w:val="auto"/>
        </w:rPr>
      </w:pPr>
    </w:p>
    <w:p>
      <w:pPr>
        <w:ind w:left="1460" w:hanging="316"/>
        <w:spacing w:after="0" w:line="271" w:lineRule="auto"/>
        <w:tabs>
          <w:tab w:leader="none" w:pos="14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Award-Winning Culture. </w:t>
      </w:r>
      <w:r>
        <w:rPr>
          <w:rFonts w:ascii="Times New Roman" w:cs="Times New Roman" w:eastAsia="Times New Roman" w:hAnsi="Times New Roman"/>
          <w:sz w:val="17"/>
          <w:szCs w:val="17"/>
          <w:color w:val="auto"/>
        </w:rPr>
        <w:t>We are in the business of fundamentally changing the way financial institutions operate. To transform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industry, we believe it is essential to have a company culture that not only empowers its employees to challenge the status quo, but also emboldens them to drive change and have a passion for customer success. For these reasons, we have built nCino with a cultural foundation based on our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awards, including being named the 2019 #1 Best Place to Work in Financial Technology by American Banker.</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How nCino Will Grow</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We intend to continue growing our business by executing on the following strategies:</w:t>
      </w:r>
    </w:p>
    <w:p>
      <w:pPr>
        <w:spacing w:after="0" w:line="244" w:lineRule="exact"/>
        <w:rPr>
          <w:sz w:val="20"/>
          <w:szCs w:val="20"/>
          <w:color w:val="auto"/>
        </w:rPr>
      </w:pPr>
    </w:p>
    <w:p>
      <w:pPr>
        <w:ind w:left="1460" w:right="240" w:hanging="316"/>
        <w:spacing w:after="0" w:line="256" w:lineRule="auto"/>
        <w:tabs>
          <w:tab w:leader="none" w:pos="1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Within and Across our Existing Customers. </w:t>
      </w:r>
      <w:r>
        <w:rPr>
          <w:rFonts w:ascii="Times New Roman" w:cs="Times New Roman" w:eastAsia="Times New Roman" w:hAnsi="Times New Roman"/>
          <w:sz w:val="18"/>
          <w:szCs w:val="18"/>
          <w:color w:val="auto"/>
        </w:rPr>
        <w:t>We believe there is a significant opportunity to further expand within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customer base both vertically within business lines and horizontally across business lines. As an example, we formally launched our solution in retail lending in May 2018 and, as of August 31, 2020, we had 40 customers contracted to use both our commercial and retail loan origination applications. Our revenues from existing customers continue to grow as additional users are added, creating strong customer cohort dynamics.</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40"/>
          </w:cols>
          <w:pgMar w:left="320" w:top="454" w:right="5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460" w:right="60" w:hanging="316"/>
        <w:spacing w:after="0" w:line="253" w:lineRule="auto"/>
        <w:tabs>
          <w:tab w:leader="none" w:pos="1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Customer Base. </w:t>
      </w:r>
      <w:r>
        <w:rPr>
          <w:rFonts w:ascii="Times New Roman" w:cs="Times New Roman" w:eastAsia="Times New Roman" w:hAnsi="Times New Roman"/>
          <w:sz w:val="18"/>
          <w:szCs w:val="18"/>
          <w:color w:val="auto"/>
        </w:rPr>
        <w:t>We believe the global market for cloud banking is large and underserved. With banks and credit unions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needing to replace legacy point products with more efficient technology and banking services continuing to shift to digital, we believe there is a significant opportunity to deliver our solution and expand our customer base to financial institutions of all sizes and complexity around the world. Currently deployed in 10 countries, we have made significant investments to expand our presence in EMEA and APAC, and our solution can currently support over 120 languages and over 140 currencies. We promote sales in North America out of our offices in the United States and Canada, in APAC out of our offices in Australia and Japan, and in EMEA out of our office in the UK.</w:t>
      </w:r>
    </w:p>
    <w:p>
      <w:pPr>
        <w:spacing w:after="0" w:line="211" w:lineRule="exact"/>
        <w:rPr>
          <w:rFonts w:ascii="Times New Roman" w:cs="Times New Roman" w:eastAsia="Times New Roman" w:hAnsi="Times New Roman"/>
          <w:sz w:val="18"/>
          <w:szCs w:val="18"/>
          <w:color w:val="auto"/>
        </w:rPr>
      </w:pPr>
    </w:p>
    <w:p>
      <w:pPr>
        <w:ind w:left="1460" w:right="40" w:hanging="316"/>
        <w:spacing w:after="0" w:line="253" w:lineRule="auto"/>
        <w:tabs>
          <w:tab w:leader="none" w:pos="1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Strengthening and Extending our Product Functionality. </w:t>
      </w:r>
      <w:r>
        <w:rPr>
          <w:rFonts w:ascii="Times New Roman" w:cs="Times New Roman" w:eastAsia="Times New Roman" w:hAnsi="Times New Roman"/>
          <w:sz w:val="18"/>
          <w:szCs w:val="18"/>
          <w:color w:val="auto"/>
        </w:rPr>
        <w:t>We plan to extend the depth and breadth of the nCino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System’s client onboarding, loan origination and deposit account opening functionality across lines of business, while further enhancing its international capabilities. Additionally, we plan to continue to develop our portfolio analytics and credit modeling capabilities as well as our AI/ML capabilities through automation, predictive analytics, digital assistant services and data source integration. These innovations will further reduce the human resources required for routine but time-consuming tasks, allowing our customers to spend more time on value creating activities. By continuing to expand the functionality of the nCino Bank Operating System, we can further help our customers improve financial results, operate more efficiently, manage risk and compliance more effectively, and establish a data, audit and business intelligence hub.</w:t>
      </w:r>
    </w:p>
    <w:p>
      <w:pPr>
        <w:spacing w:after="0" w:line="207" w:lineRule="exact"/>
        <w:rPr>
          <w:rFonts w:ascii="Times New Roman" w:cs="Times New Roman" w:eastAsia="Times New Roman" w:hAnsi="Times New Roman"/>
          <w:sz w:val="18"/>
          <w:szCs w:val="18"/>
          <w:color w:val="auto"/>
        </w:rPr>
      </w:pPr>
    </w:p>
    <w:p>
      <w:pPr>
        <w:ind w:left="1460" w:right="20" w:hanging="316"/>
        <w:spacing w:after="0" w:line="253" w:lineRule="auto"/>
        <w:tabs>
          <w:tab w:leader="none" w:pos="1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Foster and Grow our SI and Technology Ecosystem. </w:t>
      </w:r>
      <w:r>
        <w:rPr>
          <w:rFonts w:ascii="Times New Roman" w:cs="Times New Roman" w:eastAsia="Times New Roman" w:hAnsi="Times New Roman"/>
          <w:sz w:val="18"/>
          <w:szCs w:val="18"/>
          <w:color w:val="auto"/>
        </w:rPr>
        <w:t>We have developed strong relationships with a number of leading SIs,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Accenture, Deloitte, PwC and West Monroe Partners, that increase our capacity to onboard new customers and implement the nCino Bank Operating System, extend our global reach and drive increased market awareness of our company and solution. To date, over 1,500 SI consultants have completed our training program to implement the nCino Bank Operating System. Through the open architecture of the nCino Bank Operating System, an increasing number of third-party technology partners, including Docusign, Equifax, Experian, TransUnion, IDology, LexisNexis, OneSpan and The Risk Management Association, are integrated with our solution.</w:t>
      </w:r>
    </w:p>
    <w:p>
      <w:pPr>
        <w:spacing w:after="0" w:line="211" w:lineRule="exact"/>
        <w:rPr>
          <w:rFonts w:ascii="Times New Roman" w:cs="Times New Roman" w:eastAsia="Times New Roman" w:hAnsi="Times New Roman"/>
          <w:sz w:val="18"/>
          <w:szCs w:val="18"/>
          <w:color w:val="auto"/>
        </w:rPr>
      </w:pPr>
    </w:p>
    <w:p>
      <w:pPr>
        <w:ind w:left="1460" w:right="40" w:hanging="316"/>
        <w:spacing w:after="0" w:line="256" w:lineRule="auto"/>
        <w:tabs>
          <w:tab w:leader="none" w:pos="1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Selectively Pursue Strategic Transactions. </w:t>
      </w:r>
      <w:r>
        <w:rPr>
          <w:rFonts w:ascii="Times New Roman" w:cs="Times New Roman" w:eastAsia="Times New Roman" w:hAnsi="Times New Roman"/>
          <w:sz w:val="18"/>
          <w:szCs w:val="18"/>
          <w:color w:val="auto"/>
        </w:rPr>
        <w:t>In addition to developing our solution organically, we may selectively pursue acquisitions,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joint ventures or other strategic transactions. We expect these transactions to focus on innovation to help strengthen and expand the functionality and features of the nCino Bank Operating System and/or expand our global presence. For example, in fiscal 2020 we acquired Visible Equity and FinSuite as part of our strategy to build out our nIQ capabilities and we established our nCino K.K. joint venture to facilitate our entry into the Japanese market.</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5"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nCino has a diverse customer base ranging from global financial institutions, such as Bank of America, Barclays, Santander Bank and TD Bank, to enterprise banks, such as KeyBank, Allied Irish Bank, Truist Bank and US Bank, to regional and community banks, as such ConnectOne Bank, IBERIANBANK, Pacific Western Bank and Coastal States Bank, to credit unions, such as Corning Credit Union, Navy Federal Credit Union, SAFE Credit Union and Wright-Patt Credit Union, to new market entrants, such as challenger banks like B-North, DBT Företagslån, Recognise Financial and Secure Trust Bank. These companies represent a cross-section of global financial institutions, enterprise banks, regional and community banks, credit unions and challenger banks, and each of these customers represent a substantial level of ACV in its respective category. We ended fiscal 2020 with over 290 financial institutions that utilized the nCino Bank Operating System for client onboarding, loan origination and/or deposit account opening, of which 161 each generated more than $100,000 in annual subscription revenues in fiscal 2020. In addition, we have over 890 financial institutions that use the</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80"/>
          </w:cols>
          <w:pgMar w:left="320" w:top="454" w:right="49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640"/>
        <w:spacing w:after="0" w:line="278" w:lineRule="auto"/>
        <w:rPr>
          <w:sz w:val="20"/>
          <w:szCs w:val="20"/>
          <w:color w:val="auto"/>
        </w:rPr>
      </w:pPr>
      <w:r>
        <w:rPr>
          <w:rFonts w:ascii="Times New Roman" w:cs="Times New Roman" w:eastAsia="Times New Roman" w:hAnsi="Times New Roman"/>
          <w:sz w:val="18"/>
          <w:szCs w:val="18"/>
          <w:color w:val="auto"/>
        </w:rPr>
        <w:t>portfolio analytics solution we acquired with the Visible Equity acquisition in fiscal 2020, which is now part of nIQ. In total, we had over 1,180 financial institution customers as of January 31, 2020. No single customer represented more than 10% of total revenues in fiscal 2020.</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Customer Case Studies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TD Bank (Global Enterprise Bank)</w:t>
      </w:r>
    </w:p>
    <w:p>
      <w:pPr>
        <w:spacing w:after="0" w:line="225"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TD Bank, America’s Most Convenient Bank, is one of the 10 largest banks in the U.S. with $320 billion in assets as of December 31, 2019. Headquartered in Cherry Hill, New Jersey, TD Bank became an nCino customer in 2016. TD Bank was in need of an end-to-end solution that would modernize its technical framework, facilitate collaboration and information sharing across Corporate and Specialty Banking, Commercial Banking and Small Business Banking, and significantly reduce manual processes and lending decision times. The nCino Bank Operating System enabled TD Bank to streamline corporate, commercial and small business lending by consolidating the client relationship, underwriting and credit administration functions onto one platform.</w:t>
      </w:r>
    </w:p>
    <w:p>
      <w:pPr>
        <w:spacing w:after="0" w:line="210" w:lineRule="exact"/>
        <w:rPr>
          <w:sz w:val="20"/>
          <w:szCs w:val="20"/>
          <w:color w:val="auto"/>
        </w:rPr>
      </w:pPr>
    </w:p>
    <w:p>
      <w:pPr>
        <w:ind w:left="1460" w:hanging="316"/>
        <w:spacing w:after="0"/>
        <w:tabs>
          <w:tab w:leader="none" w:pos="1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communication and data transfer across business units, allowing TD Bank to better serve its clients.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implementation of nCino, TD retired multiple legacy applications, checklist documents and spreadsheets.</w:t>
      </w:r>
    </w:p>
    <w:p>
      <w:pPr>
        <w:spacing w:after="0" w:line="219"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i w:val="1"/>
          <w:iCs w:val="1"/>
          <w:color w:val="auto"/>
        </w:rPr>
        <w:t>“TD Bank’s investment into the nCino platform ultimately will enable us to provide a seamless experience to our clients and an improved employee experience—both critical to the success of the organization. Through nCino, TD Bank is consolidating numerous legacy systems into one top-tier, foundational platform that allows for better communication, credit administration and processes, and through data, advanced visibility into the lifecycle of relationships and future opportunities.” —Chris Giamo, Head of Commercial Banking</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Santander UK (Global Enterprise Bank)</w:t>
      </w:r>
    </w:p>
    <w:p>
      <w:pPr>
        <w:spacing w:after="0" w:line="22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A wholly owned subsidiary of Banco Santander, Santander UK is one of the largest retail and commercial banks based in the UK with assets of more than £281 billion as of December 31, 2019 and approximately 23,500 employees. Santander UK became an nCino customer in 2018 as part of a multi-year transformation program to replace outdated legacy systems and increase speed and efficiency across their front, middle and back office operations. nCino provides Santander UK employees with a holistic view of the client, allowing staff to be better-informed and deliver an improved client experience. This experience will continue to improve as the bank rolls out additional phases of the nCino project through 2020, including implementing nCino’s Customer Portal features.</w:t>
      </w:r>
    </w:p>
    <w:p>
      <w:pPr>
        <w:spacing w:after="0" w:line="210" w:lineRule="exact"/>
        <w:rPr>
          <w:sz w:val="20"/>
          <w:szCs w:val="20"/>
          <w:color w:val="auto"/>
        </w:rPr>
      </w:pPr>
    </w:p>
    <w:p>
      <w:pPr>
        <w:jc w:val="both"/>
        <w:ind w:left="1460" w:right="220" w:hanging="316"/>
        <w:spacing w:after="0" w:line="308" w:lineRule="auto"/>
        <w:tabs>
          <w:tab w:leader="none" w:pos="14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leveraging the nCino Bank Operating System’s loan origination functionality for both commercial and small and medium sized business banking, Santander UK has been able to replace 13 disparate legacy systems in favor of a single loan origination platform.</w:t>
      </w:r>
    </w:p>
    <w:p>
      <w:pPr>
        <w:spacing w:after="0" w:line="166" w:lineRule="exact"/>
        <w:rPr>
          <w:rFonts w:ascii="Times New Roman" w:cs="Times New Roman" w:eastAsia="Times New Roman" w:hAnsi="Times New Roman"/>
          <w:sz w:val="17"/>
          <w:szCs w:val="17"/>
          <w:color w:val="auto"/>
        </w:rPr>
      </w:pPr>
    </w:p>
    <w:p>
      <w:pPr>
        <w:ind w:left="1460" w:right="240" w:hanging="316"/>
        <w:spacing w:after="0" w:line="278" w:lineRule="auto"/>
        <w:tabs>
          <w:tab w:leader="none" w:pos="1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nCino has helped the bank to streamline processes, increase transparency in lending workflows, and decrease lead cycle and credit decision times.</w:t>
      </w:r>
    </w:p>
    <w:p>
      <w:pPr>
        <w:spacing w:after="0" w:line="160"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i w:val="1"/>
          <w:iCs w:val="1"/>
          <w:color w:val="auto"/>
        </w:rPr>
        <w:t>“Santander UK has embarked on a transformation project to deliver a cutting-edge experience for our clients and nCino is a critical part of our strategy. With the nCino Bank Operating System in place, we no longer rely on siloed legacy systems that require rekeying information and result in prolonged turnaround times. Instead, we have a modern, flexible and scalable technology solution that allows us to offer our clients a faster, more efficient and more transparent onboarding and lending experience.” —Chris Fallis, Chief Operating Officer, Corporate &amp; Commercial Banking</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60"/>
          </w:cols>
          <w:pgMar w:left="320" w:top="454" w:right="51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ConnectOne Bank (Regional/Community Bank)</w:t>
      </w:r>
    </w:p>
    <w:p>
      <w:pPr>
        <w:spacing w:after="0" w:line="225"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With headquarters based in Englewood Cliffs, New Jersey, ConnectOne Bank, with an asset size of approximately $6 billion as of December 31, 2019, serves the highly competitive New York City metro market with branches throughout New York and New Jersey. ConnectOne became an nCino customer in 2017. ConnectOne challenged itself to find a single platform solution that could digitize and automate workflows across multiple lines of business, enable the bank to digitally maintain all of its clients’ information in one place, and provide real-time visibility into their loan portfolio and pipeline. nCino provides ConnectOne a single cloud-based platform for their commercial and retail lending operations that enables speed throughout the organization, eliminates bottlenecks, scales across multiple lines of business and helps enable future growth through an improved customer experience.</w:t>
      </w:r>
    </w:p>
    <w:p>
      <w:pPr>
        <w:spacing w:after="0" w:line="211" w:lineRule="exact"/>
        <w:rPr>
          <w:sz w:val="20"/>
          <w:szCs w:val="20"/>
          <w:color w:val="auto"/>
        </w:rPr>
      </w:pPr>
    </w:p>
    <w:p>
      <w:pPr>
        <w:ind w:left="1460" w:right="460" w:hanging="316"/>
        <w:spacing w:after="0" w:line="278" w:lineRule="auto"/>
        <w:tabs>
          <w:tab w:leader="none" w:pos="1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going live with the nCino Bank Operating System, ConnectOne has experienced major improvements in workflow, client experience and operational efficiency.</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nCino helps ConnectOne attract and retain talent by providing state-of-the-art cloud technology for its employees to utilize.</w:t>
      </w:r>
    </w:p>
    <w:p>
      <w:pPr>
        <w:spacing w:after="0" w:line="219"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i w:val="1"/>
          <w:iCs w:val="1"/>
          <w:color w:val="auto"/>
        </w:rPr>
        <w:t>“At ConnectOne, we’ve built our success through our sense of urgency and culture of efficiency. The nCino platform allows us to scale this culture by providing a fully digitized end to end experience. With nCino, it takes maybe a minute to put a lead’s information into the system and start the process. It’s a game changer. We were already processing loans pretty quickly, but with nCino it is cutting time from the process.”—Frank Sorrentino, CEO and Chairman</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Wright-Patt Credit Union (Credit Union)</w:t>
      </w:r>
    </w:p>
    <w:p>
      <w:pPr>
        <w:spacing w:after="0" w:line="225"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Ohio based Wright-Patt Credit Union (“WPCU”), is one of the 50 largest credit unions in the U.S. with 400,000 members, 31 branches and $5.0 billion in assets as of December 31, 2019. WPCU became an nCino customer in 2015 when they were looking to digitize their commercial lending process to focus on growth and serving business clients. By selecting the nCino Bank Operating System, WPCU saw the vision for a single platform across the institution. Being a cloud system, nCino was seamlessly deployed and operational in the commercial lending organization within six months. WPCU has also implemented the nCino Bank Operating System treasury management application and is currently kicking off projects for online application and small business to further leverage the single platform across the credit union.</w:t>
      </w:r>
    </w:p>
    <w:p>
      <w:pPr>
        <w:spacing w:after="0" w:line="210" w:lineRule="exact"/>
        <w:rPr>
          <w:sz w:val="20"/>
          <w:szCs w:val="20"/>
          <w:color w:val="auto"/>
        </w:rPr>
      </w:pPr>
    </w:p>
    <w:p>
      <w:pPr>
        <w:ind w:left="1460" w:right="220" w:hanging="316"/>
        <w:spacing w:after="0" w:line="278" w:lineRule="auto"/>
        <w:tabs>
          <w:tab w:leader="none" w:pos="1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WPCU used to spend 22 minutes preparing paperwork for signing by the client and have now cut that time by 50% with the digital process.</w:t>
      </w:r>
    </w:p>
    <w:p>
      <w:pPr>
        <w:spacing w:after="0" w:line="189" w:lineRule="exact"/>
        <w:rPr>
          <w:rFonts w:ascii="Times New Roman" w:cs="Times New Roman" w:eastAsia="Times New Roman" w:hAnsi="Times New Roman"/>
          <w:sz w:val="18"/>
          <w:szCs w:val="18"/>
          <w:color w:val="auto"/>
        </w:rPr>
      </w:pPr>
    </w:p>
    <w:p>
      <w:pPr>
        <w:ind w:left="1460" w:right="60" w:hanging="316"/>
        <w:spacing w:after="0" w:line="278" w:lineRule="auto"/>
        <w:tabs>
          <w:tab w:leader="none" w:pos="1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have also seen significant time savings. Previously, WPCU’s lenders spent on average 54 minutes conducting a loan closing, which now takes minimal effort on their part.</w:t>
      </w:r>
    </w:p>
    <w:p>
      <w:pPr>
        <w:spacing w:after="0" w:line="160"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i w:val="1"/>
          <w:iCs w:val="1"/>
          <w:color w:val="auto"/>
        </w:rPr>
        <w:t>“In the last two years, we have increased our capacity of lending per borrower from $5 million to $15 million. We’ve had a shift in what we can process on a monthly basis. We were processing 30—40 loans a month. Now, for several months running, we’ve had 100 loans in production in a month. Our volume and production is through the roof from a dollar standpoint, with the same core team. That’s from all of the efficiency gains we’ve had through the nCino Bank Operating System.”—Benjamin Miller, Commercial Portfolio Analyst</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B-North (Challenger Bank)</w:t>
      </w:r>
    </w:p>
    <w:p>
      <w:pPr>
        <w:spacing w:after="0" w:line="225" w:lineRule="exact"/>
        <w:rPr>
          <w:sz w:val="20"/>
          <w:szCs w:val="20"/>
          <w:color w:val="auto"/>
        </w:rPr>
      </w:pPr>
    </w:p>
    <w:p>
      <w:pPr>
        <w:ind w:left="160" w:right="40" w:firstLine="873"/>
        <w:spacing w:after="0" w:line="263" w:lineRule="auto"/>
        <w:rPr>
          <w:sz w:val="20"/>
          <w:szCs w:val="20"/>
          <w:color w:val="auto"/>
        </w:rPr>
      </w:pPr>
      <w:r>
        <w:rPr>
          <w:rFonts w:ascii="Times New Roman" w:cs="Times New Roman" w:eastAsia="Times New Roman" w:hAnsi="Times New Roman"/>
          <w:sz w:val="18"/>
          <w:szCs w:val="18"/>
          <w:color w:val="auto"/>
        </w:rPr>
        <w:t>UK-based challenger B-North is based in Manchester, England, and was founded by financial industry veterans with decades of experience working at institutions including HSBC, Santander UK and Metro Bank. B-North was started with the goal of disrupting the £150 billion UK lending market for small and medium</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20"/>
          </w:cols>
          <w:pgMar w:left="320" w:top="454" w:right="5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120"/>
        <w:spacing w:after="0" w:line="263" w:lineRule="auto"/>
        <w:rPr>
          <w:sz w:val="20"/>
          <w:szCs w:val="20"/>
          <w:color w:val="auto"/>
        </w:rPr>
      </w:pPr>
      <w:r>
        <w:rPr>
          <w:rFonts w:ascii="Times New Roman" w:cs="Times New Roman" w:eastAsia="Times New Roman" w:hAnsi="Times New Roman"/>
          <w:sz w:val="18"/>
          <w:szCs w:val="18"/>
          <w:color w:val="auto"/>
        </w:rPr>
        <w:t>businesses (“SMEs”). As a brand-new bank, B-North chose the nCino Bank Operating System in early 2019 to deliver a highly efficient and differentiated loan origination experience to its SME clients. Additionally, B-North plans to leverage nCino’s Partner Community functionality to more effectively collaborate and interact with a variety of third parties including brokers, regulators, attorneys and appraisers.</w:t>
      </w:r>
    </w:p>
    <w:p>
      <w:pPr>
        <w:spacing w:after="0" w:line="202" w:lineRule="exact"/>
        <w:rPr>
          <w:sz w:val="20"/>
          <w:szCs w:val="20"/>
          <w:color w:val="auto"/>
        </w:rPr>
      </w:pPr>
    </w:p>
    <w:p>
      <w:pPr>
        <w:ind w:left="1460" w:right="320" w:hanging="316"/>
        <w:spacing w:after="0" w:line="278" w:lineRule="auto"/>
        <w:tabs>
          <w:tab w:leader="none" w:pos="1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nCino Bank Operating System provides a flexible and scalable infrastructure that will allow it to scale and grow its assets and client base, while delivering maximum benefit to its clients.</w:t>
      </w:r>
    </w:p>
    <w:p>
      <w:pPr>
        <w:spacing w:after="0" w:line="189" w:lineRule="exact"/>
        <w:rPr>
          <w:rFonts w:ascii="Times New Roman" w:cs="Times New Roman" w:eastAsia="Times New Roman" w:hAnsi="Times New Roman"/>
          <w:sz w:val="18"/>
          <w:szCs w:val="18"/>
          <w:color w:val="auto"/>
        </w:rPr>
      </w:pPr>
    </w:p>
    <w:p>
      <w:pPr>
        <w:ind w:left="1460" w:right="140" w:hanging="316"/>
        <w:spacing w:after="0" w:line="263" w:lineRule="auto"/>
        <w:tabs>
          <w:tab w:leader="none" w:pos="1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nCino’s Partner Community, B-North can grant specific and limited access to nCino functionality and records for external third parties to connect on a single platform for increased transparency, reduced costs and an overall better banking experience for all involved.</w:t>
      </w:r>
    </w:p>
    <w:p>
      <w:pPr>
        <w:spacing w:after="0" w:line="173"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i w:val="1"/>
          <w:iCs w:val="1"/>
          <w:color w:val="auto"/>
        </w:rPr>
        <w:t>“At B-North, we aim to facilitate SME lending, with market-leading technology and lead times, and to give our customers the best mix of the traditional and the modern. nCino has established itself as the world’s premier cloud-based lending, onboarding and account opening platform. Working with nCino early on in our development allows us to tailor our whole business around delivering an engaging and differentiated client experience, and nCino will be the perfect partner for our success in getting these elements right.”—Jonathan Thompson, Founder and CEO</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Relationship with Salesforce</w:t>
      </w:r>
    </w:p>
    <w:p>
      <w:pPr>
        <w:spacing w:after="0" w:line="225" w:lineRule="exact"/>
        <w:rPr>
          <w:sz w:val="20"/>
          <w:szCs w:val="20"/>
          <w:color w:val="auto"/>
        </w:rPr>
      </w:pPr>
    </w:p>
    <w:p>
      <w:pPr>
        <w:ind w:left="160" w:right="240" w:firstLine="873"/>
        <w:spacing w:after="0" w:line="263" w:lineRule="auto"/>
        <w:rPr>
          <w:sz w:val="20"/>
          <w:szCs w:val="20"/>
          <w:color w:val="auto"/>
        </w:rPr>
      </w:pPr>
      <w:r>
        <w:rPr>
          <w:rFonts w:ascii="Times New Roman" w:cs="Times New Roman" w:eastAsia="Times New Roman" w:hAnsi="Times New Roman"/>
          <w:sz w:val="18"/>
          <w:szCs w:val="18"/>
          <w:color w:val="auto"/>
        </w:rPr>
        <w:t>From our inception, we built the nCino Bank Operating System on the Salesforce Platform to leverage its global infrastructure, reliability and scalability. Building on the Salesforce Platform has allowed us to benefit from Salesforce’s investment in the continual improvement of the Salesforce Platform. We believe we have a mutually beneficial strategic relationship with Salesforce.</w:t>
      </w:r>
    </w:p>
    <w:p>
      <w:pPr>
        <w:spacing w:after="0" w:line="175" w:lineRule="exact"/>
        <w:rPr>
          <w:sz w:val="20"/>
          <w:szCs w:val="20"/>
          <w:color w:val="auto"/>
        </w:rPr>
      </w:pPr>
    </w:p>
    <w:p>
      <w:pPr>
        <w:ind w:left="160" w:right="300" w:firstLine="873"/>
        <w:spacing w:after="0" w:line="258" w:lineRule="auto"/>
        <w:rPr>
          <w:sz w:val="20"/>
          <w:szCs w:val="20"/>
          <w:color w:val="auto"/>
        </w:rPr>
      </w:pPr>
      <w:r>
        <w:rPr>
          <w:rFonts w:ascii="Times New Roman" w:cs="Times New Roman" w:eastAsia="Times New Roman" w:hAnsi="Times New Roman"/>
          <w:sz w:val="18"/>
          <w:szCs w:val="18"/>
          <w:color w:val="auto"/>
        </w:rPr>
        <w:t>Salesforce Ventures, an affiliate of Salesforce, made investments in our common stock in January 2014, March 2015, July 2017, January 2018 and September 2019. As of July 31, 2020, Salesforce was our second largest stockholder and beneficially owned 11.8% shares of our common stock. See “Principal and Selling Stockholders” and “Certain Relationships and Related Party Transactions—Transactions with Salesforce” for additional information.</w:t>
      </w:r>
    </w:p>
    <w:p>
      <w:pPr>
        <w:spacing w:after="0" w:line="180"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color w:val="auto"/>
        </w:rPr>
        <w:t>Pursuant to the Salesforce Agreement, when we sell our client onboarding, loan origination and/or deposit account opening applications, we include a subscription to the underlying Salesforce Platform and remit a subscription fee to Salesforce. In exchange, Salesforce provides the hosting infrastructure and data center for these applications, as well as configuration, reporting and other functionality within the Salesforce Platform. In addition, under the Salesforce Agreement, we are an authorized reseller of Salesforce’s CRM functionality to certain financial institutions in the United States. Our original agreement with Salesforce was entered into in December 2011. On June 19, 2020, this agreement was superseded and replaced by the Salesforce Agreement which expires on June 19, 2027 unless earlier terminated by either party in the event of the other party’s material breach, bankruptcy, change in control in favor of a direct competitor, or intellectual property infringement. The Salesforce Agreement automatically renews for additional one-year periods thereafter unless notice of termination is provided. See “Certain Relationships and Related Party Transactions—Transactions with Salesforce” for additional information.</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5" w:lineRule="exact"/>
        <w:rPr>
          <w:sz w:val="20"/>
          <w:szCs w:val="20"/>
          <w:color w:val="auto"/>
        </w:rPr>
      </w:pPr>
    </w:p>
    <w:p>
      <w:pPr>
        <w:ind w:left="160" w:right="160" w:firstLine="873"/>
        <w:spacing w:after="0" w:line="258" w:lineRule="auto"/>
        <w:rPr>
          <w:sz w:val="20"/>
          <w:szCs w:val="20"/>
          <w:color w:val="auto"/>
        </w:rPr>
      </w:pPr>
      <w:r>
        <w:rPr>
          <w:rFonts w:ascii="Times New Roman" w:cs="Times New Roman" w:eastAsia="Times New Roman" w:hAnsi="Times New Roman"/>
          <w:sz w:val="18"/>
          <w:szCs w:val="18"/>
          <w:color w:val="auto"/>
        </w:rPr>
        <w:t>Our sales team includes business development representatives, account executives, field sales engineers and customer success managers. This team is responsible for outbound lead generation, driving new business and helping to manage account relationships and renewals, further driving adoption of our solution within and across lines of business. These teams maintain close relationships with existing customers and act as an advisor to each financial institution to help identify and understand their unique needs, challenges, goals and opportunities.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54" w:right="49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380" w:firstLine="873"/>
        <w:spacing w:after="0" w:line="258" w:lineRule="auto"/>
        <w:rPr>
          <w:sz w:val="20"/>
          <w:szCs w:val="20"/>
          <w:color w:val="auto"/>
        </w:rPr>
      </w:pPr>
      <w:r>
        <w:rPr>
          <w:rFonts w:ascii="Times New Roman" w:cs="Times New Roman" w:eastAsia="Times New Roman" w:hAnsi="Times New Roman"/>
          <w:sz w:val="18"/>
          <w:szCs w:val="18"/>
          <w:color w:val="auto"/>
        </w:rPr>
        <w:t>Our marketing team oversees all aspects of the nCino global brand including public relations, digital marketing, social media, product marketing, graphic design, conferences and events. Our marketing efforts are focused on promoting direct sales, inbound lead generation and brand building. We leverage online and offline marketing channels by sponsoring customer conferences, participating in trade shows, and using webinars, digital marketing and social media.</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Customer Success</w:t>
      </w:r>
    </w:p>
    <w:p>
      <w:pPr>
        <w:spacing w:after="0" w:line="225" w:lineRule="exact"/>
        <w:rPr>
          <w:sz w:val="20"/>
          <w:szCs w:val="20"/>
          <w:color w:val="auto"/>
        </w:rPr>
      </w:pPr>
    </w:p>
    <w:p>
      <w:pPr>
        <w:ind w:left="160" w:right="100" w:firstLine="873"/>
        <w:spacing w:after="0" w:line="254" w:lineRule="auto"/>
        <w:rPr>
          <w:sz w:val="20"/>
          <w:szCs w:val="20"/>
          <w:color w:val="auto"/>
        </w:rPr>
      </w:pPr>
      <w:r>
        <w:rPr>
          <w:rFonts w:ascii="Times New Roman" w:cs="Times New Roman" w:eastAsia="Times New Roman" w:hAnsi="Times New Roman"/>
          <w:sz w:val="18"/>
          <w:szCs w:val="18"/>
          <w:color w:val="auto"/>
        </w:rPr>
        <w:t>Once a customer contracts for the nCino Bank Operating System, we either directly or working with SIs, provide configuration and implementation services to assist the customer in the deployment of our solution. Configuration and implementation engagements typically range in duration from three to 18 months, depending on scope. For enterprise financial institutions, we generally work with SIs such as Accenture, Deloitte and PwC. For regional financial institutions, we work with SIs such as West Monroe Partners, and for community banks we work with SIs such as Enforce or we perform configuration and implementation ourselves. Where we work with SIs, we generally field a small team of advisory consultants alongside the SIs to help ensure the success of the engagement.</w:t>
      </w:r>
    </w:p>
    <w:p>
      <w:pPr>
        <w:spacing w:after="0" w:line="184"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We support our customers with 24/7 access to engineers and other technical support personnel, outcome based support offerings, release management, managed services and also offer technical support via online chat. To help our customers achieve success with the nCino Bank Operating System, we offer in-depth change management workshops, classroom and virtual end user and administrator training, consultative functionality adoption services and best practices. The nCino Customer Success Management team is the customer’s central touch point, whose primary job is to manage the long-term health and success of each customer.</w:t>
      </w:r>
    </w:p>
    <w:p>
      <w:pPr>
        <w:spacing w:after="0" w:line="184" w:lineRule="exact"/>
        <w:rPr>
          <w:sz w:val="20"/>
          <w:szCs w:val="20"/>
          <w:color w:val="auto"/>
        </w:rPr>
      </w:pPr>
    </w:p>
    <w:p>
      <w:pPr>
        <w:ind w:left="160" w:right="40" w:firstLine="873"/>
        <w:spacing w:after="0" w:line="258" w:lineRule="auto"/>
        <w:rPr>
          <w:sz w:val="20"/>
          <w:szCs w:val="20"/>
          <w:color w:val="auto"/>
        </w:rPr>
      </w:pPr>
      <w:r>
        <w:rPr>
          <w:rFonts w:ascii="Times New Roman" w:cs="Times New Roman" w:eastAsia="Times New Roman" w:hAnsi="Times New Roman"/>
          <w:sz w:val="18"/>
          <w:szCs w:val="18"/>
          <w:color w:val="auto"/>
        </w:rPr>
        <w:t>Over 35,000 of our customers’ employees, representing over 95% of our financial institution customers utilizing our client onboarding, loan origination and/or deposit account opening applications, participate in our online nCino User Community. In this community, users can access over 6,500 product guides and technical documents, engage and share best practices with other users and nCino subject matter experts through over 25 unique user groups, suggest and vote for future product development ideas and access training videos, materials and product certifications.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5"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Our research and development organization is responsible for the design, development and testing of the nCino Bank Operating System. We utilize Agile software development methodologies and industry best practices, such as continuous integration/continuous deployment, automated testing and distributed version control, to develop new functionality and enhance our existing solution. We provide opportunities for innovation through hackathons and new technology pilots, and we encourage customers to participate in our Product Design Programs to provide us with input on our product development roadmap. Our research and development spend was $35.3 million or 25.5% of total revenues in fiscal 2020.</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ind w:left="160" w:right="60" w:firstLine="873"/>
        <w:spacing w:after="0" w:line="254" w:lineRule="auto"/>
        <w:rPr>
          <w:sz w:val="20"/>
          <w:szCs w:val="20"/>
          <w:color w:val="auto"/>
        </w:rPr>
      </w:pPr>
      <w:r>
        <w:rPr>
          <w:rFonts w:ascii="Times New Roman" w:cs="Times New Roman" w:eastAsia="Times New Roman" w:hAnsi="Times New Roman"/>
          <w:sz w:val="18"/>
          <w:szCs w:val="18"/>
          <w:color w:val="auto"/>
        </w:rPr>
        <w:t>The primary competition for our solution has historically been point solution vendors and, to a lesser extent, systems internally developed by financial institutions. We believe our ability to provide client onboarding, loan origination, deposit account opening, analytics and AI/ML on a single platform across commercial, small business and retail lines of business, our deep banking domain expertise, our reputation for high-quality professional services and customer support and the culture of our company distinguish us from our competition. We believe our success in growing our business will depend on our ability to demonstrate to financial institutions that our solution provides superior business outcomes to those of third-party vendors or internally developed systems. In this regard, we are likely to be assessed on a number of factors, including:</w:t>
      </w:r>
    </w:p>
    <w:p>
      <w:pPr>
        <w:spacing w:after="0" w:line="210" w:lineRule="exact"/>
        <w:rPr>
          <w:sz w:val="20"/>
          <w:szCs w:val="20"/>
          <w:color w:val="auto"/>
        </w:rPr>
      </w:pPr>
    </w:p>
    <w:p>
      <w:pPr>
        <w:ind w:left="1460" w:hanging="316"/>
        <w:spacing w:after="0"/>
        <w:tabs>
          <w:tab w:leader="none" w:pos="1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4" w:right="49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460" w:hanging="316"/>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 return on investment;</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customer satisfaction;</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reputation;</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cloud-based technology platform and pricing model;</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implementation and customer support services;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capability for configurability, integration and scalability;</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domain expertise in banking technology;</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our solution to support compliance with legal and regulatory requirements;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innovate and respond to customer needs quickly;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integrate with third-party applications and systems.</w:t>
      </w:r>
    </w:p>
    <w:p>
      <w:pPr>
        <w:spacing w:after="0" w:line="221" w:lineRule="exact"/>
        <w:rPr>
          <w:sz w:val="20"/>
          <w:szCs w:val="20"/>
          <w:color w:val="auto"/>
        </w:rPr>
      </w:pPr>
    </w:p>
    <w:p>
      <w:pPr>
        <w:ind w:left="160" w:right="200" w:firstLine="873"/>
        <w:spacing w:after="0" w:line="255" w:lineRule="auto"/>
        <w:rPr>
          <w:sz w:val="20"/>
          <w:szCs w:val="20"/>
          <w:color w:val="auto"/>
        </w:rPr>
      </w:pPr>
      <w:r>
        <w:rPr>
          <w:rFonts w:ascii="Times New Roman" w:cs="Times New Roman" w:eastAsia="Times New Roman" w:hAnsi="Times New Roman"/>
          <w:sz w:val="18"/>
          <w:szCs w:val="18"/>
          <w:color w:val="auto"/>
        </w:rPr>
        <w:t>We believe we compete favorably with respect to these factors but we expect competition to increase as existing competitors evolve their offerings and as new companies enter our market. Our ability to remain competitive will depend on our ongoing efforts in research and development, sales and marketing, professional services, customer support and our business operations generally. For additional information, see the section titled “Risk Factors—The markets in which we participate are intensely competitive and highly fragmented, and pricing pressure, new technologies or other competitive dynamics could adversely affect our business and results of operations.”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Our success depends in part on our ability to protect our core technology and innovations. We rely on federal, state, common law and international rights, as well as contractual restrictions, to protect our intellectual property. We control access to our proprietary technology by entering into confidentiality and invention assignment agreements with our employees and contractors, and confidentiality agreements with third parties. We seek patent protection for certain of our key innovations, protocols, processes and other inventions. We pursue the registration of our trademarks, service marks and domain names in the United States and in certain other locations. These laws, procedures and restrictions provide only limited protection and the legal standards relating to the validity, enforceability and scope of protection of intellectual property rights are uncertain and still evolving. Furthermore, effective patent, trademark, copyright and trade secret protection may not be available in every country in which our products are available.</w:t>
      </w:r>
    </w:p>
    <w:p>
      <w:pPr>
        <w:spacing w:after="0" w:line="187" w:lineRule="exact"/>
        <w:rPr>
          <w:sz w:val="20"/>
          <w:szCs w:val="20"/>
          <w:color w:val="auto"/>
        </w:rPr>
      </w:pPr>
    </w:p>
    <w:p>
      <w:pPr>
        <w:jc w:val="both"/>
        <w:ind w:left="160" w:right="200" w:firstLine="873"/>
        <w:spacing w:after="0" w:line="263" w:lineRule="auto"/>
        <w:rPr>
          <w:sz w:val="20"/>
          <w:szCs w:val="20"/>
          <w:color w:val="auto"/>
        </w:rPr>
      </w:pPr>
      <w:r>
        <w:rPr>
          <w:rFonts w:ascii="Times New Roman" w:cs="Times New Roman" w:eastAsia="Times New Roman" w:hAnsi="Times New Roman"/>
          <w:sz w:val="18"/>
          <w:szCs w:val="18"/>
          <w:color w:val="auto"/>
        </w:rPr>
        <w:t>As of July 31, 2020, we had 12 issued U.S. patents as well as one patent application pending in the U.S. We file patent applications where we believe there to be a strategic technological or business reason to do so. Although we actively attempt to utilize patents to protect our technologies, we believe that none of our patents, individually or in the aggregate, are material to our business.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54" w:right="49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5" w:lineRule="exact"/>
        <w:rPr>
          <w:sz w:val="20"/>
          <w:szCs w:val="20"/>
          <w:color w:val="auto"/>
        </w:rPr>
      </w:pPr>
    </w:p>
    <w:p>
      <w:pPr>
        <w:jc w:val="both"/>
        <w:ind w:left="160" w:firstLine="873"/>
        <w:spacing w:after="0" w:line="263" w:lineRule="auto"/>
        <w:rPr>
          <w:sz w:val="20"/>
          <w:szCs w:val="20"/>
          <w:color w:val="auto"/>
        </w:rPr>
      </w:pPr>
      <w:r>
        <w:rPr>
          <w:rFonts w:ascii="Times New Roman" w:cs="Times New Roman" w:eastAsia="Times New Roman" w:hAnsi="Times New Roman"/>
          <w:sz w:val="18"/>
          <w:szCs w:val="18"/>
          <w:color w:val="auto"/>
        </w:rPr>
        <w:t>As of July 31, 2020, we had 991 employees. Of these employees, 860 are based in the United States and 131 are based internationally. None of our employees are represented by a labor union or covered by a collective bargaining agreement. We believe our employee relations are good and we have not experienced any work stoppages.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5" w:lineRule="exact"/>
        <w:rPr>
          <w:sz w:val="20"/>
          <w:szCs w:val="20"/>
          <w:color w:val="auto"/>
        </w:rPr>
      </w:pPr>
    </w:p>
    <w:p>
      <w:pPr>
        <w:jc w:val="both"/>
        <w:ind w:left="160" w:right="80" w:firstLine="873"/>
        <w:spacing w:after="0" w:line="258" w:lineRule="auto"/>
        <w:rPr>
          <w:sz w:val="20"/>
          <w:szCs w:val="20"/>
          <w:color w:val="auto"/>
        </w:rPr>
      </w:pPr>
      <w:r>
        <w:rPr>
          <w:rFonts w:ascii="Times New Roman" w:cs="Times New Roman" w:eastAsia="Times New Roman" w:hAnsi="Times New Roman"/>
          <w:sz w:val="18"/>
          <w:szCs w:val="18"/>
          <w:color w:val="auto"/>
        </w:rPr>
        <w:t>Our headquarters are located in Wilmington, North Carolina where we occupy facilities encompassing approximately 147,000 square feet. Our leases range in expiration from November 2023 to July 2028 each with a right of renewal. We also have offices in Salt Lake City, London, Sydney, Melbourne, Toronto and Tokyo. All of our offices are leased and we do not own any real property. We believe that our current facilities are adequate to meet our current needs.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5" w:lineRule="exact"/>
        <w:rPr>
          <w:sz w:val="20"/>
          <w:szCs w:val="20"/>
          <w:color w:val="auto"/>
        </w:rPr>
      </w:pPr>
    </w:p>
    <w:p>
      <w:pPr>
        <w:ind w:left="160" w:right="100" w:firstLine="873"/>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business. We are not presently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40"/>
          </w:cols>
          <w:pgMar w:left="320" w:top="454" w:right="5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and directors as of August 31, 2020.</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4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
        </w:trPr>
        <w:tc>
          <w:tcPr>
            <w:tcW w:w="3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89"/>
        </w:trPr>
        <w:tc>
          <w:tcPr>
            <w:tcW w:w="36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21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Pierre Naudé</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5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Desmond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5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Chief Customer Success Officer</w:t>
            </w:r>
          </w:p>
        </w:tc>
      </w:tr>
      <w:tr>
        <w:trPr>
          <w:trHeight w:val="21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Glover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4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1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 Orenstein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5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w w:val="98"/>
              </w:rPr>
              <w:t>Chief Corporate Development &amp; Legal Officer and Secretary</w:t>
            </w:r>
          </w:p>
        </w:tc>
      </w:tr>
      <w:tr>
        <w:trPr>
          <w:trHeight w:val="21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Trisha Price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4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Product Officer</w:t>
            </w:r>
          </w:p>
        </w:tc>
      </w:tr>
      <w:tr>
        <w:trPr>
          <w:trHeight w:val="233"/>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Rudow</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5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409"/>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Collins</w:t>
            </w:r>
            <w:r>
              <w:rPr>
                <w:rFonts w:ascii="Times New Roman" w:cs="Times New Roman" w:eastAsia="Times New Roman" w:hAnsi="Times New Roman"/>
                <w:sz w:val="15"/>
                <w:szCs w:val="15"/>
                <w:color w:val="auto"/>
              </w:rPr>
              <w:t>(1)(3)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 Doyle</w:t>
            </w:r>
            <w:r>
              <w:rPr>
                <w:rFonts w:ascii="Times New Roman" w:cs="Times New Roman" w:eastAsia="Times New Roman" w:hAnsi="Times New Roman"/>
                <w:sz w:val="15"/>
                <w:szCs w:val="15"/>
                <w:color w:val="auto"/>
              </w:rPr>
              <w:t>(3)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Horing</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Pam Kilday</w:t>
            </w:r>
            <w:r>
              <w:rPr>
                <w:rFonts w:ascii="Times New Roman" w:cs="Times New Roman" w:eastAsia="Times New Roman" w:hAnsi="Times New Roman"/>
                <w:sz w:val="15"/>
                <w:szCs w:val="15"/>
                <w:color w:val="auto"/>
              </w:rPr>
              <w:t>(1)(2)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Spencer Lake</w:t>
            </w:r>
            <w:r>
              <w:rPr>
                <w:rFonts w:ascii="Times New Roman" w:cs="Times New Roman" w:eastAsia="Times New Roman" w:hAnsi="Times New Roman"/>
                <w:sz w:val="15"/>
                <w:szCs w:val="15"/>
                <w:color w:val="auto"/>
              </w:rPr>
              <w:t>(2)(3)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Lunsford</w:t>
            </w:r>
            <w:r>
              <w:rPr>
                <w:rFonts w:ascii="Times New Roman" w:cs="Times New Roman" w:eastAsia="Times New Roman" w:hAnsi="Times New Roman"/>
                <w:sz w:val="15"/>
                <w:szCs w:val="15"/>
                <w:color w:val="auto"/>
              </w:rPr>
              <w:t>(2)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33"/>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Ruh</w:t>
            </w:r>
            <w:r>
              <w:rPr>
                <w:rFonts w:ascii="Times New Roman" w:cs="Times New Roman" w:eastAsia="Times New Roman" w:hAnsi="Times New Roman"/>
                <w:sz w:val="15"/>
                <w:szCs w:val="15"/>
                <w:color w:val="auto"/>
              </w:rPr>
              <w:t>(1)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7645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8" w:lineRule="exact"/>
        <w:rPr>
          <w:sz w:val="20"/>
          <w:szCs w:val="20"/>
          <w:color w:val="auto"/>
        </w:rPr>
      </w:pPr>
    </w:p>
    <w:p>
      <w:pPr>
        <w:ind w:left="600" w:hanging="433"/>
        <w:spacing w:after="0"/>
        <w:tabs>
          <w:tab w:leader="none" w:pos="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our audit committee</w:t>
      </w:r>
    </w:p>
    <w:p>
      <w:pPr>
        <w:spacing w:after="0" w:line="25" w:lineRule="exact"/>
        <w:rPr>
          <w:rFonts w:ascii="Times New Roman" w:cs="Times New Roman" w:eastAsia="Times New Roman" w:hAnsi="Times New Roman"/>
          <w:sz w:val="15"/>
          <w:szCs w:val="15"/>
          <w:color w:val="auto"/>
        </w:rPr>
      </w:pPr>
    </w:p>
    <w:p>
      <w:pPr>
        <w:ind w:left="600" w:hanging="433"/>
        <w:spacing w:after="0"/>
        <w:tabs>
          <w:tab w:leader="none" w:pos="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our compensation committee</w:t>
      </w:r>
    </w:p>
    <w:p>
      <w:pPr>
        <w:spacing w:after="0" w:line="6" w:lineRule="exact"/>
        <w:rPr>
          <w:rFonts w:ascii="Times New Roman" w:cs="Times New Roman" w:eastAsia="Times New Roman" w:hAnsi="Times New Roman"/>
          <w:sz w:val="15"/>
          <w:szCs w:val="15"/>
          <w:color w:val="auto"/>
        </w:rPr>
      </w:pPr>
    </w:p>
    <w:p>
      <w:pPr>
        <w:ind w:left="600" w:hanging="433"/>
        <w:spacing w:after="0"/>
        <w:tabs>
          <w:tab w:leader="none" w:pos="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our nominating and governance committee</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following are brief biographies describing the backgrounds of our executive officers and non-employee directors:</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3"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Pierre Naudé </w:t>
      </w:r>
      <w:r>
        <w:rPr>
          <w:rFonts w:ascii="Times New Roman" w:cs="Times New Roman" w:eastAsia="Times New Roman" w:hAnsi="Times New Roman"/>
          <w:sz w:val="18"/>
          <w:szCs w:val="18"/>
          <w:color w:val="auto"/>
        </w:rPr>
        <w:t>played a key role in the founding of nCino and has served as our Chief Executive Officer, and as a member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since nCino began operations. From October 2005 to its acquisition in February 2012, Mr. Naudé served as the Divisional President of S1 Corporation. Mr. Naudé served as Vice President and Managing Partner of Unisys, a global information technology company, from January 2004 to October 2005 and as Managing Partner from January 2000 to December 2003. Mr. Naudé holds a B.S. in Finance and Management from Upper Iowa University. As our President and Chief Executive Officer and one of the founders of the Company, we believe Mr. Naudé is qualified to serve on our board of directors due to his experience in all aspects of our business and his ability to provide an insider’s perspective in board discussions about the business and strategic direction of the Company. We believe that his experience gives him unique insights into our opportunities, challenges and operations.</w:t>
      </w:r>
    </w:p>
    <w:p>
      <w:pPr>
        <w:spacing w:after="0" w:line="187" w:lineRule="exact"/>
        <w:rPr>
          <w:sz w:val="20"/>
          <w:szCs w:val="20"/>
          <w:color w:val="auto"/>
        </w:rPr>
      </w:pPr>
    </w:p>
    <w:p>
      <w:pPr>
        <w:ind w:left="160" w:right="120" w:firstLine="873"/>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Sean Desmond </w:t>
      </w:r>
      <w:r>
        <w:rPr>
          <w:rFonts w:ascii="Times New Roman" w:cs="Times New Roman" w:eastAsia="Times New Roman" w:hAnsi="Times New Roman"/>
          <w:sz w:val="18"/>
          <w:szCs w:val="18"/>
          <w:color w:val="auto"/>
        </w:rPr>
        <w:t>has served as our Chief Customer Success Officer since July 2013. Prior to joining nCino, Mr. Desmond held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from February 1999 to June 2013 at Informatica, an enterprise cloud data management provider, most recently serving as Vice President, Global Delivery from January 2012 to June 2013. Prior to that, Mr. Desmond served as a Business Analyst at Platinum Technologies, a database management software company, from August 1996 to January 1999. Mr. Desmond holds a B.B.A. in Business Administration from James Madison University.</w:t>
      </w:r>
    </w:p>
    <w:p>
      <w:pPr>
        <w:spacing w:after="0" w:line="180" w:lineRule="exact"/>
        <w:rPr>
          <w:sz w:val="20"/>
          <w:szCs w:val="20"/>
          <w:color w:val="auto"/>
        </w:rPr>
      </w:pPr>
    </w:p>
    <w:p>
      <w:pPr>
        <w:ind w:left="160" w:right="80" w:firstLine="873"/>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Josh Glover </w:t>
      </w:r>
      <w:r>
        <w:rPr>
          <w:rFonts w:ascii="Times New Roman" w:cs="Times New Roman" w:eastAsia="Times New Roman" w:hAnsi="Times New Roman"/>
          <w:sz w:val="18"/>
          <w:szCs w:val="18"/>
          <w:color w:val="auto"/>
        </w:rPr>
        <w:t>has served as our Chief Revenue Officer since February 2019 and previously served as Executive Vice President, Americas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February 2017 to February 2019, Senior Vice President, Community</w:t>
      </w:r>
    </w:p>
    <w:p>
      <w:pPr>
        <w:spacing w:after="0" w:line="9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820"/>
          </w:cols>
          <w:pgMar w:left="320" w:top="454" w:right="7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40"/>
        <w:spacing w:after="0" w:line="255" w:lineRule="auto"/>
        <w:rPr>
          <w:sz w:val="20"/>
          <w:szCs w:val="20"/>
          <w:color w:val="auto"/>
        </w:rPr>
      </w:pPr>
      <w:r>
        <w:rPr>
          <w:rFonts w:ascii="Times New Roman" w:cs="Times New Roman" w:eastAsia="Times New Roman" w:hAnsi="Times New Roman"/>
          <w:sz w:val="18"/>
          <w:szCs w:val="18"/>
          <w:color w:val="auto"/>
        </w:rPr>
        <w:t>and Regional Financial Institutions from December 2014 to January 2017 and a member of nCino’s professional services organization from November 2012 to December 2014. Prior to joining nCino, Mr. Glover served as a Relationship Manager at Live Oak Bank, a banking and financial services institution, from January 2012 to November 2012. Mr. Glover is a decorated combat veteran who led Marines throughout four combat deployments during a decade of service as a Marine Corps Special Operations and Infantry Officer. Mr. Glover is a graduate of the U.S. Naval Academy and holds an MBA from Duke University’s Fuqua School of Business.</w:t>
      </w:r>
    </w:p>
    <w:p>
      <w:pPr>
        <w:spacing w:after="0" w:line="182" w:lineRule="exact"/>
        <w:rPr>
          <w:sz w:val="20"/>
          <w:szCs w:val="20"/>
          <w:color w:val="auto"/>
        </w:rPr>
      </w:pPr>
    </w:p>
    <w:p>
      <w:pPr>
        <w:ind w:left="160" w:right="40" w:firstLine="87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Greg Orenstein </w:t>
      </w:r>
      <w:r>
        <w:rPr>
          <w:rFonts w:ascii="Times New Roman" w:cs="Times New Roman" w:eastAsia="Times New Roman" w:hAnsi="Times New Roman"/>
          <w:sz w:val="18"/>
          <w:szCs w:val="18"/>
          <w:color w:val="auto"/>
        </w:rPr>
        <w:t>has served as our Chief Corporate Development &amp; Legal Officer and Secretary since December 2019 and previously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our Executive Vice President Corporate Development, Chief Legal Officer &amp; Secretary from October 2015 to November 2019. Prior to joining nCino, Mr. Orenstein was Of Counsel at the global law firm of DLA Piper from May 2014 to September 2015, and provided consulting services to various organizations, including nCino, from March 2012 to April 2014. From March 2000 until it was acquired in February 2012, Mr. Orenstein held various positions at S1 Corporation, a publicly traded provider of financial services software, most recently serving as Senior Vice President, Corporate Development, Chief Legal Officer and Secretary from April 2007 until February 2012. Mr. Orenstein holds a B.A. in Psychology from the University of Maryland and a J.D. from Emory University School of Law.</w:t>
      </w:r>
    </w:p>
    <w:p>
      <w:pPr>
        <w:spacing w:after="0" w:line="184"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Trisha Price </w:t>
      </w:r>
      <w:r>
        <w:rPr>
          <w:rFonts w:ascii="Times New Roman" w:cs="Times New Roman" w:eastAsia="Times New Roman" w:hAnsi="Times New Roman"/>
          <w:sz w:val="18"/>
          <w:szCs w:val="18"/>
          <w:color w:val="auto"/>
        </w:rPr>
        <w:t>has served as our Chief Product Officer since August 2019 and previously served as our Executive Vice President,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Engineering from July 2016 to August 2019 and our Vice President, Product Development and Engineering from April 2016 to June 2016. Ms. Price previously held various positions at Primatics Financial, a financial technology company, serving as Head of Global Sales from December 2015 to April 2016, Vice President, West Coast Sales and Operations from November 2014 to December 2015, Vice President, Products from May 2013 to November 2014 and Director, Product Management from August 2009 to May 2013. Ms. Price also held various positions at Fannie Mae, a U.S. government-sponsored financial services company, serving as Director, Securities Accounting from May 2008 to June 2009 and as Senior Project Manager, Accounting Operations from June 2006 to May 2008. Ms. Price holds a B.S. in Mathematics and Mathematics Education from North Carolina State University and an ALM in Extension Studies; Software Engineering from Harvard University.</w:t>
      </w:r>
    </w:p>
    <w:p>
      <w:pPr>
        <w:spacing w:after="0" w:line="187"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David Rudow </w:t>
      </w:r>
      <w:r>
        <w:rPr>
          <w:rFonts w:ascii="Times New Roman" w:cs="Times New Roman" w:eastAsia="Times New Roman" w:hAnsi="Times New Roman"/>
          <w:sz w:val="18"/>
          <w:szCs w:val="18"/>
          <w:color w:val="auto"/>
        </w:rPr>
        <w:t>has served as our Chief Financial Officer since October 2019. Prior to joining nCino, Mr. Rudow served as Senior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Finance at CentralSquare Technologies, a software company, from January 2018 to October 2019, where he was responsible for finance, treasury, facilities, M&amp;A integration and analytic reporting. Mr. Rudow was a Senior Equity Analyst at Thrivent Asset Management, an asset management firm, from May 2007 to April 2017. Prior to that, Mr. Rudow held Senior Analyst positions at various investment banking and financial services firms, including Piper Jaffray, J.P. Morgan and Diamondback Capital. Mr. Rudow is also a Certified Public Accountant and previously served as a Senior Tax Associate at global accounting and consulting firms KPMG in 1996 and PricewaterhouseCoopers from 1994 to 1996. Mr. Rudow holds a B.S. in Business Administration and Accounting from the University of Illinois, Chicago and an MBA in Finance and Accounting from the University of Chicago, Booth School of Business.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3"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Steven Collins </w:t>
      </w:r>
      <w:r>
        <w:rPr>
          <w:rFonts w:ascii="Times New Roman" w:cs="Times New Roman" w:eastAsia="Times New Roman" w:hAnsi="Times New Roman"/>
          <w:sz w:val="18"/>
          <w:szCs w:val="18"/>
          <w:color w:val="auto"/>
        </w:rPr>
        <w:t>has served on our board of directors since December 2019. Mr. Collins serves on the board of Sprout Social, a social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software solutions company, a position he has held since July 2019. Mr. Collins also serves on the board of a number of private companies. From July 2011 to February 2014, Mr. Collins served as Executive Vice President and Chief Financial Officer of ExactTarget, a provider of digital marketing automation and analytics software and services, which was acquired by Salesforce in 2013. Mr. Collins served as Vice President Finance, Senior Vice President Finance and Accounting, and Senior Vice President and Chief Financial Officer of Navteq, a geographic information systems provider, which was acquired by Nokia in 2008, from July 2003 to June 2011. Mr. Collins holds a B.S. in Industrial Engineering from Iowa State University and an MBA from the University of Pennsylvania Wharton School of Business. We believe Mr. Collins is qualified to serve on our board of directors based on his financial expertise and his experience in the technology industry, including his time spent serving on board of directors of various technology companies.</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80"/>
          </w:cols>
          <w:pgMar w:left="320" w:top="454" w:right="49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3" w:lineRule="exact"/>
        <w:rPr>
          <w:sz w:val="20"/>
          <w:szCs w:val="20"/>
          <w:color w:val="auto"/>
        </w:rPr>
      </w:pPr>
    </w:p>
    <w:p>
      <w:pPr>
        <w:ind w:left="160" w:firstLine="873"/>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Jon Doyle </w:t>
      </w:r>
      <w:r>
        <w:rPr>
          <w:rFonts w:ascii="Times New Roman" w:cs="Times New Roman" w:eastAsia="Times New Roman" w:hAnsi="Times New Roman"/>
          <w:sz w:val="17"/>
          <w:szCs w:val="17"/>
          <w:color w:val="auto"/>
        </w:rPr>
        <w:t>has served on our board of directors since December 2019. Mr. Doyle is currently a member of the board of directors of, and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Vice Chairman, Senior Managing Principal and Head of the Financial Services Group at, Piper Sandler following the merger of Piper Jaffray with Sandler O’Neill + Partners in January 2020. From January 2002 to January 2020, Mr. Doyle served as the Senior Managing Principal of Sandler O’Neill</w:t>
      </w:r>
    </w:p>
    <w:p>
      <w:pPr>
        <w:spacing w:after="0" w:line="1" w:lineRule="exact"/>
        <w:rPr>
          <w:sz w:val="20"/>
          <w:szCs w:val="20"/>
          <w:color w:val="auto"/>
        </w:rPr>
      </w:pPr>
    </w:p>
    <w:p>
      <w:pPr>
        <w:ind w:left="160" w:right="20" w:firstLine="7"/>
        <w:spacing w:after="0" w:line="285" w:lineRule="auto"/>
        <w:tabs>
          <w:tab w:leader="none" w:pos="30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 Previously, Mr. Doyle held various positions in hardware sales and commercial banking. Mr. Doyle holds a B.S. in Finance from the College of William &amp; Mary. We believe Mr. Doyle is qualified to serve on our board of directors based on his experience in the financial services industry.</w:t>
      </w:r>
    </w:p>
    <w:p>
      <w:pPr>
        <w:spacing w:after="0" w:line="157"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Jeffrey Horing </w:t>
      </w:r>
      <w:r>
        <w:rPr>
          <w:rFonts w:ascii="Times New Roman" w:cs="Times New Roman" w:eastAsia="Times New Roman" w:hAnsi="Times New Roman"/>
          <w:sz w:val="18"/>
          <w:szCs w:val="18"/>
          <w:color w:val="auto"/>
        </w:rPr>
        <w:t>has served on our board of directors since February 2015. Mr. Horing is a Managing Director of Insight Partners, a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and venture capital firm, which he co-founded in 1995. Prior to founding Insight Partners, Mr. Horing held various positions at Warburg Pincus and Goldman Sachs. Mr. Horing serves on the board of Alteryx, Inc., a position he has held since September 2014, as well as the boards of a number of private companies. Mr. Horing is also a member of the University of Pennsylvania’s School of Engineering board of overseers. Mr. Horing holds a B.S. and B.A. from University of Pennsylvania’s Moore School of Engineering and the Wharton School, respectively. He also holds an MBA from the M.I.T. Sloan School of Management. Since 2015, Mr. Horing has served on our board as the designee of Insight Partners pursuant to the Investor Rights Agreement we entered into in connection with Insight Partners’ initial investment in us. Insight Partners’ right to name a director to our board will terminate upon completion of this offering. We believe Mr. Horing is qualified to serve on our board of directors because of his corporate finance and business expertise gained from his experience in the venture capital industry, including his time spent serving on boards of directors of various technology companies.</w:t>
      </w:r>
    </w:p>
    <w:p>
      <w:pPr>
        <w:spacing w:after="0" w:line="189" w:lineRule="exact"/>
        <w:rPr>
          <w:sz w:val="20"/>
          <w:szCs w:val="20"/>
          <w:color w:val="auto"/>
        </w:rPr>
      </w:pPr>
    </w:p>
    <w:p>
      <w:pPr>
        <w:ind w:left="160" w:right="160" w:firstLine="873"/>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Pam Kilday </w:t>
      </w:r>
      <w:r>
        <w:rPr>
          <w:rFonts w:ascii="Times New Roman" w:cs="Times New Roman" w:eastAsia="Times New Roman" w:hAnsi="Times New Roman"/>
          <w:sz w:val="18"/>
          <w:szCs w:val="18"/>
          <w:color w:val="auto"/>
        </w:rPr>
        <w:t>has served on our board of directors since December 2019. Ms. Kilday previously served as Head of Operations of Truist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(formerly known as SunTrust Bank), from May 2015 to April 2018. Prior to that, Ms. Kilday served as Wholesale Operations Executive of SunTrust from March 2013 to May 2015 and as Wholesale Relationship Executive of SunTrust from January 2012 to March 2013. Ms. Kilday holds a B.S. in Education from Tennessee Technological University and an M.S. from University of Illinois at Chicago. We believe Ms. Kilday is qualified to serve on our board of directors based on her experience in the financial services industry.</w:t>
      </w:r>
    </w:p>
    <w:p>
      <w:pPr>
        <w:spacing w:after="0" w:line="180"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Spencer Lake </w:t>
      </w:r>
      <w:r>
        <w:rPr>
          <w:rFonts w:ascii="Times New Roman" w:cs="Times New Roman" w:eastAsia="Times New Roman" w:hAnsi="Times New Roman"/>
          <w:sz w:val="18"/>
          <w:szCs w:val="18"/>
          <w:color w:val="auto"/>
        </w:rPr>
        <w:t>has served on our board of directors since April 2017. Mr. Lake is currently a Director at Nivaura, a digital capital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a position he has held since September 2018. Mr. Lake has been a founding partner of Elements Ventures, a UK based financial technology venture capital firm, since May 2017. Mr. Lake also currently serves as a Senior Advisor to the International Capital Market Association, a financial services membership organization, a position he has held since May 2017. Mr. Lake also serves on the board of a number of private companies, including as Vice Chairman of Fenergo, a financial technology company, since July 2016 and Duco, a data quality platform company, since September 2018. Mr. Lake previously held various positions at HSBC, a banking and financial services company, serving as Vice Chairman, Global Banking and Markets and Group General Manager from March 2016 to September 2016, Global Head, Capital Financing from August 2013 to March 2016, Global Co-head, Global Markets from January 2011 to August 2013 and Global Head, Debt Capital Markets and Acquisition Finance from October 2006 to January 2011. Mr. Lake holds a B.B.A. in Finance and Marketing from Suffolk University, as well as an MBA in International Finance from NYU Stern School of Business. We believe Mr. Lake is qualified to serve on our board of directors based on his expertise in the financial services and technology industries.</w:t>
      </w:r>
    </w:p>
    <w:p>
      <w:pPr>
        <w:spacing w:after="0" w:line="187" w:lineRule="exact"/>
        <w:rPr>
          <w:sz w:val="20"/>
          <w:szCs w:val="20"/>
          <w:color w:val="auto"/>
        </w:rPr>
      </w:pPr>
    </w:p>
    <w:p>
      <w:pPr>
        <w:ind w:left="160" w:right="260" w:firstLine="873"/>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Jeffrey Lunsford </w:t>
      </w:r>
      <w:r>
        <w:rPr>
          <w:rFonts w:ascii="Times New Roman" w:cs="Times New Roman" w:eastAsia="Times New Roman" w:hAnsi="Times New Roman"/>
          <w:sz w:val="18"/>
          <w:szCs w:val="18"/>
          <w:color w:val="auto"/>
        </w:rPr>
        <w:t>has served on our board of directors since inception. Mr. Lunsford is currently Chief Executive Officer and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Tealium, an enterprise software company that offers a trusted customer data orchestration platform, a position he has held since January 2013.</w:t>
      </w:r>
    </w:p>
    <w:p>
      <w:pPr>
        <w:ind w:left="160" w:right="100"/>
        <w:spacing w:after="0" w:line="252" w:lineRule="auto"/>
        <w:rPr>
          <w:sz w:val="20"/>
          <w:szCs w:val="20"/>
          <w:color w:val="auto"/>
        </w:rPr>
      </w:pPr>
      <w:r>
        <w:rPr>
          <w:rFonts w:ascii="Times New Roman" w:cs="Times New Roman" w:eastAsia="Times New Roman" w:hAnsi="Times New Roman"/>
          <w:sz w:val="18"/>
          <w:szCs w:val="18"/>
          <w:color w:val="auto"/>
        </w:rPr>
        <w:t>Mr. Lunsford also serves on the boards of a number of private companies. A former naval officer and aviator, Mr. Lunsford holds a B.S. in Information and Computer Sciences from Georgia Institute of Technology. We believe Mr. Lunsford is qualified to serve on our board of directors based on his experience in the technology industry.</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40"/>
          </w:cols>
          <w:pgMar w:left="320" w:top="454" w:right="5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3" w:lineRule="exact"/>
        <w:rPr>
          <w:sz w:val="20"/>
          <w:szCs w:val="20"/>
          <w:color w:val="auto"/>
        </w:rPr>
      </w:pPr>
    </w:p>
    <w:p>
      <w:pPr>
        <w:ind w:left="160" w:right="100" w:firstLine="873"/>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William Ruh </w:t>
      </w:r>
      <w:r>
        <w:rPr>
          <w:rFonts w:ascii="Times New Roman" w:cs="Times New Roman" w:eastAsia="Times New Roman" w:hAnsi="Times New Roman"/>
          <w:sz w:val="18"/>
          <w:szCs w:val="18"/>
          <w:color w:val="auto"/>
        </w:rPr>
        <w:t>has served on our board of directors since May 2013. Mr. Ruh is currently President at Cairn Capital Management, a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management firm, a position he has held since October 2016. Mr. Ruh also currently serves as President of Ruh Advisory, a financial services consulting firm, a position he has held since January 2005. Mr. Ruh previously served as Managing Principal of CCM Capital Opportunities Fund, a financial technology company focused on private equity, from November 2013 to December 2015. Prior to that, Mr. Ruh served as Managing Principal of Castle Creek Capital from January 1994 to November 2013, a private equity firm, which he co-founded. Mr. Ruh also serves on the boards of a number of private companies and as the Chairman of the Board of the U.S. Sailing Foundation and as a board member of the U.S. Sailing Association. Mr. Ruh holds a B.S. in Marine Transportation from the State University of New York Maritime College and an MBA from the Duke University Fuqua School of Business. We believe Mr. Ruh is qualified to serve on our board of directors based on his expertise in the financial services and technology industries.</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5"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color w:val="auto"/>
        </w:rPr>
        <w:t>Our board of directors consists of eight members and is divided into three classes of directors that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are divided among the three classes as follows:</w:t>
      </w:r>
    </w:p>
    <w:p>
      <w:pPr>
        <w:spacing w:after="0" w:line="207" w:lineRule="exact"/>
        <w:rPr>
          <w:sz w:val="20"/>
          <w:szCs w:val="20"/>
          <w:color w:val="auto"/>
        </w:rPr>
      </w:pPr>
    </w:p>
    <w:p>
      <w:pPr>
        <w:ind w:left="1460" w:right="920" w:hanging="316"/>
        <w:spacing w:after="0" w:line="278" w:lineRule="auto"/>
        <w:tabs>
          <w:tab w:leader="none" w:pos="1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Pierre Naudé, William Ruh and Pam Kilday, and their terms expire at the 2021 annual meeting of stockholders;</w:t>
      </w:r>
    </w:p>
    <w:p>
      <w:pPr>
        <w:spacing w:after="0" w:line="189" w:lineRule="exact"/>
        <w:rPr>
          <w:rFonts w:ascii="Times New Roman" w:cs="Times New Roman" w:eastAsia="Times New Roman" w:hAnsi="Times New Roman"/>
          <w:sz w:val="18"/>
          <w:szCs w:val="18"/>
          <w:color w:val="auto"/>
        </w:rPr>
      </w:pPr>
    </w:p>
    <w:p>
      <w:pPr>
        <w:ind w:left="1460" w:right="160" w:hanging="316"/>
        <w:spacing w:after="0" w:line="278" w:lineRule="auto"/>
        <w:tabs>
          <w:tab w:leader="none" w:pos="1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Jeffrey Lunsford and Spencer Lake, and their terms will expire at the 2022 annual meeting of stockholders; and</w:t>
      </w:r>
    </w:p>
    <w:p>
      <w:pPr>
        <w:spacing w:after="0" w:line="189" w:lineRule="exact"/>
        <w:rPr>
          <w:rFonts w:ascii="Times New Roman" w:cs="Times New Roman" w:eastAsia="Times New Roman" w:hAnsi="Times New Roman"/>
          <w:sz w:val="18"/>
          <w:szCs w:val="18"/>
          <w:color w:val="auto"/>
        </w:rPr>
      </w:pPr>
    </w:p>
    <w:p>
      <w:pPr>
        <w:ind w:left="1460" w:right="360" w:hanging="316"/>
        <w:spacing w:after="0" w:line="278" w:lineRule="auto"/>
        <w:tabs>
          <w:tab w:leader="none" w:pos="1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Jeffrey Horing, Steven Collins and Jon Doyle, and their terms will expire at the 2023 annual meeting of stockholders.</w:t>
      </w:r>
    </w:p>
    <w:p>
      <w:pPr>
        <w:spacing w:after="0" w:line="162"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Each director’s term continues until the election and qualification of his or her successor, or his or her earlier death, resignation or removal. Our certificate of incorporation and bylaws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“Description of Capital Stock—Anti-Takeover Provisions.”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5"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Under the rules of The Nasdaq Global Select Market, independent directors must comprise a majority of a listed company’s board of directors within a specified period after the completion of its initial public offering. In addition, the rules of The Nasdaq Global Select Market require that, subject to specified exceptions, each member of a listed company’s audit, compensation and nominating and governance committees be independent. Under the rules of The Nasdaq Global Select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60"/>
          </w:cols>
          <w:pgMar w:left="320" w:top="454" w:right="51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760" w:firstLine="873"/>
        <w:spacing w:after="0" w:line="278" w:lineRule="auto"/>
        <w:rPr>
          <w:sz w:val="20"/>
          <w:szCs w:val="20"/>
          <w:color w:val="auto"/>
        </w:rPr>
      </w:pPr>
      <w:r>
        <w:rPr>
          <w:rFonts w:ascii="Times New Roman" w:cs="Times New Roman" w:eastAsia="Times New Roman" w:hAnsi="Times New Roman"/>
          <w:sz w:val="18"/>
          <w:szCs w:val="18"/>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162"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w:t>
      </w:r>
    </w:p>
    <w:p>
      <w:pPr>
        <w:spacing w:after="0" w:line="180" w:lineRule="exact"/>
        <w:rPr>
          <w:sz w:val="20"/>
          <w:szCs w:val="20"/>
          <w:color w:val="auto"/>
        </w:rPr>
      </w:pPr>
    </w:p>
    <w:p>
      <w:pPr>
        <w:ind w:left="160" w:right="80" w:firstLine="873"/>
        <w:spacing w:after="0" w:line="252"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with the exception of our Chief Executive Officer, Pierre Naudé, each member of our board of directors is an “independent director” as defined under the applicable rules and regulations of the SEC and the listing requirements and rules of The Nasdaq Global Select Market.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5" w:lineRule="exact"/>
        <w:rPr>
          <w:sz w:val="20"/>
          <w:szCs w:val="20"/>
          <w:color w:val="auto"/>
        </w:rPr>
      </w:pPr>
    </w:p>
    <w:p>
      <w:pPr>
        <w:ind w:left="160" w:right="280" w:firstLine="873"/>
        <w:spacing w:after="0" w:line="263" w:lineRule="auto"/>
        <w:rPr>
          <w:sz w:val="20"/>
          <w:szCs w:val="20"/>
          <w:color w:val="auto"/>
        </w:rPr>
      </w:pPr>
      <w:r>
        <w:rPr>
          <w:rFonts w:ascii="Times New Roman" w:cs="Times New Roman" w:eastAsia="Times New Roman" w:hAnsi="Times New Roman"/>
          <w:sz w:val="18"/>
          <w:szCs w:val="18"/>
          <w:color w:val="auto"/>
        </w:rPr>
        <w:t>Our corporate governance guidelines provide that the roles of chairperson of the board and chief executive officer may be separated or combined. In the event that the roles are combined, our corporate governance guidelines provide for the naming of a Lead Independent Director. Our board of directors has appointed Jeffrey Lunsford to serve as chairperson of the board.</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5" w:lineRule="exact"/>
        <w:rPr>
          <w:sz w:val="20"/>
          <w:szCs w:val="20"/>
          <w:color w:val="auto"/>
        </w:rPr>
      </w:pPr>
    </w:p>
    <w:p>
      <w:pPr>
        <w:ind w:left="160" w:right="120" w:firstLine="873"/>
        <w:spacing w:after="0" w:line="258"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The composition and responsibilities of each of the committees of our board of directors are described below and copies of the charters are available on our website. Members serve on these committees until their resignation or until otherwise determined by our board of directors. Our board of directors may establish other committees as it deems necessary or appropriate from time to time.</w:t>
      </w:r>
    </w:p>
    <w:p>
      <w:pPr>
        <w:spacing w:after="0" w:line="180" w:lineRule="exact"/>
        <w:rPr>
          <w:sz w:val="20"/>
          <w:szCs w:val="20"/>
          <w:color w:val="auto"/>
        </w:rPr>
      </w:pPr>
    </w:p>
    <w:p>
      <w:pPr>
        <w:ind w:left="160" w:right="240" w:firstLine="873"/>
        <w:spacing w:after="0" w:line="278" w:lineRule="auto"/>
        <w:rPr>
          <w:sz w:val="20"/>
          <w:szCs w:val="20"/>
          <w:color w:val="auto"/>
        </w:rPr>
      </w:pPr>
      <w:r>
        <w:rPr>
          <w:rFonts w:ascii="Times New Roman" w:cs="Times New Roman" w:eastAsia="Times New Roman" w:hAnsi="Times New Roman"/>
          <w:sz w:val="18"/>
          <w:szCs w:val="18"/>
          <w:color w:val="auto"/>
        </w:rPr>
        <w:t>Reference to our website does not constitute incorporation by reference of the information contained at or accessible through our website into this prospectus or the registration statement of which it forms a part.</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5" w:lineRule="exact"/>
        <w:rPr>
          <w:sz w:val="20"/>
          <w:szCs w:val="20"/>
          <w:color w:val="auto"/>
        </w:rPr>
      </w:pPr>
    </w:p>
    <w:p>
      <w:pPr>
        <w:jc w:val="both"/>
        <w:ind w:left="160" w:firstLine="873"/>
        <w:spacing w:after="0" w:line="263" w:lineRule="auto"/>
        <w:rPr>
          <w:sz w:val="20"/>
          <w:szCs w:val="20"/>
          <w:color w:val="auto"/>
        </w:rPr>
      </w:pPr>
      <w:r>
        <w:rPr>
          <w:rFonts w:ascii="Times New Roman" w:cs="Times New Roman" w:eastAsia="Times New Roman" w:hAnsi="Times New Roman"/>
          <w:sz w:val="18"/>
          <w:szCs w:val="18"/>
          <w:color w:val="auto"/>
        </w:rPr>
        <w:t>Our audit committee consists of Steven Collins, Pam Kilday and William Ruh, with Steven Collins serving as the chairperson. Our board of directors has determined that each member of our audit committee is independent within the meaning of Rule 10A-3 under the Exchange Act. Our board of directors has also determined that Steven Collins is an “audit committee financial expert” as defined by the applicable SEC rules.</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Specific responsibilities of our audit committee include:</w:t>
      </w:r>
    </w:p>
    <w:p>
      <w:pPr>
        <w:spacing w:after="0" w:line="248" w:lineRule="exact"/>
        <w:rPr>
          <w:sz w:val="20"/>
          <w:szCs w:val="20"/>
          <w:color w:val="auto"/>
        </w:rPr>
      </w:pPr>
    </w:p>
    <w:p>
      <w:pPr>
        <w:ind w:left="1460" w:hanging="316"/>
        <w:spacing w:after="0"/>
        <w:tabs>
          <w:tab w:leader="none" w:pos="1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corporate accounting and financial reporting processes and our internal controls over financial reporting;</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public accounting firm’s qualifications, independence and performance;</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60"/>
          </w:cols>
          <w:pgMar w:left="320" w:top="454" w:right="51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460" w:hanging="316"/>
        <w:spacing w:after="0"/>
        <w:tabs>
          <w:tab w:leader="none" w:pos="1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and providing for the compensation of the independent public accounting firm;</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 and permitted non-audit and tax services to be provided to us by the independent public accounting firm;</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critical accounting policies and estimates and internal controls over financial reporting;</w:t>
      </w:r>
    </w:p>
    <w:p>
      <w:pPr>
        <w:spacing w:after="0" w:line="247" w:lineRule="exact"/>
        <w:rPr>
          <w:rFonts w:ascii="Times New Roman" w:cs="Times New Roman" w:eastAsia="Times New Roman" w:hAnsi="Times New Roman"/>
          <w:sz w:val="18"/>
          <w:szCs w:val="18"/>
          <w:color w:val="auto"/>
        </w:rPr>
      </w:pPr>
    </w:p>
    <w:p>
      <w:pPr>
        <w:ind w:left="1460" w:right="140" w:hanging="316"/>
        <w:spacing w:after="0" w:line="263" w:lineRule="auto"/>
        <w:tabs>
          <w:tab w:leader="none" w:pos="1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complaints received by us regarding accounting, internal accounting controls or auditing matters, including for the confidential anonymous submission of concerns by our employees, and periodically reviewing such procedures, as well as any significant complaints received, with management;</w:t>
      </w:r>
    </w:p>
    <w:p>
      <w:pPr>
        <w:spacing w:after="0" w:line="202" w:lineRule="exact"/>
        <w:rPr>
          <w:rFonts w:ascii="Times New Roman" w:cs="Times New Roman" w:eastAsia="Times New Roman" w:hAnsi="Times New Roman"/>
          <w:sz w:val="18"/>
          <w:szCs w:val="18"/>
          <w:color w:val="auto"/>
        </w:rPr>
      </w:pPr>
    </w:p>
    <w:p>
      <w:pPr>
        <w:ind w:left="1460" w:right="100" w:hanging="316"/>
        <w:spacing w:after="0" w:line="278" w:lineRule="auto"/>
        <w:tabs>
          <w:tab w:leader="none" w:pos="1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the results of the annual audit and the reviews of our quarterly financial statements;</w:t>
      </w:r>
    </w:p>
    <w:p>
      <w:pPr>
        <w:spacing w:after="0" w:line="189" w:lineRule="exact"/>
        <w:rPr>
          <w:rFonts w:ascii="Times New Roman" w:cs="Times New Roman" w:eastAsia="Times New Roman" w:hAnsi="Times New Roman"/>
          <w:sz w:val="18"/>
          <w:szCs w:val="18"/>
          <w:color w:val="auto"/>
        </w:rPr>
      </w:pPr>
    </w:p>
    <w:p>
      <w:pPr>
        <w:ind w:left="1460" w:right="440" w:hanging="316"/>
        <w:spacing w:after="0" w:line="278" w:lineRule="auto"/>
        <w:tabs>
          <w:tab w:leader="none" w:pos="1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any transaction between us and any related person (as defined by the Securities Act) in accordance with the Company’s related party transaction approval policy; and</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designated to the audit committee by our board of directors from time to time.</w:t>
      </w:r>
    </w:p>
    <w:p>
      <w:pPr>
        <w:spacing w:after="0" w:line="2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Nasdaq Global Select Market listing standards.</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5" w:lineRule="exact"/>
        <w:rPr>
          <w:sz w:val="20"/>
          <w:szCs w:val="20"/>
          <w:color w:val="auto"/>
        </w:rPr>
      </w:pPr>
    </w:p>
    <w:p>
      <w:pPr>
        <w:jc w:val="both"/>
        <w:ind w:left="160" w:firstLine="873"/>
        <w:spacing w:after="0" w:line="263" w:lineRule="auto"/>
        <w:rPr>
          <w:sz w:val="20"/>
          <w:szCs w:val="20"/>
          <w:color w:val="auto"/>
        </w:rPr>
      </w:pPr>
      <w:r>
        <w:rPr>
          <w:rFonts w:ascii="Times New Roman" w:cs="Times New Roman" w:eastAsia="Times New Roman" w:hAnsi="Times New Roman"/>
          <w:sz w:val="18"/>
          <w:szCs w:val="18"/>
          <w:color w:val="auto"/>
        </w:rPr>
        <w:t>Our compensation committee consists of Pam Kilday, Spencer Lake and Jeffrey Lunsford, with Jeffrey Lunsford serving as the chairperson. Our board of directors has determined that each member of our compensation committee is independent under The Nasdaq Global Select Market listing standards and a “non-employee director” as defined in Rule 16b-3 promulgated under the Exchange Act.</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Specific responsibilities of our compensation committee include:</w:t>
      </w:r>
    </w:p>
    <w:p>
      <w:pPr>
        <w:spacing w:after="0" w:line="248" w:lineRule="exact"/>
        <w:rPr>
          <w:sz w:val="20"/>
          <w:szCs w:val="20"/>
          <w:color w:val="auto"/>
        </w:rPr>
      </w:pPr>
    </w:p>
    <w:p>
      <w:pPr>
        <w:ind w:left="1460" w:right="120" w:hanging="316"/>
        <w:spacing w:after="0" w:line="278" w:lineRule="auto"/>
        <w:tabs>
          <w:tab w:leader="none" w:pos="1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policies relating to compensation and benefits of our officers and employees, including reviewing and approving corporate goals and objectives relevant to compensation of the Chief Executive Officer and other senior officers;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Chief Executive Officer and other senior officers in light of those goals and objectives;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compensation of the Chief Executive Officer and other senior officers based on such evaluations;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issuance of options and other awards under our equity-based incentive plans;</w:t>
      </w:r>
    </w:p>
    <w:p>
      <w:pPr>
        <w:spacing w:after="0" w:line="247" w:lineRule="exact"/>
        <w:rPr>
          <w:rFonts w:ascii="Times New Roman" w:cs="Times New Roman" w:eastAsia="Times New Roman" w:hAnsi="Times New Roman"/>
          <w:sz w:val="18"/>
          <w:szCs w:val="18"/>
          <w:color w:val="auto"/>
        </w:rPr>
      </w:pPr>
    </w:p>
    <w:p>
      <w:pPr>
        <w:ind w:left="1460" w:right="160" w:hanging="316"/>
        <w:spacing w:after="0" w:line="278" w:lineRule="auto"/>
        <w:tabs>
          <w:tab w:leader="none" w:pos="1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for the Chief Executive Officer and other senior officers, employment agreements, severance agreements, consulting agreements and change in control or termination agreements; and</w:t>
      </w:r>
    </w:p>
    <w:p>
      <w:pPr>
        <w:spacing w:after="0" w:line="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20"/>
          </w:cols>
          <w:pgMar w:left="320" w:top="454" w:right="5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040" w:right="260" w:firstLine="104"/>
        <w:spacing w:after="0" w:line="522" w:lineRule="auto"/>
        <w:tabs>
          <w:tab w:leader="none" w:pos="146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matters that are specifically designated to the compensation committee by our board of directors from time to time. Our compensation committee operates under a written charter that satisfies the applicable Nasdaq Global Select Market listing standards.</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5"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Jon Doyle, Steven Collins and Spencer Lake, with Spencer Lake serving as the chairperson. Our board of directors has determined that each member of our nominating and corporate governance committee is independent under the applicable Nasdaq Global Select Market listing standards.</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248" w:lineRule="exact"/>
        <w:rPr>
          <w:sz w:val="20"/>
          <w:szCs w:val="20"/>
          <w:color w:val="auto"/>
        </w:rPr>
      </w:pPr>
    </w:p>
    <w:p>
      <w:pPr>
        <w:ind w:left="1460" w:right="100" w:hanging="316"/>
        <w:spacing w:after="0" w:line="278" w:lineRule="auto"/>
        <w:tabs>
          <w:tab w:leader="none" w:pos="1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 of directors;</w:t>
      </w:r>
    </w:p>
    <w:p>
      <w:pPr>
        <w:spacing w:after="0" w:line="189" w:lineRule="exact"/>
        <w:rPr>
          <w:rFonts w:ascii="Times New Roman" w:cs="Times New Roman" w:eastAsia="Times New Roman" w:hAnsi="Times New Roman"/>
          <w:sz w:val="18"/>
          <w:szCs w:val="18"/>
          <w:color w:val="auto"/>
        </w:rPr>
      </w:pPr>
    </w:p>
    <w:p>
      <w:pPr>
        <w:ind w:left="1460" w:right="360" w:hanging="316"/>
        <w:spacing w:after="0" w:line="278" w:lineRule="auto"/>
        <w:tabs>
          <w:tab w:leader="none" w:pos="1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changes to the size and composition of our board of directors;</w:t>
      </w:r>
    </w:p>
    <w:p>
      <w:pPr>
        <w:spacing w:after="0" w:line="189" w:lineRule="exact"/>
        <w:rPr>
          <w:rFonts w:ascii="Times New Roman" w:cs="Times New Roman" w:eastAsia="Times New Roman" w:hAnsi="Times New Roman"/>
          <w:sz w:val="18"/>
          <w:szCs w:val="18"/>
          <w:color w:val="auto"/>
        </w:rPr>
      </w:pPr>
    </w:p>
    <w:p>
      <w:pPr>
        <w:ind w:left="1460" w:right="80" w:hanging="316"/>
        <w:spacing w:after="0" w:line="278" w:lineRule="auto"/>
        <w:tabs>
          <w:tab w:leader="none" w:pos="1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and chairmanship of the committees of our board of directors;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our board of directors and orientation of new directors;</w:t>
      </w:r>
    </w:p>
    <w:p>
      <w:pPr>
        <w:spacing w:after="0" w:line="247" w:lineRule="exact"/>
        <w:rPr>
          <w:rFonts w:ascii="Times New Roman" w:cs="Times New Roman" w:eastAsia="Times New Roman" w:hAnsi="Times New Roman"/>
          <w:sz w:val="18"/>
          <w:szCs w:val="18"/>
          <w:color w:val="auto"/>
        </w:rPr>
      </w:pPr>
    </w:p>
    <w:p>
      <w:pPr>
        <w:ind w:left="1460" w:right="580" w:hanging="316"/>
        <w:spacing w:after="0" w:line="278" w:lineRule="auto"/>
        <w:tabs>
          <w:tab w:leader="none" w:pos="1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to exercise oversight of, and oversee the performance evaluation process of, our board of directors and management;</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 of directors’ performance, including committees of the board of directors.</w:t>
      </w:r>
    </w:p>
    <w:p>
      <w:pPr>
        <w:spacing w:after="0" w:line="221" w:lineRule="exact"/>
        <w:rPr>
          <w:sz w:val="20"/>
          <w:szCs w:val="20"/>
          <w:color w:val="auto"/>
        </w:rPr>
      </w:pPr>
    </w:p>
    <w:p>
      <w:pPr>
        <w:ind w:left="160" w:right="360" w:firstLine="873"/>
        <w:spacing w:after="0" w:line="278" w:lineRule="auto"/>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the applicable Nasdaq Global Select Market listing standards.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Code of Ethics and Business Conduct</w:t>
      </w:r>
    </w:p>
    <w:p>
      <w:pPr>
        <w:spacing w:after="0" w:line="225" w:lineRule="exact"/>
        <w:rPr>
          <w:sz w:val="20"/>
          <w:szCs w:val="20"/>
          <w:color w:val="auto"/>
        </w:rPr>
      </w:pPr>
    </w:p>
    <w:p>
      <w:pPr>
        <w:ind w:left="160" w:right="480" w:firstLine="873"/>
        <w:spacing w:after="0" w:line="278" w:lineRule="auto"/>
        <w:rPr>
          <w:sz w:val="20"/>
          <w:szCs w:val="20"/>
          <w:color w:val="auto"/>
        </w:rPr>
      </w:pPr>
      <w:r>
        <w:rPr>
          <w:rFonts w:ascii="Times New Roman" w:cs="Times New Roman" w:eastAsia="Times New Roman" w:hAnsi="Times New Roman"/>
          <w:sz w:val="18"/>
          <w:szCs w:val="18"/>
          <w:color w:val="auto"/>
        </w:rPr>
        <w:t>We have adopted a code of conduct applicable to our principal executive, financial and accounting officers and all persons performing similar functions.</w:t>
      </w:r>
    </w:p>
    <w:p>
      <w:pPr>
        <w:spacing w:after="0" w:line="162" w:lineRule="exact"/>
        <w:rPr>
          <w:sz w:val="20"/>
          <w:szCs w:val="20"/>
          <w:color w:val="auto"/>
        </w:rPr>
      </w:pPr>
    </w:p>
    <w:p>
      <w:pPr>
        <w:ind w:left="160" w:right="60" w:firstLine="873"/>
        <w:spacing w:after="0" w:line="263" w:lineRule="auto"/>
        <w:rPr>
          <w:sz w:val="20"/>
          <w:szCs w:val="20"/>
          <w:color w:val="auto"/>
        </w:rPr>
      </w:pPr>
      <w:r>
        <w:rPr>
          <w:rFonts w:ascii="Times New Roman" w:cs="Times New Roman" w:eastAsia="Times New Roman" w:hAnsi="Times New Roman"/>
          <w:sz w:val="18"/>
          <w:szCs w:val="18"/>
          <w:color w:val="auto"/>
        </w:rPr>
        <w:t>A copy of our code of conduct is available on our principal corporate website at www.ncino.com. Information contained on our website or connected thereto does not constitute a part of, and is not incorporated by reference into, this prospectus or the registration statement of which it forms a part.</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5" w:lineRule="exact"/>
        <w:rPr>
          <w:sz w:val="20"/>
          <w:szCs w:val="20"/>
          <w:color w:val="auto"/>
        </w:rPr>
      </w:pPr>
    </w:p>
    <w:p>
      <w:pPr>
        <w:ind w:left="160" w:right="20" w:firstLine="873"/>
        <w:spacing w:after="0" w:line="285" w:lineRule="auto"/>
        <w:rPr>
          <w:sz w:val="20"/>
          <w:szCs w:val="20"/>
          <w:color w:val="auto"/>
        </w:rPr>
      </w:pPr>
      <w:r>
        <w:rPr>
          <w:rFonts w:ascii="Times New Roman" w:cs="Times New Roman" w:eastAsia="Times New Roman" w:hAnsi="Times New Roman"/>
          <w:sz w:val="17"/>
          <w:szCs w:val="17"/>
          <w:color w:val="auto"/>
        </w:rPr>
        <w:t>None of the members of our Compensation Committee is or has been an officer or employee of us or any of our subsidiaries. In addition,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80"/>
          </w:cols>
          <w:pgMar w:left="320" w:top="454" w:right="49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ind w:left="160" w:firstLine="873"/>
        <w:spacing w:after="0" w:line="271" w:lineRule="auto"/>
        <w:rPr>
          <w:sz w:val="20"/>
          <w:szCs w:val="20"/>
          <w:color w:val="auto"/>
        </w:rPr>
      </w:pPr>
      <w:r>
        <w:rPr>
          <w:rFonts w:ascii="Times New Roman" w:cs="Times New Roman" w:eastAsia="Times New Roman" w:hAnsi="Times New Roman"/>
          <w:sz w:val="17"/>
          <w:szCs w:val="17"/>
          <w:color w:val="auto"/>
        </w:rPr>
        <w:t>During fiscal 2020, none of our non-employee directors received retainers or equity awards with respect to service on our board of directors or any of its committees. Spencer Lake receives compensation for consulting services provided to the Company pursuant to a consulting agreement entered into between the Company and Mr. Lake in fiscal 2018. Under the consulting agreement, Mr. Lake receives an annual consulting fee of $30,000. Additionally, Mr. Lake was granted an option to purchase 16,000 shares of our common stock that vests as to 25% of the shares underlying the option on each of the first four anniversaries of the grant date, and an option to purchase 50,000 shares of our common stock that vests as to 1,250 shares underlying the option for each $1,000,000 of ACV contracted for the Company outside of the Americas between May 1, 2017 and May 1, 2021.</w:t>
      </w:r>
    </w:p>
    <w:p>
      <w:pPr>
        <w:spacing w:after="0" w:line="173" w:lineRule="exact"/>
        <w:rPr>
          <w:sz w:val="20"/>
          <w:szCs w:val="20"/>
          <w:color w:val="auto"/>
        </w:rPr>
      </w:pPr>
    </w:p>
    <w:p>
      <w:pPr>
        <w:ind w:left="160" w:right="280" w:firstLine="873"/>
        <w:spacing w:after="0" w:line="263" w:lineRule="auto"/>
        <w:rPr>
          <w:sz w:val="20"/>
          <w:szCs w:val="20"/>
          <w:color w:val="auto"/>
        </w:rPr>
      </w:pPr>
      <w:r>
        <w:rPr>
          <w:rFonts w:ascii="Times New Roman" w:cs="Times New Roman" w:eastAsia="Times New Roman" w:hAnsi="Times New Roman"/>
          <w:sz w:val="18"/>
          <w:szCs w:val="18"/>
          <w:color w:val="auto"/>
        </w:rPr>
        <w:t>The board of directors has engaged Radford, an independent executive compensation consultant that is part of the Rewards Solutions practice at Aon plc, to provide advice on non-employee director compensation. Following a review of market data presented by Radford, in February 2020, the board of directors approved the following non-employee director compensation program:</w:t>
      </w:r>
    </w:p>
    <w:p>
      <w:pPr>
        <w:spacing w:after="0" w:line="82" w:lineRule="exact"/>
        <w:rPr>
          <w:sz w:val="20"/>
          <w:szCs w:val="20"/>
          <w:color w:val="auto"/>
        </w:rPr>
      </w:pPr>
    </w:p>
    <w:p>
      <w:pPr>
        <w:ind w:left="480" w:hanging="313"/>
        <w:spacing w:after="0"/>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w:t>
      </w:r>
    </w:p>
    <w:p>
      <w:pPr>
        <w:spacing w:after="0" w:line="25" w:lineRule="exact"/>
        <w:rPr>
          <w:rFonts w:ascii="Times New Roman" w:cs="Times New Roman" w:eastAsia="Times New Roman" w:hAnsi="Times New Roman"/>
          <w:sz w:val="18"/>
          <w:szCs w:val="18"/>
          <w:color w:val="auto"/>
        </w:rPr>
      </w:pPr>
    </w:p>
    <w:p>
      <w:pPr>
        <w:ind w:left="1460" w:right="2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restricted stock unit (“RSU”) award with a grant date fair value of $150,000 granted at each annual meeting of stockholders and vesting on the one-year anniversary of the grant date, subject to the director’s continued service.</w:t>
      </w:r>
    </w:p>
    <w:p>
      <w:pPr>
        <w:spacing w:after="0" w:line="87" w:lineRule="exact"/>
        <w:rPr>
          <w:rFonts w:ascii="Times New Roman" w:cs="Times New Roman" w:eastAsia="Times New Roman" w:hAnsi="Times New Roman"/>
          <w:sz w:val="18"/>
          <w:szCs w:val="18"/>
          <w:color w:val="auto"/>
        </w:rPr>
      </w:pPr>
    </w:p>
    <w:p>
      <w:pPr>
        <w:ind w:left="1460" w:right="62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“initial” RSU award with a grant date fair value of $300,000 granted to new non-employee members of the board of directors and vesting annually over three years, subject to the director’s continued service on the applicable vesting date.</w:t>
      </w:r>
    </w:p>
    <w:p>
      <w:pPr>
        <w:spacing w:after="0" w:line="189" w:lineRule="exact"/>
        <w:rPr>
          <w:rFonts w:ascii="Times New Roman" w:cs="Times New Roman" w:eastAsia="Times New Roman" w:hAnsi="Times New Roman"/>
          <w:sz w:val="18"/>
          <w:szCs w:val="18"/>
          <w:color w:val="auto"/>
        </w:rPr>
      </w:pPr>
    </w:p>
    <w:p>
      <w:pPr>
        <w:ind w:left="380" w:hanging="213"/>
        <w:spacing w:after="0"/>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Compensation</w:t>
      </w:r>
    </w:p>
    <w:p>
      <w:pPr>
        <w:spacing w:after="0" w:line="1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Retainer – Chair: $55,000; Member: $30,000</w:t>
      </w:r>
    </w:p>
    <w:p>
      <w:pPr>
        <w:spacing w:after="0" w:line="1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 Chair: $20,000; Member: $10,000</w:t>
      </w:r>
    </w:p>
    <w:p>
      <w:pPr>
        <w:spacing w:after="0" w:line="1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 Chair: $12,000; Member: $6,000</w:t>
      </w:r>
    </w:p>
    <w:p>
      <w:pPr>
        <w:spacing w:after="0" w:line="1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&amp; Corporate Governance Committee – Chair: $8,000; Member: $4,000</w:t>
      </w:r>
    </w:p>
    <w:p>
      <w:pPr>
        <w:spacing w:after="0" w:line="221"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color w:val="auto"/>
        </w:rPr>
        <w:t>Pursuant to the non-employee director compensation program described above, on June 8, 2020, the compensation committee of the board of directors approved equity awards to the non-employee directors as follows: Messrs. Collins and Doyle and Ms. Kilday received initial RSU awards with a grant date fair value equal to $300,000; and each of the Company’s non-employee directors received a pro-rated annual RSU award with a grant date fair value of $50,000, reflecting service from February 2020 to May 2020, and an annual equity award with a grant date fair value of $150,000. The initial RSU award granted to Messrs. Collins and Doyle and Ms. Kilday will vest annually over three years from February 1, 2020, the annual equity grant awarded to each of the non-employee directors will vest on the one-year anniversary of the grant date, and the pro-rated equity award granted to each of the non-employee directors vested upon the occurrence of our IPO, in each case, subject to the director’s continued service on the applicable vesting date.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80"/>
          </w:cols>
          <w:pgMar w:left="320" w:top="454" w:right="49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Fiscal 2020 Director Compensation Table</w:t>
      </w:r>
    </w:p>
    <w:p>
      <w:pPr>
        <w:spacing w:after="0" w:line="225" w:lineRule="exact"/>
        <w:rPr>
          <w:sz w:val="20"/>
          <w:szCs w:val="20"/>
          <w:color w:val="auto"/>
        </w:rPr>
      </w:pPr>
    </w:p>
    <w:p>
      <w:pPr>
        <w:jc w:val="both"/>
        <w:ind w:left="160" w:right="180" w:firstLine="873"/>
        <w:spacing w:after="0" w:line="263" w:lineRule="auto"/>
        <w:rPr>
          <w:sz w:val="20"/>
          <w:szCs w:val="20"/>
          <w:color w:val="auto"/>
        </w:rPr>
      </w:pPr>
      <w:r>
        <w:rPr>
          <w:rFonts w:ascii="Times New Roman" w:cs="Times New Roman" w:eastAsia="Times New Roman" w:hAnsi="Times New Roman"/>
          <w:sz w:val="18"/>
          <w:szCs w:val="18"/>
          <w:color w:val="auto"/>
        </w:rPr>
        <w:t>The following table sets forth information for the fiscal year ended January 31, 2020 regarding the compensation awarded to, earned by or paid to our non-employee directors. As noted above, the only compensation received by our non-employee directors in fiscal 2020 was the consulting fee paid to Mr. Lake pursuant to the consulting agreement.</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9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92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Earned</w:t>
            </w:r>
          </w:p>
        </w:tc>
        <w:tc>
          <w:tcPr>
            <w:tcW w:w="9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92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or Paid</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in Cash</w:t>
            </w:r>
          </w:p>
        </w:tc>
        <w:tc>
          <w:tcPr>
            <w:tcW w:w="92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2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4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6220" w:type="dxa"/>
            <w:vAlign w:val="bottom"/>
            <w:gridSpan w:val="2"/>
            <w:vMerge w:val="continue"/>
          </w:tcPr>
          <w:p>
            <w:pPr>
              <w:spacing w:after="0"/>
              <w:rPr>
                <w:sz w:val="13"/>
                <w:szCs w:val="13"/>
                <w:color w:val="auto"/>
              </w:rPr>
            </w:pPr>
          </w:p>
        </w:tc>
        <w:tc>
          <w:tcPr>
            <w:tcW w:w="4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3"/>
                <w:szCs w:val="13"/>
                <w:color w:val="auto"/>
              </w:rPr>
            </w:pPr>
          </w:p>
        </w:tc>
        <w:tc>
          <w:tcPr>
            <w:tcW w:w="4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460" w:type="dxa"/>
            <w:vAlign w:val="bottom"/>
          </w:tcPr>
          <w:p>
            <w:pPr>
              <w:spacing w:after="0"/>
              <w:rPr>
                <w:sz w:val="13"/>
                <w:szCs w:val="13"/>
                <w:color w:val="auto"/>
              </w:rPr>
            </w:pPr>
          </w:p>
        </w:tc>
        <w:tc>
          <w:tcPr>
            <w:tcW w:w="8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4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Steven Collins</w:t>
            </w:r>
          </w:p>
        </w:tc>
        <w:tc>
          <w:tcPr>
            <w:tcW w:w="460" w:type="dxa"/>
            <w:vAlign w:val="bottom"/>
            <w:shd w:val="clear" w:color="auto" w:fill="CCEEFF"/>
          </w:tcPr>
          <w:p>
            <w:pPr>
              <w:ind w:left="2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ind w:left="2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ind w:left="2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 Doyle</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Horing</w:t>
            </w:r>
          </w:p>
        </w:tc>
        <w:tc>
          <w:tcPr>
            <w:tcW w:w="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Pam Kilday</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Spencer Lake</w:t>
            </w:r>
          </w:p>
        </w:tc>
        <w:tc>
          <w:tcPr>
            <w:tcW w:w="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30,000</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4"/>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Lunsford</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Ruh</w:t>
            </w:r>
          </w:p>
        </w:tc>
        <w:tc>
          <w:tcPr>
            <w:tcW w:w="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ind w:left="600" w:right="80" w:hanging="433"/>
        <w:spacing w:after="0" w:line="259" w:lineRule="auto"/>
        <w:tabs>
          <w:tab w:leader="none" w:pos="60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of January 31, 2020, Mr. Lake held outstanding options with respect to 66,000 shares of our common stock. As of such date, none of our other non-employee directors held outstanding stock options or any other equity awards with respect to the Company.</w:t>
      </w:r>
    </w:p>
    <w:p>
      <w:pPr>
        <w:ind w:left="600" w:hanging="433"/>
        <w:spacing w:after="0"/>
        <w:tabs>
          <w:tab w:leader="none" w:pos="60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consulting fees received by Mr. Lake pursuant to his consulting agreement with the Company.</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Limitations on Director and Officer Liability and Indemnification</w:t>
      </w:r>
    </w:p>
    <w:p>
      <w:pPr>
        <w:spacing w:after="0" w:line="225" w:lineRule="exact"/>
        <w:rPr>
          <w:sz w:val="20"/>
          <w:szCs w:val="20"/>
          <w:color w:val="auto"/>
        </w:rPr>
      </w:pPr>
    </w:p>
    <w:p>
      <w:pPr>
        <w:ind w:left="160" w:right="20" w:firstLine="873"/>
        <w:spacing w:after="0" w:line="263"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will limit the liability of our directors for monetary damages to the fullest extent permitted by the DGCL. Consequently, our directors will not be personally liable to us or our stockholders for monetary damages for any breach of fiduciary duties as directors, except liability for:</w:t>
      </w:r>
    </w:p>
    <w:p>
      <w:pPr>
        <w:spacing w:after="0" w:line="202" w:lineRule="exact"/>
        <w:rPr>
          <w:sz w:val="20"/>
          <w:szCs w:val="20"/>
          <w:color w:val="auto"/>
        </w:rPr>
      </w:pPr>
    </w:p>
    <w:p>
      <w:pPr>
        <w:ind w:left="1460" w:hanging="316"/>
        <w:spacing w:after="0"/>
        <w:tabs>
          <w:tab w:leader="none" w:pos="1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1" w:lineRule="exact"/>
        <w:rPr>
          <w:sz w:val="20"/>
          <w:szCs w:val="20"/>
          <w:color w:val="auto"/>
        </w:rPr>
      </w:pPr>
    </w:p>
    <w:p>
      <w:pPr>
        <w:ind w:left="160" w:right="140" w:firstLine="873"/>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bylaws require us to indemnify our directors and officers, and allow us to indemnify other employees and agents, to the fullest extent permitted by the DGCL. Subject to certain limitations and limited exceptions, our amended and restated certificate of incorporation also requires us to advance expenses incurred by our directors and officers for the defense of any action for which indemnification is required or permitted.</w:t>
      </w:r>
    </w:p>
    <w:p>
      <w:pPr>
        <w:spacing w:after="0" w:line="180" w:lineRule="exact"/>
        <w:rPr>
          <w:sz w:val="20"/>
          <w:szCs w:val="20"/>
          <w:color w:val="auto"/>
        </w:rPr>
      </w:pPr>
    </w:p>
    <w:p>
      <w:pPr>
        <w:jc w:val="both"/>
        <w:ind w:left="160" w:right="200" w:firstLine="873"/>
        <w:spacing w:after="0" w:line="308" w:lineRule="auto"/>
        <w:rPr>
          <w:sz w:val="20"/>
          <w:szCs w:val="20"/>
          <w:color w:val="auto"/>
        </w:rPr>
      </w:pPr>
      <w:r>
        <w:rPr>
          <w:rFonts w:ascii="Times New Roman" w:cs="Times New Roman" w:eastAsia="Times New Roman" w:hAnsi="Times New Roman"/>
          <w:sz w:val="17"/>
          <w:szCs w:val="17"/>
          <w:color w:val="auto"/>
        </w:rPr>
        <w:t>We have entered into indemnification agreements with each of our directors and our executive officers. These agreements provide that we will indemnify each of our directors and such officers to the fullest extent permitted by law and our amended and restated certificate of incorporation.</w:t>
      </w:r>
    </w:p>
    <w:p>
      <w:pPr>
        <w:spacing w:after="0" w:line="140" w:lineRule="exact"/>
        <w:rPr>
          <w:sz w:val="20"/>
          <w:szCs w:val="20"/>
          <w:color w:val="auto"/>
        </w:rPr>
      </w:pPr>
    </w:p>
    <w:p>
      <w:pPr>
        <w:ind w:left="160" w:right="540" w:firstLine="873"/>
        <w:spacing w:after="0" w:line="278" w:lineRule="auto"/>
        <w:rPr>
          <w:sz w:val="20"/>
          <w:szCs w:val="20"/>
          <w:color w:val="auto"/>
        </w:rPr>
      </w:pPr>
      <w:r>
        <w:rPr>
          <w:rFonts w:ascii="Times New Roman" w:cs="Times New Roman" w:eastAsia="Times New Roman" w:hAnsi="Times New Roman"/>
          <w:sz w:val="18"/>
          <w:szCs w:val="18"/>
          <w:color w:val="auto"/>
        </w:rPr>
        <w:t>We believe that these provisions in our amended and restated certificate of incorporation, bylaws and indemnification agreements are necessary to attract and retain qualified persons such as directors, officers and</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80"/>
          </w:cols>
          <w:pgMar w:left="320" w:top="454" w:right="49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key employees. We also maintain directors’ and officers’ liability insurance. The limitation of liability and indemnification provisions in our amended and restated certificate of incorporation and bylaws may discourage stockholders from bringing a lawsuit against our directors and officers for breaches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5"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The board of directors does not have a standing risk management committee, but rather administers this oversight function directly through the board of directors as a whole, as well as through its standing committees that address risks inherent in their respective areas of oversight. In particular, our board of directors is responsible for monitoring and assessing strategic risk exposure.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external audit function.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80"/>
          </w:cols>
          <w:pgMar w:left="320" w:top="454" w:right="59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and have elected to comply with the scaled disclosure requirements applicable to emerging growth companies.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160" w:right="40" w:firstLine="873"/>
        <w:spacing w:after="0" w:line="254" w:lineRule="auto"/>
        <w:rPr>
          <w:sz w:val="20"/>
          <w:szCs w:val="20"/>
          <w:color w:val="auto"/>
        </w:rPr>
      </w:pPr>
      <w:r>
        <w:rPr>
          <w:rFonts w:ascii="Times New Roman" w:cs="Times New Roman" w:eastAsia="Times New Roman" w:hAnsi="Times New Roman"/>
          <w:sz w:val="18"/>
          <w:szCs w:val="18"/>
          <w:color w:val="auto"/>
        </w:rPr>
        <w:t>Our current executive compensation program is intended to align executive compensation with our business objectives and to enable us to attract, retain and reward executive officers who contribute to our long-term success. The compensation paid or awarded to our executive officers is generally based on the assessment of each individual’s performance compared against the business objectives established for the fiscal year as well as our historical compensation practices. New-hire executive officers’ compensation is primarily determined based on the negotiations of the parties as well as our historical compensation practices. For fiscal 2020, the material elements of our executive compensation program were base salary, an annual cash bonus, and restricted stock units (“RSUs”).</w:t>
      </w:r>
    </w:p>
    <w:p>
      <w:pPr>
        <w:spacing w:after="0" w:line="184" w:lineRule="exact"/>
        <w:rPr>
          <w:sz w:val="20"/>
          <w:szCs w:val="20"/>
          <w:color w:val="auto"/>
        </w:rPr>
      </w:pPr>
    </w:p>
    <w:p>
      <w:pPr>
        <w:ind w:left="160" w:right="100" w:firstLine="873"/>
        <w:spacing w:after="0" w:line="253" w:lineRule="auto"/>
        <w:rPr>
          <w:sz w:val="20"/>
          <w:szCs w:val="20"/>
          <w:color w:val="auto"/>
        </w:rPr>
      </w:pPr>
      <w:r>
        <w:rPr>
          <w:rFonts w:ascii="Times New Roman" w:cs="Times New Roman" w:eastAsia="Times New Roman" w:hAnsi="Times New Roman"/>
          <w:sz w:val="18"/>
          <w:szCs w:val="18"/>
          <w:color w:val="auto"/>
        </w:rPr>
        <w:t>We expect that our executive compensation program will evolve to reflect our status as a newly publicly-traded company, while still supporting our overall business and compensation objectives. The board of directors has established a compensation committee in December 2019 to oversee our executive compensation program, which had previously been overseen by our board of directors. In addition, we have retained Radford, an independent executive compensation consultant that is part of the Rewards Solutions practice at Aon plc, to help advise on our executive compensation program. This section provides a discussion of the compensation paid or awarded to our President &amp; Chief Executive Officer and our two other most highly compensated executive officers serving as of January 31, 2020, the end of fiscal 2020. We refer to these individuals as our “named executive officers.” For fiscal 2020, our named executive officers were:</w:t>
      </w:r>
    </w:p>
    <w:p>
      <w:pPr>
        <w:spacing w:after="0" w:line="211" w:lineRule="exact"/>
        <w:rPr>
          <w:sz w:val="20"/>
          <w:szCs w:val="20"/>
          <w:color w:val="auto"/>
        </w:rPr>
      </w:pPr>
    </w:p>
    <w:p>
      <w:pPr>
        <w:ind w:left="1460" w:hanging="316"/>
        <w:spacing w:after="0"/>
        <w:tabs>
          <w:tab w:leader="none" w:pos="1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Pierre Naudé, President &amp; Chief Executive Officer;</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 Glover, Chief Revenue Officer;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Rudow, Chief Financial Officer &amp; Treasurer.</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Compensation of Named Executive Officers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5"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to us. Please see the “Salary” column in the Fiscal 2020 Summary Compensation Table for the base salary amounts received by each named executive officer in fiscal 2020.</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Annual Cash Bonuses</w:t>
      </w:r>
    </w:p>
    <w:p>
      <w:pPr>
        <w:spacing w:after="0" w:line="225" w:lineRule="exact"/>
        <w:rPr>
          <w:sz w:val="20"/>
          <w:szCs w:val="20"/>
          <w:color w:val="auto"/>
        </w:rPr>
      </w:pPr>
    </w:p>
    <w:p>
      <w:pPr>
        <w:ind w:left="160" w:right="140" w:firstLine="873"/>
        <w:spacing w:after="0" w:line="258" w:lineRule="auto"/>
        <w:rPr>
          <w:sz w:val="20"/>
          <w:szCs w:val="20"/>
          <w:color w:val="auto"/>
        </w:rPr>
      </w:pPr>
      <w:r>
        <w:rPr>
          <w:rFonts w:ascii="Times New Roman" w:cs="Times New Roman" w:eastAsia="Times New Roman" w:hAnsi="Times New Roman"/>
          <w:sz w:val="18"/>
          <w:szCs w:val="18"/>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board of directors at the beginning of each fiscal year.</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60"/>
          </w:cols>
          <w:pgMar w:left="320" w:top="454" w:right="51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200" w:firstLine="873"/>
        <w:spacing w:after="0" w:line="258" w:lineRule="auto"/>
        <w:rPr>
          <w:sz w:val="20"/>
          <w:szCs w:val="20"/>
          <w:color w:val="auto"/>
        </w:rPr>
      </w:pPr>
      <w:r>
        <w:rPr>
          <w:rFonts w:ascii="Times New Roman" w:cs="Times New Roman" w:eastAsia="Times New Roman" w:hAnsi="Times New Roman"/>
          <w:sz w:val="18"/>
          <w:szCs w:val="18"/>
          <w:color w:val="auto"/>
        </w:rPr>
        <w:t>The payment of awards under the fiscal 2020 annual cash bonus program applicable to the named executive officers was subject to the attainment of goals relating to net ACV, determined based on bookings from contracts entered into during the fiscal year, and the Company’s total non-GAAP gross margin. Under the fiscal 2020 annual cash bonus program, net ACV was weighted 70%, and non-GAAP gross margin was weighted 30%.</w:t>
      </w:r>
    </w:p>
    <w:p>
      <w:pPr>
        <w:spacing w:after="0" w:line="180"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The fiscal 2020 bonus targets for Messrs. Naudé, Glover and Rudow were $206,250, $205,000 and $37,973, respectively, with Mr. Rudow’s bonus target representing a pro-rated target opportunity in light of his October 2019 hire date. Based on our fiscal 2020 performance, the Company awarded payouts under our annual cash bonus program in a total payout of 103.7% of the target bonus opportunity. Please see the “Non-Equity Incentive Plan Compensation” column in the Fiscal 2020 Summary Compensation Table for the amount of the annual bonus paid to each named executive officer with respect to fiscal 2020.</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25"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To further align the interests of our executive officers with the interests of our stockholders and to further focus our executive officers on our long-term performance, we provide equity compensation to our executive officers. In fiscal 2020, the equity component of our executive compensation program was delivered in the form of RSUs, with grants to each of Messrs. Naudé, Glover and Rudow made with respect to 100,000, 50,000 and 100,000 shares of our common stock, respectively. These RSUs vest on the later of the satisfaction of a service-based vesting condition and the occurrence of a liquidity event, the latter of which was met upon the completion of our IPO. The service-based vesting condition is satisfied with respect to 25% of the shares subject to the RSU award on each of the first four anniversaries of the vesting commencement date, subject to the executive officer’s continued employment through the applicable service-based vesting date. In addition, on June 8, 2020, each of Messrs. Naudé, Glover and Rudow received an RSU grant with respect to 128,053, 54,375 and 54,375 shares of our common stock, respectively. Similar to the fiscal 2020 RSU grants, these RSUs vest in 25% annual increments over four years, subject to the executive officer’s continued service through the applicable service-based vesting date.</w:t>
      </w:r>
    </w:p>
    <w:p>
      <w:pPr>
        <w:spacing w:after="0" w:line="189"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Please see “Outstanding Equity Awards at Fiscal 2020 Year-End” for a summary of the outstanding equity awards held by each of the named executive officers as of fiscal 2020 year-end.</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Fiscal 2020 Summary Compensation Table</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 for services performed in fiscal 2020.</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7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4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4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360" w:type="dxa"/>
            <w:vAlign w:val="bottom"/>
            <w:vMerge w:val="restart"/>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70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4"/>
                <w:szCs w:val="14"/>
                <w:b w:val="1"/>
                <w:bCs w:val="1"/>
                <w:color w:val="auto"/>
              </w:rPr>
              <w:t>Year</w:t>
            </w:r>
          </w:p>
        </w:tc>
        <w:tc>
          <w:tcPr>
            <w:tcW w:w="640" w:type="dxa"/>
            <w:vAlign w:val="bottom"/>
          </w:tcPr>
          <w:p>
            <w:pPr>
              <w:jc w:val="right"/>
              <w:ind w:right="158"/>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7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(1)</w:t>
            </w:r>
          </w:p>
        </w:tc>
        <w:tc>
          <w:tcPr>
            <w:tcW w:w="260" w:type="dxa"/>
            <w:vAlign w:val="bottom"/>
          </w:tcPr>
          <w:p>
            <w:pPr>
              <w:spacing w:after="0"/>
              <w:rPr>
                <w:sz w:val="15"/>
                <w:szCs w:val="15"/>
                <w:color w:val="auto"/>
              </w:rPr>
            </w:pPr>
          </w:p>
        </w:tc>
        <w:tc>
          <w:tcPr>
            <w:tcW w:w="8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(2)</w:t>
            </w:r>
          </w:p>
        </w:tc>
        <w:tc>
          <w:tcPr>
            <w:tcW w:w="280" w:type="dxa"/>
            <w:vAlign w:val="bottom"/>
          </w:tcPr>
          <w:p>
            <w:pPr>
              <w:spacing w:after="0"/>
              <w:rPr>
                <w:sz w:val="15"/>
                <w:szCs w:val="15"/>
                <w:color w:val="auto"/>
              </w:rPr>
            </w:pPr>
          </w:p>
        </w:tc>
        <w:tc>
          <w:tcPr>
            <w:tcW w:w="8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(3)</w:t>
            </w:r>
          </w:p>
        </w:tc>
        <w:tc>
          <w:tcPr>
            <w:tcW w:w="2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2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Pierre Naudé, President &amp; Chief Executive Officer</w:t>
            </w:r>
          </w:p>
        </w:tc>
        <w:tc>
          <w:tcPr>
            <w:tcW w:w="420" w:type="dxa"/>
            <w:vAlign w:val="bottom"/>
            <w:tcBorders>
              <w:top w:val="single" w:sz="8" w:color="auto"/>
            </w:tcBorders>
            <w:shd w:val="clear" w:color="auto" w:fill="CCEEFF"/>
          </w:tcPr>
          <w:p>
            <w:pPr>
              <w:ind w:left="60"/>
              <w:spacing w:after="0" w:line="201" w:lineRule="exact"/>
              <w:rPr>
                <w:sz w:val="20"/>
                <w:szCs w:val="20"/>
                <w:color w:val="auto"/>
              </w:rPr>
            </w:pPr>
            <w:r>
              <w:rPr>
                <w:rFonts w:ascii="Times New Roman" w:cs="Times New Roman" w:eastAsia="Times New Roman" w:hAnsi="Times New Roman"/>
                <w:sz w:val="18"/>
                <w:szCs w:val="18"/>
                <w:color w:val="auto"/>
                <w:w w:val="94"/>
              </w:rPr>
              <w:t>2020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412,500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2,175,000</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213,881</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11,676</w:t>
            </w: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2,813,057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Rudow, Chief Financial Officer &amp; Treasurer</w:t>
            </w:r>
            <w:r>
              <w:rPr>
                <w:rFonts w:ascii="Times New Roman" w:cs="Times New Roman" w:eastAsia="Times New Roman" w:hAnsi="Times New Roman"/>
                <w:sz w:val="15"/>
                <w:szCs w:val="15"/>
                <w:color w:val="auto"/>
              </w:rPr>
              <w:t>(4)</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2020</w:t>
            </w:r>
          </w:p>
        </w:tc>
        <w:tc>
          <w:tcPr>
            <w:tcW w:w="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75,072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2,175,000</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39,378</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115,986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 Glover, Chief Revenue Officer</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2020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205,000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212,585</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6,887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1,511,972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ind w:left="600" w:right="220" w:hanging="433"/>
        <w:spacing w:after="0" w:line="255" w:lineRule="auto"/>
        <w:tabs>
          <w:tab w:leader="none" w:pos="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amounts reported represent the grant date fair value of RSUs calculated in accordance with Financial Accounting Standards Board Accounting Standards Codification Topic 718, Compensation-Stock Compensation, excluding the effect of estimated forfeitures. The grant date fair value was calculated based on the fair market value of a share of Company common stock as of the grant date.</w:t>
      </w:r>
    </w:p>
    <w:p>
      <w:pPr>
        <w:spacing w:after="0" w:line="1" w:lineRule="exact"/>
        <w:rPr>
          <w:rFonts w:ascii="Times New Roman" w:cs="Times New Roman" w:eastAsia="Times New Roman" w:hAnsi="Times New Roman"/>
          <w:sz w:val="15"/>
          <w:szCs w:val="15"/>
          <w:color w:val="auto"/>
        </w:rPr>
      </w:pPr>
    </w:p>
    <w:p>
      <w:pPr>
        <w:ind w:left="600" w:right="140" w:hanging="433"/>
        <w:spacing w:after="0" w:line="252" w:lineRule="auto"/>
        <w:tabs>
          <w:tab w:leader="none" w:pos="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amounts reported represent payouts under the Company’s annual cash bonus program based on performance with respect to goals relating to net ACV, determined based on bookings from contracts entered into during the fiscal year, weighted 70%, and the Company’s total non-GAAP gross margin, weighted 30%.</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80"/>
          </w:cols>
          <w:pgMar w:left="320" w:top="454" w:right="49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600" w:right="320" w:hanging="433"/>
        <w:spacing w:after="0" w:line="274" w:lineRule="auto"/>
        <w:tabs>
          <w:tab w:leader="none" w:pos="6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amounts reported in this column consist of (i) a cell phone allowance for each of the named executive officers, (ii) matching contributions under the Company’s 401(k) plan for Messrs. Naudé and Glover, (iii) life insurance premiums paid by the Company for Mr. Naudé and</w:t>
      </w:r>
    </w:p>
    <w:p>
      <w:pPr>
        <w:ind w:left="600" w:right="900"/>
        <w:spacing w:after="0" w:line="248" w:lineRule="auto"/>
        <w:rPr>
          <w:sz w:val="20"/>
          <w:szCs w:val="20"/>
          <w:color w:val="auto"/>
        </w:rPr>
      </w:pPr>
      <w:r>
        <w:rPr>
          <w:rFonts w:ascii="Times New Roman" w:cs="Times New Roman" w:eastAsia="Times New Roman" w:hAnsi="Times New Roman"/>
          <w:sz w:val="18"/>
          <w:szCs w:val="18"/>
          <w:color w:val="auto"/>
        </w:rPr>
        <w:t>(iv) relocation benefits paid to Mr. Rudow in connection with his commencement of employment with the Company, including related tax-reimbursements of $40,386.</w:t>
      </w:r>
    </w:p>
    <w:p>
      <w:pPr>
        <w:ind w:left="600" w:right="820" w:hanging="433"/>
        <w:spacing w:after="0" w:line="256" w:lineRule="auto"/>
        <w:tabs>
          <w:tab w:leader="none" w:pos="60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Mr. Rudow commenced employment with the Company in October 2019 and, accordingly, the amounts reported for his base salary and non-equity incentive compensation reflect pro-rated compensation for his service from his hire date.</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2020 Year-End</w:t>
      </w:r>
    </w:p>
    <w:p>
      <w:pPr>
        <w:spacing w:after="0" w:line="225" w:lineRule="exact"/>
        <w:rPr>
          <w:sz w:val="20"/>
          <w:szCs w:val="20"/>
          <w:color w:val="auto"/>
        </w:rPr>
      </w:pPr>
    </w:p>
    <w:p>
      <w:pPr>
        <w:ind w:left="160" w:right="600" w:firstLine="873"/>
        <w:spacing w:after="0" w:line="278" w:lineRule="auto"/>
        <w:rPr>
          <w:sz w:val="20"/>
          <w:szCs w:val="20"/>
          <w:color w:val="auto"/>
        </w:rPr>
      </w:pPr>
      <w:r>
        <w:rPr>
          <w:rFonts w:ascii="Times New Roman" w:cs="Times New Roman" w:eastAsia="Times New Roman" w:hAnsi="Times New Roman"/>
          <w:sz w:val="18"/>
          <w:szCs w:val="18"/>
          <w:color w:val="auto"/>
        </w:rPr>
        <w:t>The following table presents information regarding the outstanding equity awards held by each of the named executive officers as of January 31, 2020.</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2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82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Plan</w:t>
            </w:r>
          </w:p>
        </w:tc>
        <w:tc>
          <w:tcPr>
            <w:tcW w:w="82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2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Plan</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82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Rights</w:t>
            </w:r>
          </w:p>
        </w:tc>
        <w:tc>
          <w:tcPr>
            <w:tcW w:w="82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8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2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0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6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8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4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Not</w:t>
            </w:r>
          </w:p>
        </w:tc>
        <w:tc>
          <w:tcPr>
            <w:tcW w:w="82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7"/>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2"/>
            <w:vMerge w:val="continue"/>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8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2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7"/>
              </w:rPr>
              <w:t>Not Vested</w:t>
            </w:r>
          </w:p>
        </w:tc>
        <w:tc>
          <w:tcPr>
            <w:tcW w:w="0" w:type="dxa"/>
            <w:vAlign w:val="bottom"/>
          </w:tcPr>
          <w:p>
            <w:pPr>
              <w:spacing w:after="0"/>
              <w:rPr>
                <w:sz w:val="1"/>
                <w:szCs w:val="1"/>
                <w:color w:val="auto"/>
              </w:rPr>
            </w:pPr>
          </w:p>
        </w:tc>
      </w:tr>
      <w:tr>
        <w:trPr>
          <w:trHeight w:val="158"/>
        </w:trPr>
        <w:tc>
          <w:tcPr>
            <w:tcW w:w="3140" w:type="dxa"/>
            <w:vAlign w:val="bottom"/>
            <w:gridSpan w:val="2"/>
            <w:vMerge w:val="continue"/>
          </w:tcPr>
          <w:p>
            <w:pPr>
              <w:spacing w:after="0"/>
              <w:rPr>
                <w:sz w:val="13"/>
                <w:szCs w:val="13"/>
                <w:color w:val="auto"/>
              </w:rPr>
            </w:pPr>
          </w:p>
        </w:tc>
        <w:tc>
          <w:tcPr>
            <w:tcW w:w="1040" w:type="dxa"/>
            <w:vAlign w:val="bottom"/>
            <w:gridSpan w:val="2"/>
          </w:tcPr>
          <w:p>
            <w:pPr>
              <w:jc w:val="right"/>
              <w:ind w:right="500"/>
              <w:spacing w:after="0" w:line="159" w:lineRule="exact"/>
              <w:rPr>
                <w:sz w:val="20"/>
                <w:szCs w:val="20"/>
                <w:color w:val="auto"/>
              </w:rPr>
            </w:pPr>
            <w:r>
              <w:rPr>
                <w:rFonts w:ascii="Times New Roman" w:cs="Times New Roman" w:eastAsia="Times New Roman" w:hAnsi="Times New Roman"/>
                <w:sz w:val="14"/>
                <w:szCs w:val="14"/>
                <w:b w:val="1"/>
                <w:bCs w:val="1"/>
                <w:color w:val="auto"/>
              </w:rPr>
              <w:t>Date</w:t>
            </w:r>
          </w:p>
        </w:tc>
        <w:tc>
          <w:tcPr>
            <w:tcW w:w="100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6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Unexercisable</w:t>
            </w:r>
            <w:r>
              <w:rPr>
                <w:rFonts w:ascii="Times New Roman" w:cs="Times New Roman" w:eastAsia="Times New Roman" w:hAnsi="Times New Roman"/>
                <w:sz w:val="12"/>
                <w:szCs w:val="12"/>
                <w:b w:val="1"/>
                <w:bCs w:val="1"/>
                <w:color w:val="auto"/>
              </w:rPr>
              <w:t>(1)</w:t>
            </w:r>
          </w:p>
        </w:tc>
        <w:tc>
          <w:tcPr>
            <w:tcW w:w="100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5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3"/>
                <w:szCs w:val="13"/>
                <w:color w:val="auto"/>
              </w:rPr>
            </w:pPr>
          </w:p>
        </w:tc>
        <w:tc>
          <w:tcPr>
            <w:tcW w:w="94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6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26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1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Pierre Naudé</w:t>
            </w:r>
          </w:p>
        </w:tc>
        <w:tc>
          <w:tcPr>
            <w:tcW w:w="7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2/1/2017</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250,000</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w w:val="95"/>
              </w:rPr>
              <w:t>500,000</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center"/>
              <w:ind w:left="138"/>
              <w:spacing w:after="0" w:line="201" w:lineRule="exact"/>
              <w:rPr>
                <w:sz w:val="20"/>
                <w:szCs w:val="20"/>
                <w:color w:val="auto"/>
              </w:rPr>
            </w:pPr>
            <w:r>
              <w:rPr>
                <w:rFonts w:ascii="Times New Roman" w:cs="Times New Roman" w:eastAsia="Times New Roman" w:hAnsi="Times New Roman"/>
                <w:sz w:val="18"/>
                <w:szCs w:val="18"/>
                <w:color w:val="auto"/>
                <w:w w:val="95"/>
              </w:rPr>
              <w:t>4.98</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2/1/2027</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3"/>
              <w:spacing w:after="0" w:line="20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line="20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8/15/2019</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Rudow</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11/1/2019</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 Glover</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8/1/2015</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49,678</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2.45</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8/1/2025</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2/1/2017</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80,134</w:t>
            </w:r>
          </w:p>
        </w:tc>
        <w:tc>
          <w:tcPr>
            <w:tcW w:w="1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160,267</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5"/>
              </w:rPr>
              <w:t>4.98</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2/1/2027</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8/15/2019</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7645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0" w:lineRule="exact"/>
        <w:rPr>
          <w:sz w:val="20"/>
          <w:szCs w:val="20"/>
          <w:color w:val="auto"/>
        </w:rPr>
      </w:pPr>
    </w:p>
    <w:p>
      <w:pPr>
        <w:ind w:left="600" w:right="460" w:hanging="433"/>
        <w:spacing w:after="0" w:line="259" w:lineRule="auto"/>
        <w:tabs>
          <w:tab w:leader="none" w:pos="60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options vest in 25% annual increments commencing on the first anniversary of the grant date, subject to the named executive officer’s continued employment through the applicable vesting date.</w:t>
      </w:r>
    </w:p>
    <w:p>
      <w:pPr>
        <w:ind w:left="600" w:right="40" w:hanging="433"/>
        <w:spacing w:after="0" w:line="248" w:lineRule="auto"/>
        <w:tabs>
          <w:tab w:leader="none" w:pos="60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RSUs vest with respect to 25% of the shares subject to the RSU award on each of the first four anniversaries of the grant date, subject to the executive officer’s continued employment through the applicable service-based vesting date.</w:t>
      </w:r>
    </w:p>
    <w:p>
      <w:pPr>
        <w:ind w:left="600" w:right="160" w:hanging="433"/>
        <w:spacing w:after="0" w:line="252" w:lineRule="auto"/>
        <w:tabs>
          <w:tab w:leader="none" w:pos="60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Company’s equity is not publicly traded and, therefore, there is no ascertainable public market value for the Company’s common stock as of January 31, 2020. For purposes of this table, the market value at year-end is calculated based on the valuation of fair market value of a share of Company common stock as of February 1, 2020.</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Additional Narrative Disclosure</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w:t>
      </w:r>
    </w:p>
    <w:p>
      <w:pPr>
        <w:spacing w:after="0" w:line="225" w:lineRule="exact"/>
        <w:rPr>
          <w:sz w:val="20"/>
          <w:szCs w:val="20"/>
          <w:color w:val="auto"/>
        </w:rPr>
      </w:pPr>
    </w:p>
    <w:p>
      <w:pPr>
        <w:jc w:val="both"/>
        <w:ind w:left="160" w:right="20" w:firstLine="873"/>
        <w:spacing w:after="0" w:line="263" w:lineRule="auto"/>
        <w:rPr>
          <w:sz w:val="20"/>
          <w:szCs w:val="20"/>
          <w:color w:val="auto"/>
        </w:rPr>
      </w:pPr>
      <w:r>
        <w:rPr>
          <w:rFonts w:ascii="Times New Roman" w:cs="Times New Roman" w:eastAsia="Times New Roman" w:hAnsi="Times New Roman"/>
          <w:sz w:val="18"/>
          <w:szCs w:val="18"/>
          <w:color w:val="auto"/>
        </w:rPr>
        <w:t>During fiscal 2020, each of Mr. Naudé and Mr. Rudow was party to an employment arrangement that included benefits payable upon certain qualifying terminations of employment. As of fiscal 2020 year-end, Mr. Glover was not subject to an employment or severance agreement entitling him to severance benefits upon a termination of employment.</w:t>
      </w:r>
    </w:p>
    <w:p>
      <w:pPr>
        <w:spacing w:after="0" w:line="175" w:lineRule="exact"/>
        <w:rPr>
          <w:sz w:val="20"/>
          <w:szCs w:val="20"/>
          <w:color w:val="auto"/>
        </w:rPr>
      </w:pPr>
    </w:p>
    <w:p>
      <w:pPr>
        <w:ind w:left="160" w:right="160" w:firstLine="873"/>
        <w:spacing w:after="0" w:line="278" w:lineRule="auto"/>
        <w:rPr>
          <w:sz w:val="20"/>
          <w:szCs w:val="20"/>
          <w:color w:val="auto"/>
        </w:rPr>
      </w:pPr>
      <w:r>
        <w:rPr>
          <w:rFonts w:ascii="Times New Roman" w:cs="Times New Roman" w:eastAsia="Times New Roman" w:hAnsi="Times New Roman"/>
          <w:sz w:val="18"/>
          <w:szCs w:val="18"/>
          <w:color w:val="auto"/>
        </w:rPr>
        <w:t>Under the employment agreements in effect during fiscal 2020, in the event the employment of either Mr. Naudé and Mr. Rudow had been terminated due to death or disability, the named executive officer would</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80"/>
          </w:cols>
          <w:pgMar w:left="320" w:top="454" w:right="49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100"/>
        <w:spacing w:after="0" w:line="251" w:lineRule="auto"/>
        <w:rPr>
          <w:sz w:val="20"/>
          <w:szCs w:val="20"/>
          <w:color w:val="auto"/>
        </w:rPr>
      </w:pPr>
      <w:r>
        <w:rPr>
          <w:rFonts w:ascii="Times New Roman" w:cs="Times New Roman" w:eastAsia="Times New Roman" w:hAnsi="Times New Roman"/>
          <w:sz w:val="18"/>
          <w:szCs w:val="18"/>
          <w:color w:val="auto"/>
        </w:rPr>
        <w:t>have been entitled to base salary through the date of termination and a pro-rata annual bonus for the year of termination, determined based on actual performance through the date of termination and budgeted performance thereafter, and pro-rated for the number of days employed by the Company during the year. Subject to the executive’s execution of a release of claims in favor of the Company, in the event of a termination by the Company without cause or by the executive due to good reason, each as defined in the applicable employment agreement, Mr. Naudé and Mr. Rudow would have been entitled to (i) severance payments over a specified severance period equal to the base salary the named executive officer would have received during such severance period, (ii) a pro-rata annual bonus for the year of termination, determined based on actual performance through the date of termination and budgeted performance thereafter, and pro-rated for the number of days employed by the Company during the year and (iii) reimbursements for healthcare continuation coverage during the severance period, subject to earlier termination in the event the executive officer became eligible for health coverage from a subsequent employer or the executive officer’s spouse. The severance period under the employment agreements in effect during fiscal 2020 equaled 12 months for Mr. Naudé and six months for Mr. Rudow.</w:t>
      </w:r>
    </w:p>
    <w:p>
      <w:pPr>
        <w:spacing w:after="0" w:line="189" w:lineRule="exact"/>
        <w:rPr>
          <w:sz w:val="20"/>
          <w:szCs w:val="20"/>
          <w:color w:val="auto"/>
        </w:rPr>
      </w:pPr>
    </w:p>
    <w:p>
      <w:pPr>
        <w:ind w:left="160" w:right="240" w:firstLine="873"/>
        <w:spacing w:after="0" w:line="258" w:lineRule="auto"/>
        <w:rPr>
          <w:sz w:val="20"/>
          <w:szCs w:val="20"/>
          <w:color w:val="auto"/>
        </w:rPr>
      </w:pPr>
      <w:r>
        <w:rPr>
          <w:rFonts w:ascii="Times New Roman" w:cs="Times New Roman" w:eastAsia="Times New Roman" w:hAnsi="Times New Roman"/>
          <w:sz w:val="18"/>
          <w:szCs w:val="18"/>
          <w:color w:val="auto"/>
        </w:rPr>
        <w:t>We entered into employment agreements with each of our named executive officers, the material terms of which are set forth below. The severance terms were determined after a review of market data presented by Radford. This summary is not a complete description of all provisions of the employment agreements and is qualified in its entirety by reference to the employment agreements, which are filed as exhibits to the registration statement of which this prospectus is a part.</w:t>
      </w:r>
    </w:p>
    <w:p>
      <w:pPr>
        <w:spacing w:after="0" w:line="180"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The employment agreements set forth each named executive officer’s current base salary and annual incentive target opportunity, with base salaries of $430,000, $280,000 and $230,000, and target opportunities as a percentage of base salary of 100%, 50% and 100% for Messrs. Naude, Rudow and Glover, respectively. Under the employment agreements, in the event of a termination of employment due to the named executive officer’s death or disability, the named executive officer will be entitled to a pro-rated bonus for the year of termination, based on actual performance and pro-rated for the portion of the year the named executive officer was employed. Subject to the named executive officer’s execution of a release of claims in favor of the Company, in the event of a termination by the Company without cause or by the executive due to good reason prior to or more than one year following a change in control, each as defined in the applicable employment agreement, each named executive officer would be entitled to</w:t>
      </w:r>
    </w:p>
    <w:p>
      <w:pPr>
        <w:spacing w:after="0" w:line="1" w:lineRule="exact"/>
        <w:rPr>
          <w:sz w:val="20"/>
          <w:szCs w:val="20"/>
          <w:color w:val="auto"/>
        </w:rPr>
      </w:pPr>
    </w:p>
    <w:p>
      <w:pPr>
        <w:ind w:left="160" w:right="40" w:firstLine="7"/>
        <w:spacing w:after="0" w:line="248" w:lineRule="auto"/>
        <w:tabs>
          <w:tab w:leader="none" w:pos="37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over a specified severance period equal to the base salary the named executive officer would have received during such severance period, (ii) a pro-rated bonus for the year of termination, based on actual performance and pro-rated for the portion of the year the named executive officer was employed, and (iii) reimbursements for healthcare continuation coverage during the severance period, subject to earlier termination in the event the executive officer becomes eligible for alternative health coverage. The severance period is 12 months for Mr. Naudé and six months for Messrs. Rudow and Glover. If the named executive officer experiences a termination of employment on or during the one-year period following a change in control of the Company, then, in lieu of the benefits set forth above, the executive will receive a severance payment equal to a severance multiple multiplied by the sum of the executive’s annual base salary and target bonus, and the healthcare continuation coverage described above will be extended to up to 18 months for Mr. Naudé and 12 months for Messrs. Rudow and Glover. The severance multiple for a termination of employment within one-year following a change in control of the Company is one and a half for Mr. Naudé and one for Messrs. Rudow and Glover. In addition, under the terms of the employment agreements, if the payments and benefits to a named executive officer under his employment agreement or another plan, arrangement or agreement would subject the named executive officer to the excise tax imposed by Section 4999 of the Internal Revenue Code, then such payments will be reduced by the minimum amount necessary to avoid such excise tax, but only if such reduction will result in the named executive officer receiving a higher net after-tax amount. This offering will not constitute a change in control for purposes of the employment agreements with our named executive officers.</w:t>
      </w:r>
    </w:p>
    <w:p>
      <w:pPr>
        <w:spacing w:after="0" w:line="196" w:lineRule="exact"/>
        <w:rPr>
          <w:sz w:val="20"/>
          <w:szCs w:val="20"/>
          <w:color w:val="auto"/>
        </w:rPr>
      </w:pPr>
    </w:p>
    <w:p>
      <w:pPr>
        <w:ind w:left="160" w:right="20" w:firstLine="873"/>
        <w:spacing w:after="0" w:line="263" w:lineRule="auto"/>
        <w:rPr>
          <w:sz w:val="20"/>
          <w:szCs w:val="20"/>
          <w:color w:val="auto"/>
        </w:rPr>
      </w:pPr>
      <w:r>
        <w:rPr>
          <w:rFonts w:ascii="Times New Roman" w:cs="Times New Roman" w:eastAsia="Times New Roman" w:hAnsi="Times New Roman"/>
          <w:sz w:val="18"/>
          <w:szCs w:val="18"/>
          <w:color w:val="auto"/>
        </w:rPr>
        <w:t>In addition, consistent with the terms of certain of the Company’s pre-existing compensation arrangements, in the event that either (i) the named executive officer is employed by the Company as of a change in control of the Company or (ii) the employment of the named executive officer is terminated by the Company</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60"/>
          </w:cols>
          <w:pgMar w:left="320" w:top="454" w:right="51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40"/>
        <w:spacing w:after="0" w:line="277" w:lineRule="auto"/>
        <w:rPr>
          <w:sz w:val="20"/>
          <w:szCs w:val="20"/>
          <w:color w:val="auto"/>
        </w:rPr>
      </w:pPr>
      <w:r>
        <w:rPr>
          <w:rFonts w:ascii="Times New Roman" w:cs="Times New Roman" w:eastAsia="Times New Roman" w:hAnsi="Times New Roman"/>
          <w:sz w:val="17"/>
          <w:szCs w:val="17"/>
          <w:color w:val="auto"/>
        </w:rPr>
        <w:t>without cause or by the executive due to good reason within six months prior to such change in control, any equity awards held by the named executive officer as of the effective date of the new employment agreements described above will vest upon such change in control. For equity awards granted following the effective date of the new employment agreements and unless otherwise provided for in an award agreement, such equity awards will vest in the event of a termination of employment by the Company without cause or due to good reason on or within one year following a change in control.</w:t>
      </w:r>
    </w:p>
    <w:p>
      <w:pPr>
        <w:spacing w:after="0" w:line="167" w:lineRule="exact"/>
        <w:rPr>
          <w:sz w:val="20"/>
          <w:szCs w:val="20"/>
          <w:color w:val="auto"/>
        </w:rPr>
      </w:pPr>
    </w:p>
    <w:p>
      <w:pPr>
        <w:ind w:left="160" w:right="160" w:firstLine="873"/>
        <w:spacing w:after="0" w:line="258" w:lineRule="auto"/>
        <w:rPr>
          <w:sz w:val="20"/>
          <w:szCs w:val="20"/>
          <w:color w:val="auto"/>
        </w:rPr>
      </w:pPr>
      <w:r>
        <w:rPr>
          <w:rFonts w:ascii="Times New Roman" w:cs="Times New Roman" w:eastAsia="Times New Roman" w:hAnsi="Times New Roman"/>
          <w:sz w:val="18"/>
          <w:szCs w:val="18"/>
          <w:color w:val="auto"/>
        </w:rPr>
        <w:t>At the time the named executive officer entered into the above-described employment agreement with the Company, the named executive officer also entered into a non-disclosure, restrictive covenants and assignment of invention agreement with restrictive covenants relating to non-competition and non-solicitation of customers and employees, during employment and for 12 months following a termination of employment for Mr. Naudé and for six months following a termination of employment for Messrs. Rudow and Glover.</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5" w:lineRule="exact"/>
        <w:rPr>
          <w:sz w:val="20"/>
          <w:szCs w:val="20"/>
          <w:color w:val="auto"/>
        </w:rPr>
      </w:pPr>
    </w:p>
    <w:p>
      <w:pPr>
        <w:ind w:left="160" w:right="40" w:firstLine="873"/>
        <w:spacing w:after="0" w:line="263" w:lineRule="auto"/>
        <w:rPr>
          <w:sz w:val="20"/>
          <w:szCs w:val="20"/>
          <w:color w:val="auto"/>
        </w:rPr>
      </w:pPr>
      <w:r>
        <w:rPr>
          <w:rFonts w:ascii="Times New Roman" w:cs="Times New Roman" w:eastAsia="Times New Roman" w:hAnsi="Times New Roman"/>
          <w:sz w:val="18"/>
          <w:szCs w:val="18"/>
          <w:color w:val="auto"/>
        </w:rPr>
        <w:t>The Company maintains a tax-qualified 401(k) savings plan which allows participants to defer eligible compensation up to the maximum amount allowed under Internal Revenue Service guidelines and provides for a discretionary matching contributions by the Company. In fiscal 2020, the Company matched each employee’s contributions at 40% up to 6% of eligible compensation, up to applicable Internal Revenue Service limits.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2019 Equity Incentive Plan</w:t>
      </w:r>
    </w:p>
    <w:p>
      <w:pPr>
        <w:spacing w:after="0" w:line="225"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In 2019, our board of directors adopted the nCino, Inc. 2019 Incentive Plan. Our board of directors adopted, and our current stockholders approved, an amended and restated 2019 Incentive Plan to, among other items, increase the available shares under the 2019 Incentive Plan. The following summary describes the material terms of the 2019 Incentive Plan, as amended and restated. This summary is not a complete description of all provisions of the 2019 Incentive Plan and is qualified in its entirety by reference to the 2019 Incentive Plan, which is filed as an exhibit to the registration statement of which this prospectus is a part.</w:t>
      </w:r>
    </w:p>
    <w:p>
      <w:pPr>
        <w:spacing w:after="0" w:line="184"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The purpose of the 2019 Incentive Plan is to advance the interests of the Company and its stockholders by providing an incentive to attract, retain and reward persons performing services to the Company and its participating affiliates and subsidiaries and by motivating such persons to contribute to the growth and profitability of the Company and its participating affiliates and subsidiaries. The 2019 Incentive Plan provides for the grant of incentive stock options (within the meaning of Section 422 of the Code), nonstatutory stock options, stock appreciation rights, restricted stock awards, restricted stock units, performance shares, performance units, cash-based awards and other-stock based awards. Only directors, officers, employees and consultants who provide services to us, or to any parent, subsidiary or affiliate of ours, are eligible to receive such awards.</w:t>
      </w:r>
    </w:p>
    <w:p>
      <w:pPr>
        <w:spacing w:after="0" w:line="182" w:lineRule="exact"/>
        <w:rPr>
          <w:sz w:val="20"/>
          <w:szCs w:val="20"/>
          <w:color w:val="auto"/>
        </w:rPr>
      </w:pPr>
    </w:p>
    <w:p>
      <w:pPr>
        <w:ind w:left="160" w:right="60" w:firstLine="873"/>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 Subject to the Plan. </w:t>
      </w:r>
      <w:r>
        <w:rPr>
          <w:rFonts w:ascii="Times New Roman" w:cs="Times New Roman" w:eastAsia="Times New Roman" w:hAnsi="Times New Roman"/>
          <w:sz w:val="18"/>
          <w:szCs w:val="18"/>
          <w:color w:val="auto"/>
        </w:rPr>
        <w:t>The number of shares reserved for issuance under the 2019 Incentive Plan is 15,250,000, plus an annual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added on the first day of each fiscal year, beginning with the fiscal year ending January 31, 2022, and continuing until, and including, the fiscal year ending January 31, 2031. The annual increase will be equal to the lesser of (i) 5% of the number of shares issued and outstanding as of the January 31st of the immediately preceding fiscal year and (ii) an amount determined by the Board of Directors. Up to 15,250,000 shares of our common stock that may be issued under the 2019 Incentive Plan may be issued in satisfaction of incentive stock option awards.</w:t>
      </w:r>
    </w:p>
    <w:p>
      <w:pPr>
        <w:spacing w:after="0" w:line="182" w:lineRule="exact"/>
        <w:rPr>
          <w:sz w:val="20"/>
          <w:szCs w:val="20"/>
          <w:color w:val="auto"/>
        </w:rPr>
      </w:pPr>
    </w:p>
    <w:p>
      <w:pPr>
        <w:ind w:left="160" w:right="60" w:firstLine="873"/>
        <w:spacing w:after="0" w:line="285" w:lineRule="auto"/>
        <w:rPr>
          <w:sz w:val="20"/>
          <w:szCs w:val="20"/>
          <w:color w:val="auto"/>
        </w:rPr>
      </w:pPr>
      <w:r>
        <w:rPr>
          <w:rFonts w:ascii="Times New Roman" w:cs="Times New Roman" w:eastAsia="Times New Roman" w:hAnsi="Times New Roman"/>
          <w:sz w:val="17"/>
          <w:szCs w:val="17"/>
          <w:color w:val="auto"/>
        </w:rPr>
        <w:t>To the extent an equity award granted under the 2019 Incentive Plan or the Company’s predecessor plan expires or otherwise terminates without having been exercised or settled in full, or is settled in cash, or the shares underlying an award are forfeited or repurchased by the Company for a price not exceeding the participant’s purchase price, the shares subject to such award will become available for future grant under the 2019 Incentive</w:t>
      </w:r>
    </w:p>
    <w:p>
      <w:pPr>
        <w:spacing w:after="0" w:line="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20"/>
          </w:cols>
          <w:pgMar w:left="320" w:top="454" w:right="5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120"/>
        <w:spacing w:after="0" w:line="263" w:lineRule="auto"/>
        <w:rPr>
          <w:sz w:val="20"/>
          <w:szCs w:val="20"/>
          <w:color w:val="auto"/>
        </w:rPr>
      </w:pPr>
      <w:r>
        <w:rPr>
          <w:rFonts w:ascii="Times New Roman" w:cs="Times New Roman" w:eastAsia="Times New Roman" w:hAnsi="Times New Roman"/>
          <w:sz w:val="18"/>
          <w:szCs w:val="18"/>
          <w:color w:val="auto"/>
        </w:rPr>
        <w:t>Plan. In addition, to the extent shares subject to an award are withheld to satisfy a participant’s tax withholding obligation upon the exercise or settlement of such award, are not issued upon the net settlement of a stock appreciation right or are withheld to pay the exercise price of a stock option, such shares will become available for future grant under the 2019 Incentive Plan.</w:t>
      </w:r>
    </w:p>
    <w:p>
      <w:pPr>
        <w:spacing w:after="0" w:line="175" w:lineRule="exact"/>
        <w:rPr>
          <w:sz w:val="20"/>
          <w:szCs w:val="20"/>
          <w:color w:val="auto"/>
        </w:rPr>
      </w:pPr>
    </w:p>
    <w:p>
      <w:pPr>
        <w:jc w:val="both"/>
        <w:ind w:left="160" w:firstLine="873"/>
        <w:spacing w:after="0" w:line="263" w:lineRule="auto"/>
        <w:rPr>
          <w:sz w:val="20"/>
          <w:szCs w:val="20"/>
          <w:color w:val="auto"/>
        </w:rPr>
      </w:pPr>
      <w:r>
        <w:rPr>
          <w:rFonts w:ascii="Times New Roman" w:cs="Times New Roman" w:eastAsia="Times New Roman" w:hAnsi="Times New Roman"/>
          <w:sz w:val="18"/>
          <w:szCs w:val="18"/>
          <w:color w:val="auto"/>
        </w:rPr>
        <w:t>As of July 31, 2020, our officers, employees, directors and consultants hold outstanding stock options granted under the 2019 Incentive Plan for the purchase of up to 142,400 shares of our common stock, with 17,500 of those options vested as of such date at a weighted-average grant date fair value of $20.00 per share, and outstanding RSUs with respect to 2,041,093 shares of our common stock.</w:t>
      </w:r>
    </w:p>
    <w:p>
      <w:pPr>
        <w:spacing w:after="0" w:line="173"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compensation committee or a committee designated by our board of directors administers the 2019 Incentive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at any time our board of directors has not designated a committee to administer the 2019 Incentive Plan, then the plan will be administered by our board of directors. Subject to the terms of the 2019 Incentive Plan, our compensation committee has the authority to determine the eligibility for awards and the terms, conditions, and restrictions, including vesting terms, the number of shares subject to an award, and any performance goals applicable to awards made under the 2019 Incentive Plan. The compensation committee also has the authority, subject to the terms of the 2019 Incentive Plan, to construe and interpret the 2019 Incentive Plan and awards.</w:t>
      </w:r>
    </w:p>
    <w:p>
      <w:pPr>
        <w:spacing w:after="0" w:line="184" w:lineRule="exact"/>
        <w:rPr>
          <w:sz w:val="20"/>
          <w:szCs w:val="20"/>
          <w:color w:val="auto"/>
        </w:rPr>
      </w:pPr>
    </w:p>
    <w:p>
      <w:pPr>
        <w:ind w:left="160" w:right="420" w:firstLine="873"/>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Participants. </w:t>
      </w:r>
      <w:r>
        <w:rPr>
          <w:rFonts w:ascii="Times New Roman" w:cs="Times New Roman" w:eastAsia="Times New Roman" w:hAnsi="Times New Roman"/>
          <w:sz w:val="18"/>
          <w:szCs w:val="18"/>
          <w:color w:val="auto"/>
        </w:rPr>
        <w:t>Officers, employees, directors and consultants of the Company and our subsidiaries are eligible to participate in the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if selected for participation by the plan administrator.</w:t>
      </w:r>
    </w:p>
    <w:p>
      <w:pPr>
        <w:spacing w:after="0" w:line="159"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Non-Employee Director Compensation Limit. </w:t>
      </w:r>
      <w:r>
        <w:rPr>
          <w:rFonts w:ascii="Times New Roman" w:cs="Times New Roman" w:eastAsia="Times New Roman" w:hAnsi="Times New Roman"/>
          <w:sz w:val="18"/>
          <w:szCs w:val="18"/>
          <w:color w:val="auto"/>
        </w:rPr>
        <w:t>Under the terms of the 2019 Incentive Plan, the aggregate value of cash compensation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date fair value of shares that may be awarded or granted during any fiscal year of the Company to any non-employee director will not exceed $750,000; provided, however, that the director compensation limit will be multiplied by two for the first fiscal year in which a non-employee director commences service on the board of directors.</w:t>
      </w:r>
    </w:p>
    <w:p>
      <w:pPr>
        <w:spacing w:after="0" w:line="180"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Stock Options and Stock Appreciation Rights. </w:t>
      </w:r>
      <w:r>
        <w:rPr>
          <w:rFonts w:ascii="Times New Roman" w:cs="Times New Roman" w:eastAsia="Times New Roman" w:hAnsi="Times New Roman"/>
          <w:sz w:val="18"/>
          <w:szCs w:val="18"/>
          <w:color w:val="auto"/>
        </w:rPr>
        <w:t>Our compensation committee may grant incentive stock options, nonstatutory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stock appreciation rights under the 2019 Incentive Plan, provided that incentive stock options are granted only to employees of the Company, a parent corporation or a subsidiary corporation. The exercise price of stock options and stock appreciation rights under the 2019 Incentive Plan will be determined by the compensation committee, but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2019 Incentive Plan, the compensation committee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compensation committee permits otherwise), as specified in the award agreement. The 2019 Incentive Plan prohibits the repricing of options and stock appreciation rights without stockholder approval.</w:t>
      </w:r>
    </w:p>
    <w:p>
      <w:pPr>
        <w:spacing w:after="0" w:line="187" w:lineRule="exact"/>
        <w:rPr>
          <w:sz w:val="20"/>
          <w:szCs w:val="20"/>
          <w:color w:val="auto"/>
        </w:rPr>
      </w:pPr>
    </w:p>
    <w:p>
      <w:pPr>
        <w:ind w:left="160" w:right="20" w:firstLine="873"/>
        <w:spacing w:after="0" w:line="272" w:lineRule="auto"/>
        <w:rPr>
          <w:sz w:val="20"/>
          <w:szCs w:val="20"/>
          <w:color w:val="auto"/>
        </w:rPr>
      </w:pPr>
      <w:r>
        <w:rPr>
          <w:rFonts w:ascii="Times New Roman" w:cs="Times New Roman" w:eastAsia="Times New Roman" w:hAnsi="Times New Roman"/>
          <w:sz w:val="17"/>
          <w:szCs w:val="17"/>
          <w:i w:val="1"/>
          <w:iCs w:val="1"/>
          <w:color w:val="auto"/>
        </w:rPr>
        <w:t>Stock Awards</w:t>
      </w:r>
      <w:r>
        <w:rPr>
          <w:rFonts w:ascii="Times New Roman" w:cs="Times New Roman" w:eastAsia="Times New Roman" w:hAnsi="Times New Roman"/>
          <w:sz w:val="17"/>
          <w:szCs w:val="17"/>
          <w:color w:val="auto"/>
        </w:rPr>
        <w:t>. Our compensation committee will decide at the time of grant whether an award will be in the form of restricted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restricted stock units, or other stock awards. The compensation committee will determine the terms of the awards, including the number of shares subject to the award, vesting, and the nature of any performance measures. Unless otherwise specified in the award agreement, the recipient of restricted stock will have voting rights and be entitled to receive dividends with respect to his or her shares of restricted stock, with any dividends subject to the same vesting conditions as the underlying restricted stock. The recipient of restricted stock units will not have voting rights, but his or her award agreement may provide for the receipt of dividend equivalents. Any dividend equivalents paid with respect to restricted stock units will be subject to the</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60"/>
          </w:cols>
          <w:pgMar w:left="320" w:top="454" w:right="51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180"/>
        <w:spacing w:after="0" w:line="308" w:lineRule="auto"/>
        <w:rPr>
          <w:sz w:val="20"/>
          <w:szCs w:val="20"/>
          <w:color w:val="auto"/>
        </w:rPr>
      </w:pPr>
      <w:r>
        <w:rPr>
          <w:rFonts w:ascii="Times New Roman" w:cs="Times New Roman" w:eastAsia="Times New Roman" w:hAnsi="Times New Roman"/>
          <w:sz w:val="17"/>
          <w:szCs w:val="17"/>
          <w:color w:val="auto"/>
        </w:rPr>
        <w:t>same vesting conditions as the underlying awards. Our compensation committee may grant other stock awards that are based on or related to shares of our common stock, such as awards of shares of common stock granted as bonus and not subject to any vesting conditions or stock equivalent units.</w:t>
      </w:r>
    </w:p>
    <w:p>
      <w:pPr>
        <w:spacing w:after="0" w:line="138" w:lineRule="exact"/>
        <w:rPr>
          <w:sz w:val="20"/>
          <w:szCs w:val="20"/>
          <w:color w:val="auto"/>
        </w:rPr>
      </w:pPr>
    </w:p>
    <w:p>
      <w:pPr>
        <w:ind w:left="160" w:right="80" w:firstLine="873"/>
        <w:spacing w:after="0" w:line="264"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Our compensation committee will determine the value of any performance award, the vesting and nature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measures, and whether the award is denominated or settled in cash or in shares of our common stock. The performance goals applicable to a particular award will be determined by our compensation committee at the time of grant.</w:t>
      </w:r>
    </w:p>
    <w:p>
      <w:pPr>
        <w:spacing w:after="0" w:line="173" w:lineRule="exact"/>
        <w:rPr>
          <w:sz w:val="20"/>
          <w:szCs w:val="20"/>
          <w:color w:val="auto"/>
        </w:rPr>
      </w:pPr>
    </w:p>
    <w:p>
      <w:pPr>
        <w:ind w:left="160" w:right="160" w:firstLine="873"/>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Transferability of Awards. </w:t>
      </w:r>
      <w:r>
        <w:rPr>
          <w:rFonts w:ascii="Times New Roman" w:cs="Times New Roman" w:eastAsia="Times New Roman" w:hAnsi="Times New Roman"/>
          <w:sz w:val="18"/>
          <w:szCs w:val="18"/>
          <w:color w:val="auto"/>
        </w:rPr>
        <w:t>The 2019 Incentive Plan does not allow awards to be transferred other than by will or the laws of descent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following the participant’s death, or as permitted by the compensation committee subject to the applicable limitations of the Securities Act and the Code.</w:t>
      </w:r>
    </w:p>
    <w:p>
      <w:pPr>
        <w:spacing w:after="0" w:line="173" w:lineRule="exact"/>
        <w:rPr>
          <w:sz w:val="20"/>
          <w:szCs w:val="20"/>
          <w:color w:val="auto"/>
        </w:rPr>
      </w:pPr>
    </w:p>
    <w:p>
      <w:pPr>
        <w:ind w:left="160" w:right="100" w:firstLine="873"/>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Certain Adjustments. </w:t>
      </w:r>
      <w:r>
        <w:rPr>
          <w:rFonts w:ascii="Times New Roman" w:cs="Times New Roman" w:eastAsia="Times New Roman" w:hAnsi="Times New Roman"/>
          <w:sz w:val="18"/>
          <w:szCs w:val="18"/>
          <w:color w:val="auto"/>
        </w:rPr>
        <w:t>If any change is made in our common stock by means of an equity restructuring, such as a stock dividend,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spinoff, rights offering or recapitalization through an extraordinary cash dividend, appropriate and proportionate adjustments will be made in the number, class and price of shares subject to each outstanding award and the number and kind of shares subject to the plan.</w:t>
      </w:r>
    </w:p>
    <w:p>
      <w:pPr>
        <w:spacing w:after="0" w:line="173" w:lineRule="exact"/>
        <w:rPr>
          <w:sz w:val="20"/>
          <w:szCs w:val="20"/>
          <w:color w:val="auto"/>
        </w:rPr>
      </w:pPr>
    </w:p>
    <w:p>
      <w:pPr>
        <w:jc w:val="both"/>
        <w:ind w:left="160" w:right="180" w:firstLine="873"/>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we experience a change in control under the terms of the 2019 Incentive Plan, the plan administrator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for the cash settlement, vesting, assumption or substitution of outstanding awards, except that awards held by our non-employee directors will vest and become exercisable in full upon such change in control. This offering will not constitute a change in control under the plan.</w:t>
      </w:r>
    </w:p>
    <w:p>
      <w:pPr>
        <w:spacing w:after="0" w:line="173" w:lineRule="exact"/>
        <w:rPr>
          <w:sz w:val="20"/>
          <w:szCs w:val="20"/>
          <w:color w:val="auto"/>
        </w:rPr>
      </w:pPr>
    </w:p>
    <w:p>
      <w:pPr>
        <w:ind w:left="160" w:right="20" w:firstLine="873"/>
        <w:spacing w:after="0" w:line="252" w:lineRule="auto"/>
        <w:rPr>
          <w:sz w:val="20"/>
          <w:szCs w:val="20"/>
          <w:color w:val="auto"/>
        </w:rPr>
      </w:pP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Awards granted under the 2019 Incentive Plan and any cash payment or shares of our common stock delivered pursuant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may be subject to forfeiture, recovery, or other action pursuant to the applicable award agreement or any clawback or recoupment policy that we may adopt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addition, under the terms of the 2019 Incentive Plan, if the Company is required to prepare an accounting restatement due to the material noncompliance of the Company, as a result of misconduct, with any financial reporting requirement under the securities laws, any participant who knowingly or through gross negligence engaged in misconduct, or who knowingly or through gross negligence failed to prevent misconduct, will reimburse the Company for (i) the amount of any payment in settlement of an award received by such participant during the 12-month period following the first public issuance or filing with the SEC of the financial document embodying such financial reporting requirement and (ii) any profits realized by such participant from the sale of securities of the Company during such 12-month period.</w:t>
      </w:r>
    </w:p>
    <w:p>
      <w:pPr>
        <w:spacing w:after="0" w:line="187" w:lineRule="exact"/>
        <w:rPr>
          <w:sz w:val="20"/>
          <w:szCs w:val="20"/>
          <w:color w:val="auto"/>
        </w:rPr>
      </w:pPr>
    </w:p>
    <w:p>
      <w:pPr>
        <w:ind w:left="160" w:firstLine="873"/>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New Plan Benefits. </w:t>
      </w:r>
      <w:r>
        <w:rPr>
          <w:rFonts w:ascii="Times New Roman" w:cs="Times New Roman" w:eastAsia="Times New Roman" w:hAnsi="Times New Roman"/>
          <w:sz w:val="18"/>
          <w:szCs w:val="18"/>
          <w:color w:val="auto"/>
        </w:rPr>
        <w:t>The compensation committee has the discretion to grant awards under the 2019 Incentive Plan, and therefore it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possible at the time of filing of this prospectus to determine future awards that will be received by our named executive officers or others under the 2019 Incentive Plan. Only directors, employees and consultants are eligible for consideration to participate in the 2019 Incentive Plan.</w:t>
      </w:r>
    </w:p>
    <w:p>
      <w:pPr>
        <w:spacing w:after="0" w:line="173" w:lineRule="exact"/>
        <w:rPr>
          <w:sz w:val="20"/>
          <w:szCs w:val="20"/>
          <w:color w:val="auto"/>
        </w:rPr>
      </w:pPr>
    </w:p>
    <w:p>
      <w:pPr>
        <w:ind w:left="160" w:right="100" w:firstLine="873"/>
        <w:spacing w:after="0" w:line="280"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Our compensation committee has the authority to amend or terminate the 2019 Incentive Plan, subject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approval required by law or stock exchange rules.</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2014 Omnibus Stock Ownership and Long-Term Incentive Plan</w:t>
      </w:r>
    </w:p>
    <w:p>
      <w:pPr>
        <w:spacing w:after="0" w:line="225" w:lineRule="exact"/>
        <w:rPr>
          <w:sz w:val="20"/>
          <w:szCs w:val="20"/>
          <w:color w:val="auto"/>
        </w:rPr>
      </w:pPr>
    </w:p>
    <w:p>
      <w:pPr>
        <w:ind w:left="160" w:right="140" w:firstLine="873"/>
        <w:spacing w:after="0" w:line="258" w:lineRule="auto"/>
        <w:rPr>
          <w:sz w:val="20"/>
          <w:szCs w:val="20"/>
          <w:color w:val="auto"/>
        </w:rPr>
      </w:pPr>
      <w:r>
        <w:rPr>
          <w:rFonts w:ascii="Times New Roman" w:cs="Times New Roman" w:eastAsia="Times New Roman" w:hAnsi="Times New Roman"/>
          <w:sz w:val="18"/>
          <w:szCs w:val="18"/>
          <w:color w:val="auto"/>
        </w:rPr>
        <w:t>The following is a description of the material terms of the nCino, Inc. 2014 Omnibus Stock Ownership and Long-Term Incentive Plan (the “2014 Incentive Plan”). The summary below does not contain a complete description of all provisions of the 2014 Incentive Plan and is qualified in its entirety by reference to the plan, a copy of which will be filed as an exhibit to the registration statement of which this prospectus forms a part. See “Where You Can Find Additional Information.”</w:t>
      </w:r>
    </w:p>
    <w:p>
      <w:pPr>
        <w:spacing w:after="0" w:line="180" w:lineRule="exact"/>
        <w:rPr>
          <w:sz w:val="20"/>
          <w:szCs w:val="20"/>
          <w:color w:val="auto"/>
        </w:rPr>
      </w:pPr>
    </w:p>
    <w:p>
      <w:pPr>
        <w:ind w:left="160" w:right="60" w:firstLine="873"/>
        <w:spacing w:after="0" w:line="278" w:lineRule="auto"/>
        <w:rPr>
          <w:sz w:val="20"/>
          <w:szCs w:val="20"/>
          <w:color w:val="auto"/>
        </w:rPr>
      </w:pPr>
      <w:r>
        <w:rPr>
          <w:rFonts w:ascii="Times New Roman" w:cs="Times New Roman" w:eastAsia="Times New Roman" w:hAnsi="Times New Roman"/>
          <w:sz w:val="18"/>
          <w:szCs w:val="18"/>
          <w:color w:val="auto"/>
        </w:rPr>
        <w:t>The 2014 Incentive Plan was replaced by the 2019 Incentive Plan. The 2014 Incentive Plan governs outstanding awards granted prior to the adoption of the 2019 Incentive Plan, but no further awards will be granted pursuant to the 2014 Incentive Plan.</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60"/>
          </w:cols>
          <w:pgMar w:left="320" w:top="454" w:right="51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3" w:lineRule="exact"/>
        <w:rPr>
          <w:sz w:val="20"/>
          <w:szCs w:val="20"/>
          <w:color w:val="auto"/>
        </w:rPr>
      </w:pPr>
    </w:p>
    <w:p>
      <w:pPr>
        <w:ind w:left="160" w:right="260" w:firstLine="87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Authorized Shares. </w:t>
      </w:r>
      <w:r>
        <w:rPr>
          <w:rFonts w:ascii="Times New Roman" w:cs="Times New Roman" w:eastAsia="Times New Roman" w:hAnsi="Times New Roman"/>
          <w:sz w:val="18"/>
          <w:szCs w:val="18"/>
          <w:color w:val="auto"/>
        </w:rPr>
        <w:t>Under the 2014 Incentive Plan, 15,025,666 shares of our common stock were reserved for issuance,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for stock splits and other similar changes in capitalization. As of July 31, 2020, our employees, directors and consultants hold outstanding stock options granted under the 2014 Incentive Plan for the purchase of up to 7,321,694 shares of our common stock, with 5,542,247 of those options vested as of such date. No other equity awards are outstanding under the 2014 Incentive Plan as of such date.</w:t>
      </w:r>
    </w:p>
    <w:p>
      <w:pPr>
        <w:spacing w:after="0" w:line="180" w:lineRule="exact"/>
        <w:rPr>
          <w:sz w:val="20"/>
          <w:szCs w:val="20"/>
          <w:color w:val="auto"/>
        </w:rPr>
      </w:pPr>
    </w:p>
    <w:p>
      <w:pPr>
        <w:ind w:left="160" w:right="240" w:firstLine="873"/>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a committee appointed by our board of directors, administers the 2014 Incentive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provisions of our 2014 Incentive Plan, the plan administrator has the authority to, among other things, construe and interpret the 2014 Incentive Plan and all awards granted thereunder, to define the terms used in the 2014 Incentive Plan and award agreements thereunder, to prescribe, amend and rescind the rules, regulations and policies relating to the 2014 Incentive Plan and to make all determinations necessary or advisable for the administration of the 2014 Incentive Plan.</w:t>
      </w:r>
    </w:p>
    <w:p>
      <w:pPr>
        <w:spacing w:after="0" w:line="180" w:lineRule="exact"/>
        <w:rPr>
          <w:sz w:val="20"/>
          <w:szCs w:val="20"/>
          <w:color w:val="auto"/>
        </w:rPr>
      </w:pPr>
    </w:p>
    <w:p>
      <w:pPr>
        <w:ind w:left="160" w:right="240" w:firstLine="873"/>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Participants. </w:t>
      </w:r>
      <w:r>
        <w:rPr>
          <w:rFonts w:ascii="Times New Roman" w:cs="Times New Roman" w:eastAsia="Times New Roman" w:hAnsi="Times New Roman"/>
          <w:sz w:val="18"/>
          <w:szCs w:val="18"/>
          <w:color w:val="auto"/>
        </w:rPr>
        <w:t>Employees, directors and consultants of the Company and our subsidiaries were eligible to participate in the 2014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if selected for participation by the plan administrator.</w:t>
      </w:r>
    </w:p>
    <w:p>
      <w:pPr>
        <w:spacing w:after="0" w:line="159" w:lineRule="exact"/>
        <w:rPr>
          <w:sz w:val="20"/>
          <w:szCs w:val="20"/>
          <w:color w:val="auto"/>
        </w:rPr>
      </w:pPr>
    </w:p>
    <w:p>
      <w:pPr>
        <w:ind w:left="160" w:right="100" w:firstLine="87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Types and Terms of Awards. </w:t>
      </w:r>
      <w:r>
        <w:rPr>
          <w:rFonts w:ascii="Times New Roman" w:cs="Times New Roman" w:eastAsia="Times New Roman" w:hAnsi="Times New Roman"/>
          <w:sz w:val="18"/>
          <w:szCs w:val="18"/>
          <w:color w:val="auto"/>
        </w:rPr>
        <w:t>Under the 2014 Incentive Plan, we were authorized to grant stock options, restricted stock, long-term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units, and stock appreciation rights. Stock options and stock appreciation rights may not be exercised beyond a ten-year term (or such shorter period as required with respect to incentive stock options held by certain holders). The terms of the awards are specified in an underlying award agreement approved by the plan administrator.</w:t>
      </w:r>
    </w:p>
    <w:p>
      <w:pPr>
        <w:spacing w:after="0" w:line="180" w:lineRule="exact"/>
        <w:rPr>
          <w:sz w:val="20"/>
          <w:szCs w:val="20"/>
          <w:color w:val="auto"/>
        </w:rPr>
      </w:pPr>
    </w:p>
    <w:p>
      <w:pPr>
        <w:ind w:left="160" w:right="60" w:firstLine="873"/>
        <w:spacing w:after="0" w:line="286" w:lineRule="auto"/>
        <w:rPr>
          <w:sz w:val="20"/>
          <w:szCs w:val="20"/>
          <w:color w:val="auto"/>
        </w:rPr>
      </w:pPr>
      <w:r>
        <w:rPr>
          <w:rFonts w:ascii="Times New Roman" w:cs="Times New Roman" w:eastAsia="Times New Roman" w:hAnsi="Times New Roman"/>
          <w:sz w:val="17"/>
          <w:szCs w:val="17"/>
          <w:i w:val="1"/>
          <w:iCs w:val="1"/>
          <w:color w:val="auto"/>
        </w:rPr>
        <w:t>Termination of Employment</w:t>
      </w:r>
      <w:r>
        <w:rPr>
          <w:rFonts w:ascii="Times New Roman" w:cs="Times New Roman" w:eastAsia="Times New Roman" w:hAnsi="Times New Roman"/>
          <w:sz w:val="17"/>
          <w:szCs w:val="17"/>
          <w:color w:val="auto"/>
        </w:rPr>
        <w:t>. The terms relating to exercise, cancellation, other disposition, forfeiture, satisfaction of performance measures,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termination of restriction periods or termination of performance periods upon termination of employment with or service to the Company, whether by reason of disability, cause, retirement, death or other termination, are set forth in the underlying award agreement approved by the plan administrator.</w:t>
      </w:r>
    </w:p>
    <w:p>
      <w:pPr>
        <w:spacing w:after="0" w:line="157" w:lineRule="exact"/>
        <w:rPr>
          <w:sz w:val="20"/>
          <w:szCs w:val="20"/>
          <w:color w:val="auto"/>
        </w:rPr>
      </w:pPr>
    </w:p>
    <w:p>
      <w:pPr>
        <w:jc w:val="both"/>
        <w:ind w:left="160" w:right="300" w:firstLine="873"/>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Certain Adjustments. </w:t>
      </w:r>
      <w:r>
        <w:rPr>
          <w:rFonts w:ascii="Times New Roman" w:cs="Times New Roman" w:eastAsia="Times New Roman" w:hAnsi="Times New Roman"/>
          <w:sz w:val="18"/>
          <w:szCs w:val="18"/>
          <w:color w:val="auto"/>
        </w:rPr>
        <w:t>Under the terms of the 2014 Incentive Plan, the number of shares subject to outstanding awards and the exercise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prices of those awards are subject to adjustment in the event of certain changes in our capital structure, reorganizations and other extraordinary events.</w:t>
      </w:r>
    </w:p>
    <w:p>
      <w:pPr>
        <w:spacing w:after="0" w:line="173" w:lineRule="exact"/>
        <w:rPr>
          <w:sz w:val="20"/>
          <w:szCs w:val="20"/>
          <w:color w:val="auto"/>
        </w:rPr>
      </w:pPr>
    </w:p>
    <w:p>
      <w:pPr>
        <w:ind w:left="160" w:right="220" w:firstLine="873"/>
        <w:spacing w:after="0" w:line="280"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we experience a change in control under the terms of the 2014 Incentive Plan, the plan administrator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for the vesting of outstanding options. This offering will not constitute a change in control under the plan.</w:t>
      </w:r>
    </w:p>
    <w:p>
      <w:pPr>
        <w:spacing w:after="0" w:line="159" w:lineRule="exact"/>
        <w:rPr>
          <w:sz w:val="20"/>
          <w:szCs w:val="20"/>
          <w:color w:val="auto"/>
        </w:rPr>
      </w:pPr>
    </w:p>
    <w:p>
      <w:pPr>
        <w:ind w:left="160" w:right="460" w:firstLine="873"/>
        <w:spacing w:after="0" w:line="264"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board of directors may, at any time, amend or terminate the 2014 Incentive Plan as it shall deem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advisable, subject to stockholder approval for changes to the number of shares available under the 2014 Incentive Plan or changes to the eligibility provisions. No amendment may adversely affect the rights of a holder of an outstanding award without the consent of such holder.</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5" w:lineRule="exact"/>
        <w:rPr>
          <w:sz w:val="20"/>
          <w:szCs w:val="20"/>
          <w:color w:val="auto"/>
        </w:rPr>
      </w:pPr>
    </w:p>
    <w:p>
      <w:pPr>
        <w:ind w:left="160" w:right="80" w:firstLine="873"/>
        <w:spacing w:after="0" w:line="308" w:lineRule="auto"/>
        <w:rPr>
          <w:sz w:val="20"/>
          <w:szCs w:val="20"/>
          <w:color w:val="auto"/>
        </w:rPr>
      </w:pPr>
      <w:r>
        <w:rPr>
          <w:rFonts w:ascii="Times New Roman" w:cs="Times New Roman" w:eastAsia="Times New Roman" w:hAnsi="Times New Roman"/>
          <w:sz w:val="17"/>
          <w:szCs w:val="17"/>
          <w:color w:val="auto"/>
        </w:rPr>
        <w:t>The following summary describes the material terms of the ESPP. This summary is not a complete description of all provisions of the ESPP and is qualified in its entirety by reference to the ESPP, which is filed as an exhibit to the registration statement of which this prospectus is a part.</w:t>
      </w:r>
    </w:p>
    <w:p>
      <w:pPr>
        <w:spacing w:after="0" w:line="14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Our board of directors adopted, and our current stockholders approved the ESPP.</w:t>
      </w:r>
    </w:p>
    <w:p>
      <w:pPr>
        <w:spacing w:after="0" w:line="221"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The purpose of the ESPP is to provide eligible employees of the Company and participating subsidiaries with a convenient means of acquiring an equity interest in the Company through payroll deductions or other contributions in order to enhance such employees’ sense of participation in the affairs of the Company.</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54" w:right="49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spacing w:after="0" w:line="266" w:lineRule="auto"/>
        <w:rPr>
          <w:sz w:val="20"/>
          <w:szCs w:val="20"/>
          <w:color w:val="auto"/>
        </w:rPr>
      </w:pPr>
      <w:r>
        <w:rPr>
          <w:rFonts w:ascii="Times New Roman" w:cs="Times New Roman" w:eastAsia="Times New Roman" w:hAnsi="Times New Roman"/>
          <w:sz w:val="17"/>
          <w:szCs w:val="17"/>
          <w:color w:val="auto"/>
        </w:rPr>
        <w:t>Generally, all of our employees (including those of our consolidated subsidiaries, other than those subsidiaries excluded from participation by our board of directors or compensation committee) are eligible to participate in the ESPP. The ESPP permits employees to purchase our common stock through payroll deductions during six-month offering periods, with the offering periods beginning each January 1 and July 1, or such other period or date determined by the compensation committee. Participants may authorize payroll deductions of a specific percentage of compensation of up to 15%, with such deductions being accumulated for six-month purchase periods beginning on the first business day of each offering period and ending on the last business day of each offering period. Under the terms of the ESPP, the purchase price per share with respect to an offering period will equal the lesser of</w:t>
      </w:r>
    </w:p>
    <w:p>
      <w:pPr>
        <w:spacing w:after="0" w:line="3" w:lineRule="exact"/>
        <w:rPr>
          <w:sz w:val="20"/>
          <w:szCs w:val="20"/>
          <w:color w:val="auto"/>
        </w:rPr>
      </w:pPr>
    </w:p>
    <w:p>
      <w:pPr>
        <w:ind w:left="160" w:right="20" w:firstLine="7"/>
        <w:spacing w:after="0" w:line="249" w:lineRule="auto"/>
        <w:tabs>
          <w:tab w:leader="none" w:pos="3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the fair market value of a share of our common stock on the first business day of such offering period and (ii) 85% of the fair market value of a share of our common stock on the last business day of such offering period, although the compensation committee has discretion to change the purchase price with respect to future offering periods, subject to the terms of the ESPP. No employee may participate in an offering period if the employee owns 5% or more of the total combined voting power or value of our stock or the stock of any of our subsidiaries. No participant may purchase more than 5,000 shares of our common stock during any offering period. Neither payroll deductions credited to a participant’s account nor any rights with regard to the exercise of an option or to receive shares under the ESPP may be assigned, transferred, pledged or otherwise disposed of in any way (other than by will, the laws of descent and distribution or pursuant to a valid beneficiary designation in the event of a participant’s death).</w:t>
      </w:r>
    </w:p>
    <w:p>
      <w:pPr>
        <w:spacing w:after="0" w:line="190" w:lineRule="exact"/>
        <w:rPr>
          <w:sz w:val="20"/>
          <w:szCs w:val="20"/>
          <w:color w:val="auto"/>
        </w:rPr>
      </w:pPr>
    </w:p>
    <w:p>
      <w:pPr>
        <w:ind w:left="160" w:right="60" w:firstLine="873"/>
        <w:spacing w:after="0" w:line="253" w:lineRule="auto"/>
        <w:rPr>
          <w:sz w:val="20"/>
          <w:szCs w:val="20"/>
          <w:color w:val="auto"/>
        </w:rPr>
      </w:pPr>
      <w:r>
        <w:rPr>
          <w:rFonts w:ascii="Times New Roman" w:cs="Times New Roman" w:eastAsia="Times New Roman" w:hAnsi="Times New Roman"/>
          <w:sz w:val="18"/>
          <w:szCs w:val="18"/>
          <w:color w:val="auto"/>
        </w:rPr>
        <w:t>1,800,000 shares of our common stock, subject to adjustment for stock splits, stock dividends or other changes in our capital stock, initially may be issued under the ESPP. Subject to the adjustment provisions contained in the ESPP, the maximum number of shares of our common stock available under the ESPP will automatically increase on the first day of each fiscal year, beginning with the fiscal year ending January 31, 2022 and continuing until the fiscal year ended January 31, 2031, by an amount equal to the lesser of (i) 1% of the shares of our common stock issued and outstanding on January 31 of the immediately preceding fiscal year, (ii) 1,800,000 shares of our common stock or (iii) an amount determined by our board of directors. The number of shares available under the ESPP will be subject to adjustment in the event of certain changes in our capital structure, reorganizations and other extraordinary events.</w:t>
      </w:r>
    </w:p>
    <w:p>
      <w:pPr>
        <w:spacing w:after="0" w:line="184" w:lineRule="exact"/>
        <w:rPr>
          <w:sz w:val="20"/>
          <w:szCs w:val="20"/>
          <w:color w:val="auto"/>
        </w:rPr>
      </w:pPr>
    </w:p>
    <w:p>
      <w:pPr>
        <w:ind w:left="160" w:right="20" w:firstLine="873"/>
        <w:spacing w:after="0" w:line="252" w:lineRule="auto"/>
        <w:rPr>
          <w:sz w:val="20"/>
          <w:szCs w:val="20"/>
          <w:color w:val="auto"/>
        </w:rPr>
      </w:pPr>
      <w:r>
        <w:rPr>
          <w:rFonts w:ascii="Times New Roman" w:cs="Times New Roman" w:eastAsia="Times New Roman" w:hAnsi="Times New Roman"/>
          <w:sz w:val="18"/>
          <w:szCs w:val="18"/>
          <w:color w:val="auto"/>
        </w:rPr>
        <w:t>Under the terms of the ESPP, in the event of the proposed dissolution or liquidation of the Company, any offering period then in progress will terminate immediately prior to the consummation of such proposed dissolution or liquidation, unless otherwise provided by the board of directors, and the board of directors may either provide for the purchase of shares as of the date on which such offering period terminates or return to each participant the payroll deductions credited to such participant’s account. In the event of a proposed sale of all or substantially all of the assets of the Company, or the merger of the Company with or into another corporation, each outstanding option under the ESPP will be assumed or an equivalent option substituted by the successor corporation or a parent or subsidiary of the successor corporation, unless the board of directors determines, in lieu of such assumption or substitution, to either terminate all outstanding options and return to each participant the payroll deductions credited to such participant’s account or to provide for the offering period in progress to end on a date prior to the consummation of such sale or merger.</w:t>
      </w:r>
    </w:p>
    <w:p>
      <w:pPr>
        <w:spacing w:after="0" w:line="187"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color w:val="auto"/>
        </w:rPr>
        <w:t>The ESPP is administered by the compensation committee. The compensation committee has the discretionary authority to do everything necessary and appropriate to administer the ESPP, including, without limitation, determining the time and frequency of granting options, the duration of offering periods, the terms and conditions of the options and the number of shares subject to each option, and interpreting the provisions of the ESPP. The ESPP may be amended by our board of directors or the compensation committee but may not be amended without prior stockholder approval to the extent required by Section 423 of the Code. The ESPP shall continue in effect until the earlier of (i) the termination of the ESPP by our board of directors or the compensation committee pursuant to the terms of the ESPP and (ii) the ten-year anniversary of the effective date of the ESPP, with no new offering periods commencing on or after such ten-year anniversary.</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40"/>
          </w:cols>
          <w:pgMar w:left="320" w:top="454" w:right="5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In addition to the compensation arrangements discussed in the section titled “Executive Compensation,” we describe below the transactions since February 1, 2017 to which we have been a participant, in which the amount involved in the transaction exceeds or will exceed $120,000 and in which any of our directors, executive officers or holders of more than 5% of our capital stock, or any immediate family member of, or person sharing the household with, any of these individuals, had or will have a direct or indirect material interest.</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225" w:lineRule="exact"/>
        <w:rPr>
          <w:sz w:val="20"/>
          <w:szCs w:val="20"/>
          <w:color w:val="auto"/>
        </w:rPr>
      </w:pPr>
    </w:p>
    <w:p>
      <w:pPr>
        <w:ind w:left="160" w:right="40" w:firstLine="873"/>
        <w:spacing w:after="0" w:line="263" w:lineRule="auto"/>
        <w:rPr>
          <w:sz w:val="20"/>
          <w:szCs w:val="20"/>
          <w:color w:val="auto"/>
        </w:rPr>
      </w:pPr>
      <w:r>
        <w:rPr>
          <w:rFonts w:ascii="Times New Roman" w:cs="Times New Roman" w:eastAsia="Times New Roman" w:hAnsi="Times New Roman"/>
          <w:sz w:val="18"/>
          <w:szCs w:val="18"/>
          <w:color w:val="auto"/>
        </w:rPr>
        <w:t>We sold shares of our common stock to an entity affiliated with Salesforce in July 2017, January 2018 and September 2019 for an aggregate purchase price of approximately $72.0 million. In January 2018, one of our stockholders also sold shares of our common stock to an entity affiliated with Salesforce for a purchase price of approximately $9.0 million.</w:t>
      </w:r>
    </w:p>
    <w:p>
      <w:pPr>
        <w:spacing w:after="0" w:line="175" w:lineRule="exact"/>
        <w:rPr>
          <w:sz w:val="20"/>
          <w:szCs w:val="20"/>
          <w:color w:val="auto"/>
        </w:rPr>
      </w:pPr>
    </w:p>
    <w:p>
      <w:pPr>
        <w:ind w:left="160" w:right="20" w:firstLine="873"/>
        <w:spacing w:after="0" w:line="278" w:lineRule="auto"/>
        <w:rPr>
          <w:sz w:val="20"/>
          <w:szCs w:val="20"/>
          <w:color w:val="auto"/>
        </w:rPr>
      </w:pPr>
      <w:r>
        <w:rPr>
          <w:rFonts w:ascii="Times New Roman" w:cs="Times New Roman" w:eastAsia="Times New Roman" w:hAnsi="Times New Roman"/>
          <w:sz w:val="18"/>
          <w:szCs w:val="18"/>
          <w:color w:val="auto"/>
        </w:rPr>
        <w:t>In addition, certain holders of more than 5% of our capital stock acquired shares from selling stockholders, including certain of our directors and officers, pursuant to the tender offer as described below under “—Tender Offer.”</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Tender Offer</w:t>
      </w:r>
    </w:p>
    <w:p>
      <w:pPr>
        <w:spacing w:after="0" w:line="225" w:lineRule="exact"/>
        <w:rPr>
          <w:sz w:val="20"/>
          <w:szCs w:val="20"/>
          <w:color w:val="auto"/>
        </w:rPr>
      </w:pPr>
    </w:p>
    <w:p>
      <w:pPr>
        <w:ind w:left="160" w:right="100" w:firstLine="873"/>
        <w:spacing w:after="0" w:line="253" w:lineRule="auto"/>
        <w:rPr>
          <w:sz w:val="20"/>
          <w:szCs w:val="20"/>
          <w:color w:val="auto"/>
        </w:rPr>
      </w:pPr>
      <w:r>
        <w:rPr>
          <w:rFonts w:ascii="Times New Roman" w:cs="Times New Roman" w:eastAsia="Times New Roman" w:hAnsi="Times New Roman"/>
          <w:sz w:val="18"/>
          <w:szCs w:val="18"/>
          <w:color w:val="auto"/>
        </w:rPr>
        <w:t>Shares of our common stock have been the subject of two tender offers. The first was conducted by Insight Partners in January 2017 (the “January 2017 Tender Offer”) and the second was conducted by each of Insight Partners, Wellington and Bessemer Venture Partners (“Bessemer”) in July 2018 (the “July 2018 Tender Offer”). In connection with the January 2017 Tender Offer, Insight Partners acquired 23,796,085 shares of our common stock from selling stockholders, including certain of our directors and officers, at a purchase price of $8.00 per share, and in connection with the July 2018 Tender Offer, Wellington acquired 3,125,000 shares of our common stock, Bessemer acquired 1,562,500 shares of our common stock and Insight Partners acquired 551,382 shares of our common stock from selling stockholders, including certain of our directors and officers, at a purchase price of $16.00 per share.</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25" w:lineRule="exact"/>
        <w:rPr>
          <w:sz w:val="20"/>
          <w:szCs w:val="20"/>
          <w:color w:val="auto"/>
        </w:rPr>
      </w:pPr>
    </w:p>
    <w:p>
      <w:pPr>
        <w:ind w:left="160" w:right="360" w:firstLine="873"/>
        <w:spacing w:after="0" w:line="258" w:lineRule="auto"/>
        <w:rPr>
          <w:sz w:val="20"/>
          <w:szCs w:val="20"/>
          <w:color w:val="auto"/>
        </w:rPr>
      </w:pPr>
      <w:r>
        <w:rPr>
          <w:rFonts w:ascii="Times New Roman" w:cs="Times New Roman" w:eastAsia="Times New Roman" w:hAnsi="Times New Roman"/>
          <w:sz w:val="18"/>
          <w:szCs w:val="18"/>
          <w:color w:val="auto"/>
        </w:rPr>
        <w:t>We are party to an amended and restated investors’ rights agreement, dated as February 12, 2015, as amended (“IRA”), which provides, among other things, that such investors party thereto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Transactions with Salesforce</w:t>
      </w:r>
    </w:p>
    <w:p>
      <w:pPr>
        <w:spacing w:after="0" w:line="225"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Salesforce, a software solution provider for the Company, is also an equity holder in the Company. Total costs related to the Salesforce Agreement were approximately $9.5 million, $15.4 million and $22.8 million for fiscal years 2018, 2019 and 2020, and $10.4 million and $16.2 million for the six months ended July 31, 2019 and 2020, respectively. For a description of the Salesforce Agreement and other information, see “Risk Factors— Fundamental elements of the nCino Bank Operating System are built on the Salesforce Platform and we rely on our agreement with Salesforce to provide our solution to our customers” and “Business—Our Relationship with Salesforce”.</w:t>
      </w:r>
    </w:p>
    <w:p>
      <w:pPr>
        <w:spacing w:after="0" w:line="184" w:lineRule="exact"/>
        <w:rPr>
          <w:sz w:val="20"/>
          <w:szCs w:val="20"/>
          <w:color w:val="auto"/>
        </w:rPr>
      </w:pPr>
    </w:p>
    <w:p>
      <w:pPr>
        <w:ind w:left="160" w:right="240" w:firstLine="873"/>
        <w:spacing w:after="0" w:line="278" w:lineRule="auto"/>
        <w:rPr>
          <w:sz w:val="20"/>
          <w:szCs w:val="20"/>
          <w:color w:val="auto"/>
        </w:rPr>
      </w:pPr>
      <w:r>
        <w:rPr>
          <w:rFonts w:ascii="Times New Roman" w:cs="Times New Roman" w:eastAsia="Times New Roman" w:hAnsi="Times New Roman"/>
          <w:sz w:val="18"/>
          <w:szCs w:val="18"/>
          <w:color w:val="auto"/>
        </w:rPr>
        <w:t>The Company also purchases services from Salesforce to assist in managing the sales cycle, customer relationship management and other internal business functions. Total payments to Salesforce for these services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80"/>
          </w:cols>
          <w:pgMar w:left="320" w:top="454" w:right="49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both"/>
        <w:ind w:left="160" w:right="220"/>
        <w:spacing w:after="0" w:line="263" w:lineRule="auto"/>
        <w:rPr>
          <w:sz w:val="20"/>
          <w:szCs w:val="20"/>
          <w:color w:val="auto"/>
        </w:rPr>
      </w:pPr>
      <w:r>
        <w:rPr>
          <w:rFonts w:ascii="Times New Roman" w:cs="Times New Roman" w:eastAsia="Times New Roman" w:hAnsi="Times New Roman"/>
          <w:sz w:val="18"/>
          <w:szCs w:val="18"/>
          <w:color w:val="auto"/>
        </w:rPr>
        <w:t>were $0.5 million, $0.8 million and $1.1 million for fiscal years 2018, 2019 and 2020, respectively, and $0.7 million and $1.1 million were in prepaid expenses and other current assets for fiscal 2019 and 2020, respectively. Accounts payable to Salesforce were $2.1 million and $3.3 million and were included in accounts payable, related parties for fiscal 2019 and 2020, respectively.</w:t>
      </w:r>
    </w:p>
    <w:p>
      <w:pPr>
        <w:spacing w:after="0" w:line="175"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Total payments to Salesforce for these services were $0.5 million and $0.6 million for the six months ended July 31, 2019 and 2020, respectively, and $0.5 million were in prepaid expenses and other current assets as of July 31, 2020. Accounts payable to Salesforce were $4.0 million at July 31, 2020, and were included in accounts payable, related parties.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Employment Arrangement with an Immediate Family Member of our President, Chief Executive Officer and Director</w:t>
      </w:r>
    </w:p>
    <w:p>
      <w:pPr>
        <w:spacing w:after="0" w:line="225" w:lineRule="exact"/>
        <w:rPr>
          <w:sz w:val="20"/>
          <w:szCs w:val="20"/>
          <w:color w:val="auto"/>
        </w:rPr>
      </w:pPr>
    </w:p>
    <w:p>
      <w:pPr>
        <w:ind w:left="160" w:right="100" w:firstLine="873"/>
        <w:spacing w:after="0" w:line="278" w:lineRule="auto"/>
        <w:rPr>
          <w:sz w:val="20"/>
          <w:szCs w:val="20"/>
          <w:color w:val="auto"/>
        </w:rPr>
      </w:pPr>
      <w:r>
        <w:rPr>
          <w:rFonts w:ascii="Times New Roman" w:cs="Times New Roman" w:eastAsia="Times New Roman" w:hAnsi="Times New Roman"/>
          <w:sz w:val="18"/>
          <w:szCs w:val="18"/>
          <w:color w:val="auto"/>
        </w:rPr>
        <w:t>Corinne Naudé is a Sales Account Executive and the daughter-in-law of Pierre Naudé, our President and Chief Executive Officer. Her total compensation for fiscal 2019 and 2020 was approximately $248,204 and $436,521, respectively.</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Indemnification of Directors and Executive Officers</w:t>
      </w:r>
    </w:p>
    <w:p>
      <w:pPr>
        <w:spacing w:after="0" w:line="225"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 indemnification agreements and our bylaws require us to indemnify our directors to the fullest extent not prohibited by DGCL. Subject to very limited exceptions, our bylaws also require us to advance expenses incurred by our directors and officers. For more information regarding these agreements, see the section titled “Management— Limitations on Director and Officer Liability and Indemnification.”</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5" w:lineRule="exact"/>
        <w:rPr>
          <w:sz w:val="20"/>
          <w:szCs w:val="20"/>
          <w:color w:val="auto"/>
        </w:rPr>
      </w:pPr>
    </w:p>
    <w:p>
      <w:pPr>
        <w:ind w:left="160" w:right="100" w:firstLine="873"/>
        <w:spacing w:after="0" w:line="254" w:lineRule="auto"/>
        <w:rPr>
          <w:sz w:val="20"/>
          <w:szCs w:val="20"/>
          <w:color w:val="auto"/>
        </w:rPr>
      </w:pPr>
      <w:r>
        <w:rPr>
          <w:rFonts w:ascii="Times New Roman" w:cs="Times New Roman" w:eastAsia="Times New Roman" w:hAnsi="Times New Roman"/>
          <w:sz w:val="18"/>
          <w:szCs w:val="18"/>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have adopted a written related party transaction policy under which our management is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60"/>
          </w:cols>
          <w:pgMar w:left="320" w:top="454" w:right="51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August 31, 2020:</w:t>
      </w:r>
    </w:p>
    <w:p>
      <w:pPr>
        <w:spacing w:after="0" w:line="248" w:lineRule="exact"/>
        <w:rPr>
          <w:sz w:val="20"/>
          <w:szCs w:val="20"/>
          <w:color w:val="auto"/>
        </w:rPr>
      </w:pPr>
    </w:p>
    <w:p>
      <w:pPr>
        <w:ind w:left="1460" w:hanging="316"/>
        <w:spacing w:after="0"/>
        <w:tabs>
          <w:tab w:leader="none" w:pos="1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221"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Under such rules, beneficial ownership includes any shares over which the individual has sole or shared voting power or investment power as well as any shares that the individual has the right to acquire within 60 days of August 31, 2020, through the exercise of any option, warrant or other right. In computing the percentage beneficial ownership of a person, common stock not outstanding and subject to options, warrants or other rights held by that person that are currently exercisable or exercisable within 60 days of August 31, 2020 are deemed outstanding for purposes of calculating the percentage ownership of that person, but are not deemed outstanding for computing the percentage ownership of any other person. Subject to the foregoing, percentage of beneficial ownership is based on 91,149,949 shares of common stock outstanding as of August 31, 2020.</w:t>
      </w:r>
    </w:p>
    <w:p>
      <w:pPr>
        <w:spacing w:after="0" w:line="184"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nCino, Inc., 6770 Parker Farm Drive, Wilmington, North Carolina 28405.</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7"/>
        </w:trPr>
        <w:tc>
          <w:tcPr>
            <w:tcW w:w="16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7"/>
        </w:trPr>
        <w:tc>
          <w:tcPr>
            <w:tcW w:w="16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1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7"/>
        </w:trPr>
        <w:tc>
          <w:tcPr>
            <w:tcW w:w="16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18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47"/>
        </w:trPr>
        <w:tc>
          <w:tcPr>
            <w:tcW w:w="16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2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14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After this</w:t>
            </w:r>
          </w:p>
        </w:tc>
        <w:tc>
          <w:tcPr>
            <w:tcW w:w="0" w:type="dxa"/>
            <w:vAlign w:val="bottom"/>
          </w:tcPr>
          <w:p>
            <w:pPr>
              <w:spacing w:after="0"/>
              <w:rPr>
                <w:sz w:val="1"/>
                <w:szCs w:val="1"/>
                <w:color w:val="auto"/>
              </w:rPr>
            </w:pPr>
          </w:p>
        </w:tc>
      </w:tr>
      <w:tr>
        <w:trPr>
          <w:trHeight w:val="147"/>
        </w:trPr>
        <w:tc>
          <w:tcPr>
            <w:tcW w:w="16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60" w:type="dxa"/>
            <w:vAlign w:val="bottom"/>
          </w:tcPr>
          <w:p>
            <w:pPr>
              <w:spacing w:after="0"/>
              <w:rPr>
                <w:sz w:val="12"/>
                <w:szCs w:val="12"/>
                <w:color w:val="auto"/>
              </w:rPr>
            </w:pPr>
          </w:p>
        </w:tc>
        <w:tc>
          <w:tcPr>
            <w:tcW w:w="118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Owned</w:t>
            </w:r>
          </w:p>
        </w:tc>
        <w:tc>
          <w:tcPr>
            <w:tcW w:w="8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to be</w:t>
            </w: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4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1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47"/>
        </w:trPr>
        <w:tc>
          <w:tcPr>
            <w:tcW w:w="16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160" w:type="dxa"/>
            <w:vAlign w:val="bottom"/>
          </w:tcPr>
          <w:p>
            <w:pPr>
              <w:spacing w:after="0"/>
              <w:rPr>
                <w:sz w:val="12"/>
                <w:szCs w:val="12"/>
                <w:color w:val="auto"/>
              </w:rPr>
            </w:pPr>
          </w:p>
        </w:tc>
        <w:tc>
          <w:tcPr>
            <w:tcW w:w="118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Sold in</w:t>
            </w:r>
          </w:p>
        </w:tc>
        <w:tc>
          <w:tcPr>
            <w:tcW w:w="1200" w:type="dxa"/>
            <w:vAlign w:val="bottom"/>
            <w:gridSpan w:val="2"/>
            <w:vMerge w:val="continue"/>
          </w:tcPr>
          <w:p>
            <w:pPr>
              <w:spacing w:after="0"/>
              <w:rPr>
                <w:sz w:val="12"/>
                <w:szCs w:val="12"/>
                <w:color w:val="auto"/>
              </w:rPr>
            </w:pPr>
          </w:p>
        </w:tc>
        <w:tc>
          <w:tcPr>
            <w:tcW w:w="124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114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(Overallotment</w:t>
            </w:r>
          </w:p>
        </w:tc>
        <w:tc>
          <w:tcPr>
            <w:tcW w:w="0" w:type="dxa"/>
            <w:vAlign w:val="bottom"/>
          </w:tcPr>
          <w:p>
            <w:pPr>
              <w:spacing w:after="0"/>
              <w:rPr>
                <w:sz w:val="1"/>
                <w:szCs w:val="1"/>
                <w:color w:val="auto"/>
              </w:rPr>
            </w:pPr>
          </w:p>
        </w:tc>
      </w:tr>
      <w:tr>
        <w:trPr>
          <w:trHeight w:val="147"/>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560" w:type="dxa"/>
            <w:vAlign w:val="bottom"/>
            <w:vMerge w:val="restart"/>
          </w:tcPr>
          <w:p>
            <w:pPr>
              <w:spacing w:after="0"/>
              <w:rPr>
                <w:sz w:val="12"/>
                <w:szCs w:val="12"/>
                <w:color w:val="auto"/>
              </w:rPr>
            </w:pPr>
          </w:p>
        </w:tc>
        <w:tc>
          <w:tcPr>
            <w:tcW w:w="100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Prior to this</w:t>
            </w:r>
          </w:p>
        </w:tc>
        <w:tc>
          <w:tcPr>
            <w:tcW w:w="160" w:type="dxa"/>
            <w:vAlign w:val="bottom"/>
          </w:tcPr>
          <w:p>
            <w:pPr>
              <w:spacing w:after="0"/>
              <w:rPr>
                <w:sz w:val="12"/>
                <w:szCs w:val="12"/>
                <w:color w:val="auto"/>
              </w:rPr>
            </w:pPr>
          </w:p>
        </w:tc>
        <w:tc>
          <w:tcPr>
            <w:tcW w:w="118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this</w:t>
            </w:r>
          </w:p>
        </w:tc>
        <w:tc>
          <w:tcPr>
            <w:tcW w:w="8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this</w:t>
            </w:r>
          </w:p>
        </w:tc>
        <w:tc>
          <w:tcPr>
            <w:tcW w:w="120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Subject to</w:t>
            </w:r>
          </w:p>
        </w:tc>
        <w:tc>
          <w:tcPr>
            <w:tcW w:w="124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After this</w:t>
            </w:r>
          </w:p>
        </w:tc>
        <w:tc>
          <w:tcPr>
            <w:tcW w:w="114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Exercised in</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2560" w:type="dxa"/>
            <w:vAlign w:val="bottom"/>
            <w:vMerge w:val="continue"/>
          </w:tcPr>
          <w:p>
            <w:pPr>
              <w:spacing w:after="0"/>
              <w:rPr>
                <w:sz w:val="15"/>
                <w:szCs w:val="15"/>
                <w:color w:val="auto"/>
              </w:rPr>
            </w:pPr>
          </w:p>
        </w:tc>
        <w:tc>
          <w:tcPr>
            <w:tcW w:w="100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60" w:type="dxa"/>
            <w:vAlign w:val="bottom"/>
          </w:tcPr>
          <w:p>
            <w:pPr>
              <w:spacing w:after="0"/>
              <w:rPr>
                <w:sz w:val="15"/>
                <w:szCs w:val="15"/>
                <w:color w:val="auto"/>
              </w:rPr>
            </w:pPr>
          </w:p>
        </w:tc>
        <w:tc>
          <w:tcPr>
            <w:tcW w:w="1180" w:type="dxa"/>
            <w:vAlign w:val="bottom"/>
            <w:gridSpan w:val="2"/>
          </w:tcPr>
          <w:p>
            <w:pPr>
              <w:jc w:val="center"/>
              <w:ind w:right="460"/>
              <w:spacing w:after="0" w:line="15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82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0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Overallotment</w:t>
            </w:r>
          </w:p>
        </w:tc>
        <w:tc>
          <w:tcPr>
            <w:tcW w:w="1240" w:type="dxa"/>
            <w:vAlign w:val="bottom"/>
            <w:gridSpan w:val="2"/>
          </w:tcPr>
          <w:p>
            <w:pPr>
              <w:jc w:val="center"/>
              <w:ind w:right="480"/>
              <w:spacing w:after="0" w:line="15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1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Full)</w:t>
            </w:r>
          </w:p>
        </w:tc>
        <w:tc>
          <w:tcPr>
            <w:tcW w:w="0" w:type="dxa"/>
            <w:vAlign w:val="bottom"/>
          </w:tcPr>
          <w:p>
            <w:pPr>
              <w:spacing w:after="0"/>
              <w:rPr>
                <w:sz w:val="1"/>
                <w:szCs w:val="1"/>
                <w:color w:val="auto"/>
              </w:rPr>
            </w:pPr>
          </w:p>
        </w:tc>
      </w:tr>
      <w:tr>
        <w:trPr>
          <w:trHeight w:val="187"/>
        </w:trPr>
        <w:tc>
          <w:tcPr>
            <w:tcW w:w="4180" w:type="dxa"/>
            <w:vAlign w:val="bottom"/>
            <w:tcBorders>
              <w:top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Pierre Naudé</w:t>
            </w:r>
            <w:r>
              <w:rPr>
                <w:rFonts w:ascii="Times New Roman" w:cs="Times New Roman" w:eastAsia="Times New Roman" w:hAnsi="Times New Roman"/>
                <w:sz w:val="15"/>
                <w:szCs w:val="15"/>
                <w:color w:val="auto"/>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1,290,000</w:t>
            </w:r>
          </w:p>
        </w:tc>
        <w:tc>
          <w:tcPr>
            <w:tcW w:w="140" w:type="dxa"/>
            <w:vAlign w:val="bottom"/>
          </w:tcPr>
          <w:p>
            <w:pPr>
              <w:spacing w:after="0"/>
              <w:rPr>
                <w:sz w:val="18"/>
                <w:szCs w:val="18"/>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Rudow</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 Glover</w:t>
            </w:r>
            <w:r>
              <w:rPr>
                <w:rFonts w:ascii="Times New Roman" w:cs="Times New Roman" w:eastAsia="Times New Roman" w:hAnsi="Times New Roman"/>
                <w:sz w:val="15"/>
                <w:szCs w:val="15"/>
                <w:color w:val="auto"/>
              </w:rPr>
              <w:t>(2)</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292,482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Collins</w:t>
            </w:r>
            <w:r>
              <w:rPr>
                <w:rFonts w:ascii="Times New Roman" w:cs="Times New Roman" w:eastAsia="Times New Roman" w:hAnsi="Times New Roman"/>
                <w:sz w:val="15"/>
                <w:szCs w:val="15"/>
                <w:color w:val="auto"/>
              </w:rPr>
              <w:t>(3)</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34,750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 Doyle</w:t>
            </w:r>
            <w:r>
              <w:rPr>
                <w:rFonts w:ascii="Times New Roman" w:cs="Times New Roman" w:eastAsia="Times New Roman" w:hAnsi="Times New Roman"/>
                <w:sz w:val="15"/>
                <w:szCs w:val="15"/>
                <w:color w:val="auto"/>
              </w:rPr>
              <w:t>(4)</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Horing</w:t>
            </w:r>
            <w:r>
              <w:rPr>
                <w:rFonts w:ascii="Times New Roman" w:cs="Times New Roman" w:eastAsia="Times New Roman" w:hAnsi="Times New Roman"/>
                <w:sz w:val="15"/>
                <w:szCs w:val="15"/>
                <w:color w:val="auto"/>
              </w:rPr>
              <w:t>(5)</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38,018,651</w:t>
            </w:r>
          </w:p>
        </w:tc>
        <w:tc>
          <w:tcPr>
            <w:tcW w:w="13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41.7</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Pam Kilday</w:t>
            </w:r>
            <w:r>
              <w:rPr>
                <w:rFonts w:ascii="Times New Roman" w:cs="Times New Roman" w:eastAsia="Times New Roman" w:hAnsi="Times New Roman"/>
                <w:sz w:val="15"/>
                <w:szCs w:val="15"/>
                <w:color w:val="auto"/>
              </w:rPr>
              <w:t>(6)</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Spencer Lake</w:t>
            </w:r>
            <w:r>
              <w:rPr>
                <w:rFonts w:ascii="Times New Roman" w:cs="Times New Roman" w:eastAsia="Times New Roman" w:hAnsi="Times New Roman"/>
                <w:sz w:val="15"/>
                <w:szCs w:val="15"/>
                <w:color w:val="auto"/>
              </w:rPr>
              <w:t>(7)</w:t>
            </w: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40,750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Lunsford</w:t>
            </w:r>
            <w:r>
              <w:rPr>
                <w:rFonts w:ascii="Times New Roman" w:cs="Times New Roman" w:eastAsia="Times New Roman" w:hAnsi="Times New Roman"/>
                <w:sz w:val="15"/>
                <w:szCs w:val="15"/>
                <w:color w:val="auto"/>
              </w:rPr>
              <w:t>(8)</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402,500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Ruh</w:t>
            </w:r>
            <w:r>
              <w:rPr>
                <w:rFonts w:ascii="Times New Roman" w:cs="Times New Roman" w:eastAsia="Times New Roman" w:hAnsi="Times New Roman"/>
                <w:sz w:val="15"/>
                <w:szCs w:val="15"/>
                <w:color w:val="auto"/>
              </w:rPr>
              <w:t>(9)</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358,701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All executive officers and directors as a group (13</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persons)</w:t>
            </w:r>
            <w:r>
              <w:rPr>
                <w:rFonts w:ascii="Times New Roman" w:cs="Times New Roman" w:eastAsia="Times New Roman" w:hAnsi="Times New Roman"/>
                <w:sz w:val="15"/>
                <w:szCs w:val="15"/>
                <w:color w:val="auto"/>
              </w:rPr>
              <w:t>(10)</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Insight Partners</w:t>
            </w:r>
            <w:r>
              <w:rPr>
                <w:rFonts w:ascii="Times New Roman" w:cs="Times New Roman" w:eastAsia="Times New Roman" w:hAnsi="Times New Roman"/>
                <w:sz w:val="15"/>
                <w:szCs w:val="15"/>
                <w:color w:val="auto"/>
              </w:rPr>
              <w:t>(11)</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38,016,151</w:t>
            </w:r>
          </w:p>
        </w:tc>
        <w:tc>
          <w:tcPr>
            <w:tcW w:w="13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41.7</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Salesforce</w:t>
            </w:r>
            <w:r>
              <w:rPr>
                <w:rFonts w:ascii="Times New Roman" w:cs="Times New Roman" w:eastAsia="Times New Roman" w:hAnsi="Times New Roman"/>
                <w:sz w:val="15"/>
                <w:szCs w:val="15"/>
                <w:color w:val="auto"/>
              </w:rPr>
              <w:t>(12)</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10,760,469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Wellington Management</w:t>
            </w:r>
            <w:r>
              <w:rPr>
                <w:rFonts w:ascii="Times New Roman" w:cs="Times New Roman" w:eastAsia="Times New Roman" w:hAnsi="Times New Roman"/>
                <w:sz w:val="15"/>
                <w:szCs w:val="15"/>
                <w:color w:val="auto"/>
              </w:rPr>
              <w:t>(13)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7,715,323</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Selling Stockholders: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6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389"/>
              <w:spacing w:after="0"/>
              <w:rPr>
                <w:sz w:val="20"/>
                <w:szCs w:val="20"/>
                <w:color w:val="auto"/>
              </w:rPr>
            </w:pPr>
            <w:r>
              <w:rPr>
                <w:rFonts w:ascii="Times New Roman" w:cs="Times New Roman" w:eastAsia="Times New Roman" w:hAnsi="Times New Roman"/>
                <w:sz w:val="18"/>
                <w:szCs w:val="18"/>
                <w:color w:val="auto"/>
              </w:rPr>
              <w:t>109</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182245</wp:posOffset>
            </wp:positionV>
            <wp:extent cx="7645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302" w:lineRule="exact"/>
        <w:rPr>
          <w:sz w:val="20"/>
          <w:szCs w:val="20"/>
          <w:color w:val="auto"/>
        </w:rPr>
      </w:pPr>
    </w:p>
    <w:p>
      <w:pPr>
        <w:ind w:left="600" w:hanging="433"/>
        <w:spacing w:after="0"/>
        <w:tabs>
          <w:tab w:leader="none" w:pos="6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outstanding shares of our common stock.</w:t>
      </w:r>
    </w:p>
    <w:p>
      <w:pPr>
        <w:spacing w:after="0" w:line="24" w:lineRule="exact"/>
        <w:rPr>
          <w:sz w:val="20"/>
          <w:szCs w:val="20"/>
          <w:color w:val="auto"/>
        </w:rPr>
      </w:pPr>
    </w:p>
    <w:p>
      <w:pPr>
        <w:ind w:left="600" w:right="140" w:hanging="433"/>
        <w:spacing w:after="0" w:line="248" w:lineRule="auto"/>
        <w:tabs>
          <w:tab w:leader="none" w:pos="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(a) 765,000 shares of common stock held by Mr. Naudé, (b) 500,000 shares of common stock issuable upon exercise of options held by Mr. Naudé that are vested and exercisable as of August 31, 2020 or will become vested and exercisable within 60 days of such date and (c) 25,000 shares of common stock to be issued pursuant to RSUs for which the time-based vesting condition has been or will be met within 60 days of August 31, 2020 and for which the liquidity-based vesting condition has already been satisfied.</w:t>
      </w:r>
    </w:p>
    <w:p>
      <w:pPr>
        <w:spacing w:after="0" w:line="2" w:lineRule="exact"/>
        <w:rPr>
          <w:rFonts w:ascii="Times New Roman" w:cs="Times New Roman" w:eastAsia="Times New Roman" w:hAnsi="Times New Roman"/>
          <w:sz w:val="15"/>
          <w:szCs w:val="15"/>
          <w:color w:val="auto"/>
        </w:rPr>
      </w:pPr>
    </w:p>
    <w:p>
      <w:pPr>
        <w:ind w:left="600" w:right="60" w:hanging="433"/>
        <w:spacing w:after="0" w:line="248" w:lineRule="auto"/>
        <w:tabs>
          <w:tab w:leader="none" w:pos="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(a) 70,037 shares of common stock held by Mr. Glover, (b) 209,945 shares of common stock issuable upon exercise of options held by Mr. Glover that are vested and exercisable as of August 31, 2020 or will become vested and exercisable within 60 days of such date, and (c)</w:t>
      </w:r>
    </w:p>
    <w:p>
      <w:pPr>
        <w:ind w:left="600" w:right="140"/>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12,500 shares of common stock to be issued pursuant to RSUs for which the time-based vesting condition has been or will be met within 60 days of August 31, 2020 and for which the liquidity-based vesting condition has already been satisfied.</w:t>
      </w:r>
    </w:p>
    <w:p>
      <w:pPr>
        <w:jc w:val="both"/>
        <w:ind w:left="600" w:right="440" w:hanging="433"/>
        <w:spacing w:after="0" w:line="248" w:lineRule="auto"/>
        <w:tabs>
          <w:tab w:leader="none" w:pos="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(a) 32,250 shares of common stock held by Mr. Collins, and (b) 2,500 shares of common stock to be issued pursuant to RSUs for which the time-based vesting condition has been or will be met within 60 days of August 31, 2020 and for which the liquidity-based vesting condition has already been satisfied.</w:t>
      </w:r>
    </w:p>
    <w:p>
      <w:pPr>
        <w:ind w:left="600" w:right="100" w:hanging="433"/>
        <w:spacing w:after="0" w:line="248" w:lineRule="auto"/>
        <w:tabs>
          <w:tab w:leader="none" w:pos="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(a) 25,000 shares of common stock held by Mr. Doyle and (b) 2,500 shares of common stock to be issued pursuant to RSUs for which the time-based vesting condition has been or will be met within 60 days of August 31, 2020 and for which the liquidity-based vesting condition has already been satisfied.</w:t>
      </w:r>
    </w:p>
    <w:p>
      <w:pPr>
        <w:ind w:left="600" w:right="40" w:hanging="433"/>
        <w:spacing w:after="0" w:line="248" w:lineRule="auto"/>
        <w:tabs>
          <w:tab w:leader="none" w:pos="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(a) 38,016,151 shares of common stock beneficially held by entities affiliated with Insight Partners as set forth in footnote (11) and (b) 2,500 shares of common stock to be issued pursuant to RSUs for which the time-based vesting condition has been or will be met within 60 days of August 31, 2020 and for which the liquidity-based vesting condition has already been satisfied. Mr. Horing, a member of our board of directors, disclaims beneficial ownership of the shares held of record by each of the affiliated entities of Insight Partners, except to the extent of his pecuniary interest therein, if any.</w:t>
      </w:r>
    </w:p>
    <w:p>
      <w:pPr>
        <w:ind w:left="600" w:right="480" w:hanging="433"/>
        <w:spacing w:after="0" w:line="248" w:lineRule="auto"/>
        <w:tabs>
          <w:tab w:leader="none" w:pos="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2,500 shares of common stock to be issued pursuant to RSUs for which the time-based vesting condition has been or will be met within 60 days of August 31, 2020 and for which the liquidity-based vesting condition has already been satisfied.</w:t>
      </w:r>
    </w:p>
    <w:p>
      <w:pPr>
        <w:ind w:left="600" w:right="20" w:hanging="433"/>
        <w:spacing w:after="0" w:line="248" w:lineRule="auto"/>
        <w:tabs>
          <w:tab w:leader="none" w:pos="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(a) 38,250 shares of common stock issuable upon exercise of options held by Mr. Lake that are vested and exercisable as of August 31, 2020 or will become vested and exercisable within 60 days of such date, and (b) 2,500 shares of common stock to be issued pursuant to RSUs for which the time-based vesting condition has been or will be met within 60 days of August 31, 2020 and for which the liquidity-based vesting condition has already been satisfied.</w:t>
      </w:r>
    </w:p>
    <w:p>
      <w:pPr>
        <w:ind w:left="600" w:right="260" w:hanging="433"/>
        <w:spacing w:after="0" w:line="248" w:lineRule="auto"/>
        <w:tabs>
          <w:tab w:leader="none" w:pos="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(a) 400,000 shares of common stock held by Mr. Lunsford and (b) 2,500 shares of common stock to be issued pursuant to RSUs for which the time-based vesting condition has been or will be met within 60 days of August 31, 2020 and for which the liquidity-based vesting condition has already been satisfied.</w:t>
      </w:r>
    </w:p>
    <w:p>
      <w:pPr>
        <w:ind w:left="600" w:right="140" w:hanging="433"/>
        <w:spacing w:after="0" w:line="248" w:lineRule="auto"/>
        <w:tabs>
          <w:tab w:leader="none" w:pos="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(a) 356,201 shares of common stock held by Mr. Ruh and (b) 2,500 shares of common stock to be issued pursuant to RSUs for which the time-based vesting condition has been or will be met within 60 days of August 31, 2020 and for which the liquidity-based vesting condition has already been satisfied.</w:t>
      </w:r>
    </w:p>
    <w:p>
      <w:pPr>
        <w:jc w:val="both"/>
        <w:ind w:left="600" w:right="200" w:hanging="433"/>
        <w:spacing w:after="0" w:line="248" w:lineRule="auto"/>
        <w:tabs>
          <w:tab w:leader="none" w:pos="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(a) 39,676,750 shares of common stock beneficially owned by our directors and executive officers, (b) 1,824,942 shares of common stock issuable upon exercise of options held by our directors and executive officers that are vested and exercisable as of August 31, 2020 or will become vested and exercisable within 60 days of such date and (c) 88,750 shares of common stock to be issued pursuant to RSUs for which the time-based vesting condition has been or will be met within 60 days of August 31, 2020 and for which the liquidity-based vesting condition has already been satisfied.</w:t>
      </w:r>
    </w:p>
    <w:p>
      <w:pPr>
        <w:ind w:left="600" w:hanging="433"/>
        <w:spacing w:after="0" w:line="249" w:lineRule="auto"/>
        <w:tabs>
          <w:tab w:leader="none" w:pos="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(i) 12,562,994 shares held of record by Insight Venture Partners IX, L.P.; (ii) 6,242,246 shares held of record by Insight Venture Partners (Cayman) IX, L.P.; (iii) 1,331,048 shares held of record by Insight Venture Partners (Delaware) IX, L.P.; (iv) 250,770 shares held of record by Insight Venture Partners IX (Co-Investors), L.P.; (v) 5,105,462 shares held of record by Insight Venture Partners Growth-Buyout Coinvestment Fund, L.P.; (vi) 4,645,041 shares held of record by Insight Venture Partners Growth-Buyout Coinvestment Fund (B), L.P.; (vii) 4,104,494 shares held of record by Insight Venture Partners Growth-Buyout Coinvestment Fund (Cayman), L.P. and (viii) 3,774,096 shares held of record by Insight Venture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80"/>
          </w:cols>
          <w:pgMar w:left="320" w:top="454" w:right="49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600"/>
        <w:spacing w:after="0" w:line="249" w:lineRule="auto"/>
        <w:rPr>
          <w:sz w:val="20"/>
          <w:szCs w:val="20"/>
          <w:color w:val="auto"/>
        </w:rPr>
      </w:pPr>
      <w:r>
        <w:rPr>
          <w:rFonts w:ascii="Times New Roman" w:cs="Times New Roman" w:eastAsia="Times New Roman" w:hAnsi="Times New Roman"/>
          <w:sz w:val="18"/>
          <w:szCs w:val="18"/>
          <w:color w:val="auto"/>
        </w:rPr>
        <w:t>Partners Growth-Buyout Coinvestment Fund (Delaware), L.P. Insight Holdings Group, LLC (“Holdings”) is the sole shareholder of each of Insight Venture Associates IX, Ltd. (“IVA IX Ltd”) and Insight Venture Associates Growth-Buyout Coinvestment, Ltd. (“IVA GBCF Ltd”). IVA IX Ltd is the general partner of Insight Venture Associates IX, L.P. (“IVA IX LP”), which is the general partner of Insight Venture Partners IX, L.P., Insight Venture Partners (Cayman) IX, L.P., Insight Venture Partners (Delaware) IX, L.P. and Insight Venture Partners IX (Co-Investors), L.P. (collectively “Fund IX”). IVA GBCF Ltd is the general partner of Insight Venture Associates Growth-Buyout Coinvestment, L.P. (“IVA GBCF LP”), which is the general partner of Insight Venture Partners Growth-Buyout Coinvestment Fund, L.P., Insight Venture Partners Growth-Buyout Coinvestment Fund (B), L.P., Insight Venture Partners Growth-Buyout Coinvestment Fund (Cayman), L.P. and Insight Venture Partners Growth-Buyout Coinvestment Fund (Delaware), L.P. (collectively “GBCF”). Each of Jeffrey L. Horing, Deven Parekh, Peter Sobiloff, Jeffrey Lieberman and Michael Triplett is a member of the board of managers of Holdings. Because Messrs. Horing, Parekh, Sobiloff, Lieberman and Triplett are members of the board of managers of Holdings, Holdings is the sole shareholder of each of IVA IX Ltd and IVA GBCF Ltd, IVA IX LP is the general partner of Fund IX and IVA GBCF LP is the general partner of GBCF, Messrs. Horing, Parekh, Sobiloff, Lieberman and Triplett may be deemed to share voting and dispositive power over the shares noted above. Mr. Horing, a member of our board of directors, disclaims beneficial ownership of the shares held of record by each of Fund IX and GBCF, except to the extent of his pecuniary interest therein, if any. The address for these entities is c/o Insight Partners, 1114 Avenue of the Americas, 36th Floor, New York, NY 10036.</w:t>
      </w:r>
    </w:p>
    <w:p>
      <w:pPr>
        <w:spacing w:after="0" w:line="6" w:lineRule="exact"/>
        <w:rPr>
          <w:sz w:val="20"/>
          <w:szCs w:val="20"/>
          <w:color w:val="auto"/>
        </w:rPr>
      </w:pPr>
    </w:p>
    <w:p>
      <w:pPr>
        <w:ind w:left="600" w:right="40" w:hanging="433"/>
        <w:spacing w:after="0" w:line="248" w:lineRule="auto"/>
        <w:tabs>
          <w:tab w:leader="none" w:pos="60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10,760,469 shares of common stock held by Salesforce Ventures LLC (“Salesforce Ventures”). Salesforce may be deemed to have sole power to vote or dispose of the shares held by Salesforce Ventures. The address of Salesforce and Salesforce Ventures is Salesforce Tower, 415 Mission Street, 3rd Floor, San Francisco, California 94105.</w:t>
      </w:r>
    </w:p>
    <w:p>
      <w:pPr>
        <w:spacing w:after="0" w:line="2" w:lineRule="exact"/>
        <w:rPr>
          <w:rFonts w:ascii="Times New Roman" w:cs="Times New Roman" w:eastAsia="Times New Roman" w:hAnsi="Times New Roman"/>
          <w:sz w:val="15"/>
          <w:szCs w:val="15"/>
          <w:color w:val="auto"/>
        </w:rPr>
      </w:pPr>
    </w:p>
    <w:p>
      <w:pPr>
        <w:ind w:left="600" w:right="40" w:hanging="433"/>
        <w:spacing w:after="0" w:line="267" w:lineRule="auto"/>
        <w:tabs>
          <w:tab w:leader="none" w:pos="6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Wellington Management Company LLP is an investment adviser registered under the Investment Advisers Act of 1940, as amended, and is an indirect subsidiary of Wellington Management Group LLP. Wellington Management Company LLP and Wellington Management Group LLP may each be deemed to share beneficial ownership (within the meaning of Rule 13d-3 promulgated under the Exchange Act) of the shares indicated in the table, all of which are held of record by the entity named in the table or a nominee on its behalf. The business address of the entity named in the table is c/o Wellington Management Company LLP, 280 Congress Street, Boston, Massachusetts 02210. The business address of Wellington Management Company LLP and Wellington Management Group LLP is 280 Congress Street, Boston, Massachusetts 02210.</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80"/>
          </w:cols>
          <w:pgMar w:left="320" w:top="454" w:right="49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jc w:val="both"/>
        <w:ind w:left="160" w:right="60" w:firstLine="873"/>
        <w:spacing w:after="0" w:line="263" w:lineRule="auto"/>
        <w:rPr>
          <w:sz w:val="20"/>
          <w:szCs w:val="20"/>
          <w:color w:val="auto"/>
        </w:rPr>
      </w:pPr>
      <w:r>
        <w:rPr>
          <w:rFonts w:ascii="Times New Roman" w:cs="Times New Roman" w:eastAsia="Times New Roman" w:hAnsi="Times New Roman"/>
          <w:sz w:val="18"/>
          <w:szCs w:val="18"/>
          <w:color w:val="auto"/>
        </w:rPr>
        <w:t>This section contains a description of our capital stock and the material provisions of our amended and restated certificate of incorporation and bylaws filed as exhibits to the registration statement relating to this prospectus, and is qualified by reference to our amended and restated certificate of incorporation and bylaws, and by the applicable provisions of Delaware law.</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ind w:left="160" w:right="160" w:firstLine="873"/>
        <w:spacing w:after="0" w:line="263"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500,000,000 shares of common stock, $0.0005 par value per share, and 10,000,000 shares of undesignated preferred stock, $0.001 par value per share, the rights, preferences and privileges of which may be designated from time to time by our board of directors.</w:t>
      </w:r>
    </w:p>
    <w:p>
      <w:pPr>
        <w:spacing w:after="0" w:line="175"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As of July 31, 2020, there were outstanding 91,122,356 shares of our common stock, held by approximately 412 stockholders of record, and 24,785,528 shares of our common stock issuable upon exercise of outstanding stock options and restricted stock units. As of July 31, 2020, there were no outstanding shares of our preferred stock.</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5" w:lineRule="exact"/>
        <w:rPr>
          <w:sz w:val="20"/>
          <w:szCs w:val="20"/>
          <w:color w:val="auto"/>
        </w:rPr>
      </w:pPr>
    </w:p>
    <w:p>
      <w:pPr>
        <w:ind w:left="160" w:right="80" w:firstLine="873"/>
        <w:spacing w:after="0" w:line="285" w:lineRule="auto"/>
        <w:rPr>
          <w:sz w:val="20"/>
          <w:szCs w:val="20"/>
          <w:color w:val="auto"/>
        </w:rPr>
      </w:pPr>
      <w:r>
        <w:rPr>
          <w:rFonts w:ascii="Times New Roman" w:cs="Times New Roman" w:eastAsia="Times New Roman" w:hAnsi="Times New Roman"/>
          <w:sz w:val="17"/>
          <w:szCs w:val="17"/>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the section titled “Dividend Policy” for more information.</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5" w:lineRule="exact"/>
        <w:rPr>
          <w:sz w:val="20"/>
          <w:szCs w:val="20"/>
          <w:color w:val="auto"/>
        </w:rPr>
      </w:pPr>
    </w:p>
    <w:p>
      <w:pPr>
        <w:ind w:left="160" w:right="140" w:firstLine="873"/>
        <w:spacing w:after="0" w:line="258"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Stockholders do not have the ability to cumulate votes for the election of directors. Our amended and restated certificate of incorporation and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redemption or sinking fund provisions.</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225" w:lineRule="exact"/>
        <w:rPr>
          <w:sz w:val="20"/>
          <w:szCs w:val="20"/>
          <w:color w:val="auto"/>
        </w:rPr>
      </w:pPr>
    </w:p>
    <w:p>
      <w:pPr>
        <w:ind w:left="160" w:right="200" w:firstLine="873"/>
        <w:spacing w:after="0" w:line="258"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5" w:lineRule="exact"/>
        <w:rPr>
          <w:sz w:val="20"/>
          <w:szCs w:val="20"/>
          <w:color w:val="auto"/>
        </w:rPr>
      </w:pPr>
    </w:p>
    <w:p>
      <w:pPr>
        <w:ind w:left="160" w:right="180" w:firstLine="873"/>
        <w:spacing w:after="0" w:line="278"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our board of directors is authorized, subject to limitations prescribed by Delaware law, to issue preferred stock in one or more series, to establish from</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40"/>
          </w:cols>
          <w:pgMar w:left="320" w:top="454" w:right="5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40"/>
        <w:spacing w:after="0" w:line="252" w:lineRule="auto"/>
        <w:rPr>
          <w:sz w:val="20"/>
          <w:szCs w:val="20"/>
          <w:color w:val="auto"/>
        </w:rPr>
      </w:pPr>
      <w:r>
        <w:rPr>
          <w:rFonts w:ascii="Times New Roman" w:cs="Times New Roman" w:eastAsia="Times New Roman" w:hAnsi="Times New Roman"/>
          <w:sz w:val="18"/>
          <w:szCs w:val="18"/>
          <w:color w:val="auto"/>
        </w:rPr>
        <w:t>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Stock Options and Restricted Stock Units</w:t>
      </w:r>
    </w:p>
    <w:p>
      <w:pPr>
        <w:spacing w:after="0" w:line="225" w:lineRule="exact"/>
        <w:rPr>
          <w:sz w:val="20"/>
          <w:szCs w:val="20"/>
          <w:color w:val="auto"/>
        </w:rPr>
      </w:pPr>
    </w:p>
    <w:p>
      <w:pPr>
        <w:ind w:left="160" w:right="140" w:firstLine="873"/>
        <w:spacing w:after="0" w:line="258" w:lineRule="auto"/>
        <w:rPr>
          <w:sz w:val="20"/>
          <w:szCs w:val="20"/>
          <w:color w:val="auto"/>
        </w:rPr>
      </w:pPr>
      <w:r>
        <w:rPr>
          <w:rFonts w:ascii="Times New Roman" w:cs="Times New Roman" w:eastAsia="Times New Roman" w:hAnsi="Times New Roman"/>
          <w:sz w:val="18"/>
          <w:szCs w:val="18"/>
          <w:color w:val="auto"/>
        </w:rPr>
        <w:t>As of July 31, 2020, we had outstanding options to purchase an aggregate of 7,464,094 shares of our common stock, with a weighted-average exercise price of $5.48 per share, 17,500 shares of common stock subject to vested RSUs at a weighted-average grant date fair value of $20.00 per share, and 2,041,093 shares of common stock issuable upon vesting of RSU awards, with a weighted-average grant date fair value of $20.84 per share, pursuant to our equity incentive plans.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Following the completion of this offering, the holders of an aggregate of shares of our common stock, or their permitted transferees, will be entitled to rights with respect to the registration of these shares under the Securities Act. These shares are referred to as registrable securities. These rights are provided under the terms of our IRA, which registration rights include demand registration rights, Form S-3 registration rights and piggyback registration rights. All fees, costs and expenses incurred in connection with the registration of registrable securities, including reasonable fees and disbursements of one special counsel to the selling stockholders, will be borne by us and all selling expenses, including underwriting discounts and selling commissions, will be borne by the holders of the shares being registered.</w:t>
      </w:r>
    </w:p>
    <w:p>
      <w:pPr>
        <w:spacing w:after="0" w:line="184" w:lineRule="exact"/>
        <w:rPr>
          <w:sz w:val="20"/>
          <w:szCs w:val="20"/>
          <w:color w:val="auto"/>
        </w:rPr>
      </w:pPr>
    </w:p>
    <w:p>
      <w:pPr>
        <w:ind w:left="160" w:right="200" w:firstLine="873"/>
        <w:spacing w:after="0" w:line="278" w:lineRule="auto"/>
        <w:rPr>
          <w:sz w:val="20"/>
          <w:szCs w:val="20"/>
          <w:color w:val="auto"/>
        </w:rPr>
      </w:pPr>
      <w:r>
        <w:rPr>
          <w:rFonts w:ascii="Times New Roman" w:cs="Times New Roman" w:eastAsia="Times New Roman" w:hAnsi="Times New Roman"/>
          <w:sz w:val="18"/>
          <w:szCs w:val="18"/>
          <w:color w:val="auto"/>
        </w:rPr>
        <w:t>The registration rights terminate upon the fifth anniversary of the completion of our IPO. See the section titled “Certain Relationships and Related Party Transactions—Investors Rights Agreement” for additional information regarding the IRA.</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160" w:right="160" w:firstLine="873"/>
        <w:spacing w:after="0" w:line="254" w:lineRule="auto"/>
        <w:rPr>
          <w:sz w:val="20"/>
          <w:szCs w:val="20"/>
          <w:color w:val="auto"/>
        </w:rPr>
      </w:pPr>
      <w:r>
        <w:rPr>
          <w:rFonts w:ascii="Times New Roman" w:cs="Times New Roman" w:eastAsia="Times New Roman" w:hAnsi="Times New Roman"/>
          <w:sz w:val="18"/>
          <w:szCs w:val="18"/>
          <w:color w:val="auto"/>
        </w:rPr>
        <w:t>The provisions of the DGCL, our amended and restated certificate of incorporation and our bylaws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225" w:lineRule="exact"/>
        <w:rPr>
          <w:sz w:val="20"/>
          <w:szCs w:val="20"/>
          <w:color w:val="auto"/>
        </w:rPr>
      </w:pPr>
    </w:p>
    <w:p>
      <w:pPr>
        <w:ind w:left="160" w:right="140" w:firstLine="873"/>
        <w:spacing w:after="0" w:line="285" w:lineRule="auto"/>
        <w:rPr>
          <w:sz w:val="20"/>
          <w:szCs w:val="20"/>
          <w:color w:val="auto"/>
        </w:rPr>
      </w:pPr>
      <w:r>
        <w:rPr>
          <w:rFonts w:ascii="Times New Roman" w:cs="Times New Roman" w:eastAsia="Times New Roman" w:hAnsi="Times New Roman"/>
          <w:sz w:val="17"/>
          <w:szCs w:val="17"/>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80"/>
          </w:cols>
          <w:pgMar w:left="320" w:top="454" w:right="49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combination between a corporation and an interested stockholder is prohibited unless it satisfies one of the following conditions:</w:t>
      </w:r>
    </w:p>
    <w:p>
      <w:pPr>
        <w:spacing w:after="0" w:line="248" w:lineRule="exact"/>
        <w:rPr>
          <w:sz w:val="20"/>
          <w:szCs w:val="20"/>
          <w:color w:val="auto"/>
        </w:rPr>
      </w:pPr>
    </w:p>
    <w:p>
      <w:pPr>
        <w:ind w:left="1460" w:right="180" w:hanging="316"/>
        <w:spacing w:after="0" w:line="278" w:lineRule="auto"/>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89" w:lineRule="exact"/>
        <w:rPr>
          <w:rFonts w:ascii="Times New Roman" w:cs="Times New Roman" w:eastAsia="Times New Roman" w:hAnsi="Times New Roman"/>
          <w:sz w:val="18"/>
          <w:szCs w:val="18"/>
          <w:color w:val="auto"/>
        </w:rPr>
      </w:pPr>
    </w:p>
    <w:p>
      <w:pPr>
        <w:ind w:left="1460" w:right="60" w:hanging="316"/>
        <w:spacing w:after="0" w:line="258" w:lineRule="auto"/>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206" w:lineRule="exact"/>
        <w:rPr>
          <w:rFonts w:ascii="Times New Roman" w:cs="Times New Roman" w:eastAsia="Times New Roman" w:hAnsi="Times New Roman"/>
          <w:sz w:val="18"/>
          <w:szCs w:val="18"/>
          <w:color w:val="auto"/>
        </w:rPr>
      </w:pPr>
    </w:p>
    <w:p>
      <w:pPr>
        <w:ind w:left="1460" w:right="200" w:hanging="316"/>
        <w:spacing w:after="0" w:line="263" w:lineRule="auto"/>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48" w:lineRule="exact"/>
        <w:rPr>
          <w:sz w:val="20"/>
          <w:szCs w:val="20"/>
          <w:color w:val="auto"/>
        </w:rPr>
      </w:pPr>
    </w:p>
    <w:p>
      <w:pPr>
        <w:ind w:left="1460" w:hanging="316"/>
        <w:spacing w:after="0"/>
        <w:tabs>
          <w:tab w:leader="none" w:pos="1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47" w:lineRule="exact"/>
        <w:rPr>
          <w:rFonts w:ascii="Times New Roman" w:cs="Times New Roman" w:eastAsia="Times New Roman" w:hAnsi="Times New Roman"/>
          <w:sz w:val="18"/>
          <w:szCs w:val="18"/>
          <w:color w:val="auto"/>
        </w:rPr>
      </w:pPr>
    </w:p>
    <w:p>
      <w:pPr>
        <w:ind w:left="1460" w:right="760" w:hanging="316"/>
        <w:spacing w:after="0" w:line="278" w:lineRule="auto"/>
        <w:tabs>
          <w:tab w:leader="none" w:pos="1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w:t>
      </w:r>
    </w:p>
    <w:p>
      <w:pPr>
        <w:spacing w:after="0" w:line="189" w:lineRule="exact"/>
        <w:rPr>
          <w:rFonts w:ascii="Times New Roman" w:cs="Times New Roman" w:eastAsia="Times New Roman" w:hAnsi="Times New Roman"/>
          <w:sz w:val="18"/>
          <w:szCs w:val="18"/>
          <w:color w:val="auto"/>
        </w:rPr>
      </w:pPr>
    </w:p>
    <w:p>
      <w:pPr>
        <w:ind w:left="1460" w:right="160" w:hanging="316"/>
        <w:spacing w:after="0" w:line="278" w:lineRule="auto"/>
        <w:tabs>
          <w:tab w:leader="none" w:pos="1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of transfer by the corporation of any stock of the corporation to the interested stockholder;</w:t>
      </w:r>
    </w:p>
    <w:p>
      <w:pPr>
        <w:spacing w:after="0" w:line="189" w:lineRule="exact"/>
        <w:rPr>
          <w:rFonts w:ascii="Times New Roman" w:cs="Times New Roman" w:eastAsia="Times New Roman" w:hAnsi="Times New Roman"/>
          <w:sz w:val="18"/>
          <w:szCs w:val="18"/>
          <w:color w:val="auto"/>
        </w:rPr>
      </w:pPr>
    </w:p>
    <w:p>
      <w:pPr>
        <w:ind w:left="1460" w:hanging="316"/>
        <w:spacing w:after="0" w:line="278" w:lineRule="auto"/>
        <w:tabs>
          <w:tab w:leader="none" w:pos="1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89" w:lineRule="exact"/>
        <w:rPr>
          <w:rFonts w:ascii="Times New Roman" w:cs="Times New Roman" w:eastAsia="Times New Roman" w:hAnsi="Times New Roman"/>
          <w:sz w:val="18"/>
          <w:szCs w:val="18"/>
          <w:color w:val="auto"/>
        </w:rPr>
      </w:pPr>
    </w:p>
    <w:p>
      <w:pPr>
        <w:ind w:left="1460" w:right="20" w:hanging="316"/>
        <w:spacing w:after="0" w:line="278" w:lineRule="auto"/>
        <w:tabs>
          <w:tab w:leader="none" w:pos="1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60" w:right="20" w:firstLine="873"/>
        <w:spacing w:after="0" w:line="278"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 Provisions</w:t>
      </w:r>
    </w:p>
    <w:p>
      <w:pPr>
        <w:spacing w:after="0" w:line="225" w:lineRule="exact"/>
        <w:rPr>
          <w:sz w:val="20"/>
          <w:szCs w:val="20"/>
          <w:color w:val="auto"/>
        </w:rPr>
      </w:pPr>
    </w:p>
    <w:p>
      <w:pPr>
        <w:ind w:left="160" w:right="120" w:firstLine="873"/>
        <w:spacing w:after="0" w:line="26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bylaws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7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Board Vacancies</w:t>
      </w:r>
    </w:p>
    <w:p>
      <w:pPr>
        <w:spacing w:after="0" w:line="223" w:lineRule="exact"/>
        <w:rPr>
          <w:sz w:val="20"/>
          <w:szCs w:val="20"/>
          <w:color w:val="auto"/>
        </w:rPr>
      </w:pPr>
    </w:p>
    <w:p>
      <w:pPr>
        <w:ind w:left="160" w:right="20" w:firstLine="873"/>
        <w:spacing w:after="0" w:line="277" w:lineRule="auto"/>
        <w:rPr>
          <w:sz w:val="20"/>
          <w:szCs w:val="20"/>
          <w:color w:val="auto"/>
        </w:rPr>
      </w:pPr>
      <w:r>
        <w:rPr>
          <w:rFonts w:ascii="Times New Roman" w:cs="Times New Roman" w:eastAsia="Times New Roman" w:hAnsi="Times New Roman"/>
          <w:sz w:val="17"/>
          <w:szCs w:val="17"/>
          <w:color w:val="auto"/>
        </w:rPr>
        <w:t>Our amended and restated certificate of incorporation and bylaws authorize generally only our board of directors to fill vacant 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20"/>
          </w:cols>
          <w:pgMar w:left="320" w:top="454" w:right="5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223" w:lineRule="exact"/>
        <w:rPr>
          <w:sz w:val="20"/>
          <w:szCs w:val="20"/>
          <w:color w:val="auto"/>
        </w:rPr>
      </w:pPr>
    </w:p>
    <w:p>
      <w:pPr>
        <w:ind w:left="160" w:right="80" w:firstLine="873"/>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 See the section titled “Management—Corporate Governance—Classified Board of Directors” for additional information.</w:t>
      </w:r>
    </w:p>
    <w:p>
      <w:pPr>
        <w:spacing w:after="0" w:line="17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Directors Removed Only for Cause</w:t>
      </w:r>
    </w:p>
    <w:p>
      <w:pPr>
        <w:spacing w:after="0" w:line="2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remove directors only for cause.</w:t>
      </w:r>
    </w:p>
    <w:p>
      <w:pPr>
        <w:spacing w:after="0" w:line="21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Supermajority Requirements for Amendments of Our Amended and Restated Certificate of Incorporation and Bylaws</w:t>
      </w:r>
    </w:p>
    <w:p>
      <w:pPr>
        <w:spacing w:after="0" w:line="223"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further provides that the affirmative vote of holders of at least two-thirds of the voting power of our outstanding common stock is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two-thirds of the voting power of our outstanding common stock is required to amend or repeal our bylaws, although our bylaws may be amended by a simple majority vote of our board of directors.</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Stockholder Action; Special Meetings of Stockholders</w:t>
      </w:r>
    </w:p>
    <w:p>
      <w:pPr>
        <w:spacing w:after="0" w:line="223"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stockholders may not take action by written consent, but may only take action at annual or special meetings of our stockholders. As a result, holders of our capital stock will not be able to amend our bylaws or remove directors without holding a meeting of our stockholders called in accordance with our bylaws. Our amended and restated certificate of incorporation and our bylaws provide that special meetings of our stockholders may be called only by a majority of our board of directors, the chairperson of our board of directors, our chief executive officer, our president or the lead independent director, thus prohibiting a stockholder from calling a special meeting. These provisions might delay the ability of our stockholders to force consideration of a proposal or for stockholders to take any action, including the removal of directors.</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223"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Our bylaws provide advance notice procedures for stockholders seeking to bring business before our annual meeting of stockholders or to nominate candidates for election as directors at our annual meeting of stockholders. To be timely, a stockholder’s notice generally must be delivered to us not later than the close of business on the 90th day nor earlier than the close of business on the 120th day prior to the first anniversary of the preceding year’s annual meeting of stockholders. Our bylaws also specify certain requirements regarding the form and content of a stockholder’s notice. With respect to nominations of persons for election to our board of directors, the notice shall provide information about the nominee, including, among other things, name, age, address, principal occupation, ownership of our capital stock and whether they meet applicable independence requirements. With respect to the proposal of other business to be considered by our stockholders at an annual meeting, the notice shall provide a brief description of the business desired to be brought before the meeting, the text of the proposal or business, the reasons for conducting such business at the meeting and any material interest in such business by such stockholder and any beneficial owners and associated persons on whose behalf the</w:t>
      </w:r>
    </w:p>
    <w:p>
      <w:pPr>
        <w:spacing w:after="0" w:line="1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40"/>
          </w:cols>
          <w:pgMar w:left="320" w:top="454" w:right="5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720"/>
        <w:spacing w:after="0" w:line="278" w:lineRule="auto"/>
        <w:rPr>
          <w:sz w:val="20"/>
          <w:szCs w:val="20"/>
          <w:color w:val="auto"/>
        </w:rPr>
      </w:pPr>
      <w:r>
        <w:rPr>
          <w:rFonts w:ascii="Times New Roman" w:cs="Times New Roman" w:eastAsia="Times New Roman" w:hAnsi="Times New Roman"/>
          <w:sz w:val="18"/>
          <w:szCs w:val="18"/>
          <w:color w:val="auto"/>
        </w:rPr>
        <w:t>notice is made, or the proposing persons. In addition, a stockholder’s notice must set forth certain information related to the proposing persons, including, among other things:</w:t>
      </w:r>
    </w:p>
    <w:p>
      <w:pPr>
        <w:spacing w:after="0" w:line="189" w:lineRule="exact"/>
        <w:rPr>
          <w:sz w:val="20"/>
          <w:szCs w:val="20"/>
          <w:color w:val="auto"/>
        </w:rPr>
      </w:pPr>
    </w:p>
    <w:p>
      <w:pPr>
        <w:ind w:left="1460" w:hanging="316"/>
        <w:spacing w:after="0"/>
        <w:tabs>
          <w:tab w:leader="none" w:pos="1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proposing persons;</w:t>
      </w:r>
    </w:p>
    <w:p>
      <w:pPr>
        <w:spacing w:after="0" w:line="247" w:lineRule="exact"/>
        <w:rPr>
          <w:rFonts w:ascii="Times New Roman" w:cs="Times New Roman" w:eastAsia="Times New Roman" w:hAnsi="Times New Roman"/>
          <w:sz w:val="18"/>
          <w:szCs w:val="18"/>
          <w:color w:val="auto"/>
        </w:rPr>
      </w:pPr>
    </w:p>
    <w:p>
      <w:pPr>
        <w:ind w:left="1460" w:right="40" w:hanging="316"/>
        <w:spacing w:after="0" w:line="278" w:lineRule="auto"/>
        <w:tabs>
          <w:tab w:leader="none" w:pos="1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 to the ownership by the proposing persons of our capital stock and any derivative interest or short interest in any of our securities held by the proposing persons;</w:t>
      </w:r>
    </w:p>
    <w:p>
      <w:pPr>
        <w:spacing w:after="0" w:line="189" w:lineRule="exact"/>
        <w:rPr>
          <w:rFonts w:ascii="Times New Roman" w:cs="Times New Roman" w:eastAsia="Times New Roman" w:hAnsi="Times New Roman"/>
          <w:sz w:val="18"/>
          <w:szCs w:val="18"/>
          <w:color w:val="auto"/>
        </w:rPr>
      </w:pPr>
    </w:p>
    <w:p>
      <w:pPr>
        <w:ind w:left="1460" w:right="320" w:hanging="316"/>
        <w:spacing w:after="0" w:line="278" w:lineRule="auto"/>
        <w:tabs>
          <w:tab w:leader="none" w:pos="1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 to any material relationships and interest between the proposing persons and us, any of our affiliates and any of our principal competitors;</w:t>
      </w:r>
    </w:p>
    <w:p>
      <w:pPr>
        <w:spacing w:after="0" w:line="189" w:lineRule="exact"/>
        <w:rPr>
          <w:rFonts w:ascii="Times New Roman" w:cs="Times New Roman" w:eastAsia="Times New Roman" w:hAnsi="Times New Roman"/>
          <w:sz w:val="18"/>
          <w:szCs w:val="18"/>
          <w:color w:val="auto"/>
        </w:rPr>
      </w:pPr>
    </w:p>
    <w:p>
      <w:pPr>
        <w:ind w:left="1460" w:right="120" w:hanging="316"/>
        <w:spacing w:after="0" w:line="278" w:lineRule="auto"/>
        <w:tabs>
          <w:tab w:leader="none" w:pos="1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holder of record of our stock entitled to vote at that meeting and that the stockholder intends to appear in person or by proxy at the meeting to propose such nomination or business; and</w:t>
      </w:r>
    </w:p>
    <w:p>
      <w:pPr>
        <w:spacing w:after="0" w:line="189" w:lineRule="exact"/>
        <w:rPr>
          <w:rFonts w:ascii="Times New Roman" w:cs="Times New Roman" w:eastAsia="Times New Roman" w:hAnsi="Times New Roman"/>
          <w:sz w:val="18"/>
          <w:szCs w:val="18"/>
          <w:color w:val="auto"/>
        </w:rPr>
      </w:pPr>
    </w:p>
    <w:p>
      <w:pPr>
        <w:ind w:left="1460" w:right="360" w:hanging="316"/>
        <w:spacing w:after="0" w:line="278" w:lineRule="auto"/>
        <w:tabs>
          <w:tab w:leader="none" w:pos="1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whether the proposing persons intend or are part of a group which intends to deliver a proxy statement or form of proxy to holders of at least the percentage of our outstanding capital stock required to elect the nominee or carry the proposal.</w:t>
      </w:r>
    </w:p>
    <w:p>
      <w:pPr>
        <w:spacing w:after="0" w:line="162" w:lineRule="exact"/>
        <w:rPr>
          <w:sz w:val="20"/>
          <w:szCs w:val="20"/>
          <w:color w:val="auto"/>
        </w:rPr>
      </w:pPr>
    </w:p>
    <w:p>
      <w:pPr>
        <w:ind w:left="160" w:right="20" w:firstLine="873"/>
        <w:spacing w:after="0" w:line="263" w:lineRule="auto"/>
        <w:rPr>
          <w:sz w:val="20"/>
          <w:szCs w:val="20"/>
          <w:color w:val="auto"/>
        </w:rPr>
      </w:pPr>
      <w:r>
        <w:rPr>
          <w:rFonts w:ascii="Times New Roman" w:cs="Times New Roman" w:eastAsia="Times New Roman" w:hAnsi="Times New Roman"/>
          <w:sz w:val="18"/>
          <w:szCs w:val="18"/>
          <w:color w:val="auto"/>
        </w:rPr>
        <w:t>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7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223" w:lineRule="exact"/>
        <w:rPr>
          <w:sz w:val="20"/>
          <w:szCs w:val="20"/>
          <w:color w:val="auto"/>
        </w:rPr>
      </w:pPr>
    </w:p>
    <w:p>
      <w:pPr>
        <w:ind w:left="160" w:right="120" w:firstLine="873"/>
        <w:spacing w:after="0" w:line="308" w:lineRule="auto"/>
        <w:rPr>
          <w:sz w:val="20"/>
          <w:szCs w:val="20"/>
          <w:color w:val="auto"/>
        </w:rPr>
      </w:pPr>
      <w:r>
        <w:rPr>
          <w:rFonts w:ascii="Times New Roman" w:cs="Times New Roman" w:eastAsia="Times New Roman" w:hAnsi="Times New Roman"/>
          <w:sz w:val="17"/>
          <w:szCs w:val="17"/>
          <w:color w:val="auto"/>
        </w:rPr>
        <w:t>The DGCL provides that stockholders are not entitled to the right to cumulate votes in the election of directors unless a corporation’s certificate of incorporation provides otherwise. Our amended and restated certificate of incorporation and bylaws do not provide for cumulative voting.</w:t>
      </w:r>
    </w:p>
    <w:p>
      <w:pPr>
        <w:spacing w:after="0" w:line="13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Issuance of Undesignated Preferred Stock</w:t>
      </w:r>
    </w:p>
    <w:p>
      <w:pPr>
        <w:spacing w:after="0" w:line="223" w:lineRule="exact"/>
        <w:rPr>
          <w:sz w:val="20"/>
          <w:szCs w:val="20"/>
          <w:color w:val="auto"/>
        </w:rPr>
      </w:pPr>
    </w:p>
    <w:p>
      <w:pPr>
        <w:ind w:left="160" w:right="40" w:firstLine="873"/>
        <w:spacing w:after="0" w:line="258" w:lineRule="auto"/>
        <w:rPr>
          <w:sz w:val="20"/>
          <w:szCs w:val="20"/>
          <w:color w:val="auto"/>
        </w:rPr>
      </w:pPr>
      <w:r>
        <w:rPr>
          <w:rFonts w:ascii="Times New Roman" w:cs="Times New Roman" w:eastAsia="Times New Roman" w:hAnsi="Times New Roman"/>
          <w:sz w:val="18"/>
          <w:szCs w:val="18"/>
          <w:color w:val="auto"/>
        </w:rPr>
        <w:t>Our board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7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223"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our amended and restated certificate of incorporation or bylaws, (4) any other action asserting a claim that is governed by the internal affairs doctrine shall be the Court of Chancery of the State of Delaware (or, if the Court of Chancery does not have jurisdiction, the federal district court for the District of Delaware) or (5) any other action asserting an “internal corporate claim,” as defined in Section 115 of the Delaware General Corporation Law, in all cases subject to the court having jurisdiction over indispensable parties named as defendants. Our amended and restated certificate of incorporation will also provide that, unless we consent in writing to the selection of an alternative forum, the federal district courts of the United States shall be the exclusive forum for the resolution of any complaint</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80"/>
          </w:cols>
          <w:pgMar w:left="320" w:top="454" w:right="49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asserting a cause of action arising under the Securities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5" w:lineRule="exact"/>
        <w:rPr>
          <w:sz w:val="20"/>
          <w:szCs w:val="20"/>
          <w:color w:val="auto"/>
        </w:rPr>
      </w:pPr>
    </w:p>
    <w:p>
      <w:pPr>
        <w:ind w:left="160" w:right="220" w:firstLine="873"/>
        <w:spacing w:after="0" w:line="278"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is 250 Royall Street, Canton, MA 02021, and its telephone number is (800) 962-4284.</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“NCNO.”</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20"/>
          </w:cols>
          <w:pgMar w:left="320" w:top="454" w:right="5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5"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Future sales of substantial amounts of our common stock in the public market, the perception that such sales may occur, or the availability of such shares for sale in the public market, could adversely affect market prices prevailing from time to time and our ability to raise equity capital in the future. We cannot predict the effect, if any, that market sales of our common stock or the availability of our common stock for sale will have on the market price of our common stock prevailing from time to time.</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We had 91,122,356 shares of common stock outstanding as of July 31, 2020. Of those outstanding shares, 9,269,000 shares of common</w:t>
      </w:r>
    </w:p>
    <w:p>
      <w:pPr>
        <w:spacing w:after="0" w:line="26" w:lineRule="exact"/>
        <w:rPr>
          <w:sz w:val="20"/>
          <w:szCs w:val="20"/>
          <w:color w:val="auto"/>
        </w:rPr>
      </w:pPr>
    </w:p>
    <w:p>
      <w:pPr>
        <w:ind w:left="160" w:right="160"/>
        <w:spacing w:after="0" w:line="256" w:lineRule="auto"/>
        <w:rPr>
          <w:sz w:val="20"/>
          <w:szCs w:val="20"/>
          <w:color w:val="auto"/>
        </w:rPr>
      </w:pPr>
      <w:r>
        <w:rPr>
          <w:rFonts w:ascii="Times New Roman" w:cs="Times New Roman" w:eastAsia="Times New Roman" w:hAnsi="Times New Roman"/>
          <w:sz w:val="18"/>
          <w:szCs w:val="18"/>
          <w:color w:val="auto"/>
        </w:rPr>
        <w:t>stock sold in the IPO and shares sold in this offering will be freely tradeable, except that any shares acquired by our affiliates, as that term is defined in Rule 144 under the Securities Act, would only be able to be sold in compliance with the Rule 144 limitations described below.</w:t>
      </w:r>
    </w:p>
    <w:p>
      <w:pPr>
        <w:spacing w:after="0" w:line="182" w:lineRule="exact"/>
        <w:rPr>
          <w:sz w:val="20"/>
          <w:szCs w:val="20"/>
          <w:color w:val="auto"/>
        </w:rPr>
      </w:pPr>
    </w:p>
    <w:p>
      <w:pPr>
        <w:ind w:left="160" w:right="100" w:firstLine="873"/>
        <w:spacing w:after="0" w:line="263" w:lineRule="auto"/>
        <w:rPr>
          <w:sz w:val="20"/>
          <w:szCs w:val="20"/>
          <w:color w:val="auto"/>
        </w:rPr>
      </w:pPr>
      <w:r>
        <w:rPr>
          <w:rFonts w:ascii="Times New Roman" w:cs="Times New Roman" w:eastAsia="Times New Roman" w:hAnsi="Times New Roman"/>
          <w:sz w:val="18"/>
          <w:szCs w:val="18"/>
          <w:color w:val="auto"/>
        </w:rPr>
        <w:t>The remaining outstanding common stock will be deemed “restricted securities” as defined in Rule 144 under the Securities Act. Restricted securities may be sold in the public market only if they are registered or if they qualify for an exemption from registration under Rule 144 or Rule 701 under the Securities Act, which rules are summarized below.</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5" w:lineRule="exact"/>
        <w:rPr>
          <w:sz w:val="20"/>
          <w:szCs w:val="20"/>
          <w:color w:val="auto"/>
        </w:rPr>
      </w:pPr>
    </w:p>
    <w:p>
      <w:pPr>
        <w:ind w:left="920" w:right="100" w:firstLine="115"/>
        <w:spacing w:after="0" w:line="274" w:lineRule="auto"/>
        <w:rPr>
          <w:sz w:val="20"/>
          <w:szCs w:val="20"/>
          <w:color w:val="auto"/>
        </w:rPr>
      </w:pPr>
      <w:r>
        <w:rPr>
          <w:rFonts w:ascii="Times New Roman" w:cs="Times New Roman" w:eastAsia="Times New Roman" w:hAnsi="Times New Roman"/>
          <w:sz w:val="17"/>
          <w:szCs w:val="17"/>
          <w:color w:val="auto"/>
        </w:rPr>
        <w:t>As of July 31, 2020, we had 91,122,356 shares of common stock outstanding. Concurrently with this offering, holders of an aggregate of shares of common stock will be released from applicable lock-up restrictions, and such shares may then be freely traded without registration.</w:t>
      </w:r>
    </w:p>
    <w:p>
      <w:pPr>
        <w:ind w:left="160" w:right="60"/>
        <w:spacing w:after="0" w:line="249" w:lineRule="auto"/>
        <w:rPr>
          <w:sz w:val="20"/>
          <w:szCs w:val="20"/>
          <w:color w:val="auto"/>
        </w:rPr>
      </w:pPr>
      <w:r>
        <w:rPr>
          <w:rFonts w:ascii="Times New Roman" w:cs="Times New Roman" w:eastAsia="Times New Roman" w:hAnsi="Times New Roman"/>
          <w:sz w:val="18"/>
          <w:szCs w:val="18"/>
          <w:color w:val="auto"/>
        </w:rPr>
        <w:t>Only the shares of common stock sold in our IPO, sold in this offering or released as described in the preceding sentence will be freely tradable, without restriction, in the public market immediately after this offering. Each of our directors, executive officers and selling stockholders are subject to lock-up agreements that restrict their ability to sell or transfer their shares until 90 days after the date of this prospectus or January 9, 2021, subject to certain exceptions. Each of our other security holders are subject to lock-up agreements that restrict their ability to sell or transfer their shares until January 9, 2021, subject to certain exceptions (the “IPO Lockup Agreements”). However, the Representatives may, in their sole discretion, waive the contractual lock-up before the IPO Lockup Agreements expire.</w:t>
      </w:r>
    </w:p>
    <w:p>
      <w:pPr>
        <w:spacing w:after="0" w:line="19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After the lock-up agreements expire, all 91,122,356 shares outstanding as of July 31, 2020 will be eligible for sale in the public market, of</w:t>
      </w:r>
    </w:p>
    <w:p>
      <w:pPr>
        <w:spacing w:after="0" w:line="26" w:lineRule="exact"/>
        <w:rPr>
          <w:sz w:val="20"/>
          <w:szCs w:val="20"/>
          <w:color w:val="auto"/>
        </w:rPr>
      </w:pPr>
    </w:p>
    <w:p>
      <w:pPr>
        <w:ind w:left="160" w:right="220"/>
        <w:spacing w:after="0" w:line="250" w:lineRule="auto"/>
        <w:rPr>
          <w:sz w:val="20"/>
          <w:szCs w:val="20"/>
          <w:color w:val="auto"/>
        </w:rPr>
      </w:pPr>
      <w:r>
        <w:rPr>
          <w:rFonts w:ascii="Times New Roman" w:cs="Times New Roman" w:eastAsia="Times New Roman" w:hAnsi="Times New Roman"/>
          <w:sz w:val="18"/>
          <w:szCs w:val="18"/>
          <w:color w:val="auto"/>
        </w:rPr>
        <w:t>which shares are held by directors, executive officers and other affiliates and will be subject to volume limitations under Rule 144 of the Securities Act, and various vesting agreements. Sales of a substantial number of such shares upon the concurrent release of lock-up restrictions in connection with this offering or the expiration or any future earlier release of the lock-up and market stand-off agreements or, the perception that such sales may occur, could cause our market price to fall or make it more difficult for you to sell your common stock at a time and price that you deem appropriate.</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5" w:lineRule="exact"/>
        <w:rPr>
          <w:sz w:val="20"/>
          <w:szCs w:val="20"/>
          <w:color w:val="auto"/>
        </w:rPr>
      </w:pPr>
    </w:p>
    <w:p>
      <w:pPr>
        <w:ind w:left="160" w:right="160" w:firstLine="873"/>
        <w:spacing w:after="0" w:line="278" w:lineRule="auto"/>
        <w:rPr>
          <w:sz w:val="20"/>
          <w:szCs w:val="20"/>
          <w:color w:val="auto"/>
        </w:rPr>
      </w:pPr>
      <w:r>
        <w:rPr>
          <w:rFonts w:ascii="Times New Roman" w:cs="Times New Roman" w:eastAsia="Times New Roman" w:hAnsi="Times New Roman"/>
          <w:sz w:val="18"/>
          <w:szCs w:val="18"/>
          <w:color w:val="auto"/>
        </w:rPr>
        <w:t>After the expiration of the applicable lock-up agreements described above, sales of shares of our common stock held by pre-IPO investors, directors, executive officers and affiliates will be subject to Rule 144.</w:t>
      </w:r>
    </w:p>
    <w:p>
      <w:pPr>
        <w:spacing w:after="0" w:line="162"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common stock proposed to be sold for at least one year, including the holding period of any prior owner other than our affiliates, then that person would be entitled to sell those shares without complying with any of the requirements of Rule 144.</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80"/>
          </w:cols>
          <w:pgMar w:left="320" w:top="454" w:right="49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140" w:firstLine="873"/>
        <w:spacing w:after="0" w:line="263" w:lineRule="auto"/>
        <w:rPr>
          <w:sz w:val="20"/>
          <w:szCs w:val="20"/>
          <w:color w:val="auto"/>
        </w:rPr>
      </w:pPr>
      <w:r>
        <w:rPr>
          <w:rFonts w:ascii="Times New Roman" w:cs="Times New Roman" w:eastAsia="Times New Roman" w:hAnsi="Times New Roman"/>
          <w:sz w:val="18"/>
          <w:szCs w:val="18"/>
          <w:color w:val="auto"/>
        </w:rPr>
        <w:t>In general, Rule 144 provides that our affiliates or persons selling our common stock on behalf of our affiliates are entitled to sell upon expiration of the market standoff agreements and lock-up agreements described above, within any three-month period, a number of our common stock that does not exceed the greater of:</w:t>
      </w:r>
    </w:p>
    <w:p>
      <w:pPr>
        <w:spacing w:after="0" w:line="202" w:lineRule="exact"/>
        <w:rPr>
          <w:sz w:val="20"/>
          <w:szCs w:val="20"/>
          <w:color w:val="auto"/>
        </w:rPr>
      </w:pPr>
    </w:p>
    <w:p>
      <w:pPr>
        <w:ind w:left="1460" w:hanging="316"/>
        <w:spacing w:after="0"/>
        <w:tabs>
          <w:tab w:leader="none" w:pos="1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our common stock then outstanding, which equals 911,223 shares as of July 31, 2020; or</w:t>
      </w:r>
    </w:p>
    <w:p>
      <w:pPr>
        <w:spacing w:after="0" w:line="247" w:lineRule="exact"/>
        <w:rPr>
          <w:rFonts w:ascii="Times New Roman" w:cs="Times New Roman" w:eastAsia="Times New Roman" w:hAnsi="Times New Roman"/>
          <w:sz w:val="18"/>
          <w:szCs w:val="18"/>
          <w:color w:val="auto"/>
        </w:rPr>
      </w:pPr>
    </w:p>
    <w:p>
      <w:pPr>
        <w:ind w:left="1460" w:right="60" w:hanging="316"/>
        <w:spacing w:after="0" w:line="278" w:lineRule="auto"/>
        <w:tabs>
          <w:tab w:leader="none" w:pos="1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during the four calendar weeks preceding the filing of a notice on Form 144 with respect to that sale.</w:t>
      </w:r>
    </w:p>
    <w:p>
      <w:pPr>
        <w:spacing w:after="0" w:line="162" w:lineRule="exact"/>
        <w:rPr>
          <w:sz w:val="20"/>
          <w:szCs w:val="20"/>
          <w:color w:val="auto"/>
        </w:rPr>
      </w:pPr>
    </w:p>
    <w:p>
      <w:pPr>
        <w:ind w:left="160" w:right="40" w:firstLine="873"/>
        <w:spacing w:after="0" w:line="278" w:lineRule="auto"/>
        <w:rPr>
          <w:sz w:val="20"/>
          <w:szCs w:val="20"/>
          <w:color w:val="auto"/>
        </w:rPr>
      </w:pPr>
      <w:r>
        <w:rPr>
          <w:rFonts w:ascii="Times New Roman" w:cs="Times New Roman" w:eastAsia="Times New Roman" w:hAnsi="Times New Roman"/>
          <w:sz w:val="18"/>
          <w:szCs w:val="18"/>
          <w:color w:val="auto"/>
        </w:rPr>
        <w:t>Sales of our common stock made in reliance upon Rule 144 by our affiliates or persons selling our common stock on behalf of our affiliates are also subject to certain manner of sale provisions and notice requirements and to the availability of current public information about us.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5" w:lineRule="exact"/>
        <w:rPr>
          <w:sz w:val="20"/>
          <w:szCs w:val="20"/>
          <w:color w:val="auto"/>
        </w:rPr>
      </w:pPr>
    </w:p>
    <w:p>
      <w:pPr>
        <w:ind w:left="160" w:right="60" w:firstLine="873"/>
        <w:spacing w:after="0" w:line="254" w:lineRule="auto"/>
        <w:rPr>
          <w:sz w:val="20"/>
          <w:szCs w:val="20"/>
          <w:color w:val="auto"/>
        </w:rPr>
      </w:pPr>
      <w:r>
        <w:rPr>
          <w:rFonts w:ascii="Times New Roman" w:cs="Times New Roman" w:eastAsia="Times New Roman" w:hAnsi="Times New Roman"/>
          <w:sz w:val="18"/>
          <w:szCs w:val="18"/>
          <w:color w:val="auto"/>
        </w:rPr>
        <w:t>Rule 701 generally allows a stockholder who purchased our common stock pursuant to a written compensatory plan or contract prior to the effective date of our IPO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effective date of our IPO before selling those shares pursuant to Rule 701.</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5"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Following the completion of this offering, the holders of an aggregate of shares of our common stock are entitled to rights with respect to the registration of these shares under the Securities Act. These shares are referred to as registrable securities. These rights are provided under the terms of our IRA, which registration rights include demand registration rights, Form S-3 registration rights and piggyback registration rights. All fees, costs and expenses incurred in connection with the registration of registrable securities, including reasonable fees and disbursements of one special counsel to the selling stockholders, will be borne by us and all selling expenses, including underwriting discounts and selling commissions, will be borne by the holders of the shares being registered.</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registration rights terminate upon the fifth anniversary of the completion of our IPO.</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225"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Under the terms of the IRA, if we receive a written request, at any time after January 9, 2021, which is 180 days following the effective date of our IPO, from the holders of at least a majority of the registrable securities then outstanding that we file a registration statement under the Securities Act covering the registration of registrable securities and if the aggregate price to the public of the shares offered is at least $15.0 million, then we will be required to file as soon as practicable, and in any event no later than 60 days following such request, a registration statement covering all registrable securities requested to be registered for public resale. We may defer the filing of a registration statement for up to 60 days once in any 12-month period if our board of directors determines that the filing would be seriously detrimental to us and our stockholders. We are not required to effect a demand registration under certain additional circumstances specified in the IRA, including at any time during the 180-day period after the effective date of this offering.</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40"/>
          </w:cols>
          <w:pgMar w:left="320" w:top="454" w:right="5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225" w:lineRule="exact"/>
        <w:rPr>
          <w:sz w:val="20"/>
          <w:szCs w:val="20"/>
          <w:color w:val="auto"/>
        </w:rPr>
      </w:pPr>
    </w:p>
    <w:p>
      <w:pPr>
        <w:ind w:left="160" w:right="60" w:firstLine="873"/>
        <w:spacing w:after="0" w:line="253" w:lineRule="auto"/>
        <w:rPr>
          <w:sz w:val="20"/>
          <w:szCs w:val="20"/>
          <w:color w:val="auto"/>
        </w:rPr>
      </w:pPr>
      <w:r>
        <w:rPr>
          <w:rFonts w:ascii="Times New Roman" w:cs="Times New Roman" w:eastAsia="Times New Roman" w:hAnsi="Times New Roman"/>
          <w:sz w:val="18"/>
          <w:szCs w:val="18"/>
          <w:color w:val="auto"/>
        </w:rPr>
        <w:t>The holders of at least 20% of the then registrable securities can request that we register all or part of their shares on Form S-3 if we are eligible to file a registration statement on Form S-3 and if the aggregate price to the public of the shares offered is at least $3.0 million. Upon such a request, we would be required to file as soon as practicable, and in any event no later than 45 days following such a request, a registration statement covering all registrable securities requested to be registered for public resale. We are not required to file a registration on Form S-3 if we have filed two registrations on Form S-3 in the preceding 12-month period and may postpone the filing of a registration statement on Form S-3 for up to 60 days twice in any 12-month period if our board of directors determines that the filing would be seriously detrimental to us and our stockholders. We are not required to file a registration statement on Form S-3 under certain additional circumstances specified in the IRA.</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5"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If we register any of our securities for public sale, each holder of registrable securities has a right to request the inclusion of any then-outstanding registrable securities held by them on our registration statement. However, this right does not apply to a registration relating solely to employee benefit plans, a corporate reorganization or stock issuable upon conversion of debt securities. The Company has the right to terminate or withdraw any registration, whether or not any registrable securities has been elected to be included. If the underwriters of any underwritten offering determine in their reasonable discretion to limit the number of registrable securities to be included in such underwritten offering, the number of registrable securities to be registered will be apportioned pro rata among such holders, based on the number of registrable securities held by each holder. However, the number of registrable securities to be registered cannot be reduced unless all other securities are first entirely excluded from the underwriting.</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Form S-8 Registration Statement</w:t>
      </w:r>
    </w:p>
    <w:p>
      <w:pPr>
        <w:spacing w:after="0" w:line="225" w:lineRule="exact"/>
        <w:rPr>
          <w:sz w:val="20"/>
          <w:szCs w:val="20"/>
          <w:color w:val="auto"/>
        </w:rPr>
      </w:pPr>
    </w:p>
    <w:p>
      <w:pPr>
        <w:ind w:left="160" w:right="120" w:firstLine="873"/>
        <w:spacing w:after="0" w:line="255" w:lineRule="auto"/>
        <w:rPr>
          <w:sz w:val="20"/>
          <w:szCs w:val="20"/>
          <w:color w:val="auto"/>
        </w:rPr>
      </w:pPr>
      <w:r>
        <w:rPr>
          <w:rFonts w:ascii="Times New Roman" w:cs="Times New Roman" w:eastAsia="Times New Roman" w:hAnsi="Times New Roman"/>
          <w:sz w:val="18"/>
          <w:szCs w:val="18"/>
          <w:color w:val="auto"/>
        </w:rPr>
        <w:t>On July 17, 2020, we filed a Form S-8 registration statement under the Securities Act to register shares of our common stock subject to options outstanding, as well as reserved for future issuance, under our equity compensation plans. The shares covered by this registration statement are eligible for sale in the public market, subject to the Rule 144 limitations applicable to affiliates, vesting restrictions and any applicable market standoff agreements and lock-up agreements. See the section titled “Executive Compensation—Equity Compensation Plans” for a description of our equity compensation plans.</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40"/>
          </w:cols>
          <w:pgMar w:left="320" w:top="454" w:right="5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 OF OUR COMMON STOCK</w:t>
      </w:r>
    </w:p>
    <w:p>
      <w:pPr>
        <w:spacing w:after="0" w:line="225" w:lineRule="exact"/>
        <w:rPr>
          <w:sz w:val="20"/>
          <w:szCs w:val="20"/>
          <w:color w:val="auto"/>
        </w:rPr>
      </w:pPr>
    </w:p>
    <w:p>
      <w:pPr>
        <w:ind w:left="160" w:right="180" w:firstLine="873"/>
        <w:spacing w:after="0" w:line="255"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consequences of the ownership and disposition of shares of our common stock as of the date hereof. Except where noted, this summary deals only with common stock that is held as a capital asset by a non-U.S. holder (as defined below). This summary is based upon provisions of the Code and regulations, rulings and judicial decisions as of the date hereof. Those authorities may be changed, perhaps retroactively, so as to result in U.S. federal income tax consequences different from those summarized below. We cannot assure you that a change in law will not alter significantly the tax considerations that we describe in this summary.</w:t>
      </w:r>
    </w:p>
    <w:p>
      <w:pPr>
        <w:spacing w:after="0" w:line="184" w:lineRule="exact"/>
        <w:rPr>
          <w:sz w:val="20"/>
          <w:szCs w:val="20"/>
          <w:color w:val="auto"/>
        </w:rPr>
      </w:pPr>
    </w:p>
    <w:p>
      <w:pPr>
        <w:ind w:left="160" w:right="100" w:firstLine="873"/>
        <w:spacing w:after="0" w:line="278" w:lineRule="auto"/>
        <w:rPr>
          <w:sz w:val="20"/>
          <w:szCs w:val="20"/>
          <w:color w:val="auto"/>
        </w:rPr>
      </w:pPr>
      <w:r>
        <w:rPr>
          <w:rFonts w:ascii="Times New Roman" w:cs="Times New Roman" w:eastAsia="Times New Roman" w:hAnsi="Times New Roman"/>
          <w:sz w:val="18"/>
          <w:szCs w:val="18"/>
          <w:color w:val="auto"/>
        </w:rPr>
        <w:t>A “non-U.S. holder” means a beneficial owner of shares of our common stock (other than an entity treated as a partnership for U.S. federal income tax purposes) that is not, for U.S. federal income tax purposes, any of the following:</w:t>
      </w:r>
    </w:p>
    <w:p>
      <w:pPr>
        <w:spacing w:after="0" w:line="189" w:lineRule="exact"/>
        <w:rPr>
          <w:sz w:val="20"/>
          <w:szCs w:val="20"/>
          <w:color w:val="auto"/>
        </w:rPr>
      </w:pPr>
    </w:p>
    <w:p>
      <w:pPr>
        <w:ind w:left="1460" w:hanging="316"/>
        <w:spacing w:after="0"/>
        <w:tabs>
          <w:tab w:leader="none" w:pos="1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47" w:lineRule="exact"/>
        <w:rPr>
          <w:rFonts w:ascii="Times New Roman" w:cs="Times New Roman" w:eastAsia="Times New Roman" w:hAnsi="Times New Roman"/>
          <w:sz w:val="18"/>
          <w:szCs w:val="18"/>
          <w:color w:val="auto"/>
        </w:rPr>
      </w:pPr>
    </w:p>
    <w:p>
      <w:pPr>
        <w:ind w:left="1460" w:right="220" w:hanging="316"/>
        <w:spacing w:after="0" w:line="278" w:lineRule="auto"/>
        <w:tabs>
          <w:tab w:leader="none" w:pos="1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47" w:lineRule="exact"/>
        <w:rPr>
          <w:rFonts w:ascii="Times New Roman" w:cs="Times New Roman" w:eastAsia="Times New Roman" w:hAnsi="Times New Roman"/>
          <w:sz w:val="18"/>
          <w:szCs w:val="18"/>
          <w:color w:val="auto"/>
        </w:rPr>
      </w:pPr>
    </w:p>
    <w:p>
      <w:pPr>
        <w:ind w:left="1460" w:right="40" w:hanging="316"/>
        <w:spacing w:after="0" w:line="263" w:lineRule="auto"/>
        <w:tabs>
          <w:tab w:leader="none" w:pos="1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U.S. persons (as defined under the Code) have the authority to control all substantial decisions of the trust or (2) has a valid election in effect under applicable U.S. Treasury regulations to be treated as a U.S. person.</w:t>
      </w:r>
    </w:p>
    <w:p>
      <w:pPr>
        <w:spacing w:after="0" w:line="175"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This summary does not address all aspects of U.S. federal income taxation that may be relevant to non-U.S. holders in light of their particular circumstances. In addition, this summary does not address the Medicare tax on certain net investment income, U.S. federal gift or estate tax laws, any state, local or non-U.S. tax laws or any tax treaties. This summary also does not address the U.S. federal income tax consequences applicable to non-U.S. holders that are subject to special treatment under the U.S. federal income tax laws, including (without limitation) former citizens or long-term residents of the United States, foreign pension funds, “controlled foreign corporations,” “passive foreign investment companies,” financial institutions, insurance companies, regulated investment companies, real estate investment trusts, mutual funds, broker-dealers, traders in securities or other persons that elect to use a mark-to-market method of accounting for their holdings in our common stock, persons who hold our common stock as “qualified small business stock” within the meaning of Section 1202 of the Code, persons who hold our common stock as a position in a hedging transaction, “straddle,” “conversion transaction,” or other risk reduction transaction or integrated investment, persons subject to the alternative minimum tax, persons who acquired our common stock through stock options or in other compensatory transactions or partnerships or other pass-through entities for U.S. federal income tax purposes.</w:t>
      </w:r>
    </w:p>
    <w:p>
      <w:pPr>
        <w:spacing w:after="0" w:line="187"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shares of our common stock, the tax treatment of a partner will generally depend upon the status of the partner, the activities of the partnership and certain determinations made at the partner level. Accordingly, partners in partnerships (including entities or arrangements treated as partnerships for U.S. federal income tax purposes) considering the purchase of our common stock should consult their tax advisors regarding the U.S. federal income tax considerations of the purchase, ownership and disposition of our common stock by such partnership.</w:t>
      </w:r>
    </w:p>
    <w:p>
      <w:pPr>
        <w:spacing w:after="0" w:line="184" w:lineRule="exact"/>
        <w:rPr>
          <w:sz w:val="20"/>
          <w:szCs w:val="20"/>
          <w:color w:val="auto"/>
        </w:rPr>
      </w:pPr>
    </w:p>
    <w:p>
      <w:pPr>
        <w:ind w:left="160" w:right="140" w:firstLine="873"/>
        <w:spacing w:after="0" w:line="278"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PROSPECTIVE INVESTORS ARE ENCOURAGED TO CONSULT THEIR TAX ADVISORS WITH</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60"/>
          </w:cols>
          <w:pgMar w:left="320" w:top="454" w:right="51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180"/>
        <w:spacing w:after="0" w:line="258" w:lineRule="auto"/>
        <w:rPr>
          <w:sz w:val="20"/>
          <w:szCs w:val="20"/>
          <w:color w:val="auto"/>
        </w:rPr>
      </w:pPr>
      <w:r>
        <w:rPr>
          <w:rFonts w:ascii="Times New Roman" w:cs="Times New Roman" w:eastAsia="Times New Roman" w:hAnsi="Times New Roman"/>
          <w:sz w:val="18"/>
          <w:szCs w:val="18"/>
          <w:color w:val="auto"/>
        </w:rPr>
        <w:t>RESPECT TO THE APPLICATION OF THE U.S. FEDERAL INCOME TAX LAWS TO THEIR PARTICULAR SITUATION, AS WELL AS ANY TAX CONSEQUENCES OF THE PURCHASE, OWNERSHIP AND DISPOSITION OF OUR COMMON STOCK ARISING UNDER THE U.S. FEDERAL GIFT OR ESTATE TAX LAWS OR UNDER THE LAWS OF ANY STATE, LOCAL, NON-U.S. OR OTHER TAXING JURISDICTION OR UNDER ANY APPLICABLE TAX TREATY.</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5" w:lineRule="exact"/>
        <w:rPr>
          <w:sz w:val="20"/>
          <w:szCs w:val="20"/>
          <w:color w:val="auto"/>
        </w:rPr>
      </w:pPr>
    </w:p>
    <w:p>
      <w:pPr>
        <w:ind w:left="160" w:right="60" w:firstLine="873"/>
        <w:spacing w:after="0" w:line="250" w:lineRule="auto"/>
        <w:rPr>
          <w:sz w:val="20"/>
          <w:szCs w:val="20"/>
          <w:color w:val="auto"/>
        </w:rPr>
      </w:pPr>
      <w:r>
        <w:rPr>
          <w:rFonts w:ascii="Times New Roman" w:cs="Times New Roman" w:eastAsia="Times New Roman" w:hAnsi="Times New Roman"/>
          <w:sz w:val="18"/>
          <w:szCs w:val="18"/>
          <w:color w:val="auto"/>
        </w:rPr>
        <w:t>Distributions of cash or property on our common stock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Please read “—Sales or other Taxable Dispositions.” Subject to the withholding rules discussed below under “—Backup Withholding and Information Reporting” and “—Additional Withholding Requirements under FATCA” and with respect to effectively connected dividends, any distribution made to a non-U.S. holder on our common stock generally will be subject to U.S. withholding tax at a rate of 30% of the gross amount of the distribution unless an applicable income tax treaty provides for a lower rate. To receive the benefit of a reduced treaty rate, a non-U.S. holder must provide the applicable withholding agent with a properly executed IRS Form W-8BEN or IRS Form W-8BEN-E (or other applicable or successor form) certifying qualification for the reduced rate, and the non-U.S. holder will be required to update such forms and certifications from time to time as required by law. A non-U.S. holder eligible for a reduced rate of U.S. federal withholding tax pursuant to an applicable income tax treaty may be eligible to obtain a refund of any excess amounts withheld by timely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should consult their tax advisors regarding their entitlement to benefits under an applicable income tax treaty.</w:t>
      </w:r>
    </w:p>
    <w:p>
      <w:pPr>
        <w:spacing w:after="0" w:line="190"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a trade or business conducted by the non-U.S. holder in the United States (and, if required by an applicable income tax treaty, are treated as attributable to a permanent establishment maintained by the non-U.S. holder in the United States), the non-U.S. holder will be exempt from the U.S. withholding tax described above, provided the non-U.S. holder satisfies certain certification requirements by providing the applicable withholding agent a properly executed IRS Form W-8ECI certifying eligibility for exemption, and the non-U.S. holder will be required to update such forms and certifications from time to time as required by law. Any such effectively connected dividends generally will be taxed on a net income basis at the rates and in the manner generally applicable to U.S. persons (as defined under the Code).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 Non-U.S. holders should consult their tax advisors regarding any applicable income tax treaties that may provide for different rules.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Sales or other Taxable Dispositions</w:t>
      </w:r>
    </w:p>
    <w:p>
      <w:pPr>
        <w:spacing w:after="0" w:line="225" w:lineRule="exact"/>
        <w:rPr>
          <w:sz w:val="20"/>
          <w:szCs w:val="20"/>
          <w:color w:val="auto"/>
        </w:rPr>
      </w:pPr>
    </w:p>
    <w:p>
      <w:pPr>
        <w:ind w:left="160" w:right="180" w:firstLine="873"/>
        <w:spacing w:after="0" w:line="278" w:lineRule="auto"/>
        <w:rPr>
          <w:sz w:val="20"/>
          <w:szCs w:val="20"/>
          <w:color w:val="auto"/>
        </w:rPr>
      </w:pPr>
      <w:r>
        <w:rPr>
          <w:rFonts w:ascii="Times New Roman" w:cs="Times New Roman" w:eastAsia="Times New Roman" w:hAnsi="Times New Roman"/>
          <w:sz w:val="18"/>
          <w:szCs w:val="18"/>
          <w:color w:val="auto"/>
        </w:rPr>
        <w:t>Subject to the discussion below under “—Backup Withholding and Information Reporting”, any gain realized by a non-U.S. holder on the sale or other disposition of our common stock generally will not be subject to U.S. federal income tax unless:</w:t>
      </w:r>
    </w:p>
    <w:p>
      <w:pPr>
        <w:spacing w:after="0" w:line="189" w:lineRule="exact"/>
        <w:rPr>
          <w:sz w:val="20"/>
          <w:szCs w:val="20"/>
          <w:color w:val="auto"/>
        </w:rPr>
      </w:pPr>
    </w:p>
    <w:p>
      <w:pPr>
        <w:ind w:left="1460" w:right="60" w:hanging="316"/>
        <w:spacing w:after="0" w:line="278" w:lineRule="auto"/>
        <w:tabs>
          <w:tab w:leader="none" w:pos="1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60"/>
          </w:cols>
          <w:pgMar w:left="320" w:top="454" w:right="51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460" w:right="260" w:hanging="316"/>
        <w:spacing w:after="0" w:line="278" w:lineRule="auto"/>
        <w:tabs>
          <w:tab w:leader="none" w:pos="1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that disposition, and certain other conditions are met; or</w:t>
      </w:r>
    </w:p>
    <w:p>
      <w:pPr>
        <w:spacing w:after="0" w:line="189" w:lineRule="exact"/>
        <w:rPr>
          <w:rFonts w:ascii="Times New Roman" w:cs="Times New Roman" w:eastAsia="Times New Roman" w:hAnsi="Times New Roman"/>
          <w:sz w:val="18"/>
          <w:szCs w:val="18"/>
          <w:color w:val="auto"/>
        </w:rPr>
      </w:pPr>
    </w:p>
    <w:p>
      <w:pPr>
        <w:ind w:left="1460" w:right="560" w:hanging="316"/>
        <w:spacing w:after="0" w:line="278" w:lineRule="auto"/>
        <w:tabs>
          <w:tab w:leader="none" w:pos="1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and certain other conditions are met.</w:t>
      </w:r>
    </w:p>
    <w:p>
      <w:pPr>
        <w:spacing w:after="0" w:line="162" w:lineRule="exact"/>
        <w:rPr>
          <w:sz w:val="20"/>
          <w:szCs w:val="20"/>
          <w:color w:val="auto"/>
        </w:rPr>
      </w:pPr>
    </w:p>
    <w:p>
      <w:pPr>
        <w:ind w:left="160" w:right="120" w:firstLine="873"/>
        <w:spacing w:after="0" w:line="253" w:lineRule="auto"/>
        <w:rPr>
          <w:sz w:val="20"/>
          <w:szCs w:val="20"/>
          <w:color w:val="auto"/>
        </w:rPr>
      </w:pPr>
      <w:r>
        <w:rPr>
          <w:rFonts w:ascii="Times New Roman" w:cs="Times New Roman" w:eastAsia="Times New Roman" w:hAnsi="Times New Roman"/>
          <w:sz w:val="18"/>
          <w:szCs w:val="18"/>
          <w:color w:val="auto"/>
        </w:rPr>
        <w:t>A non-U.S. holder described in the first bullet point immediately above will be subject to tax on the gain derived from the sale or other disposition on a net income tax basis at the U.S. federal income tax rates applicable to U.S. citizens, nonresident aliens or domestic corporations, as applicable.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84"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Generally, a corporation is a “United States real property holding corporation” (“USRPHC”)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that we are not currently and will not become a USRPHC, and the remainder of this discussion assumes this is the case. However, because the determination of whether we are a USRPHC depends on the fair market value of our U.S. real property interests relative to the fair market value of our other business assets, there can be no assurance that we will not become a USRPHC in the future. If we are or become a USRPHC, however, so long as our common stock is regularly traded on an established securities market during the calendar year in which the sale or other disposition occurs, only a non-U.S. holder who actually or constructively holds or held (at any time during the shorter of the five-year period preceding the date of disposition or the holder’s holding period) more than 5% of our common stock will be subject to U.S. federal income tax on the sale or other disposition of our common stock.</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25" w:lineRule="exact"/>
        <w:rPr>
          <w:sz w:val="20"/>
          <w:szCs w:val="20"/>
          <w:color w:val="auto"/>
        </w:rPr>
      </w:pPr>
    </w:p>
    <w:p>
      <w:pPr>
        <w:ind w:left="160" w:right="100" w:firstLine="873"/>
        <w:spacing w:after="0" w:line="258" w:lineRule="auto"/>
        <w:rPr>
          <w:sz w:val="20"/>
          <w:szCs w:val="20"/>
          <w:color w:val="auto"/>
        </w:rPr>
      </w:pPr>
      <w:r>
        <w:rPr>
          <w:rFonts w:ascii="Times New Roman" w:cs="Times New Roman" w:eastAsia="Times New Roman" w:hAnsi="Times New Roman"/>
          <w:sz w:val="18"/>
          <w:szCs w:val="18"/>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IRS Form W-8BEN-E or other applicable or successor form.</w:t>
      </w:r>
    </w:p>
    <w:p>
      <w:pPr>
        <w:spacing w:after="0" w:line="180"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color w:val="auto"/>
        </w:rPr>
        <w:t>Payments of the proceeds from a sale or other disposition by a non-U.S. holder of our common stock effected by or through the office of a broker generally will be subject to information reporting and backup withholding (currently at the rate of 24%) unless the non-U.S. holder establishes an exemption by properly certifying its non-U.S. status on an IRS Form W-8BEN,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 broker. However, unless such broker has documentary evidence in its records that the holder is not a U.S.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 Notwithstanding the foregoing, backup withholding and information reporting may apply if either we or our paying agent has actual knowledge, or reason to know, that the non-U.S. holder is a U.S. person who is not an exempt recipient under the Code and applicable Treasury regulations.</w:t>
      </w:r>
    </w:p>
    <w:p>
      <w:pPr>
        <w:spacing w:after="0" w:line="189" w:lineRule="exact"/>
        <w:rPr>
          <w:sz w:val="20"/>
          <w:szCs w:val="20"/>
          <w:color w:val="auto"/>
        </w:rPr>
      </w:pPr>
    </w:p>
    <w:p>
      <w:pPr>
        <w:ind w:left="160" w:right="160" w:firstLine="873"/>
        <w:spacing w:after="0" w:line="278" w:lineRule="auto"/>
        <w:rPr>
          <w:sz w:val="20"/>
          <w:szCs w:val="20"/>
          <w:color w:val="auto"/>
        </w:rPr>
      </w:pPr>
      <w:r>
        <w:rPr>
          <w:rFonts w:ascii="Times New Roman" w:cs="Times New Roman" w:eastAsia="Times New Roman" w:hAnsi="Times New Roman"/>
          <w:sz w:val="18"/>
          <w:szCs w:val="18"/>
          <w:color w:val="auto"/>
        </w:rPr>
        <w:t>Backup withholding is not an additional tax. Rather, the U.S. income tax liability (if any) of persons subject to backup withholding will be reduced by the amount of tax withheld. If backup withholding results in an</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60"/>
          </w:cols>
          <w:pgMar w:left="320" w:top="454" w:right="51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overpayment of taxes, a refund may be obtained, provided that the required information is timely furnished to the IRS.</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 under FATCA</w:t>
      </w:r>
    </w:p>
    <w:p>
      <w:pPr>
        <w:spacing w:after="0" w:line="225"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issued thereunder (“FATCA”), impose a 30% withholding tax on any dividends paid on our common stock if paid to a “foreign financial institution” or a “non-financial foreign entity” (each as defined in the Code) (including, in some cases, when such foreign financial institution or non-financial foreign entity is acting as an intermediary), unless (1)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(2)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and provides certain information with respect to such United States owners; or (3) the foreign financial institution or non-financial foreign entity otherwise qualifies for an exemption from these rules and provides appropriate documentation (such as an IRS Form W-8BEN-E). The Treasury Secretary has issued proposed regulations providing that the withholding provisions under FATCA do not apply with respect to gross proceeds from a sale or other disposition of our common stock, which may be relied upon by taxpayers until final regulations are issued.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91" w:lineRule="exact"/>
        <w:rPr>
          <w:sz w:val="20"/>
          <w:szCs w:val="20"/>
          <w:color w:val="auto"/>
        </w:rPr>
      </w:pPr>
    </w:p>
    <w:p>
      <w:pPr>
        <w:ind w:left="160" w:right="260" w:firstLine="873"/>
        <w:spacing w:after="0" w:line="258" w:lineRule="auto"/>
        <w:rPr>
          <w:sz w:val="20"/>
          <w:szCs w:val="20"/>
          <w:color w:val="auto"/>
        </w:rPr>
      </w:pPr>
      <w:r>
        <w:rPr>
          <w:rFonts w:ascii="Times New Roman" w:cs="Times New Roman" w:eastAsia="Times New Roman" w:hAnsi="Times New Roman"/>
          <w:sz w:val="18"/>
          <w:szCs w:val="18"/>
          <w:color w:val="auto"/>
        </w:rPr>
        <w:t>INVESTORS CONSIDERING THE PURCHASE OF OUR COMMON STOCK SHOULD CONSULT THEIR OWN TAX ADVISORS REGARDING THE APPLICATION OF THE U.S. FEDERAL INCOME TAX LAWS TO THEIR PARTICULAR SITUATIONS AND THE APPLICABILITY AND EFFECT OF U.S. FEDERAL GIFT AND ESTATE TAX LAWS AND ANY STATE, LOCAL OR NON-U.S. TAX LAWS AND TAX TREATIES.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80"/>
          </w:cols>
          <w:pgMar w:left="320" w:top="454" w:right="49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5" w:lineRule="exact"/>
        <w:rPr>
          <w:sz w:val="20"/>
          <w:szCs w:val="20"/>
          <w:color w:val="auto"/>
        </w:rPr>
      </w:pPr>
    </w:p>
    <w:p>
      <w:pPr>
        <w:ind w:left="160" w:right="120" w:firstLine="873"/>
        <w:spacing w:after="0" w:line="258" w:lineRule="auto"/>
        <w:rPr>
          <w:sz w:val="20"/>
          <w:szCs w:val="20"/>
          <w:color w:val="auto"/>
        </w:rPr>
      </w:pPr>
      <w:r>
        <w:rPr>
          <w:rFonts w:ascii="Times New Roman" w:cs="Times New Roman" w:eastAsia="Times New Roman" w:hAnsi="Times New Roman"/>
          <w:sz w:val="18"/>
          <w:szCs w:val="18"/>
          <w:color w:val="auto"/>
        </w:rPr>
        <w:t>BofA Securities, Inc. and Barclays Capital Inc., are acting as representatives of each of the underwriters named below. Subject to the terms and conditions set forth in an underwriting agreement among us, the selling stockholders and the underwriters, the selling stockholders have agreed to sell to the underwriters, and each of the underwriters has agreed, severally and not jointly, to purchase from the selling stockholders, the number of shares of common stock set forth opposite its name below.</w:t>
      </w:r>
    </w:p>
    <w:p>
      <w:pPr>
        <w:spacing w:after="0" w:line="18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Underwriter</w:t>
            </w:r>
          </w:p>
        </w:tc>
        <w:tc>
          <w:tcPr>
            <w:tcW w:w="5300" w:type="dxa"/>
            <w:vAlign w:val="bottom"/>
          </w:tcPr>
          <w:p>
            <w:pPr>
              <w:jc w:val="center"/>
              <w:ind w:left="456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87"/>
        </w:trPr>
        <w:tc>
          <w:tcPr>
            <w:tcW w:w="5420" w:type="dxa"/>
            <w:vAlign w:val="bottom"/>
            <w:vMerge w:val="continue"/>
          </w:tcPr>
          <w:p>
            <w:pPr>
              <w:spacing w:after="0"/>
              <w:rPr>
                <w:sz w:val="16"/>
                <w:szCs w:val="16"/>
                <w:color w:val="auto"/>
              </w:rPr>
            </w:pPr>
          </w:p>
        </w:tc>
        <w:tc>
          <w:tcPr>
            <w:tcW w:w="5300" w:type="dxa"/>
            <w:vAlign w:val="bottom"/>
          </w:tcPr>
          <w:p>
            <w:pPr>
              <w:jc w:val="center"/>
              <w:ind w:left="456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wp:posOffset>
            </wp:positionV>
            <wp:extent cx="6929755" cy="144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6407785</wp:posOffset>
            </wp:positionH>
            <wp:positionV relativeFrom="paragraph">
              <wp:posOffset>3810</wp:posOffset>
            </wp:positionV>
            <wp:extent cx="5861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6105" cy="8255"/>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61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29755" cy="161290"/>
                    </a:xfrm>
                    <a:prstGeom prst="rect">
                      <a:avLst/>
                    </a:prstGeom>
                    <a:noFill/>
                  </pic:spPr>
                </pic:pic>
              </a:graphicData>
            </a:graphic>
          </wp:anchor>
        </w:drawing>
      </w:r>
    </w:p>
    <w:p>
      <w:pPr>
        <w:spacing w:after="0" w:line="254" w:lineRule="exact"/>
        <w:rPr>
          <w:sz w:val="20"/>
          <w:szCs w:val="20"/>
          <w:color w:val="auto"/>
        </w:rPr>
      </w:pPr>
    </w:p>
    <w:p>
      <w:pPr>
        <w:ind w:left="160" w:right="500" w:firstLine="873"/>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0" w:lineRule="exact"/>
        <w:rPr>
          <w:sz w:val="20"/>
          <w:szCs w:val="20"/>
          <w:color w:val="auto"/>
        </w:rPr>
      </w:pPr>
    </w:p>
    <w:p>
      <w:pPr>
        <w:ind w:left="160" w:right="720" w:firstLine="873"/>
        <w:spacing w:after="0" w:line="278" w:lineRule="auto"/>
        <w:rPr>
          <w:sz w:val="20"/>
          <w:szCs w:val="20"/>
          <w:color w:val="auto"/>
        </w:rPr>
      </w:pPr>
      <w:r>
        <w:rPr>
          <w:rFonts w:ascii="Times New Roman" w:cs="Times New Roman" w:eastAsia="Times New Roman" w:hAnsi="Times New Roman"/>
          <w:sz w:val="18"/>
          <w:szCs w:val="18"/>
          <w:color w:val="auto"/>
        </w:rPr>
        <w:t>We and the selling stockholders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60" w:right="220" w:firstLine="873"/>
        <w:spacing w:after="0" w:line="258"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The representatives have advised us and the selling stockholders that the underwriters propose initially to offer the shares to the public at the</w:t>
      </w:r>
    </w:p>
    <w:p>
      <w:pPr>
        <w:spacing w:after="0" w:line="37" w:lineRule="exact"/>
        <w:rPr>
          <w:sz w:val="20"/>
          <w:szCs w:val="20"/>
          <w:color w:val="auto"/>
        </w:rPr>
      </w:pPr>
    </w:p>
    <w:p>
      <w:pPr>
        <w:ind w:left="160" w:right="20"/>
        <w:spacing w:after="0" w:line="256" w:lineRule="auto"/>
        <w:rPr>
          <w:sz w:val="20"/>
          <w:szCs w:val="20"/>
          <w:color w:val="auto"/>
        </w:rPr>
      </w:pPr>
      <w:r>
        <w:rPr>
          <w:rFonts w:ascii="Times New Roman" w:cs="Times New Roman" w:eastAsia="Times New Roman" w:hAnsi="Times New Roman"/>
          <w:sz w:val="18"/>
          <w:szCs w:val="18"/>
          <w:color w:val="auto"/>
        </w:rPr>
        <w:t>public offering price set forth on the cover page of this prospectus and to dealers at that price less a concession not in excess of $ per share. After the offering, the public offering price, concession or any other term of the offering may be changed.</w:t>
      </w:r>
    </w:p>
    <w:p>
      <w:pPr>
        <w:spacing w:after="0" w:line="182" w:lineRule="exact"/>
        <w:rPr>
          <w:sz w:val="20"/>
          <w:szCs w:val="20"/>
          <w:color w:val="auto"/>
        </w:rPr>
      </w:pPr>
    </w:p>
    <w:p>
      <w:pPr>
        <w:ind w:left="160" w:right="260" w:firstLine="873"/>
        <w:spacing w:after="0" w:line="278"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the selling stockholders. The information assumes either no exercise or full exercise by the underwriters of their option to purchase additional shares.</w:t>
      </w:r>
    </w:p>
    <w:p>
      <w:pPr>
        <w:spacing w:after="0" w:line="169"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40" w:type="dxa"/>
            <w:vAlign w:val="bottom"/>
            <w:gridSpan w:val="2"/>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64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With</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4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paid by selling stockholders</w:t>
            </w:r>
          </w:p>
        </w:tc>
        <w:tc>
          <w:tcPr>
            <w:tcW w:w="2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selling stockholders</w:t>
            </w:r>
          </w:p>
        </w:tc>
        <w:tc>
          <w:tcPr>
            <w:tcW w:w="2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ectPr>
          <w:pgSz w:w="11900" w:h="16838" w:orient="portrait"/>
          <w:cols w:equalWidth="0" w:num="1">
            <w:col w:w="11060"/>
          </w:cols>
          <w:pgMar w:left="320" w:top="454" w:right="519" w:bottom="1440" w:gutter="0" w:footer="0" w:header="0"/>
        </w:sectPr>
      </w:pPr>
    </w:p>
    <w:p>
      <w:pPr>
        <w:ind w:left="1040"/>
        <w:spacing w:after="0"/>
        <w:rPr>
          <w:sz w:val="20"/>
          <w:szCs w:val="20"/>
          <w:color w:val="auto"/>
        </w:rPr>
      </w:pPr>
      <w:r>
        <w:rPr>
          <w:rFonts w:ascii="Times New Roman" w:cs="Times New Roman" w:eastAsia="Times New Roman" w:hAnsi="Times New Roman"/>
          <w:sz w:val="17"/>
          <w:szCs w:val="17"/>
          <w:color w:val="auto"/>
        </w:rPr>
        <w:t>The expenses of the offering, not including the underwriting discount, are estimated at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million and are payable by us.</w:t>
      </w:r>
    </w:p>
    <w:p>
      <w:pPr>
        <w:spacing w:after="0" w:line="200" w:lineRule="exact"/>
        <w:rPr>
          <w:sz w:val="20"/>
          <w:szCs w:val="20"/>
          <w:color w:val="auto"/>
        </w:rPr>
      </w:pPr>
    </w:p>
    <w:p>
      <w:pPr>
        <w:sectPr>
          <w:pgSz w:w="11900" w:h="16838" w:orient="portrait"/>
          <w:cols w:equalWidth="0" w:num="2">
            <w:col w:w="7320" w:space="580"/>
            <w:col w:w="3160"/>
          </w:cols>
          <w:pgMar w:left="320" w:top="454" w:right="519" w:bottom="1440" w:gutter="0" w:footer="0" w:header="0"/>
          <w:type w:val="continuous"/>
        </w:sectPr>
      </w:pPr>
    </w:p>
    <w:p>
      <w:pPr>
        <w:spacing w:after="0" w:line="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Option to Purchase Additional Shares</w:t>
      </w:r>
    </w:p>
    <w:p>
      <w:pPr>
        <w:sectPr>
          <w:pgSz w:w="11900" w:h="16838" w:orient="portrait"/>
          <w:cols w:equalWidth="0" w:num="1">
            <w:col w:w="11060"/>
          </w:cols>
          <w:pgMar w:left="320" w:top="454" w:right="51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80" w:hanging="22"/>
        <w:spacing w:after="0" w:line="278" w:lineRule="auto"/>
        <w:rPr>
          <w:sz w:val="20"/>
          <w:szCs w:val="20"/>
          <w:color w:val="auto"/>
        </w:rPr>
      </w:pPr>
      <w:r>
        <w:rPr>
          <w:rFonts w:ascii="Times New Roman" w:cs="Times New Roman" w:eastAsia="Times New Roman" w:hAnsi="Times New Roman"/>
          <w:sz w:val="18"/>
          <w:szCs w:val="18"/>
          <w:color w:val="auto"/>
        </w:rPr>
        <w:t>The selling stockholders have granted an option to the underwriters, exercisable for 30 days after the date of this prospectus, to purchase up additional shares at the public offering price, less the</w:t>
      </w:r>
    </w:p>
    <w:p>
      <w:pPr>
        <w:spacing w:after="0" w:line="96" w:lineRule="exact"/>
        <w:rPr>
          <w:sz w:val="20"/>
          <w:szCs w:val="20"/>
          <w:color w:val="auto"/>
        </w:rPr>
      </w:pPr>
    </w:p>
    <w:p>
      <w:pPr>
        <w:sectPr>
          <w:pgSz w:w="11900" w:h="16838" w:orient="portrait"/>
          <w:cols w:equalWidth="0" w:num="2">
            <w:col w:w="340" w:space="720"/>
            <w:col w:w="10000"/>
          </w:cols>
          <w:pgMar w:left="320" w:top="454" w:right="51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7"/>
          <w:szCs w:val="17"/>
          <w:color w:val="auto"/>
        </w:rPr>
        <w:t>125</w:t>
      </w:r>
    </w:p>
    <w:p>
      <w:pPr>
        <w:sectPr>
          <w:pgSz w:w="11900" w:h="16838" w:orient="portrait"/>
          <w:cols w:equalWidth="0" w:num="1">
            <w:col w:w="11060"/>
          </w:cols>
          <w:pgMar w:left="320" w:top="454" w:right="519" w:bottom="1440" w:gutter="0" w:footer="0" w:header="0"/>
          <w:type w:val="continuous"/>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100"/>
        <w:spacing w:after="0" w:line="278" w:lineRule="auto"/>
        <w:rPr>
          <w:sz w:val="20"/>
          <w:szCs w:val="20"/>
          <w:color w:val="auto"/>
        </w:rPr>
      </w:pPr>
      <w:r>
        <w:rPr>
          <w:rFonts w:ascii="Times New Roman" w:cs="Times New Roman" w:eastAsia="Times New Roman" w:hAnsi="Times New Roman"/>
          <w:sz w:val="18"/>
          <w:szCs w:val="18"/>
          <w:color w:val="auto"/>
        </w:rPr>
        <w:t>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5"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We, our executive officers and directors, the selling stockholders and holders of substantially all of our common stock have agreed not to sell or transfer any common stock or securities convertible into, exchangeable for, exercisable for, or repayable with common stock, for 90 days after the date of this prospectus without first obtaining the written consent of the Representatives. Specifically, we and these other persons have agreed, with certain limited exceptions, not to directly or indirectly;</w:t>
      </w:r>
    </w:p>
    <w:p>
      <w:pPr>
        <w:spacing w:after="0" w:line="207" w:lineRule="exact"/>
        <w:rPr>
          <w:sz w:val="20"/>
          <w:szCs w:val="20"/>
          <w:color w:val="auto"/>
        </w:rPr>
      </w:pPr>
    </w:p>
    <w:p>
      <w:pPr>
        <w:ind w:left="1460" w:hanging="316"/>
        <w:spacing w:after="0"/>
        <w:tabs>
          <w:tab w:leader="none" w:pos="1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common stock,</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common stock,</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common stock,</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common stock,</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or otherwise dispose of or transfer any common stock,</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or make a confidential submission of a registration statement related to the common stock, or</w:t>
      </w:r>
    </w:p>
    <w:p>
      <w:pPr>
        <w:spacing w:after="0" w:line="247" w:lineRule="exact"/>
        <w:rPr>
          <w:rFonts w:ascii="Times New Roman" w:cs="Times New Roman" w:eastAsia="Times New Roman" w:hAnsi="Times New Roman"/>
          <w:sz w:val="18"/>
          <w:szCs w:val="18"/>
          <w:color w:val="auto"/>
        </w:rPr>
      </w:pPr>
    </w:p>
    <w:p>
      <w:pPr>
        <w:ind w:left="1460" w:right="300" w:hanging="316"/>
        <w:spacing w:after="0" w:line="308" w:lineRule="auto"/>
        <w:tabs>
          <w:tab w:leader="none" w:pos="14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40"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The Representatives in their sole discretion, may release the common stock subject to the lockup agreements in whole or in part at any time. At least three business days before the effectiveness of any release or waiver of any of the restrictions described above with respect to an officer or directors, the Representatives will notify us of the impended release or waiver and we have agreed to announce the impending release or waiver in accordance with applicable FINRA rules (which may include by press release through a major news service), except where the release or waiver is effected solely to permit a transfer of common stock that is not for consideration and where the transferee has agreed in writing to be bound by the same terms as the lock-up agreements described above to the extent and for the duration that such terms remain in effect at the time of transfer.</w:t>
      </w:r>
    </w:p>
    <w:p>
      <w:pPr>
        <w:spacing w:after="0" w:line="1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Each of our directors, executive officers and selling stockholders are subject to lock-up agreements that restrict their ability to sell or</w:t>
      </w:r>
    </w:p>
    <w:p>
      <w:pPr>
        <w:spacing w:after="0" w:line="26" w:lineRule="exact"/>
        <w:rPr>
          <w:sz w:val="20"/>
          <w:szCs w:val="20"/>
          <w:color w:val="auto"/>
        </w:rPr>
      </w:pPr>
    </w:p>
    <w:p>
      <w:pPr>
        <w:ind w:left="160" w:right="420"/>
        <w:spacing w:after="0" w:line="256" w:lineRule="auto"/>
        <w:rPr>
          <w:sz w:val="20"/>
          <w:szCs w:val="20"/>
          <w:color w:val="auto"/>
        </w:rPr>
      </w:pPr>
      <w:r>
        <w:rPr>
          <w:rFonts w:ascii="Times New Roman" w:cs="Times New Roman" w:eastAsia="Times New Roman" w:hAnsi="Times New Roman"/>
          <w:sz w:val="18"/>
          <w:szCs w:val="18"/>
          <w:color w:val="auto"/>
        </w:rPr>
        <w:t>transfer their shares until the later of 90 days after the date of this prospectus or , subject to certain exceptions. Each of our other security holders are subject to lock-up agreements that restrict their ability to sell or transfer their shares until , subject to certain exceptions.</w:t>
      </w:r>
    </w:p>
    <w:p>
      <w:pPr>
        <w:spacing w:after="0" w:line="182" w:lineRule="exact"/>
        <w:rPr>
          <w:sz w:val="20"/>
          <w:szCs w:val="20"/>
          <w:color w:val="auto"/>
        </w:rPr>
      </w:pPr>
    </w:p>
    <w:p>
      <w:pPr>
        <w:ind w:left="160" w:right="100" w:firstLine="873"/>
        <w:spacing w:after="0" w:line="270" w:lineRule="auto"/>
        <w:rPr>
          <w:sz w:val="20"/>
          <w:szCs w:val="20"/>
          <w:color w:val="auto"/>
        </w:rPr>
      </w:pPr>
      <w:r>
        <w:rPr>
          <w:rFonts w:ascii="Times New Roman" w:cs="Times New Roman" w:eastAsia="Times New Roman" w:hAnsi="Times New Roman"/>
          <w:sz w:val="17"/>
          <w:szCs w:val="17"/>
          <w:color w:val="auto"/>
        </w:rPr>
        <w:t>In connection with our IPO, we, our executive officers and directors and holders of substantially all of our common stock agreed not to sell or transfer any common stock or securities convertible into, exchangeable for, exercisable for, or repayable with common stock, for 180 days after the date of the prospectus without first obtaining the written consent of the Representatives. The Representatives intend to release the lock-up restrictions</w:t>
      </w:r>
    </w:p>
    <w:p>
      <w:pPr>
        <w:spacing w:after="0" w:line="1" w:lineRule="exact"/>
        <w:rPr>
          <w:sz w:val="20"/>
          <w:szCs w:val="20"/>
          <w:color w:val="auto"/>
        </w:rPr>
      </w:pPr>
    </w:p>
    <w:p>
      <w:pPr>
        <w:ind w:left="160"/>
        <w:spacing w:after="0"/>
        <w:tabs>
          <w:tab w:leader="none" w:pos="2000" w:val="left"/>
        </w:tabs>
        <w:rPr>
          <w:sz w:val="20"/>
          <w:szCs w:val="20"/>
          <w:color w:val="auto"/>
        </w:rPr>
      </w:pPr>
      <w:r>
        <w:rPr>
          <w:rFonts w:ascii="Times New Roman" w:cs="Times New Roman" w:eastAsia="Times New Roman" w:hAnsi="Times New Roman"/>
          <w:sz w:val="18"/>
          <w:szCs w:val="18"/>
          <w:color w:val="auto"/>
        </w:rPr>
        <w:t>with respect to</w:t>
      </w:r>
      <w:r>
        <w:rPr>
          <w:sz w:val="20"/>
          <w:szCs w:val="20"/>
          <w:color w:val="auto"/>
        </w:rPr>
        <w:tab/>
      </w:r>
      <w:r>
        <w:rPr>
          <w:rFonts w:ascii="Times New Roman" w:cs="Times New Roman" w:eastAsia="Times New Roman" w:hAnsi="Times New Roman"/>
          <w:sz w:val="17"/>
          <w:szCs w:val="17"/>
          <w:color w:val="auto"/>
        </w:rPr>
        <w:t>shares to be sold by the selling stockholders in this offering, which include</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60"/>
          </w:cols>
          <w:pgMar w:left="320" w:top="454" w:right="51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140"/>
        <w:spacing w:after="0" w:line="278" w:lineRule="auto"/>
        <w:rPr>
          <w:sz w:val="20"/>
          <w:szCs w:val="20"/>
          <w:color w:val="auto"/>
        </w:rPr>
      </w:pPr>
      <w:r>
        <w:rPr>
          <w:rFonts w:ascii="Times New Roman" w:cs="Times New Roman" w:eastAsia="Times New Roman" w:hAnsi="Times New Roman"/>
          <w:sz w:val="18"/>
          <w:szCs w:val="18"/>
          <w:color w:val="auto"/>
        </w:rPr>
        <w:t>certain of our employees, officers and directors. In addition, the Representatives have agreed to release approximately shares held by certain of our existing stockholders not participating in this offering for sale in the public market in connection with the consummation of this offering.</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“NCNO.”</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5" w:lineRule="exact"/>
        <w:rPr>
          <w:sz w:val="20"/>
          <w:szCs w:val="20"/>
          <w:color w:val="auto"/>
        </w:rPr>
      </w:pPr>
    </w:p>
    <w:p>
      <w:pPr>
        <w:ind w:left="160" w:right="320" w:firstLine="873"/>
        <w:spacing w:after="0" w:line="263"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75"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7" w:lineRule="exact"/>
        <w:rPr>
          <w:sz w:val="20"/>
          <w:szCs w:val="20"/>
          <w:color w:val="auto"/>
        </w:rPr>
      </w:pPr>
    </w:p>
    <w:p>
      <w:pPr>
        <w:ind w:left="160" w:right="100" w:firstLine="873"/>
        <w:spacing w:after="0" w:line="263"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5"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80" w:lineRule="exact"/>
        <w:rPr>
          <w:sz w:val="20"/>
          <w:szCs w:val="20"/>
          <w:color w:val="auto"/>
        </w:rPr>
      </w:pPr>
    </w:p>
    <w:p>
      <w:pPr>
        <w:ind w:left="160" w:right="200" w:firstLine="873"/>
        <w:spacing w:after="0" w:line="285"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e-mail.</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5" w:lineRule="exact"/>
        <w:rPr>
          <w:sz w:val="20"/>
          <w:szCs w:val="20"/>
          <w:color w:val="auto"/>
        </w:rPr>
      </w:pPr>
    </w:p>
    <w:p>
      <w:pPr>
        <w:ind w:left="160" w:right="260" w:firstLine="873"/>
        <w:spacing w:after="0" w:line="278"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including in some cases as our customers, in the ordinary</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80"/>
          </w:cols>
          <w:pgMar w:left="320" w:top="454" w:right="49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both"/>
        <w:ind w:left="160" w:right="160"/>
        <w:spacing w:after="0" w:line="263" w:lineRule="auto"/>
        <w:rPr>
          <w:sz w:val="20"/>
          <w:szCs w:val="20"/>
          <w:color w:val="auto"/>
        </w:rPr>
      </w:pPr>
      <w:r>
        <w:rPr>
          <w:rFonts w:ascii="Times New Roman" w:cs="Times New Roman" w:eastAsia="Times New Roman" w:hAnsi="Times New Roman"/>
          <w:sz w:val="18"/>
          <w:szCs w:val="18"/>
          <w:color w:val="auto"/>
        </w:rPr>
        <w:t>course of business with us or our affiliates. They or we, as applicable, have received, or may in the future receive, customary fees and/or commissions for these transactions. Furthermore, the underwriters also acted as underwriters in our IPO of 9,269,000 shares of common stock, which we completed on July 16, 2020.</w:t>
      </w:r>
    </w:p>
    <w:p>
      <w:pPr>
        <w:spacing w:after="0" w:line="175"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In addition, certain affiliates of the representatives are our customers and we have agreements with them in such capacity.</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European Economic Area and United Kingdom</w:t>
      </w:r>
    </w:p>
    <w:p>
      <w:pPr>
        <w:spacing w:after="0" w:line="225"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This prospectus is not a prospectus for the purposes of the Prospectus Regulation (as defined below). This prospectus and any offer if made subsequently is directed only at persons in Member States of the European Economic Area or in the United Kingdom (each, a “Relevant State”) who are “qualified investors” within the meaning of Article 2(e) of the Prospectus Regulation. This prospectus has been prepared on the basis that any offer of shares in any Relevant State will be made pursuant to an exemption under the Prospectus Regulation from the requirement to publish a prospectus for offers of shares. Accordingly any person making or intending to make an offer in that Relevant State of shares which are the subject of the offering contemplated in this prospectus may only do so in circumstances in which no obligation arises for the Company or any of the underwriters to publish a prospectus pursuant to Article 3 of the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 The expression “Prospectus Regulation” means Regulation (EU) 2017/1129.</w:t>
      </w:r>
    </w:p>
    <w:p>
      <w:pPr>
        <w:spacing w:after="0" w:line="192" w:lineRule="exact"/>
        <w:rPr>
          <w:sz w:val="20"/>
          <w:szCs w:val="20"/>
          <w:color w:val="auto"/>
        </w:rPr>
      </w:pPr>
    </w:p>
    <w:p>
      <w:pPr>
        <w:ind w:left="160" w:right="40" w:firstLine="873"/>
        <w:spacing w:after="0" w:line="278" w:lineRule="auto"/>
        <w:rPr>
          <w:sz w:val="20"/>
          <w:szCs w:val="20"/>
          <w:color w:val="auto"/>
        </w:rPr>
      </w:pPr>
      <w:r>
        <w:rPr>
          <w:rFonts w:ascii="Times New Roman" w:cs="Times New Roman" w:eastAsia="Times New Roman" w:hAnsi="Times New Roman"/>
          <w:sz w:val="18"/>
          <w:szCs w:val="18"/>
          <w:color w:val="auto"/>
        </w:rPr>
        <w:t>In relation to each Relevant State, no offer of shares which are the subject of the offering contemplated by this prospectus to the public may be made in that Relevant State other than:</w:t>
      </w:r>
    </w:p>
    <w:p>
      <w:pPr>
        <w:spacing w:after="0" w:line="189" w:lineRule="exact"/>
        <w:rPr>
          <w:sz w:val="20"/>
          <w:szCs w:val="20"/>
          <w:color w:val="auto"/>
        </w:rPr>
      </w:pPr>
    </w:p>
    <w:p>
      <w:pPr>
        <w:ind w:left="1460" w:hanging="423"/>
        <w:spacing w:after="0"/>
        <w:tabs>
          <w:tab w:leader="none" w:pos="1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247" w:lineRule="exact"/>
        <w:rPr>
          <w:rFonts w:ascii="Times New Roman" w:cs="Times New Roman" w:eastAsia="Times New Roman" w:hAnsi="Times New Roman"/>
          <w:sz w:val="18"/>
          <w:szCs w:val="18"/>
          <w:color w:val="auto"/>
        </w:rPr>
      </w:pPr>
    </w:p>
    <w:p>
      <w:pPr>
        <w:ind w:left="1460" w:hanging="423"/>
        <w:spacing w:after="0" w:line="278" w:lineRule="auto"/>
        <w:tabs>
          <w:tab w:leader="none" w:pos="1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relevant underwriter or underwriters nominated by the Company for any such offer; or</w:t>
      </w:r>
    </w:p>
    <w:p>
      <w:pPr>
        <w:spacing w:after="0" w:line="189" w:lineRule="exact"/>
        <w:rPr>
          <w:rFonts w:ascii="Times New Roman" w:cs="Times New Roman" w:eastAsia="Times New Roman" w:hAnsi="Times New Roman"/>
          <w:sz w:val="18"/>
          <w:szCs w:val="18"/>
          <w:color w:val="auto"/>
        </w:rPr>
      </w:pPr>
    </w:p>
    <w:p>
      <w:pPr>
        <w:ind w:left="1460" w:hanging="423"/>
        <w:spacing w:after="0"/>
        <w:tabs>
          <w:tab w:leader="none" w:pos="1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1" w:lineRule="exact"/>
        <w:rPr>
          <w:sz w:val="20"/>
          <w:szCs w:val="20"/>
          <w:color w:val="auto"/>
        </w:rPr>
      </w:pPr>
    </w:p>
    <w:p>
      <w:pPr>
        <w:ind w:left="160" w:right="440" w:firstLine="873"/>
        <w:spacing w:after="0" w:line="278" w:lineRule="auto"/>
        <w:rPr>
          <w:sz w:val="20"/>
          <w:szCs w:val="20"/>
          <w:color w:val="auto"/>
        </w:rPr>
      </w:pPr>
      <w:r>
        <w:rPr>
          <w:rFonts w:ascii="Times New Roman" w:cs="Times New Roman" w:eastAsia="Times New Roman" w:hAnsi="Times New Roman"/>
          <w:sz w:val="18"/>
          <w:szCs w:val="18"/>
          <w:color w:val="auto"/>
        </w:rPr>
        <w:t>provided that no such offer of shares shall require the Company or any underwriter to publish a prospectus pursuant to Article 3 of the Prospectus Regulation.</w:t>
      </w:r>
    </w:p>
    <w:p>
      <w:pPr>
        <w:spacing w:after="0" w:line="162" w:lineRule="exact"/>
        <w:rPr>
          <w:sz w:val="20"/>
          <w:szCs w:val="20"/>
          <w:color w:val="auto"/>
        </w:rPr>
      </w:pPr>
    </w:p>
    <w:p>
      <w:pPr>
        <w:jc w:val="both"/>
        <w:ind w:left="160" w:right="40" w:firstLine="873"/>
        <w:spacing w:after="0" w:line="263"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Relevant State means the communication in any form and by any means of sufficient information on the terms of the offer and the shares to be offered so as to enable an investor to decide to purchase or subscribe for the shares.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25" w:lineRule="exact"/>
        <w:rPr>
          <w:sz w:val="20"/>
          <w:szCs w:val="20"/>
          <w:color w:val="auto"/>
        </w:rPr>
      </w:pPr>
    </w:p>
    <w:p>
      <w:pPr>
        <w:ind w:left="160" w:right="200" w:firstLine="873"/>
        <w:spacing w:after="0" w:line="278" w:lineRule="auto"/>
        <w:rPr>
          <w:sz w:val="20"/>
          <w:szCs w:val="20"/>
          <w:color w:val="auto"/>
        </w:rPr>
      </w:pPr>
      <w:r>
        <w:rPr>
          <w:rFonts w:ascii="Times New Roman" w:cs="Times New Roman" w:eastAsia="Times New Roman" w:hAnsi="Times New Roman"/>
          <w:sz w:val="18"/>
          <w:szCs w:val="18"/>
          <w:color w:val="auto"/>
        </w:rPr>
        <w:t>This prospectus may not be distributed or circulated to any person in the United Kingdom other than to (i) persons who have professional experience in matters relating to investments falling within Article 19(5) of the</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40"/>
          </w:cols>
          <w:pgMar w:left="320" w:top="454" w:right="5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280"/>
        <w:spacing w:after="0" w:line="277" w:lineRule="auto"/>
        <w:rPr>
          <w:sz w:val="20"/>
          <w:szCs w:val="20"/>
          <w:color w:val="auto"/>
        </w:rPr>
      </w:pPr>
      <w:r>
        <w:rPr>
          <w:rFonts w:ascii="Times New Roman" w:cs="Times New Roman" w:eastAsia="Times New Roman" w:hAnsi="Times New Roman"/>
          <w:sz w:val="17"/>
          <w:szCs w:val="17"/>
          <w:color w:val="auto"/>
        </w:rPr>
        <w:t>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67" w:lineRule="exact"/>
        <w:rPr>
          <w:sz w:val="20"/>
          <w:szCs w:val="20"/>
          <w:color w:val="auto"/>
        </w:rPr>
      </w:pPr>
    </w:p>
    <w:p>
      <w:pPr>
        <w:ind w:left="160" w:right="200" w:firstLine="873"/>
        <w:spacing w:after="0" w:line="263" w:lineRule="auto"/>
        <w:rPr>
          <w:sz w:val="20"/>
          <w:szCs w:val="20"/>
          <w:color w:val="auto"/>
        </w:rPr>
      </w:pPr>
      <w:r>
        <w:rPr>
          <w:rFonts w:ascii="Times New Roman" w:cs="Times New Roman" w:eastAsia="Times New Roman" w:hAnsi="Times New Roman"/>
          <w:sz w:val="18"/>
          <w:szCs w:val="18"/>
          <w:color w:val="auto"/>
        </w:rPr>
        <w:t>Any invitation or inducement to engage in investment activity (within the meaning of Section 21 of the United Kingdom’s Financial Services and Markets Act 2000, as amended (the “FSMA”)) in connection with the issue or sale of the shares may only be communicated or caused to be communicated in circumstances in which Section 21(1) of the FSMA does not apply to the Company.</w:t>
      </w:r>
    </w:p>
    <w:p>
      <w:pPr>
        <w:spacing w:after="0" w:line="175" w:lineRule="exact"/>
        <w:rPr>
          <w:sz w:val="20"/>
          <w:szCs w:val="20"/>
          <w:color w:val="auto"/>
        </w:rPr>
      </w:pPr>
    </w:p>
    <w:p>
      <w:pPr>
        <w:ind w:left="160" w:right="40" w:firstLine="873"/>
        <w:spacing w:after="0" w:line="278" w:lineRule="auto"/>
        <w:rPr>
          <w:sz w:val="20"/>
          <w:szCs w:val="20"/>
          <w:color w:val="auto"/>
        </w:rPr>
      </w:pPr>
      <w:r>
        <w:rPr>
          <w:rFonts w:ascii="Times New Roman" w:cs="Times New Roman" w:eastAsia="Times New Roman" w:hAnsi="Times New Roman"/>
          <w:sz w:val="18"/>
          <w:szCs w:val="18"/>
          <w:color w:val="auto"/>
        </w:rPr>
        <w:t>All applicable provisions of the FSMA must be complied with in respect to anything done by any person in relation to the shares in, from or otherwise involving the United Kingdom.</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225"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4"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225" w:lineRule="exact"/>
        <w:rPr>
          <w:sz w:val="20"/>
          <w:szCs w:val="20"/>
          <w:color w:val="auto"/>
        </w:rPr>
      </w:pPr>
    </w:p>
    <w:p>
      <w:pPr>
        <w:ind w:left="160" w:right="100" w:firstLine="873"/>
        <w:spacing w:after="0" w:line="253"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225" w:lineRule="exact"/>
        <w:rPr>
          <w:sz w:val="20"/>
          <w:szCs w:val="20"/>
          <w:color w:val="auto"/>
        </w:rPr>
      </w:pPr>
    </w:p>
    <w:p>
      <w:pPr>
        <w:jc w:val="both"/>
        <w:ind w:left="160" w:right="440" w:firstLine="873"/>
        <w:spacing w:after="0" w:line="258"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54" w:right="49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left="160" w:right="40" w:firstLine="873"/>
        <w:spacing w:after="0" w:line="258"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jc w:val="both"/>
        <w:ind w:left="160" w:right="100" w:firstLine="873"/>
        <w:spacing w:after="0" w:line="258"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5"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5"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5"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60"/>
          </w:cols>
          <w:pgMar w:left="320" w:top="454" w:right="51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both"/>
        <w:ind w:left="160" w:right="100"/>
        <w:spacing w:after="0" w:line="285" w:lineRule="auto"/>
        <w:rPr>
          <w:sz w:val="20"/>
          <w:szCs w:val="20"/>
          <w:color w:val="auto"/>
        </w:rPr>
      </w:pPr>
      <w:r>
        <w:rPr>
          <w:rFonts w:ascii="Times New Roman" w:cs="Times New Roman" w:eastAsia="Times New Roman" w:hAnsi="Times New Roman"/>
          <w:sz w:val="17"/>
          <w:szCs w:val="17"/>
          <w:color w:val="auto"/>
        </w:rPr>
        <w:t>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248" w:lineRule="exact"/>
        <w:rPr>
          <w:sz w:val="20"/>
          <w:szCs w:val="20"/>
          <w:color w:val="auto"/>
        </w:rPr>
      </w:pPr>
    </w:p>
    <w:p>
      <w:pPr>
        <w:ind w:left="1460" w:right="300" w:hanging="423"/>
        <w:spacing w:after="0" w:line="308" w:lineRule="auto"/>
        <w:tabs>
          <w:tab w:leader="none" w:pos="14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Times New Roman" w:cs="Times New Roman" w:eastAsia="Times New Roman" w:hAnsi="Times New Roman"/>
          <w:sz w:val="17"/>
          <w:szCs w:val="17"/>
          <w:color w:val="auto"/>
        </w:rPr>
      </w:pPr>
    </w:p>
    <w:p>
      <w:pPr>
        <w:ind w:left="1460" w:right="120" w:hanging="423"/>
        <w:spacing w:after="0" w:line="278" w:lineRule="auto"/>
        <w:tabs>
          <w:tab w:leader="none" w:pos="1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02" w:lineRule="exact"/>
        <w:rPr>
          <w:sz w:val="20"/>
          <w:szCs w:val="20"/>
          <w:color w:val="auto"/>
        </w:rPr>
      </w:pPr>
    </w:p>
    <w:p>
      <w:pPr>
        <w:ind w:left="1460" w:right="880" w:hanging="423"/>
        <w:spacing w:after="0" w:line="278" w:lineRule="auto"/>
        <w:tabs>
          <w:tab w:leader="none" w:pos="1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189" w:lineRule="exact"/>
        <w:rPr>
          <w:rFonts w:ascii="Times New Roman" w:cs="Times New Roman" w:eastAsia="Times New Roman" w:hAnsi="Times New Roman"/>
          <w:sz w:val="18"/>
          <w:szCs w:val="18"/>
          <w:color w:val="auto"/>
        </w:rPr>
      </w:pPr>
    </w:p>
    <w:p>
      <w:pPr>
        <w:ind w:left="1460" w:hanging="423"/>
        <w:spacing w:after="0"/>
        <w:tabs>
          <w:tab w:leader="none" w:pos="1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47" w:lineRule="exact"/>
        <w:rPr>
          <w:rFonts w:ascii="Times New Roman" w:cs="Times New Roman" w:eastAsia="Times New Roman" w:hAnsi="Times New Roman"/>
          <w:sz w:val="18"/>
          <w:szCs w:val="18"/>
          <w:color w:val="auto"/>
        </w:rPr>
      </w:pPr>
    </w:p>
    <w:p>
      <w:pPr>
        <w:ind w:left="1460" w:hanging="423"/>
        <w:spacing w:after="0"/>
        <w:tabs>
          <w:tab w:leader="none" w:pos="1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247" w:lineRule="exact"/>
        <w:rPr>
          <w:rFonts w:ascii="Times New Roman" w:cs="Times New Roman" w:eastAsia="Times New Roman" w:hAnsi="Times New Roman"/>
          <w:sz w:val="18"/>
          <w:szCs w:val="18"/>
          <w:color w:val="auto"/>
        </w:rPr>
      </w:pPr>
    </w:p>
    <w:p>
      <w:pPr>
        <w:ind w:left="1460" w:hanging="423"/>
        <w:spacing w:after="0"/>
        <w:tabs>
          <w:tab w:leader="none" w:pos="1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221" w:lineRule="exact"/>
        <w:rPr>
          <w:sz w:val="20"/>
          <w:szCs w:val="20"/>
          <w:color w:val="auto"/>
        </w:rPr>
      </w:pPr>
    </w:p>
    <w:p>
      <w:pPr>
        <w:jc w:val="both"/>
        <w:ind w:left="160" w:right="60" w:firstLine="873"/>
        <w:spacing w:after="0" w:line="285" w:lineRule="auto"/>
        <w:rPr>
          <w:sz w:val="20"/>
          <w:szCs w:val="20"/>
          <w:color w:val="auto"/>
        </w:rPr>
      </w:pPr>
      <w:r>
        <w:rPr>
          <w:rFonts w:ascii="Times New Roman" w:cs="Times New Roman" w:eastAsia="Times New Roman" w:hAnsi="Times New Roman"/>
          <w:sz w:val="17"/>
          <w:szCs w:val="17"/>
          <w:color w:val="auto"/>
        </w:rPr>
        <w:t>Notification under Section 309B of the Securities and Futures Act, Chapter 289 of Singapore: The securities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5"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color w:val="auto"/>
        </w:rPr>
        <w:t xml:space="preserve">The securities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60" w:right="140" w:firstLine="873"/>
        <w:spacing w:after="0" w:line="277"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5" w:lineRule="exact"/>
        <w:rPr>
          <w:sz w:val="20"/>
          <w:szCs w:val="20"/>
          <w:color w:val="auto"/>
        </w:rPr>
      </w:pPr>
    </w:p>
    <w:p>
      <w:pPr>
        <w:ind w:left="160" w:right="200" w:firstLine="873"/>
        <w:spacing w:after="0" w:line="280"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0"/>
          </w:cols>
          <w:pgMar w:left="320" w:top="454" w:right="57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Israel</w:t>
      </w:r>
    </w:p>
    <w:p>
      <w:pPr>
        <w:spacing w:after="0" w:line="225"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This document does not constitute a prospectus approved by the Israeli Securities Authority. The securities are being offered in Israel solely to investors in the categories listed in the First Addendum to the Israeli Securities Law—1968, and possibly to a limited number of other investors, in all cases under circumstances that do not constitute an “offering to the public” under the Securities Law – 1968. This document may not be reproduced or used for any other purpose or furnished to any other person other than those to whom copies have been sent.</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40"/>
          </w:cols>
          <w:pgMar w:left="320" w:top="454" w:right="5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Certain legal matters with respect to U.S. federal law in connection with this offering will be passed upon for us by Sidley Austin LLP.</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Certain legal matters related to this offering will be passed upon for the underwriters by Ropes &amp; Gray LLP.</w:t>
      </w:r>
    </w:p>
    <w:p>
      <w:pPr>
        <w:spacing w:after="0" w:line="1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160" w:right="100" w:firstLine="873"/>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nCino, Inc. at January 31, 2019 and 2020, and for each of the three years in the period ended January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5"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 website that contains reports, proxy statements and other information about issuers, like us, that file electronically with the SEC. The address of that website is www.sec.gov.</w:t>
      </w:r>
    </w:p>
    <w:p>
      <w:pPr>
        <w:spacing w:after="0" w:line="192"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Our periodic reports, proxy statements and other information is available for inspection and copying at the SEC’s public reference facilities and the website of the SEC referred to above. We also maintain a website at www.ncino.com.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80"/>
          </w:cols>
          <w:pgMar w:left="320" w:top="454" w:right="59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76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141">
              <w:r>
                <w:rPr>
                  <w:rFonts w:ascii="Times New Roman" w:cs="Times New Roman" w:eastAsia="Times New Roman" w:hAnsi="Times New Roman"/>
                  <w:sz w:val="18"/>
                  <w:szCs w:val="18"/>
                  <w:u w:val="single" w:color="auto"/>
                  <w:color w:val="0000EE"/>
                </w:rPr>
                <w:t>Report of Independent Registered Public Accounting Firm</w:t>
              </w:r>
            </w:hyperlink>
          </w:p>
        </w:tc>
        <w:tc>
          <w:tcPr>
            <w:tcW w:w="580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26"/>
        </w:trPr>
        <w:tc>
          <w:tcPr>
            <w:tcW w:w="4760" w:type="dxa"/>
            <w:vAlign w:val="bottom"/>
            <w:vMerge w:val="continue"/>
          </w:tcPr>
          <w:p>
            <w:pPr>
              <w:spacing w:after="0"/>
              <w:rPr>
                <w:sz w:val="19"/>
                <w:szCs w:val="19"/>
                <w:color w:val="auto"/>
              </w:rPr>
            </w:pPr>
          </w:p>
        </w:tc>
        <w:tc>
          <w:tcPr>
            <w:tcW w:w="580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760" w:type="dxa"/>
            <w:vAlign w:val="bottom"/>
          </w:tcPr>
          <w:p>
            <w:pPr>
              <w:ind w:left="360"/>
              <w:spacing w:after="0"/>
              <w:rPr>
                <w:rFonts w:ascii="Times New Roman" w:cs="Times New Roman" w:eastAsia="Times New Roman" w:hAnsi="Times New Roman"/>
                <w:sz w:val="18"/>
                <w:szCs w:val="18"/>
                <w:u w:val="single" w:color="auto"/>
                <w:color w:val="0000EE"/>
              </w:rPr>
            </w:pPr>
            <w:hyperlink w:anchor="page142">
              <w:r>
                <w:rPr>
                  <w:rFonts w:ascii="Times New Roman" w:cs="Times New Roman" w:eastAsia="Times New Roman" w:hAnsi="Times New Roman"/>
                  <w:sz w:val="18"/>
                  <w:szCs w:val="18"/>
                  <w:u w:val="single" w:color="auto"/>
                  <w:color w:val="0000EE"/>
                </w:rPr>
                <w:t>Consolidated Balance Sheets</w:t>
              </w:r>
            </w:hyperlink>
          </w:p>
        </w:tc>
        <w:tc>
          <w:tcPr>
            <w:tcW w:w="58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4"/>
        </w:trPr>
        <w:tc>
          <w:tcPr>
            <w:tcW w:w="4760" w:type="dxa"/>
            <w:vAlign w:val="bottom"/>
          </w:tcPr>
          <w:p>
            <w:pPr>
              <w:ind w:left="360"/>
              <w:spacing w:after="0"/>
              <w:rPr>
                <w:rFonts w:ascii="Times New Roman" w:cs="Times New Roman" w:eastAsia="Times New Roman" w:hAnsi="Times New Roman"/>
                <w:sz w:val="18"/>
                <w:szCs w:val="18"/>
                <w:u w:val="single" w:color="auto"/>
                <w:color w:val="0000EE"/>
              </w:rPr>
            </w:pPr>
            <w:hyperlink w:anchor="page143">
              <w:r>
                <w:rPr>
                  <w:rFonts w:ascii="Times New Roman" w:cs="Times New Roman" w:eastAsia="Times New Roman" w:hAnsi="Times New Roman"/>
                  <w:sz w:val="18"/>
                  <w:szCs w:val="18"/>
                  <w:u w:val="single" w:color="auto"/>
                  <w:color w:val="0000EE"/>
                </w:rPr>
                <w:t>Consolidated Statements of Operations</w:t>
              </w:r>
            </w:hyperlink>
          </w:p>
        </w:tc>
        <w:tc>
          <w:tcPr>
            <w:tcW w:w="58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14"/>
        </w:trPr>
        <w:tc>
          <w:tcPr>
            <w:tcW w:w="4760" w:type="dxa"/>
            <w:vAlign w:val="bottom"/>
          </w:tcPr>
          <w:p>
            <w:pPr>
              <w:ind w:left="360"/>
              <w:spacing w:after="0"/>
              <w:rPr>
                <w:rFonts w:ascii="Times New Roman" w:cs="Times New Roman" w:eastAsia="Times New Roman" w:hAnsi="Times New Roman"/>
                <w:sz w:val="18"/>
                <w:szCs w:val="18"/>
                <w:u w:val="single" w:color="auto"/>
                <w:color w:val="0000EE"/>
              </w:rPr>
            </w:pPr>
            <w:hyperlink w:anchor="page144">
              <w:r>
                <w:rPr>
                  <w:rFonts w:ascii="Times New Roman" w:cs="Times New Roman" w:eastAsia="Times New Roman" w:hAnsi="Times New Roman"/>
                  <w:sz w:val="18"/>
                  <w:szCs w:val="18"/>
                  <w:u w:val="single" w:color="auto"/>
                  <w:color w:val="0000EE"/>
                </w:rPr>
                <w:t>Consolidated Statements of Comprehensive Loss</w:t>
              </w:r>
            </w:hyperlink>
          </w:p>
        </w:tc>
        <w:tc>
          <w:tcPr>
            <w:tcW w:w="58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4"/>
        </w:trPr>
        <w:tc>
          <w:tcPr>
            <w:tcW w:w="4760" w:type="dxa"/>
            <w:vAlign w:val="bottom"/>
          </w:tcPr>
          <w:p>
            <w:pPr>
              <w:ind w:left="360"/>
              <w:spacing w:after="0"/>
              <w:rPr>
                <w:rFonts w:ascii="Times New Roman" w:cs="Times New Roman" w:eastAsia="Times New Roman" w:hAnsi="Times New Roman"/>
                <w:sz w:val="18"/>
                <w:szCs w:val="18"/>
                <w:u w:val="single" w:color="auto"/>
                <w:color w:val="0000EE"/>
              </w:rPr>
            </w:pPr>
            <w:hyperlink w:anchor="page145">
              <w:r>
                <w:rPr>
                  <w:rFonts w:ascii="Times New Roman" w:cs="Times New Roman" w:eastAsia="Times New Roman" w:hAnsi="Times New Roman"/>
                  <w:sz w:val="18"/>
                  <w:szCs w:val="18"/>
                  <w:u w:val="single" w:color="auto"/>
                  <w:color w:val="0000EE"/>
                </w:rPr>
                <w:t>Consolidated Statements of Stockholders’ Equity</w:t>
              </w:r>
            </w:hyperlink>
          </w:p>
        </w:tc>
        <w:tc>
          <w:tcPr>
            <w:tcW w:w="58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14"/>
        </w:trPr>
        <w:tc>
          <w:tcPr>
            <w:tcW w:w="4760" w:type="dxa"/>
            <w:vAlign w:val="bottom"/>
          </w:tcPr>
          <w:p>
            <w:pPr>
              <w:ind w:left="360"/>
              <w:spacing w:after="0"/>
              <w:rPr>
                <w:rFonts w:ascii="Times New Roman" w:cs="Times New Roman" w:eastAsia="Times New Roman" w:hAnsi="Times New Roman"/>
                <w:sz w:val="18"/>
                <w:szCs w:val="18"/>
                <w:u w:val="single" w:color="auto"/>
                <w:color w:val="0000EE"/>
              </w:rPr>
            </w:pPr>
            <w:hyperlink w:anchor="page146">
              <w:r>
                <w:rPr>
                  <w:rFonts w:ascii="Times New Roman" w:cs="Times New Roman" w:eastAsia="Times New Roman" w:hAnsi="Times New Roman"/>
                  <w:sz w:val="18"/>
                  <w:szCs w:val="18"/>
                  <w:u w:val="single" w:color="auto"/>
                  <w:color w:val="0000EE"/>
                </w:rPr>
                <w:t>Consolidated Statements of Cash Flows</w:t>
              </w:r>
            </w:hyperlink>
          </w:p>
        </w:tc>
        <w:tc>
          <w:tcPr>
            <w:tcW w:w="58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33"/>
        </w:trPr>
        <w:tc>
          <w:tcPr>
            <w:tcW w:w="4760" w:type="dxa"/>
            <w:vAlign w:val="bottom"/>
          </w:tcPr>
          <w:p>
            <w:pPr>
              <w:ind w:left="360"/>
              <w:spacing w:after="0"/>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Notes to Consolidated Financial Statements</w:t>
              </w:r>
            </w:hyperlink>
          </w:p>
        </w:tc>
        <w:tc>
          <w:tcPr>
            <w:tcW w:w="580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361"/>
        </w:trPr>
        <w:tc>
          <w:tcPr>
            <w:tcW w:w="4760" w:type="dxa"/>
            <w:vAlign w:val="bottom"/>
          </w:tcPr>
          <w:p>
            <w:pPr>
              <w:spacing w:after="0"/>
              <w:rPr>
                <w:sz w:val="24"/>
                <w:szCs w:val="24"/>
                <w:color w:val="auto"/>
              </w:rPr>
            </w:pPr>
          </w:p>
        </w:tc>
        <w:tc>
          <w:tcPr>
            <w:tcW w:w="6120" w:type="dxa"/>
            <w:vAlign w:val="bottom"/>
            <w:gridSpan w:val="3"/>
          </w:tcPr>
          <w:p>
            <w:pPr>
              <w:jc w:val="right"/>
              <w:ind w:right="530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020"/>
          </w:cols>
          <w:pgMar w:left="320" w:top="454" w:right="5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 the Stockholders and the Board of Directors of nCino, Inc.</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18"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nCino, Inc. as of January 31, 2019 and 2020, the related consolidated statements of operations, comprehensive loss, stockholders’ equity and cash flows for each of the three years in the period ended January 31, 2020, and the related notes (collectively referred to as the “consolidated financial statements”). In our opinion, the consolidated financial statements present fairly, in all material respects, the financial position of the Company at January 31, 2019 and 2020, and the results of its operations and its cash flows for each of the three years in the period ended January 31, 2020, in conformity with U.S. generally accepted accounting principles.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Adoption of ASU No. 2014-09</w:t>
      </w:r>
    </w:p>
    <w:p>
      <w:pPr>
        <w:spacing w:after="0" w:line="118" w:lineRule="exact"/>
        <w:rPr>
          <w:sz w:val="20"/>
          <w:szCs w:val="20"/>
          <w:color w:val="auto"/>
        </w:rPr>
      </w:pPr>
    </w:p>
    <w:p>
      <w:pPr>
        <w:jc w:val="both"/>
        <w:ind w:left="160" w:right="60"/>
        <w:spacing w:after="0" w:line="308" w:lineRule="auto"/>
        <w:rPr>
          <w:sz w:val="20"/>
          <w:szCs w:val="20"/>
          <w:color w:val="auto"/>
        </w:rPr>
      </w:pPr>
      <w:r>
        <w:rPr>
          <w:rFonts w:ascii="Times New Roman" w:cs="Times New Roman" w:eastAsia="Times New Roman" w:hAnsi="Times New Roman"/>
          <w:sz w:val="17"/>
          <w:szCs w:val="17"/>
          <w:color w:val="auto"/>
        </w:rPr>
        <w:t>As discussed in Note 2 to the consolidated financial statements, the Company changed its method of accounting for revenue recognition in 2019 due to the adoption of Accounting Standards Update (ASU) No. 2014-09, Revenue from Contracts with Customers (Topic 606), and the related amendments.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8" w:lineRule="exact"/>
        <w:rPr>
          <w:sz w:val="20"/>
          <w:szCs w:val="20"/>
          <w:color w:val="auto"/>
        </w:rPr>
      </w:pPr>
    </w:p>
    <w:p>
      <w:pPr>
        <w:ind w:left="160" w:right="20"/>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April 17, 2020</w:t>
      </w:r>
    </w:p>
    <w:p>
      <w:pPr>
        <w:spacing w:after="0" w:line="1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00"/>
          </w:cols>
          <w:pgMar w:left="320" w:top="454" w:right="57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of January 31, 2019 and 2020</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960" w:type="dxa"/>
            <w:vAlign w:val="bottom"/>
          </w:tcPr>
          <w:p>
            <w:pPr>
              <w:spacing w:after="0"/>
              <w:rPr>
                <w:sz w:val="13"/>
                <w:szCs w:val="13"/>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2"/>
        </w:trPr>
        <w:tc>
          <w:tcPr>
            <w:tcW w:w="89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181"/>
        </w:trPr>
        <w:tc>
          <w:tcPr>
            <w:tcW w:w="8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1"/>
        </w:trPr>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 (VIE: $0 and $8,892 at January 31, 2019 and 2020, respectively)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74,347</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91,184</w:t>
            </w:r>
          </w:p>
        </w:tc>
      </w:tr>
      <w:tr>
        <w:trPr>
          <w:trHeight w:val="201"/>
        </w:trPr>
        <w:tc>
          <w:tcPr>
            <w:tcW w:w="8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less allowance for doubtful accounts of $123 and $0 at January 31, 2019 and 2020, respectively</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25,495</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34,205</w:t>
            </w:r>
          </w:p>
        </w:tc>
      </w:tr>
      <w:tr>
        <w:trPr>
          <w:trHeight w:val="201"/>
        </w:trPr>
        <w:tc>
          <w:tcPr>
            <w:tcW w:w="8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 related parties</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4,334</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9,201</w:t>
            </w:r>
          </w:p>
        </w:tc>
      </w:tr>
      <w:tr>
        <w:trPr>
          <w:trHeight w:val="201"/>
        </w:trPr>
        <w:tc>
          <w:tcPr>
            <w:tcW w:w="8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Costs capitalized to obtain revenue contracts, current portion, net</w:t>
            </w:r>
          </w:p>
        </w:tc>
        <w:tc>
          <w:tcPr>
            <w:tcW w:w="120" w:type="dxa"/>
            <w:vAlign w:val="bottom"/>
          </w:tcPr>
          <w:p>
            <w:pPr>
              <w:spacing w:after="0"/>
              <w:rPr>
                <w:sz w:val="17"/>
                <w:szCs w:val="17"/>
                <w:color w:val="auto"/>
              </w:rPr>
            </w:pPr>
          </w:p>
        </w:tc>
        <w:tc>
          <w:tcPr>
            <w:tcW w:w="102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3,608</w:t>
            </w:r>
          </w:p>
        </w:tc>
      </w:tr>
      <w:tr>
        <w:trPr>
          <w:trHeight w:val="201"/>
        </w:trPr>
        <w:tc>
          <w:tcPr>
            <w:tcW w:w="8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4,991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7,079</w:t>
            </w:r>
          </w:p>
        </w:tc>
      </w:tr>
      <w:tr>
        <w:trPr>
          <w:trHeight w:val="214"/>
        </w:trPr>
        <w:tc>
          <w:tcPr>
            <w:tcW w:w="89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109,167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145,277</w:t>
            </w:r>
          </w:p>
        </w:tc>
        <w:tc>
          <w:tcPr>
            <w:tcW w:w="100" w:type="dxa"/>
            <w:vAlign w:val="bottom"/>
          </w:tcPr>
          <w:p>
            <w:pPr>
              <w:spacing w:after="0"/>
              <w:rPr>
                <w:sz w:val="18"/>
                <w:szCs w:val="18"/>
                <w:color w:val="auto"/>
              </w:rPr>
            </w:pPr>
          </w:p>
        </w:tc>
      </w:tr>
      <w:tr>
        <w:trPr>
          <w:trHeight w:val="201"/>
        </w:trPr>
        <w:tc>
          <w:tcPr>
            <w:tcW w:w="8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10,406</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13,477</w:t>
            </w:r>
          </w:p>
        </w:tc>
      </w:tr>
      <w:tr>
        <w:trPr>
          <w:trHeight w:val="201"/>
        </w:trPr>
        <w:tc>
          <w:tcPr>
            <w:tcW w:w="8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Costs capitalized to obtain revenue contracts, noncurrent, net</w:t>
            </w:r>
          </w:p>
        </w:tc>
        <w:tc>
          <w:tcPr>
            <w:tcW w:w="120" w:type="dxa"/>
            <w:vAlign w:val="bottom"/>
          </w:tcPr>
          <w:p>
            <w:pPr>
              <w:spacing w:after="0"/>
              <w:rPr>
                <w:sz w:val="17"/>
                <w:szCs w:val="17"/>
                <w:color w:val="auto"/>
              </w:rPr>
            </w:pPr>
          </w:p>
        </w:tc>
        <w:tc>
          <w:tcPr>
            <w:tcW w:w="102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7,000</w:t>
            </w:r>
          </w:p>
        </w:tc>
      </w:tr>
      <w:tr>
        <w:trPr>
          <w:trHeight w:val="201"/>
        </w:trPr>
        <w:tc>
          <w:tcPr>
            <w:tcW w:w="8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55,840</w:t>
            </w:r>
          </w:p>
        </w:tc>
      </w:tr>
      <w:tr>
        <w:trPr>
          <w:trHeight w:val="201"/>
        </w:trPr>
        <w:tc>
          <w:tcPr>
            <w:tcW w:w="8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17"/>
                <w:szCs w:val="17"/>
                <w:color w:val="auto"/>
              </w:rPr>
            </w:pPr>
          </w:p>
        </w:tc>
        <w:tc>
          <w:tcPr>
            <w:tcW w:w="102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26,093</w:t>
            </w:r>
          </w:p>
        </w:tc>
      </w:tr>
      <w:tr>
        <w:trPr>
          <w:trHeight w:val="201"/>
        </w:trPr>
        <w:tc>
          <w:tcPr>
            <w:tcW w:w="8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long-term assets</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393</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2,464</w:t>
            </w:r>
          </w:p>
        </w:tc>
      </w:tr>
      <w:tr>
        <w:trPr>
          <w:trHeight w:val="205"/>
        </w:trPr>
        <w:tc>
          <w:tcPr>
            <w:tcW w:w="89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119,966</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250,151</w:t>
            </w:r>
          </w:p>
        </w:tc>
        <w:tc>
          <w:tcPr>
            <w:tcW w:w="100" w:type="dxa"/>
            <w:vAlign w:val="bottom"/>
          </w:tcPr>
          <w:p>
            <w:pPr>
              <w:spacing w:after="0"/>
              <w:rPr>
                <w:sz w:val="17"/>
                <w:szCs w:val="17"/>
                <w:color w:val="auto"/>
              </w:rPr>
            </w:pPr>
          </w:p>
        </w:tc>
      </w:tr>
      <w:tr>
        <w:trPr>
          <w:trHeight w:val="20"/>
        </w:trPr>
        <w:tc>
          <w:tcPr>
            <w:tcW w:w="8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 and Stockholders’ Equity</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1,219</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1,258</w:t>
            </w:r>
          </w:p>
        </w:tc>
      </w:tr>
      <w:tr>
        <w:trPr>
          <w:trHeight w:val="201"/>
        </w:trPr>
        <w:tc>
          <w:tcPr>
            <w:tcW w:w="8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 related parties</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2,224</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3,408</w:t>
            </w:r>
          </w:p>
        </w:tc>
      </w:tr>
      <w:tr>
        <w:trPr>
          <w:trHeight w:val="201"/>
        </w:trPr>
        <w:tc>
          <w:tcPr>
            <w:tcW w:w="8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commissions</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5,164</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7,862</w:t>
            </w:r>
          </w:p>
        </w:tc>
      </w:tr>
      <w:tr>
        <w:trPr>
          <w:trHeight w:val="201"/>
        </w:trPr>
        <w:tc>
          <w:tcPr>
            <w:tcW w:w="8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accrued expenses</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2,694</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4,922</w:t>
            </w:r>
          </w:p>
        </w:tc>
      </w:tr>
      <w:tr>
        <w:trPr>
          <w:trHeight w:val="201"/>
        </w:trPr>
        <w:tc>
          <w:tcPr>
            <w:tcW w:w="8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rent, current portion</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183</w:t>
            </w:r>
          </w:p>
        </w:tc>
      </w:tr>
      <w:tr>
        <w:trPr>
          <w:trHeight w:val="201"/>
        </w:trPr>
        <w:tc>
          <w:tcPr>
            <w:tcW w:w="8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34,172</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50,929</w:t>
            </w:r>
          </w:p>
        </w:tc>
      </w:tr>
      <w:tr>
        <w:trPr>
          <w:trHeight w:val="201"/>
        </w:trPr>
        <w:tc>
          <w:tcPr>
            <w:tcW w:w="8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revenue, current portion, related parties</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6,936</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8,013</w:t>
            </w:r>
          </w:p>
        </w:tc>
      </w:tr>
      <w:tr>
        <w:trPr>
          <w:trHeight w:val="205"/>
        </w:trPr>
        <w:tc>
          <w:tcPr>
            <w:tcW w:w="89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52,409</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76,575</w:t>
            </w:r>
          </w:p>
        </w:tc>
        <w:tc>
          <w:tcPr>
            <w:tcW w:w="100" w:type="dxa"/>
            <w:vAlign w:val="bottom"/>
          </w:tcPr>
          <w:p>
            <w:pPr>
              <w:spacing w:after="0"/>
              <w:rPr>
                <w:sz w:val="17"/>
                <w:szCs w:val="17"/>
                <w:color w:val="auto"/>
              </w:rPr>
            </w:pPr>
          </w:p>
        </w:tc>
      </w:tr>
      <w:tr>
        <w:trPr>
          <w:trHeight w:val="203"/>
        </w:trPr>
        <w:tc>
          <w:tcPr>
            <w:tcW w:w="8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income taxes, noncurrent</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194</w:t>
            </w:r>
          </w:p>
        </w:tc>
      </w:tr>
      <w:tr>
        <w:trPr>
          <w:trHeight w:val="201"/>
        </w:trPr>
        <w:tc>
          <w:tcPr>
            <w:tcW w:w="8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rent, noncurrent</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696</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1,558</w:t>
            </w:r>
          </w:p>
        </w:tc>
      </w:tr>
      <w:tr>
        <w:trPr>
          <w:trHeight w:val="201"/>
        </w:trPr>
        <w:tc>
          <w:tcPr>
            <w:tcW w:w="8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825</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8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Pr>
          <w:p>
            <w:pPr>
              <w:spacing w:after="0"/>
              <w:rPr>
                <w:sz w:val="17"/>
                <w:szCs w:val="17"/>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195</w:t>
            </w:r>
          </w:p>
        </w:tc>
      </w:tr>
      <w:tr>
        <w:trPr>
          <w:trHeight w:val="27"/>
        </w:trPr>
        <w:tc>
          <w:tcPr>
            <w:tcW w:w="8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8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53,930</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78,522</w:t>
            </w:r>
          </w:p>
        </w:tc>
      </w:tr>
      <w:tr>
        <w:trPr>
          <w:trHeight w:val="202"/>
        </w:trPr>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(Notes 9, 14 and 15)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Redeemable non-controlling interest (Note 3)</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4,356</w:t>
            </w:r>
          </w:p>
        </w:tc>
      </w:tr>
      <w:tr>
        <w:trPr>
          <w:trHeight w:val="201"/>
        </w:trPr>
        <w:tc>
          <w:tcPr>
            <w:tcW w:w="896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Preferred stock, $0.001 par value; 1,000,000 shares authorized and none issued and outstanding</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8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Voting common stock, $0.0005 par value; 89,708,247 and 99,708,247 shares authorized as of January 31, 2019 and 2020,</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89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respectively; 70,186,189 and 75,596,007 shares issued and outstanding as of January 31, 2019 and 2020, respectively</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w:t>
            </w:r>
          </w:p>
        </w:tc>
      </w:tr>
      <w:tr>
        <w:trPr>
          <w:trHeight w:val="189"/>
        </w:trPr>
        <w:tc>
          <w:tcPr>
            <w:tcW w:w="8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Non-voting common stock, $0.0005 par value; 10,291,753 shares authorized as of January 31, 2019 and 2020; 5,701,435 and</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8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5,931,319 shares issued and outstanding as of January 31, 2019 and 2020, respectively</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r>
      <w:tr>
        <w:trPr>
          <w:trHeight w:val="201"/>
        </w:trPr>
        <w:tc>
          <w:tcPr>
            <w:tcW w:w="8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170,771</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288,564</w:t>
            </w:r>
          </w:p>
        </w:tc>
      </w:tr>
      <w:tr>
        <w:trPr>
          <w:trHeight w:val="201"/>
        </w:trPr>
        <w:tc>
          <w:tcPr>
            <w:tcW w:w="8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(408)</w:t>
            </w:r>
          </w:p>
        </w:tc>
      </w:tr>
      <w:tr>
        <w:trPr>
          <w:trHeight w:val="201"/>
        </w:trPr>
        <w:tc>
          <w:tcPr>
            <w:tcW w:w="8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Pr>
          <w:p>
            <w:pPr>
              <w:spacing w:after="0"/>
              <w:rPr>
                <w:sz w:val="17"/>
                <w:szCs w:val="17"/>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(104,752)</w:t>
            </w: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(120,924)</w:t>
            </w:r>
          </w:p>
        </w:tc>
      </w:tr>
      <w:tr>
        <w:trPr>
          <w:trHeight w:val="27"/>
        </w:trPr>
        <w:tc>
          <w:tcPr>
            <w:tcW w:w="8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8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66,036</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167,273</w:t>
            </w:r>
          </w:p>
        </w:tc>
      </w:tr>
      <w:tr>
        <w:trPr>
          <w:trHeight w:val="205"/>
        </w:trPr>
        <w:tc>
          <w:tcPr>
            <w:tcW w:w="89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Total liabilities, redeemable non-controlling interest, and stockholders’ equity</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119,966</w:t>
            </w:r>
          </w:p>
        </w:tc>
        <w:tc>
          <w:tcPr>
            <w:tcW w:w="2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250,151</w:t>
            </w:r>
          </w:p>
        </w:tc>
        <w:tc>
          <w:tcPr>
            <w:tcW w:w="100" w:type="dxa"/>
            <w:vAlign w:val="bottom"/>
          </w:tcPr>
          <w:p>
            <w:pPr>
              <w:spacing w:after="0"/>
              <w:rPr>
                <w:sz w:val="17"/>
                <w:szCs w:val="17"/>
                <w:color w:val="auto"/>
              </w:rPr>
            </w:pPr>
          </w:p>
        </w:tc>
      </w:tr>
      <w:tr>
        <w:trPr>
          <w:trHeight w:val="20"/>
        </w:trPr>
        <w:tc>
          <w:tcPr>
            <w:tcW w:w="8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80"/>
          </w:cols>
          <w:pgMar w:left="320" w:top="454" w:right="49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Fiscal Years Ended January 31, 2018, 2019 and 2020</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9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(related parties $5,411, $7,929 and $7,768, respectively)</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38,048</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64,458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103,265</w:t>
            </w: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27,076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34,915</w:t>
            </w:r>
          </w:p>
        </w:tc>
        <w:tc>
          <w:tcPr>
            <w:tcW w:w="0" w:type="dxa"/>
            <w:vAlign w:val="bottom"/>
          </w:tcPr>
          <w:p>
            <w:pPr>
              <w:spacing w:after="0"/>
              <w:rPr>
                <w:sz w:val="1"/>
                <w:szCs w:val="1"/>
                <w:color w:val="auto"/>
              </w:rPr>
            </w:pPr>
          </w:p>
        </w:tc>
      </w:tr>
      <w:tr>
        <w:trPr>
          <w:trHeight w:val="221"/>
        </w:trPr>
        <w:tc>
          <w:tcPr>
            <w:tcW w:w="6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91,534</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(related party $9,530, $15,373 and $22,844, respectively)</w:t>
            </w: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12,581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19,995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31,062</w:t>
            </w: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26,456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33,008</w:t>
            </w:r>
          </w:p>
        </w:tc>
        <w:tc>
          <w:tcPr>
            <w:tcW w:w="0" w:type="dxa"/>
            <w:vAlign w:val="bottom"/>
          </w:tcPr>
          <w:p>
            <w:pPr>
              <w:spacing w:after="0"/>
              <w:rPr>
                <w:sz w:val="1"/>
                <w:szCs w:val="1"/>
                <w:color w:val="auto"/>
              </w:rPr>
            </w:pPr>
          </w:p>
        </w:tc>
      </w:tr>
      <w:tr>
        <w:trPr>
          <w:trHeight w:val="227"/>
        </w:trPr>
        <w:tc>
          <w:tcPr>
            <w:tcW w:w="6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revenues</w:t>
            </w: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46,451</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45,083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74,110</w:t>
            </w:r>
          </w:p>
        </w:tc>
        <w:tc>
          <w:tcPr>
            <w:tcW w:w="0" w:type="dxa"/>
            <w:vAlign w:val="bottom"/>
          </w:tcPr>
          <w:p>
            <w:pPr>
              <w:spacing w:after="0"/>
              <w:rPr>
                <w:sz w:val="1"/>
                <w:szCs w:val="1"/>
                <w:color w:val="auto"/>
              </w:rPr>
            </w:pPr>
          </w:p>
        </w:tc>
      </w:tr>
      <w:tr>
        <w:trPr>
          <w:trHeight w:val="221"/>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31,278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44,440</w:t>
            </w:r>
          </w:p>
        </w:tc>
        <w:tc>
          <w:tcPr>
            <w:tcW w:w="0" w:type="dxa"/>
            <w:vAlign w:val="bottom"/>
          </w:tcPr>
          <w:p>
            <w:pPr>
              <w:spacing w:after="0"/>
              <w:rPr>
                <w:sz w:val="1"/>
                <w:szCs w:val="1"/>
                <w:color w:val="auto"/>
              </w:rPr>
            </w:pPr>
          </w:p>
        </w:tc>
      </w:tr>
      <w:tr>
        <w:trPr>
          <w:trHeight w:val="214"/>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16,559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22,230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35,304</w:t>
            </w: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8,933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14,791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22,536</w:t>
            </w:r>
          </w:p>
        </w:tc>
        <w:tc>
          <w:tcPr>
            <w:tcW w:w="0" w:type="dxa"/>
            <w:vAlign w:val="bottom"/>
          </w:tcPr>
          <w:p>
            <w:pPr>
              <w:spacing w:after="0"/>
              <w:rPr>
                <w:sz w:val="1"/>
                <w:szCs w:val="1"/>
                <w:color w:val="auto"/>
              </w:rPr>
            </w:pPr>
          </w:p>
        </w:tc>
      </w:tr>
      <w:tr>
        <w:trPr>
          <w:trHeight w:val="227"/>
        </w:trPr>
        <w:tc>
          <w:tcPr>
            <w:tcW w:w="6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68,299</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(23,216)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(28,170)</w:t>
            </w:r>
          </w:p>
        </w:tc>
        <w:tc>
          <w:tcPr>
            <w:tcW w:w="0" w:type="dxa"/>
            <w:vAlign w:val="bottom"/>
          </w:tcPr>
          <w:p>
            <w:pPr>
              <w:spacing w:after="0"/>
              <w:rPr>
                <w:sz w:val="1"/>
                <w:szCs w:val="1"/>
                <w:color w:val="auto"/>
              </w:rPr>
            </w:pPr>
          </w:p>
        </w:tc>
      </w:tr>
      <w:tr>
        <w:trPr>
          <w:trHeight w:val="221"/>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1,193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14"/>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9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(22,112)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(27,149)</w:t>
            </w:r>
          </w:p>
        </w:tc>
        <w:tc>
          <w:tcPr>
            <w:tcW w:w="0" w:type="dxa"/>
            <w:vAlign w:val="bottom"/>
          </w:tcPr>
          <w:p>
            <w:pPr>
              <w:spacing w:after="0"/>
              <w:rPr>
                <w:sz w:val="1"/>
                <w:szCs w:val="1"/>
                <w:color w:val="auto"/>
              </w:rPr>
            </w:pPr>
          </w:p>
        </w:tc>
      </w:tr>
      <w:tr>
        <w:trPr>
          <w:trHeight w:val="221"/>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(22,306)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(27,735)</w:t>
            </w:r>
          </w:p>
        </w:tc>
        <w:tc>
          <w:tcPr>
            <w:tcW w:w="0" w:type="dxa"/>
            <w:vAlign w:val="bottom"/>
          </w:tcPr>
          <w:p>
            <w:pPr>
              <w:spacing w:after="0"/>
              <w:rPr>
                <w:sz w:val="1"/>
                <w:szCs w:val="1"/>
                <w:color w:val="auto"/>
              </w:rPr>
            </w:pPr>
          </w:p>
        </w:tc>
      </w:tr>
      <w:tr>
        <w:trPr>
          <w:trHeight w:val="214"/>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 (Note 3)</w:t>
            </w:r>
          </w:p>
        </w:tc>
        <w:tc>
          <w:tcPr>
            <w:tcW w:w="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9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Net loss attributable to nCino,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(18,589)</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(22,306)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(27,594)</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nCino, Inc.: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(0.27)</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68,290,570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74,593,709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78,316,794</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80"/>
          </w:cols>
          <w:pgMar w:left="320" w:top="454" w:right="49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Fiscal Years Ended January 31, 2018, 2019 and 2020</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8"/>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r>
      <w:tr>
        <w:trPr>
          <w:trHeight w:val="140"/>
        </w:trPr>
        <w:tc>
          <w:tcPr>
            <w:tcW w:w="8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115"/>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3"/>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1"/>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r>
      <w:tr>
        <w:trPr>
          <w:trHeight w:val="207"/>
        </w:trPr>
        <w:tc>
          <w:tcPr>
            <w:tcW w:w="8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$(18,589)</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$(22,306)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 (27,735)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4"/>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(27)</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27"/>
        </w:trPr>
        <w:tc>
          <w:tcPr>
            <w:tcW w:w="81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r>
      <w:tr>
        <w:trPr>
          <w:trHeight w:val="214"/>
        </w:trPr>
        <w:tc>
          <w:tcPr>
            <w:tcW w:w="8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(18,583)</w:t>
            </w: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(22,333)</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(28,138)</w:t>
            </w:r>
          </w:p>
        </w:tc>
      </w:tr>
      <w:tr>
        <w:trPr>
          <w:trHeight w:val="221"/>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comprehensive loss attributable to redeemable non-controlling interest:</w:t>
            </w: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4"/>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4"/>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attributable to redeemable non-controlling interest</w:t>
            </w:r>
          </w:p>
        </w:tc>
        <w:tc>
          <w:tcPr>
            <w:tcW w:w="20" w:type="dxa"/>
            <w:vAlign w:val="bottom"/>
          </w:tcPr>
          <w:p>
            <w:pPr>
              <w:spacing w:after="0"/>
              <w:rPr>
                <w:sz w:val="18"/>
                <w:szCs w:val="18"/>
                <w:color w:val="auto"/>
              </w:rPr>
            </w:pP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18"/>
                <w:szCs w:val="18"/>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8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4"/>
        </w:trPr>
        <w:tc>
          <w:tcPr>
            <w:tcW w:w="8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redeemable non-controlling interest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1"/>
        </w:trPr>
        <w:tc>
          <w:tcPr>
            <w:tcW w:w="81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nCino, Inc.</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(18,583</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(22,333</w:t>
            </w:r>
          </w:p>
        </w:tc>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(27,981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80"/>
          </w:cols>
          <w:pgMar w:left="320" w:top="454" w:right="49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Fiscal Years Ended January 31, 2018, 2019 and 2020</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9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Voting</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vMerge w:val="restart"/>
          </w:tcPr>
          <w:p>
            <w:pPr>
              <w:jc w:val="center"/>
              <w:ind w:left="201"/>
              <w:spacing w:after="0"/>
              <w:rPr>
                <w:sz w:val="20"/>
                <w:szCs w:val="20"/>
                <w:color w:val="auto"/>
              </w:rPr>
            </w:pPr>
            <w:r>
              <w:rPr>
                <w:rFonts w:ascii="Times New Roman" w:cs="Times New Roman" w:eastAsia="Times New Roman" w:hAnsi="Times New Roman"/>
                <w:sz w:val="14"/>
                <w:szCs w:val="14"/>
                <w:color w:val="auto"/>
              </w:rPr>
              <w:t>Non-voting</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68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2"/>
            <w:vMerge w:val="restart"/>
          </w:tcPr>
          <w:p>
            <w:pPr>
              <w:spacing w:after="0" w:line="147" w:lineRule="exact"/>
              <w:rPr>
                <w:sz w:val="20"/>
                <w:szCs w:val="20"/>
                <w:color w:val="auto"/>
              </w:rPr>
            </w:pPr>
            <w:r>
              <w:rPr>
                <w:rFonts w:ascii="Times New Roman" w:cs="Times New Roman" w:eastAsia="Times New Roman" w:hAnsi="Times New Roman"/>
                <w:sz w:val="14"/>
                <w:szCs w:val="14"/>
                <w:color w:val="auto"/>
              </w:rPr>
              <w:t>Additional</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vMerge w:val="restart"/>
          </w:tcPr>
          <w:p>
            <w:pPr>
              <w:jc w:val="center"/>
              <w:ind w:right="440"/>
              <w:spacing w:after="0" w:line="147"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118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color w:val="auto"/>
              </w:rPr>
              <w:t>Common Stock</w:t>
            </w: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3"/>
            <w:vMerge w:val="restart"/>
          </w:tcPr>
          <w:p>
            <w:pPr>
              <w:jc w:val="center"/>
              <w:ind w:left="201"/>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180" w:type="dxa"/>
            <w:vAlign w:val="bottom"/>
            <w:tcBorders>
              <w:bottom w:val="single" w:sz="8" w:color="auto"/>
            </w:tcBorders>
            <w:gridSpan w:val="4"/>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Borders>
              <w:bottom w:val="single" w:sz="8" w:color="auto"/>
            </w:tcBorders>
            <w:gridSpan w:val="3"/>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21"/>
              <w:spacing w:after="0" w:line="147" w:lineRule="exact"/>
              <w:rPr>
                <w:sz w:val="20"/>
                <w:szCs w:val="20"/>
                <w:color w:val="auto"/>
              </w:rPr>
            </w:pPr>
            <w:r>
              <w:rPr>
                <w:rFonts w:ascii="Times New Roman" w:cs="Times New Roman" w:eastAsia="Times New Roman" w:hAnsi="Times New Roman"/>
                <w:sz w:val="14"/>
                <w:szCs w:val="14"/>
                <w:color w:val="auto"/>
              </w:rPr>
              <w:t>Paid in</w:t>
            </w:r>
          </w:p>
        </w:tc>
        <w:tc>
          <w:tcPr>
            <w:tcW w:w="220" w:type="dxa"/>
            <w:vAlign w:val="bottom"/>
          </w:tcPr>
          <w:p>
            <w:pPr>
              <w:spacing w:after="0"/>
              <w:rPr>
                <w:sz w:val="8"/>
                <w:szCs w:val="8"/>
                <w:color w:val="auto"/>
              </w:rPr>
            </w:pPr>
          </w:p>
        </w:tc>
        <w:tc>
          <w:tcPr>
            <w:tcW w:w="1180" w:type="dxa"/>
            <w:vAlign w:val="bottom"/>
            <w:gridSpan w:val="3"/>
            <w:vMerge w:val="restart"/>
          </w:tcPr>
          <w:p>
            <w:pPr>
              <w:jc w:val="center"/>
              <w:ind w:right="280"/>
              <w:spacing w:after="0" w:line="147" w:lineRule="exact"/>
              <w:rPr>
                <w:sz w:val="20"/>
                <w:szCs w:val="20"/>
                <w:color w:val="auto"/>
              </w:rPr>
            </w:pPr>
            <w:r>
              <w:rPr>
                <w:rFonts w:ascii="Times New Roman" w:cs="Times New Roman" w:eastAsia="Times New Roman" w:hAnsi="Times New Roman"/>
                <w:sz w:val="14"/>
                <w:szCs w:val="14"/>
                <w:color w:val="auto"/>
              </w:rPr>
              <w:t>Comprehensive</w:t>
            </w:r>
          </w:p>
        </w:tc>
        <w:tc>
          <w:tcPr>
            <w:tcW w:w="940" w:type="dxa"/>
            <w:vAlign w:val="bottom"/>
            <w:gridSpan w:val="3"/>
            <w:vMerge w:val="restart"/>
          </w:tcPr>
          <w:p>
            <w:pPr>
              <w:spacing w:after="0" w:line="147" w:lineRule="exact"/>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w w:val="95"/>
              </w:rPr>
              <w:t>Amount</w:t>
            </w:r>
          </w:p>
        </w:tc>
        <w:tc>
          <w:tcPr>
            <w:tcW w:w="240" w:type="dxa"/>
            <w:vAlign w:val="bottom"/>
          </w:tcPr>
          <w:p>
            <w:pPr>
              <w:spacing w:after="0"/>
              <w:rPr>
                <w:sz w:val="2"/>
                <w:szCs w:val="2"/>
                <w:color w:val="auto"/>
              </w:rPr>
            </w:pPr>
          </w:p>
        </w:tc>
        <w:tc>
          <w:tcPr>
            <w:tcW w:w="10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Shares</w:t>
            </w: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4"/>
                <w:szCs w:val="14"/>
                <w:color w:val="auto"/>
              </w:rPr>
              <w:t>Capital</w:t>
            </w:r>
          </w:p>
        </w:tc>
        <w:tc>
          <w:tcPr>
            <w:tcW w:w="22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Income (Loss)</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31, 2017</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56,311,950</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10,291,754</w:t>
            </w: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86,458</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(63,857)</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Conversion of non-voting common stock to</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voting common stock</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4,590,319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(4,590,319)</w:t>
            </w:r>
          </w:p>
        </w:tc>
        <w:tc>
          <w:tcPr>
            <w:tcW w:w="1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 issuance, net of issuance costs of $109</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5,743,054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69,193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69,196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695,384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3,826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loss attributable to nCino, Inc.</w:t>
            </w: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(18,589)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(18,589)</w:t>
            </w:r>
          </w:p>
        </w:tc>
        <w:tc>
          <w:tcPr>
            <w:tcW w:w="0" w:type="dxa"/>
            <w:vAlign w:val="bottom"/>
          </w:tcPr>
          <w:p>
            <w:pPr>
              <w:spacing w:after="0"/>
              <w:rPr>
                <w:sz w:val="1"/>
                <w:szCs w:val="1"/>
                <w:color w:val="auto"/>
              </w:rPr>
            </w:pPr>
          </w:p>
        </w:tc>
      </w:tr>
      <w:tr>
        <w:trPr>
          <w:trHeight w:val="205"/>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January 31, 2018</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67,340,707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5,701,435</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160,418</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(82,446)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2,845,482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6,260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4,095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loss attributable to nCino, Inc.</w:t>
            </w: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(22,306)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(22,306)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31, 2019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70,186,189</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5,701,435</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170,771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(104,752)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66,036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Cumulative-effect adjustment from adoption of</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accounting standard</w:t>
            </w:r>
          </w:p>
        </w:tc>
        <w:tc>
          <w:tcPr>
            <w:tcW w:w="98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11,422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 issuance, net of issuance costs of $52</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3,448,276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229,885</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79,946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79,948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 issuance related to business combinations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1,502,772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25,204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Contingent consideration related to business</w:t>
            </w: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combination</w:t>
            </w: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458,770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1,042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5,745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(387)</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loss attributable to nCino, Inc.</w:t>
            </w: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(27,594)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(27,594)</w:t>
            </w:r>
          </w:p>
        </w:tc>
        <w:tc>
          <w:tcPr>
            <w:tcW w:w="0" w:type="dxa"/>
            <w:vAlign w:val="bottom"/>
          </w:tcPr>
          <w:p>
            <w:pPr>
              <w:spacing w:after="0"/>
              <w:rPr>
                <w:sz w:val="1"/>
                <w:szCs w:val="1"/>
                <w:color w:val="auto"/>
              </w:rPr>
            </w:pPr>
          </w:p>
        </w:tc>
      </w:tr>
      <w:tr>
        <w:trPr>
          <w:trHeight w:val="205"/>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January 31, 2020</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75,596,007</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5,931,319</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288,564</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(120,924</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167,273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80"/>
          </w:cols>
          <w:pgMar w:left="320" w:top="454" w:right="49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Fiscal Years Ended January 31, 2018, 2019 and 2020</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60" w:type="dxa"/>
            <w:vAlign w:val="bottom"/>
            <w:gridSpan w:val="9"/>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4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loss attributable to nCino, Inc.</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8"/>
              </w:rPr>
              <w:t>(18,589)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8"/>
              </w:rPr>
              <w:t>(22,306)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(27,594)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loss attributable to redeemable non-controlling interest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(18,589)</w:t>
            </w: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(22,306)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4"/>
              </w:rPr>
              <w:t>(27,735)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970</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4,609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Amortization of costs capitalized to obtain revenue contracts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3,243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3,826</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5,745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Deferred income taxes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Provision for (recovery of) bad debt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(329)</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Accounts receivable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(7,512)</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8"/>
              </w:rPr>
              <w:t>(10,212)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Accounts receivable, related parties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(4,919)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(4,867)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Costs capitalized to obtain revenue contracts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(2,124)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Accounts payable and accrued expenses and other liabilities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2,252</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2,286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Accounts payable, related parties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1,184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Deferred rent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1,045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Deferred revenue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7,096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20,873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Deferred revenue, related parties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3,702</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8"/>
              </w:rPr>
              <w:t>(15,958)</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(4,589)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(8,998)</w:t>
            </w:r>
          </w:p>
        </w:tc>
        <w:tc>
          <w:tcPr>
            <w:tcW w:w="0" w:type="dxa"/>
            <w:vAlign w:val="bottom"/>
          </w:tcPr>
          <w:p>
            <w:pPr>
              <w:spacing w:after="0"/>
              <w:rPr>
                <w:sz w:val="1"/>
                <w:szCs w:val="1"/>
                <w:color w:val="auto"/>
              </w:rPr>
            </w:pPr>
          </w:p>
        </w:tc>
      </w:tr>
      <w:tr>
        <w:trPr>
          <w:trHeight w:val="205"/>
        </w:trPr>
        <w:tc>
          <w:tcPr>
            <w:tcW w:w="8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5"/>
              </w:rPr>
              <w:t>(52,267)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(2,837)</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(2,837)</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(7,965)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5"/>
              </w:rPr>
              <w:t>(58,027)</w:t>
            </w:r>
          </w:p>
        </w:tc>
        <w:tc>
          <w:tcPr>
            <w:tcW w:w="0" w:type="dxa"/>
            <w:vAlign w:val="bottom"/>
          </w:tcPr>
          <w:p>
            <w:pPr>
              <w:spacing w:after="0"/>
              <w:rPr>
                <w:sz w:val="1"/>
                <w:szCs w:val="1"/>
                <w:color w:val="auto"/>
              </w:rPr>
            </w:pPr>
          </w:p>
        </w:tc>
      </w:tr>
      <w:tr>
        <w:trPr>
          <w:trHeight w:val="205"/>
        </w:trPr>
        <w:tc>
          <w:tcPr>
            <w:tcW w:w="8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Investment from redeemable non-controlling interest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4,513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Proceeds from stock issuance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69,305</w:t>
            </w:r>
          </w:p>
        </w:tc>
        <w:tc>
          <w:tcPr>
            <w:tcW w:w="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 issuance costs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941</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1,042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Payments of deferred costs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60" w:type="dxa"/>
            <w:vAlign w:val="bottom"/>
          </w:tcPr>
          <w:p>
            <w:pPr>
              <w:ind w:left="128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70,137</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foreign currency exchange rate changes on cash and cash equivalents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ind w:left="128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51,354</w:t>
            </w: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29,322</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80,676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74,347</w:t>
            </w:r>
          </w:p>
        </w:tc>
        <w:tc>
          <w:tcPr>
            <w:tcW w:w="0" w:type="dxa"/>
            <w:vAlign w:val="bottom"/>
          </w:tcPr>
          <w:p>
            <w:pPr>
              <w:spacing w:after="0"/>
              <w:rPr>
                <w:sz w:val="1"/>
                <w:szCs w:val="1"/>
                <w:color w:val="auto"/>
              </w:rPr>
            </w:pPr>
          </w:p>
        </w:tc>
      </w:tr>
      <w:tr>
        <w:trPr>
          <w:trHeight w:val="205"/>
        </w:trPr>
        <w:tc>
          <w:tcPr>
            <w:tcW w:w="8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0" w:type="dxa"/>
            <w:vAlign w:val="bottom"/>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80,676</w:t>
            </w:r>
          </w:p>
        </w:tc>
        <w:tc>
          <w:tcPr>
            <w:tcW w:w="3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74,347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Cash paid during the year for taxes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Purchase of property and equipment, accrued but not paid</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costs, accrued but not paid</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Fair value of common stock issued as consideration for business acquisition</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4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Fair value of contingent consideration in connection with business acquisition in other long-term liabilities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Fair value of contingent consideration in connection with business acquisition included in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46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80"/>
          </w:cols>
          <w:pgMar w:left="320" w:top="454" w:right="49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114" w:lineRule="exact"/>
        <w:rPr>
          <w:sz w:val="20"/>
          <w:szCs w:val="20"/>
          <w:color w:val="auto"/>
        </w:rPr>
      </w:pPr>
    </w:p>
    <w:p>
      <w:pPr>
        <w:ind w:left="160" w:right="200" w:firstLine="873"/>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color w:val="auto"/>
        </w:rPr>
        <w:t>nCino, Inc. (“nCino” or the “Company”) is a software-as-a-service (SaaS) company that provides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to financial institutions to streamline customer and employee interactions. The Company is headquartered in Wilmington, North Carolina and has offices in Salt Lake City, London, Sydney, Melbourne, Toronto and Tokyo.</w:t>
      </w:r>
    </w:p>
    <w:p>
      <w:pPr>
        <w:spacing w:after="0" w:line="174" w:lineRule="exact"/>
        <w:rPr>
          <w:sz w:val="20"/>
          <w:szCs w:val="20"/>
          <w:color w:val="auto"/>
        </w:rPr>
      </w:pPr>
    </w:p>
    <w:p>
      <w:pPr>
        <w:ind w:left="160" w:right="20" w:firstLine="873"/>
        <w:spacing w:after="0" w:line="278" w:lineRule="auto"/>
        <w:rPr>
          <w:sz w:val="20"/>
          <w:szCs w:val="20"/>
          <w:color w:val="auto"/>
        </w:rPr>
      </w:pPr>
      <w:r>
        <w:rPr>
          <w:rFonts w:ascii="Times New Roman" w:cs="Times New Roman" w:eastAsia="Times New Roman" w:hAnsi="Times New Roman"/>
          <w:sz w:val="18"/>
          <w:szCs w:val="18"/>
          <w:color w:val="auto"/>
        </w:rPr>
        <w:t>The Company was organized as a North Carolina limited liability company named BANKR, LLC on December 13, 2011. On April 3, 2012, the Company was renamed nCino, LLC. The Company was re-incorporated in the State of Delaware on December 18, 2013.</w:t>
      </w:r>
    </w:p>
    <w:p>
      <w:pPr>
        <w:spacing w:after="0" w:line="162" w:lineRule="exact"/>
        <w:rPr>
          <w:sz w:val="20"/>
          <w:szCs w:val="20"/>
          <w:color w:val="auto"/>
        </w:rPr>
      </w:pPr>
    </w:p>
    <w:p>
      <w:pPr>
        <w:ind w:left="160" w:right="680" w:firstLine="873"/>
        <w:spacing w:after="0" w:line="278" w:lineRule="auto"/>
        <w:rPr>
          <w:sz w:val="20"/>
          <w:szCs w:val="20"/>
          <w:color w:val="auto"/>
        </w:rPr>
      </w:pPr>
      <w:r>
        <w:rPr>
          <w:rFonts w:ascii="Times New Roman" w:cs="Times New Roman" w:eastAsia="Times New Roman" w:hAnsi="Times New Roman"/>
          <w:sz w:val="18"/>
          <w:szCs w:val="18"/>
          <w:color w:val="auto"/>
        </w:rPr>
        <w:t>On September 27, 2016, the Company created a wholly-owned subsidiary called nCino GBU, Inc. to facilitate an agreement with a customer. nCino GBU, Inc. was dissolved on August 14, 2018.</w:t>
      </w:r>
    </w:p>
    <w:p>
      <w:pPr>
        <w:spacing w:after="0" w:line="162"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During the fiscal year ended January 31, 2018, the Company created wholly-owned subsidiaries nCino APAC PTY Ltd, nCino Canada, Inc., and nCino Global Ltd in Australia, Canada, and the United Kingdom, respectively, to expand to Canada, Asia Pacific, and Europe.</w:t>
      </w: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 xml:space="preserve">Fiscal Year End: </w:t>
      </w:r>
      <w:r>
        <w:rPr>
          <w:rFonts w:ascii="Times New Roman" w:cs="Times New Roman" w:eastAsia="Times New Roman" w:hAnsi="Times New Roman"/>
          <w:sz w:val="18"/>
          <w:szCs w:val="18"/>
          <w:color w:val="auto"/>
        </w:rPr>
        <w:t>The Company’s fiscal year ends on January 31.</w:t>
      </w:r>
    </w:p>
    <w:p>
      <w:pPr>
        <w:spacing w:after="0" w:line="3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4" w:lineRule="exact"/>
        <w:rPr>
          <w:sz w:val="20"/>
          <w:szCs w:val="20"/>
          <w:color w:val="auto"/>
        </w:rPr>
      </w:pPr>
    </w:p>
    <w:p>
      <w:pPr>
        <w:ind w:left="160" w:right="40" w:firstLine="87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and Basis of Presentation: </w:t>
      </w:r>
      <w:r>
        <w:rPr>
          <w:rFonts w:ascii="Times New Roman" w:cs="Times New Roman" w:eastAsia="Times New Roman" w:hAnsi="Times New Roman"/>
          <w:sz w:val="18"/>
          <w:szCs w:val="18"/>
          <w:color w:val="auto"/>
        </w:rPr>
        <w:t>These consolidated financial statements have been prepared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accepted accounting principles in the United States (U.S. GAAP) as set forth in the Financial Accounting Standards Board (FASB) Accounting Standards Codification (ASC). The consolidated financial statements include accounts of the Company’s wholly-owned subsidiaries as well as a variable interest entity in which the Company is the primary beneficiary. All intercompany accounts and transactions are eliminated. Refer to disclosures in Note 2 and Note 3 for additional information regarding the Company’s variable interest entity.</w:t>
      </w:r>
    </w:p>
    <w:p>
      <w:pPr>
        <w:spacing w:after="0" w:line="184" w:lineRule="exact"/>
        <w:rPr>
          <w:sz w:val="20"/>
          <w:szCs w:val="20"/>
          <w:color w:val="auto"/>
        </w:rPr>
      </w:pPr>
    </w:p>
    <w:p>
      <w:pPr>
        <w:ind w:left="160" w:right="40" w:firstLine="873"/>
        <w:spacing w:after="0" w:line="263" w:lineRule="auto"/>
        <w:rPr>
          <w:sz w:val="20"/>
          <w:szCs w:val="20"/>
          <w:color w:val="auto"/>
        </w:rPr>
      </w:pPr>
      <w:r>
        <w:rPr>
          <w:rFonts w:ascii="Times New Roman" w:cs="Times New Roman" w:eastAsia="Times New Roman" w:hAnsi="Times New Roman"/>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75"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Effective February 1, 2019, the Company adopted the requirement of Accounting Standards Update, or ASU No. 2014-09 “Revenue from Contracts with Customers (Topic 606)” (“ASU 2014-09”) utilizing the modified retrospective method of transition. Prior period information has not been restated and continues to be reported under the accounting standards in effect for those periods. The new revenue standard was applied to contracts that were not completed as of the adoption date, consistent with transition guidance. Adoption of the new revenue standard resulted in changes to accounting policies for revenue recognition and sales commissions.</w:t>
      </w:r>
    </w:p>
    <w:p>
      <w:pPr>
        <w:spacing w:after="0" w:line="180" w:lineRule="exact"/>
        <w:rPr>
          <w:sz w:val="20"/>
          <w:szCs w:val="20"/>
          <w:color w:val="auto"/>
        </w:rPr>
      </w:pPr>
    </w:p>
    <w:p>
      <w:pPr>
        <w:ind w:left="160" w:firstLine="87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Entity: </w:t>
      </w:r>
      <w:r>
        <w:rPr>
          <w:rFonts w:ascii="Times New Roman" w:cs="Times New Roman" w:eastAsia="Times New Roman" w:hAnsi="Times New Roman"/>
          <w:sz w:val="18"/>
          <w:szCs w:val="18"/>
          <w:color w:val="auto"/>
        </w:rPr>
        <w:t>The Company holds an interest in a Japanese company (“nCino K.K.”) that is considered a variable interest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60"/>
          </w:cols>
          <w:pgMar w:left="320" w:top="454" w:right="51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31" w:lineRule="exact"/>
        <w:rPr>
          <w:sz w:val="20"/>
          <w:szCs w:val="20"/>
          <w:color w:val="auto"/>
        </w:rPr>
      </w:pPr>
    </w:p>
    <w:p>
      <w:pPr>
        <w:ind w:left="160" w:right="20" w:firstLine="7"/>
        <w:spacing w:after="0" w:line="254" w:lineRule="auto"/>
        <w:tabs>
          <w:tab w:leader="none" w:pos="55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financial statements except for cash which is reflected on the consolidated balance sheets. Refer to Note 3 for additional information regarding the Company’s variable interest.</w:t>
      </w:r>
    </w:p>
    <w:p>
      <w:pPr>
        <w:spacing w:after="0" w:line="180"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Redeemable Non-Controlling Interest: </w:t>
      </w:r>
      <w:r>
        <w:rPr>
          <w:rFonts w:ascii="Times New Roman" w:cs="Times New Roman" w:eastAsia="Times New Roman" w:hAnsi="Times New Roman"/>
          <w:sz w:val="18"/>
          <w:szCs w:val="18"/>
          <w:color w:val="auto"/>
        </w:rPr>
        <w:t>nCino K.K. has a redeemable non-controlling interest. An agreement with the minority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nCino K.K. contains redemption features whereby the interest held by the minority investors are redeemable either (i) at the option of the minority investors or (ii) at the option of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consolidated balance sheets outside of equity under the caption “Redeemable non-controlling interest.”</w:t>
      </w:r>
    </w:p>
    <w:p>
      <w:pPr>
        <w:spacing w:after="0" w:line="184" w:lineRule="exact"/>
        <w:rPr>
          <w:sz w:val="20"/>
          <w:szCs w:val="20"/>
          <w:color w:val="auto"/>
        </w:rPr>
      </w:pPr>
    </w:p>
    <w:p>
      <w:pPr>
        <w:ind w:left="160" w:right="40" w:firstLine="873"/>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Use of Estimates: </w:t>
      </w:r>
      <w:r>
        <w:rPr>
          <w:rFonts w:ascii="Times New Roman" w:cs="Times New Roman" w:eastAsia="Times New Roman" w:hAnsi="Times New Roman"/>
          <w:sz w:val="17"/>
          <w:szCs w:val="17"/>
          <w:color w:val="auto"/>
        </w:rPr>
        <w:t>The preparation of consolidated financial statements in conformity with U.S. GAAP requires management to make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estimates and assumptions that affect the reported amounts of assets and liabilities and disclosure of contingent assets and liabilities as of the date of the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fair value of contingent consideration; the useful lives of intangible assets; the valuation allowance on deferred tax assets and stock-based compensation.</w:t>
      </w:r>
    </w:p>
    <w:p>
      <w:pPr>
        <w:spacing w:after="0" w:line="171"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The Company assesses these estimates on a regular basis using historical experience and other factors. Actual results could differ from these estimates, which were based upon circumstances that existed as of the date of the consolidated financial statements, January 31, 2020. Subsequent to this date, there have been significant changes to the global economic environment as a consequence of the COVID-19 pandemic. It is possible that this could cause changes to estimates as a result of the financial circumstances of the markets in which the Company operates, the Company’s reporting unit’s fair value in comparison to the Company’s carrying value, and the health of the global economy. Such changes to estimates could potentially result in impacts that would be material to the consolidated financial statements, particularly with respect to the fair value of the Company’s reporting units in relation to potential goodwill impairment and the fair value of long-lived assets in relation to potential impairment.</w:t>
      </w:r>
    </w:p>
    <w:p>
      <w:pPr>
        <w:spacing w:after="0" w:line="180" w:lineRule="exact"/>
        <w:rPr>
          <w:sz w:val="20"/>
          <w:szCs w:val="20"/>
          <w:color w:val="auto"/>
        </w:rPr>
      </w:pPr>
    </w:p>
    <w:p>
      <w:pPr>
        <w:ind w:left="160" w:right="20" w:firstLine="873"/>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Operating Segments: </w:t>
      </w:r>
      <w:r>
        <w:rPr>
          <w:rFonts w:ascii="Times New Roman" w:cs="Times New Roman" w:eastAsia="Times New Roman" w:hAnsi="Times New Roman"/>
          <w:sz w:val="18"/>
          <w:szCs w:val="18"/>
          <w:color w:val="auto"/>
        </w:rPr>
        <w:t>The Company operates as one operating segment. Operating segments are defined as components of an enterprise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separate financial information is available and evaluated</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4" w:right="49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31" w:lineRule="exact"/>
        <w:rPr>
          <w:sz w:val="20"/>
          <w:szCs w:val="20"/>
          <w:color w:val="auto"/>
        </w:rPr>
      </w:pPr>
    </w:p>
    <w:p>
      <w:pPr>
        <w:ind w:left="160" w:right="120"/>
        <w:spacing w:after="0" w:line="263" w:lineRule="auto"/>
        <w:rPr>
          <w:sz w:val="20"/>
          <w:szCs w:val="20"/>
          <w:color w:val="auto"/>
        </w:rPr>
      </w:pPr>
      <w:r>
        <w:rPr>
          <w:rFonts w:ascii="Times New Roman" w:cs="Times New Roman" w:eastAsia="Times New Roman" w:hAnsi="Times New Roman"/>
          <w:sz w:val="18"/>
          <w:szCs w:val="18"/>
          <w:color w:val="auto"/>
        </w:rPr>
        <w:t>regularly by the chief operating decision maker, which is the Company’s chief executive officer, in deciding how to make operating decisions, allocate resources and assess performance. The Company’s chief operating decision maker allocates resources and assesses performance at the consolidated level.</w:t>
      </w:r>
    </w:p>
    <w:p>
      <w:pPr>
        <w:spacing w:after="0" w:line="171" w:lineRule="exact"/>
        <w:rPr>
          <w:sz w:val="20"/>
          <w:szCs w:val="20"/>
          <w:color w:val="auto"/>
        </w:rPr>
      </w:pPr>
    </w:p>
    <w:p>
      <w:pPr>
        <w:ind w:left="160" w:right="320" w:firstLine="873"/>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and Significant Customers: </w:t>
      </w:r>
      <w:r>
        <w:rPr>
          <w:rFonts w:ascii="Times New Roman" w:cs="Times New Roman" w:eastAsia="Times New Roman" w:hAnsi="Times New Roman"/>
          <w:sz w:val="18"/>
          <w:szCs w:val="18"/>
          <w:color w:val="auto"/>
        </w:rPr>
        <w:t>The Company’s financial instruments that are exposed to concentration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risk consist primarily of cash and cash equivalents. The Company’s cash and cash equivalents exceed the Federal deposit insurance limit at January 31, 2019 and 2020. The Company maintains its cash and cash equivalents with high-credit-quality financial institutions.</w:t>
      </w:r>
    </w:p>
    <w:p>
      <w:pPr>
        <w:spacing w:after="0" w:line="174"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color w:val="auto"/>
        </w:rPr>
        <w:t>For the fiscal year ended January 31, 2018, three customers represented 20% of total revenues, 14% of which was from two customers who are also equity holders in the Company. These three customers also represented 58% of accounts receivable as of January 31, 2018, of which 40% was from the two customers who are also equity holders. For the fiscal year ended January 31, 2019, two customers represented 9% of total revenues, 4% of which was also from a customer who is an equity holder in the Company. These two customers also represented 29% of accounts receivable as of January 31, 2019, of which 14% was from the customer who is an equity holder. For the fiscal year ended January 31, 2020, two customers represented 6% of total revenues, 3% of which was also from a customer who is an equity holder in the Company. These two customers also represented 22% of accounts receivable as of January 31, 2020, of which 11% was from the customer who is an equity holder.</w:t>
      </w:r>
    </w:p>
    <w:p>
      <w:pPr>
        <w:spacing w:after="0" w:line="180" w:lineRule="exact"/>
        <w:rPr>
          <w:sz w:val="20"/>
          <w:szCs w:val="20"/>
          <w:color w:val="auto"/>
        </w:rPr>
      </w:pPr>
    </w:p>
    <w:p>
      <w:pPr>
        <w:ind w:left="160" w:firstLine="873"/>
        <w:spacing w:after="0" w:line="272" w:lineRule="auto"/>
        <w:rPr>
          <w:sz w:val="20"/>
          <w:szCs w:val="20"/>
          <w:color w:val="auto"/>
        </w:rPr>
      </w:pPr>
      <w:r>
        <w:rPr>
          <w:rFonts w:ascii="Times New Roman" w:cs="Times New Roman" w:eastAsia="Times New Roman" w:hAnsi="Times New Roman"/>
          <w:sz w:val="17"/>
          <w:szCs w:val="17"/>
          <w:b w:val="1"/>
          <w:bCs w:val="1"/>
          <w:color w:val="auto"/>
        </w:rPr>
        <w:t>Revenue Recognition</w:t>
      </w:r>
      <w:r>
        <w:rPr>
          <w:rFonts w:ascii="Times New Roman" w:cs="Times New Roman" w:eastAsia="Times New Roman" w:hAnsi="Times New Roman"/>
          <w:sz w:val="17"/>
          <w:szCs w:val="17"/>
          <w:color w:val="auto"/>
        </w:rPr>
        <w:t>: The Company derives revenues primarily from subscription services and professional services. Revenues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recognized when a contract exists between the Company and a customer and upon transfer of control of promised products or services to customers in an amount that reflects the consideration the Company expects to receive in exchange for those products or services. The Company enters into contracts that can include various combinations of subscription and professional services, which may be capable of being distinct and accounted for as separate performance obligations, or in the case of offerings such as subscription services and support, accounted for as a single performance obligation. Revenues are recognized net of allowances and any taxes collected from customers, which are subsequently remitted to governmental authorities.</w:t>
      </w:r>
    </w:p>
    <w:p>
      <w:pPr>
        <w:spacing w:after="0" w:line="17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127" w:lineRule="exact"/>
        <w:rPr>
          <w:sz w:val="20"/>
          <w:szCs w:val="20"/>
          <w:color w:val="auto"/>
        </w:rPr>
      </w:pPr>
    </w:p>
    <w:p>
      <w:pPr>
        <w:ind w:left="1460" w:hanging="316"/>
        <w:spacing w:after="0"/>
        <w:tabs>
          <w:tab w:leader="none" w:pos="1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2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2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2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2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revenues when, or as, the Company satisfies a performance obligation</w:t>
      </w:r>
    </w:p>
    <w:p>
      <w:pPr>
        <w:spacing w:after="0" w:line="3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116" w:lineRule="exact"/>
        <w:rPr>
          <w:sz w:val="20"/>
          <w:szCs w:val="20"/>
          <w:color w:val="auto"/>
        </w:rPr>
      </w:pPr>
    </w:p>
    <w:p>
      <w:pPr>
        <w:jc w:val="both"/>
        <w:ind w:left="160" w:right="60" w:firstLine="873"/>
        <w:spacing w:after="0" w:line="263" w:lineRule="auto"/>
        <w:rPr>
          <w:sz w:val="20"/>
          <w:szCs w:val="20"/>
          <w:color w:val="auto"/>
        </w:rPr>
      </w:pPr>
      <w:r>
        <w:rPr>
          <w:rFonts w:ascii="Times New Roman" w:cs="Times New Roman" w:eastAsia="Times New Roman" w:hAnsi="Times New Roman"/>
          <w:sz w:val="18"/>
          <w:szCs w:val="18"/>
          <w:color w:val="auto"/>
        </w:rPr>
        <w:t>Subscription revenues primarily consist of fees for providing customers access to the Company’s cloud applications,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the</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20"/>
          </w:cols>
          <w:pgMar w:left="320" w:top="454" w:right="5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31" w:lineRule="exact"/>
        <w:rPr>
          <w:sz w:val="20"/>
          <w:szCs w:val="20"/>
          <w:color w:val="auto"/>
        </w:rPr>
      </w:pPr>
    </w:p>
    <w:p>
      <w:pPr>
        <w:ind w:left="160" w:right="80"/>
        <w:spacing w:after="0" w:line="255" w:lineRule="auto"/>
        <w:rPr>
          <w:sz w:val="20"/>
          <w:szCs w:val="20"/>
          <w:color w:val="auto"/>
        </w:rPr>
      </w:pPr>
      <w:r>
        <w:rPr>
          <w:rFonts w:ascii="Times New Roman" w:cs="Times New Roman" w:eastAsia="Times New Roman" w:hAnsi="Times New Roman"/>
          <w:sz w:val="18"/>
          <w:szCs w:val="18"/>
          <w:color w:val="auto"/>
        </w:rPr>
        <w:t>Company’s service is made available to the customer, which the Company believes best reflects the manner in which the Company’s customers utilize the Company’s subscription offerings. Arrangements with customers do not provide the customer with the right to take possession of the software supporting the cloud-based application service at any time and, as a result, are accounted for as a service contract. Generally, the Company’s subscription contracts are three years or longer in length, billed annually in advance, are non-cancelable and do not contain refund-type provisions. Any subscription arrangements that are cancelable generally have penalty clauses.</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Professional Services Revenues</w:t>
      </w:r>
    </w:p>
    <w:p>
      <w:pPr>
        <w:spacing w:after="0" w:line="116" w:lineRule="exact"/>
        <w:rPr>
          <w:sz w:val="20"/>
          <w:szCs w:val="20"/>
          <w:color w:val="auto"/>
        </w:rPr>
      </w:pPr>
    </w:p>
    <w:p>
      <w:pPr>
        <w:ind w:left="160" w:right="260" w:firstLine="873"/>
        <w:spacing w:after="0" w:line="258" w:lineRule="auto"/>
        <w:rPr>
          <w:sz w:val="20"/>
          <w:szCs w:val="20"/>
          <w:color w:val="auto"/>
        </w:rPr>
      </w:pPr>
      <w:r>
        <w:rPr>
          <w:rFonts w:ascii="Times New Roman" w:cs="Times New Roman" w:eastAsia="Times New Roman" w:hAnsi="Times New Roman"/>
          <w:sz w:val="18"/>
          <w:szCs w:val="18"/>
          <w:color w:val="auto"/>
        </w:rPr>
        <w:t>Professional services revenues primarily consist of fees for deployment, configuration and optimization services, as well as training. The majority of the Company’s professional services contracts are billed on a fixed price basis, and revenues are recognized over time based on a proportional performance methodology which utilizes input methods. A portion of the Company’s professional services contracts are billed on a time and materials basis and revenues are recognized over time as the services are performed.</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16" w:lineRule="exact"/>
        <w:rPr>
          <w:sz w:val="20"/>
          <w:szCs w:val="20"/>
          <w:color w:val="auto"/>
        </w:rPr>
      </w:pPr>
    </w:p>
    <w:p>
      <w:pPr>
        <w:ind w:left="160" w:firstLine="873"/>
        <w:spacing w:after="0" w:line="271" w:lineRule="auto"/>
        <w:rPr>
          <w:sz w:val="20"/>
          <w:szCs w:val="20"/>
          <w:color w:val="auto"/>
        </w:rPr>
      </w:pPr>
      <w:r>
        <w:rPr>
          <w:rFonts w:ascii="Times New Roman" w:cs="Times New Roman" w:eastAsia="Times New Roman" w:hAnsi="Times New Roman"/>
          <w:sz w:val="17"/>
          <w:szCs w:val="17"/>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The Company determines SSP by considering its overall pricing objectives and market conditions. Significant pricing practices taken into consideration include the Company’s discounting practices, the size and volume of the Company’s transactions, the customer demographic, the geographic area where services are sold, price lists, the Company’s go-to-market strategy, historical sales and contract prices. As the Company’s go-to-market strategies evolve, the Company may modify its pricing practices in the future, which could result in changes to SSP.</w:t>
      </w:r>
    </w:p>
    <w:p>
      <w:pPr>
        <w:spacing w:after="0" w:line="173" w:lineRule="exact"/>
        <w:rPr>
          <w:sz w:val="20"/>
          <w:szCs w:val="20"/>
          <w:color w:val="auto"/>
        </w:rPr>
      </w:pPr>
    </w:p>
    <w:p>
      <w:pPr>
        <w:jc w:val="both"/>
        <w:ind w:left="160" w:right="360" w:firstLine="873"/>
        <w:spacing w:after="0" w:line="263" w:lineRule="auto"/>
        <w:rPr>
          <w:sz w:val="20"/>
          <w:szCs w:val="20"/>
          <w:color w:val="auto"/>
        </w:rPr>
      </w:pPr>
      <w:r>
        <w:rPr>
          <w:rFonts w:ascii="Times New Roman" w:cs="Times New Roman" w:eastAsia="Times New Roman" w:hAnsi="Times New Roman"/>
          <w:sz w:val="18"/>
          <w:szCs w:val="18"/>
          <w:color w:val="auto"/>
        </w:rPr>
        <w:t>Given the variability of pricing, the Company uses a range of SSP. The Company determines the SSP range using information that may include market conditions or other observable inputs. The Company typically has more than one SSP for individual products and services due to the stratification of products and services by customer size.</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Costs Capitalized to Obtain Revenue Contracts</w:t>
      </w:r>
    </w:p>
    <w:p>
      <w:pPr>
        <w:spacing w:after="0" w:line="116" w:lineRule="exact"/>
        <w:rPr>
          <w:sz w:val="20"/>
          <w:szCs w:val="20"/>
          <w:color w:val="auto"/>
        </w:rPr>
      </w:pPr>
    </w:p>
    <w:p>
      <w:pPr>
        <w:ind w:left="160" w:right="80" w:firstLine="873"/>
        <w:spacing w:after="0" w:line="258" w:lineRule="auto"/>
        <w:rPr>
          <w:sz w:val="20"/>
          <w:szCs w:val="20"/>
          <w:color w:val="auto"/>
        </w:rPr>
      </w:pPr>
      <w:r>
        <w:rPr>
          <w:rFonts w:ascii="Times New Roman" w:cs="Times New Roman" w:eastAsia="Times New Roman" w:hAnsi="Times New Roman"/>
          <w:sz w:val="18"/>
          <w:szCs w:val="18"/>
          <w:color w:val="auto"/>
        </w:rPr>
        <w:t>As part of its adoption of ASU 2014-09, the Company capitalizes incremental costs of obtaining a non-cancelable subscription and support revenue contract. The provisions of ASU 2014-09 codified and clarified the accounting guidance for contract acquisition costs. The new guidance resulted in the capitalization of additional contract acquisition costs, which are subsequently amortized over the estimated life of the contract. Under the prior accounting guidance, the Company expensed sales commissions as incurred.</w:t>
      </w:r>
    </w:p>
    <w:p>
      <w:pPr>
        <w:spacing w:after="0" w:line="180" w:lineRule="exact"/>
        <w:rPr>
          <w:sz w:val="20"/>
          <w:szCs w:val="20"/>
          <w:color w:val="auto"/>
        </w:rPr>
      </w:pPr>
    </w:p>
    <w:p>
      <w:pPr>
        <w:ind w:left="160" w:right="120" w:firstLine="873"/>
        <w:spacing w:after="0" w:line="258" w:lineRule="auto"/>
        <w:rPr>
          <w:sz w:val="20"/>
          <w:szCs w:val="20"/>
          <w:color w:val="auto"/>
        </w:rPr>
      </w:pPr>
      <w:r>
        <w:rPr>
          <w:rFonts w:ascii="Times New Roman" w:cs="Times New Roman" w:eastAsia="Times New Roman" w:hAnsi="Times New Roman"/>
          <w:sz w:val="18"/>
          <w:szCs w:val="18"/>
          <w:color w:val="auto"/>
        </w:rPr>
        <w:t>Under ASU 2014-09, capitalized amounts consist primarily of sales commissions paid to the Company’s direct sales force. Capitalized amounts also include (1) amounts paid to employees other than the direct sales force who earn incentive payouts under annual compensation plans that are tied to the value of contracts acquired and (2) the associated payroll taxes and fringe benefit costs associated with the payments to these employees. Capitalized costs related to new revenue contracts are amortized on a straight-line basis over four years, which,</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80"/>
          </w:cols>
          <w:pgMar w:left="320" w:top="454" w:right="49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31" w:lineRule="exact"/>
        <w:rPr>
          <w:sz w:val="20"/>
          <w:szCs w:val="20"/>
          <w:color w:val="auto"/>
        </w:rPr>
      </w:pPr>
    </w:p>
    <w:p>
      <w:pPr>
        <w:ind w:left="160" w:right="120"/>
        <w:spacing w:after="0" w:line="253" w:lineRule="auto"/>
        <w:rPr>
          <w:sz w:val="20"/>
          <w:szCs w:val="20"/>
          <w:color w:val="auto"/>
        </w:rPr>
      </w:pPr>
      <w:r>
        <w:rPr>
          <w:rFonts w:ascii="Times New Roman" w:cs="Times New Roman" w:eastAsia="Times New Roman" w:hAnsi="Times New Roman"/>
          <w:sz w:val="18"/>
          <w:szCs w:val="18"/>
          <w:color w:val="auto"/>
        </w:rPr>
        <w:t>although longer than the typical initial contract period, reflects the average period of benefit, including expected contract renewals. In arriving at this average period of benefit, the Company evaluated both qualitative and quantitative factors which included the estimated life cycles of its offerings and its customer attrition. The capitalized amounts are recoverable through future revenue streams under all non-cancelable customer contracts. The Company periodically evaluates whether there have been any changes in its business, the market conditions in which it operates, or other events which would indicate that its amortization period should be changed or if there are potential indicators of impairment. Amortization of capitalized costs to obtain revenue contracts is included in cost of revenues – professional services, sales and marketing and research and development expense in the accompanying consolidated statements of operations.</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Judgments</w:t>
      </w:r>
    </w:p>
    <w:p>
      <w:pPr>
        <w:spacing w:after="0" w:line="1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Contracts with customers may include multiple services requiring allocation of the transaction price across the different performance</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obligations.</w:t>
      </w:r>
    </w:p>
    <w:p>
      <w:pPr>
        <w:spacing w:after="0" w:line="202"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color w:val="auto"/>
        </w:rPr>
        <w:t>Standalone selling price is established by maximizing the amount of observable inputs, primarily actual historical selling prices for performance obligations where available and includes consideration of factors such as go-to-market model and customer size. Where standalone selling price may not be observable (e.g., the performance obligation is not sold separately), the Company maximizes the use of observable inputs by using information that may include reviewing pricing practices, performance obligations with similar customers and selling models.</w:t>
      </w:r>
    </w:p>
    <w:p>
      <w:pPr>
        <w:spacing w:after="0" w:line="180" w:lineRule="exact"/>
        <w:rPr>
          <w:sz w:val="20"/>
          <w:szCs w:val="20"/>
          <w:color w:val="auto"/>
        </w:rPr>
      </w:pPr>
    </w:p>
    <w:p>
      <w:pPr>
        <w:ind w:left="160" w:right="280" w:firstLine="873"/>
        <w:spacing w:after="0" w:line="255" w:lineRule="auto"/>
        <w:rPr>
          <w:sz w:val="20"/>
          <w:szCs w:val="20"/>
          <w:color w:val="auto"/>
        </w:rPr>
      </w:pPr>
      <w:r>
        <w:rPr>
          <w:rFonts w:ascii="Times New Roman" w:cs="Times New Roman" w:eastAsia="Times New Roman" w:hAnsi="Times New Roman"/>
          <w:sz w:val="18"/>
          <w:szCs w:val="18"/>
          <w:color w:val="auto"/>
        </w:rPr>
        <w:t>Capitalized costs to obtain a contract are amortized over the expected period of benefit, which the Company has determined, based on analysis, to be approximately 4 years. The Company evaluated qualitative and quantitative factors to determine the period of amortization, including contract length, renewals, customer life and the useful lives of our products and acquired products. When the expected period of benefit of an asset which would be capitalized is less than one year, the Company expenses the amount as incurred, utilizing the practical expedient. The Company regularly evaluates whether there have been changes in the underlying assumptions and data used to determine the amortization period.</w:t>
      </w:r>
    </w:p>
    <w:p>
      <w:pPr>
        <w:spacing w:after="0" w:line="184" w:lineRule="exact"/>
        <w:rPr>
          <w:sz w:val="20"/>
          <w:szCs w:val="20"/>
          <w:color w:val="auto"/>
        </w:rPr>
      </w:pPr>
    </w:p>
    <w:p>
      <w:pPr>
        <w:ind w:left="160" w:right="40" w:firstLine="873"/>
        <w:spacing w:after="0" w:line="258" w:lineRule="auto"/>
        <w:rPr>
          <w:sz w:val="20"/>
          <w:szCs w:val="20"/>
          <w:color w:val="auto"/>
        </w:rPr>
      </w:pPr>
      <w:r>
        <w:rPr>
          <w:rFonts w:ascii="Times New Roman" w:cs="Times New Roman" w:eastAsia="Times New Roman" w:hAnsi="Times New Roman"/>
          <w:sz w:val="18"/>
          <w:szCs w:val="18"/>
          <w:color w:val="auto"/>
        </w:rPr>
        <w:t>At times, the Company provides credits or incentives to its customers. Known and estimable credits and incentives represent a form of variable consideration, which are determined at contract inception and reduce the revenues recognized for a particular contract. At the end of each reporting period, the Company reviews and updates its estimates as additional information becomes available. The Company believes that there will not be significant changes to its estimates of variable consideration as of January 31, 2020.</w:t>
      </w:r>
    </w:p>
    <w:p>
      <w:pPr>
        <w:spacing w:after="0" w:line="180"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The Company evaluates whether it is the principal (i.e., report revenues on a gross basis) or agent (i.e., report revenues on a net basis) with respect to vendor reseller agreements pursuant to which the Company resells certain third-party solutions along with the Company’s solutions. Generally, the Company reports revenues from these types of contracts on a gross basis, meaning the amounts billed to customers are recorded as revenues and expenses incurred are recorded as cost of revenues. Where the Company is the principal, it first obtains control of the inputs to the specific good or service and directs their use to create the combined output. The Company’s control is evidenced by its involvement in the integration of the good or service on its platform before it is transferred to its customers and is further supported by the Company being primarily responsible to its customers and having a level of discretion in establishing pricing. Revenues provided from agreements in which the Company is an agent are immaterial.</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40"/>
          </w:cols>
          <w:pgMar w:left="320" w:top="454" w:right="5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27" w:lineRule="exact"/>
        <w:rPr>
          <w:sz w:val="20"/>
          <w:szCs w:val="20"/>
          <w:color w:val="auto"/>
        </w:rPr>
      </w:pPr>
    </w:p>
    <w:p>
      <w:pPr>
        <w:ind w:left="160" w:right="340" w:firstLine="873"/>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Deferred Revenue: </w:t>
      </w:r>
      <w:r>
        <w:rPr>
          <w:rFonts w:ascii="Times New Roman" w:cs="Times New Roman" w:eastAsia="Times New Roman" w:hAnsi="Times New Roman"/>
          <w:sz w:val="17"/>
          <w:szCs w:val="17"/>
          <w:color w:val="auto"/>
        </w:rPr>
        <w:t>Deferred revenue primarily consists of billings or payments received in advance of revenue recognition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subscription services, including non-cancellable and non-refundable committed funds and deposits. Deferred revenue is recognized as revenue recognition criteria has been met. Customers are typically invoiced for these agreements in advance of regular annual installments and revenues are recognized ratably over the contractual subscription period. The deferred revenue balance is influenced by several factors, including seasonality, the compounding effects of renewals, invoice duration, invoice timing, size and new business linearity. Deferred revenue does not represent the total contract value of annual or multi-year non-cancellable subscription agreements. Deferred revenue that will be recognized during the succeeding</w:t>
      </w:r>
    </w:p>
    <w:p>
      <w:pPr>
        <w:spacing w:after="0" w:line="2" w:lineRule="exact"/>
        <w:rPr>
          <w:sz w:val="20"/>
          <w:szCs w:val="20"/>
          <w:color w:val="auto"/>
        </w:rPr>
      </w:pPr>
    </w:p>
    <w:p>
      <w:pPr>
        <w:ind w:left="160" w:right="140"/>
        <w:spacing w:after="0" w:line="256" w:lineRule="auto"/>
        <w:rPr>
          <w:sz w:val="20"/>
          <w:szCs w:val="20"/>
          <w:color w:val="auto"/>
        </w:rPr>
      </w:pPr>
      <w:r>
        <w:rPr>
          <w:rFonts w:ascii="Times New Roman" w:cs="Times New Roman" w:eastAsia="Times New Roman" w:hAnsi="Times New Roman"/>
          <w:sz w:val="18"/>
          <w:szCs w:val="18"/>
          <w:color w:val="auto"/>
        </w:rPr>
        <w:t>12-month period are recorded as deferred revenue, current portion, and the remaining portion is recorded as deferred revenue, net of current portion on the consolidated balance sheets.</w:t>
      </w:r>
    </w:p>
    <w:p>
      <w:pPr>
        <w:spacing w:after="0" w:line="182"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Payment terms vary by contract, although terms generally include a requirement of payment within 30 to 45 days. In instances where the timing of revenue recognition differs from the timing of invoicing, the Company has determined contracts generally do not include a significant financing component. The primary purpose of invoicing terms is to provide customers with simplified and predictable ways of purchasing services, such as invoicing at the beginning of a subscription term with revenues recognized ratably over the contract period, and not to provide financing to customers. Any implied financing costs are considered insignificant in the context of the Company’s contracts.</w:t>
      </w:r>
    </w:p>
    <w:p>
      <w:pPr>
        <w:spacing w:after="0" w:line="180" w:lineRule="exact"/>
        <w:rPr>
          <w:sz w:val="20"/>
          <w:szCs w:val="20"/>
          <w:color w:val="auto"/>
        </w:rPr>
      </w:pPr>
    </w:p>
    <w:p>
      <w:pPr>
        <w:ind w:left="160" w:right="60" w:firstLine="873"/>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The Company considers all highly liquid investments purchased with an original maturity of three months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 at the date of purchase to be cash equivalents. Cash and cash equivalents are stated at fair value.</w:t>
      </w:r>
    </w:p>
    <w:p>
      <w:pPr>
        <w:spacing w:after="0" w:line="156" w:lineRule="exact"/>
        <w:rPr>
          <w:sz w:val="20"/>
          <w:szCs w:val="20"/>
          <w:color w:val="auto"/>
        </w:rPr>
      </w:pPr>
    </w:p>
    <w:p>
      <w:pPr>
        <w:ind w:left="160" w:firstLine="873"/>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Accounts Receivable and Allowances: </w:t>
      </w:r>
      <w:r>
        <w:rPr>
          <w:rFonts w:ascii="Times New Roman" w:cs="Times New Roman" w:eastAsia="Times New Roman" w:hAnsi="Times New Roman"/>
          <w:sz w:val="17"/>
          <w:szCs w:val="17"/>
          <w:color w:val="auto"/>
        </w:rPr>
        <w:t>A receivable is recorded when an unconditional right to invoice and receive payment exists,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only the passage of time is required before payment of consideration is due. Timing of revenue recognition may differ from the timing of invoicing to customers. Certain performance obligations may require payment before delivery of the service to the customer. Under ASU 2014-09, the timing and amount of revenue recognition may differ in certain situations from the revenues recognized under previous accounting guidance that limited subscription and support revenues to the customer invoice amount for the period of service (collectively billings).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 accounts receivable is a contract asset related to the delivery of our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w:t>
      </w:r>
    </w:p>
    <w:p>
      <w:pPr>
        <w:spacing w:after="0" w:line="180" w:lineRule="exact"/>
        <w:rPr>
          <w:sz w:val="20"/>
          <w:szCs w:val="20"/>
          <w:color w:val="auto"/>
        </w:rPr>
      </w:pPr>
    </w:p>
    <w:p>
      <w:pPr>
        <w:ind w:left="160" w:right="60" w:firstLine="873"/>
        <w:spacing w:after="0" w:line="278" w:lineRule="auto"/>
        <w:rPr>
          <w:sz w:val="20"/>
          <w:szCs w:val="20"/>
          <w:color w:val="auto"/>
        </w:rPr>
      </w:pPr>
      <w:r>
        <w:rPr>
          <w:rFonts w:ascii="Times New Roman" w:cs="Times New Roman" w:eastAsia="Times New Roman" w:hAnsi="Times New Roman"/>
          <w:sz w:val="18"/>
          <w:szCs w:val="18"/>
          <w:color w:val="auto"/>
        </w:rPr>
        <w:t>The Company records allowances for doubtful accounts based upon the credit worthiness of customers, historical experience, the age of the accounts receivable and current market and economic conditions.</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60"/>
          </w:cols>
          <w:pgMar w:left="320" w:top="454" w:right="51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 summary of activity in the allowance for doubtful accounts is as follows:</w:t>
      </w:r>
    </w:p>
    <w:p>
      <w:pPr>
        <w:spacing w:after="0" w:line="243"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4"/>
          <w:szCs w:val="14"/>
          <w:color w:val="auto"/>
        </w:rPr>
        <w:t>Fiscal Year Ended</w:t>
      </w:r>
    </w:p>
    <w:p>
      <w:pPr>
        <w:jc w:val="center"/>
        <w:ind w:left="6620"/>
        <w:spacing w:after="0" w:line="232" w:lineRule="auto"/>
        <w:rPr>
          <w:sz w:val="20"/>
          <w:szCs w:val="20"/>
          <w:color w:val="auto"/>
        </w:rPr>
      </w:pPr>
      <w:r>
        <w:rPr>
          <w:rFonts w:ascii="Times New Roman" w:cs="Times New Roman" w:eastAsia="Times New Roman" w:hAnsi="Times New Roman"/>
          <w:sz w:val="14"/>
          <w:szCs w:val="14"/>
          <w:color w:val="auto"/>
        </w:rPr>
        <w:t>January 31,</w:t>
      </w:r>
    </w:p>
    <w:tbl>
      <w:tblPr>
        <w:tblLayout w:type="fixed"/>
        <w:tblInd w:w="104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2018</w:t>
            </w: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Charged to (recovery of) bad debt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(329)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110</w:t>
            </w:r>
          </w:p>
        </w:tc>
        <w:tc>
          <w:tcPr>
            <w:tcW w:w="3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r>
      <w:tr>
        <w:trPr>
          <w:trHeight w:val="214"/>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offs and 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21"/>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123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5"/>
              </w:rPr>
              <w:t>$ —</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5" w:lineRule="exact"/>
        <w:rPr>
          <w:sz w:val="20"/>
          <w:szCs w:val="20"/>
          <w:color w:val="auto"/>
        </w:rPr>
      </w:pPr>
    </w:p>
    <w:p>
      <w:pPr>
        <w:ind w:left="160" w:right="80" w:firstLine="87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Costs Capitalized to Obtain Revenue Contracts: </w:t>
      </w:r>
      <w:r>
        <w:rPr>
          <w:rFonts w:ascii="Times New Roman" w:cs="Times New Roman" w:eastAsia="Times New Roman" w:hAnsi="Times New Roman"/>
          <w:sz w:val="18"/>
          <w:szCs w:val="18"/>
          <w:color w:val="auto"/>
        </w:rPr>
        <w:t>The Company recognizes an asset for the incremental costs of obtaining a contract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customer if the Company expects the benefit of those costs to be longer than one year. The Company has determined that certain sales incentive programs meet the requirements to be capitalized. The costs capitalized under ASU 2014-09 are primarily sales commissions paid to commissioned sales personnel. Capitalized costs also include portions of fringe benefits and payroll taxes associated with compensation for incremental costs to acquire customer contracts. Capitalized costs to obtain a contract are amortized over the expected period of benefit, which the Company has determined to be approximately 4 years. Amortization of capitalized costs are included in costs of revenues – professional services, research and development, and within sales and marketing expense in the Company’s consolidated statements of operations.</w:t>
      </w:r>
    </w:p>
    <w:p>
      <w:pPr>
        <w:spacing w:after="0" w:line="184" w:lineRule="exact"/>
        <w:rPr>
          <w:sz w:val="20"/>
          <w:szCs w:val="20"/>
          <w:color w:val="auto"/>
        </w:rPr>
      </w:pPr>
    </w:p>
    <w:p>
      <w:pPr>
        <w:ind w:left="160" w:right="140" w:firstLine="873"/>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Property and equipment are stated at cost less accumulated depreciation. Depreciation is calculated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straight-line method over the estimated useful lives of the assets and commences once the asset is placed in service or is ready for its intended use. The estimated useful lives by asset classification are generally as follows:</w:t>
      </w:r>
    </w:p>
    <w:p>
      <w:pPr>
        <w:spacing w:after="0" w:line="197" w:lineRule="exact"/>
        <w:rPr>
          <w:sz w:val="20"/>
          <w:szCs w:val="20"/>
          <w:color w:val="auto"/>
        </w:rPr>
      </w:pPr>
    </w:p>
    <w:tbl>
      <w:tblPr>
        <w:tblLayout w:type="fixed"/>
        <w:tblInd w:w="160" w:type="dxa"/>
        <w:tblCellMar>
          <w:top w:w="0" w:type="dxa"/>
          <w:left w:w="0" w:type="dxa"/>
          <w:bottom w:w="0" w:type="dxa"/>
          <w:right w:w="0" w:type="dxa"/>
        </w:tblCellMar>
      </w:tblPr>
      <w:tr>
        <w:trPr>
          <w:trHeight w:val="183"/>
        </w:trPr>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 Classification</w:t>
            </w: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Estimated Useful Life</w:t>
            </w:r>
          </w:p>
        </w:tc>
      </w:tr>
      <w:tr>
        <w:trPr>
          <w:trHeight w:val="189"/>
        </w:trPr>
        <w:tc>
          <w:tcPr>
            <w:tcW w:w="20" w:type="dxa"/>
            <w:vAlign w:val="bottom"/>
          </w:tcPr>
          <w:p>
            <w:pPr>
              <w:spacing w:after="0"/>
              <w:rPr>
                <w:sz w:val="16"/>
                <w:szCs w:val="16"/>
                <w:color w:val="auto"/>
              </w:rPr>
            </w:pPr>
          </w:p>
        </w:tc>
        <w:tc>
          <w:tcPr>
            <w:tcW w:w="55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6"/>
                <w:szCs w:val="16"/>
                <w:color w:val="auto"/>
              </w:rPr>
            </w:pPr>
          </w:p>
        </w:tc>
        <w:tc>
          <w:tcPr>
            <w:tcW w:w="51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3-7 years</w:t>
            </w:r>
          </w:p>
        </w:tc>
      </w:tr>
      <w:tr>
        <w:trPr>
          <w:trHeight w:val="214"/>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3 years</w:t>
            </w:r>
          </w:p>
        </w:tc>
      </w:tr>
      <w:tr>
        <w:trPr>
          <w:trHeight w:val="233"/>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Shorter of remaining life of the lease term or estimated useful life</w:t>
            </w:r>
          </w:p>
        </w:tc>
      </w:tr>
    </w:tbl>
    <w:p>
      <w:pPr>
        <w:spacing w:after="0" w:line="195" w:lineRule="exact"/>
        <w:rPr>
          <w:sz w:val="20"/>
          <w:szCs w:val="20"/>
          <w:color w:val="auto"/>
        </w:rPr>
      </w:pPr>
    </w:p>
    <w:p>
      <w:pPr>
        <w:ind w:left="160" w:right="180" w:firstLine="873"/>
        <w:spacing w:after="0" w:line="278" w:lineRule="auto"/>
        <w:rPr>
          <w:sz w:val="20"/>
          <w:szCs w:val="20"/>
          <w:color w:val="auto"/>
        </w:rPr>
      </w:pPr>
      <w:r>
        <w:rPr>
          <w:rFonts w:ascii="Times New Roman" w:cs="Times New Roman" w:eastAsia="Times New Roman" w:hAnsi="Times New Roman"/>
          <w:sz w:val="18"/>
          <w:szCs w:val="18"/>
          <w:color w:val="auto"/>
        </w:rPr>
        <w:t>When assets are retired or otherwise disposed of, the cost and accumulated depreciation or amortization are removed from their respective accounts, and any gain or loss on such retirement is reflected in operating expenses.</w:t>
      </w:r>
    </w:p>
    <w:p>
      <w:pPr>
        <w:spacing w:after="0" w:line="158" w:lineRule="exact"/>
        <w:rPr>
          <w:sz w:val="20"/>
          <w:szCs w:val="20"/>
          <w:color w:val="auto"/>
        </w:rPr>
      </w:pPr>
    </w:p>
    <w:p>
      <w:pPr>
        <w:ind w:left="160" w:right="100" w:firstLine="87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Capitalized Software Costs: </w:t>
      </w:r>
      <w:r>
        <w:rPr>
          <w:rFonts w:ascii="Times New Roman" w:cs="Times New Roman" w:eastAsia="Times New Roman" w:hAnsi="Times New Roman"/>
          <w:sz w:val="18"/>
          <w:szCs w:val="18"/>
          <w:color w:val="auto"/>
        </w:rPr>
        <w:t>Costs related to software developed for internal use are capitalized during the application development 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related to preliminary internal or external project activities and post implementation activities are expensed as incurred. Capitalized internal-use software is amortized on a straight-line basis over its estimated useful life, which is generally two to five years. Capitalized software costs useful lives are evaluated on an annual basis and tested for impairment whenever events or changes indicate that the carrying amount of an asset may not be recoverable. There were no costs capitalized during the fiscal years ended January 31, 2018, 2019 or 2020 and there were no unamortized capitalized software costs as of January 31, 2019 and 2020.</w:t>
      </w:r>
    </w:p>
    <w:p>
      <w:pPr>
        <w:spacing w:after="0" w:line="178" w:lineRule="exact"/>
        <w:rPr>
          <w:sz w:val="20"/>
          <w:szCs w:val="20"/>
          <w:color w:val="auto"/>
        </w:rPr>
      </w:pPr>
    </w:p>
    <w:p>
      <w:pPr>
        <w:ind w:left="160" w:right="420" w:firstLine="873"/>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Intangible assets are amortized over their estimated useful lives. Each period, the Company evaluates the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remaining useful life of its intangible assets and whether events or changes in</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80"/>
          </w:cols>
          <w:pgMar w:left="320" w:top="454" w:right="49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31" w:lineRule="exact"/>
        <w:rPr>
          <w:sz w:val="20"/>
          <w:szCs w:val="20"/>
          <w:color w:val="auto"/>
        </w:rPr>
      </w:pPr>
    </w:p>
    <w:p>
      <w:pPr>
        <w:ind w:left="160" w:right="920"/>
        <w:spacing w:after="0" w:line="278" w:lineRule="auto"/>
        <w:rPr>
          <w:sz w:val="20"/>
          <w:szCs w:val="20"/>
          <w:color w:val="auto"/>
        </w:rPr>
      </w:pPr>
      <w:r>
        <w:rPr>
          <w:rFonts w:ascii="Times New Roman" w:cs="Times New Roman" w:eastAsia="Times New Roman" w:hAnsi="Times New Roman"/>
          <w:sz w:val="18"/>
          <w:szCs w:val="18"/>
          <w:color w:val="auto"/>
        </w:rPr>
        <w:t>circumstances warrant a revision to the remaining period of amortization. Management tests for impairment whenever events or changes in circumstances occur that could impact the recoverability of these assets.</w:t>
      </w:r>
    </w:p>
    <w:p>
      <w:pPr>
        <w:spacing w:after="0" w:line="158" w:lineRule="exact"/>
        <w:rPr>
          <w:sz w:val="20"/>
          <w:szCs w:val="20"/>
          <w:color w:val="auto"/>
        </w:rPr>
      </w:pPr>
    </w:p>
    <w:p>
      <w:pPr>
        <w:ind w:left="160" w:right="40" w:firstLine="873"/>
        <w:spacing w:after="0" w:line="253" w:lineRule="auto"/>
        <w:rPr>
          <w:sz w:val="20"/>
          <w:szCs w:val="20"/>
          <w:color w:val="auto"/>
        </w:rPr>
      </w:pPr>
      <w:r>
        <w:rPr>
          <w:rFonts w:ascii="Times New Roman" w:cs="Times New Roman" w:eastAsia="Times New Roman" w:hAnsi="Times New Roman"/>
          <w:sz w:val="18"/>
          <w:szCs w:val="18"/>
          <w:b w:val="1"/>
          <w:bCs w:val="1"/>
          <w:color w:val="auto"/>
        </w:rPr>
        <w:t>Impairment Assessment</w:t>
      </w:r>
      <w:r>
        <w:rPr>
          <w:rFonts w:ascii="Times New Roman" w:cs="Times New Roman" w:eastAsia="Times New Roman" w:hAnsi="Times New Roman"/>
          <w:sz w:val="18"/>
          <w:szCs w:val="18"/>
          <w:color w:val="auto"/>
        </w:rPr>
        <w:t>: The Company evaluates intangible assets and long-lived assets for possible impairment whenever events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changes in circumstances indicate that the carrying amount of such assets may not be recoverable. This includes but is not limited to significant adverse changes in business climate, market conditions, or other events that indicate an asset’s carrying amount may not be recoverable. Recoverability of these assets is measured by comparing the carrying amount of each asset to the future undiscounted cash flows the asset is expected to generate. If the undiscounted cash flows used in the test for recoverability are less than the carrying amount of these assets, the carrying amount of such assets is reduced to fair value. There were no material impairments of intangible assets or long-lived assets during the fiscal years ended January 31, 2018, 2019 and 2020.</w:t>
      </w:r>
    </w:p>
    <w:p>
      <w:pPr>
        <w:spacing w:after="0" w:line="184"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Goodwill represents the excess of the purchase price in a business combination over the fair value of net assets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Goodwill is not amortized, but rather the carrying amounts of these assets are assessed for impairment at least annually or whenever events or changes in circumstances indicate that the carrying value of these assets may not be recoverable. Goodwill is tested for impairment annually on November 1, the first day of the fourth quarter of the fiscal year. In the year ended January 31, 2020, the Company elected to early adopt ASU 2017-04, </w:t>
      </w:r>
      <w:r>
        <w:rPr>
          <w:rFonts w:ascii="Times New Roman" w:cs="Times New Roman" w:eastAsia="Times New Roman" w:hAnsi="Times New Roman"/>
          <w:sz w:val="18"/>
          <w:szCs w:val="18"/>
          <w:i w:val="1"/>
          <w:iCs w:val="1"/>
          <w:color w:val="auto"/>
        </w:rPr>
        <w:t>“Simplifying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Test for Goodwill Impairment” </w:t>
      </w:r>
      <w:r>
        <w:rPr>
          <w:rFonts w:ascii="Times New Roman" w:cs="Times New Roman" w:eastAsia="Times New Roman" w:hAnsi="Times New Roman"/>
          <w:sz w:val="18"/>
          <w:szCs w:val="18"/>
          <w:color w:val="auto"/>
        </w:rPr>
        <w:t>for its annual goodwill impairment test. ASU 2017-04 removes Step 2 of the goodwill impairment test requiring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hypothetical purchase price allocation.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There is no goodwill impairment for the years ended January 31, 2018, 2019, and 2020.</w:t>
      </w:r>
    </w:p>
    <w:p>
      <w:pPr>
        <w:spacing w:after="0" w:line="184"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The Company determines the fair value of a reporting unit using a discounted cash flow analysis that is corroborated by a market-based approach. Determining fair value requires the exercise of significant judgment, including judgment about appropriate discount rates, perpetual growth rates and the amount and timing of expected future cash flows. The cash flows employed in the discounted cash flow analyses are based on the most recent budget and long-term forecast. The discount rates used in the discounted cash flow analyses are intended to reflect the risks inherent in the future cash flows of the respective reporting units. The market comparable approach estimates fair value using market multiples of various financial measures compared to a set of comparable public companies and recent comparable transactions.</w:t>
      </w:r>
    </w:p>
    <w:p>
      <w:pPr>
        <w:spacing w:after="0" w:line="180" w:lineRule="exact"/>
        <w:rPr>
          <w:sz w:val="20"/>
          <w:szCs w:val="20"/>
          <w:color w:val="auto"/>
        </w:rPr>
      </w:pPr>
    </w:p>
    <w:p>
      <w:pPr>
        <w:ind w:left="160" w:right="20" w:firstLine="873"/>
        <w:spacing w:after="0" w:line="252" w:lineRule="auto"/>
        <w:rPr>
          <w:sz w:val="20"/>
          <w:szCs w:val="20"/>
          <w:color w:val="auto"/>
        </w:rPr>
      </w:pPr>
      <w:r>
        <w:rPr>
          <w:rFonts w:ascii="Times New Roman" w:cs="Times New Roman" w:eastAsia="Times New Roman" w:hAnsi="Times New Roman"/>
          <w:sz w:val="18"/>
          <w:szCs w:val="18"/>
          <w:b w:val="1"/>
          <w:bCs w:val="1"/>
          <w:color w:val="auto"/>
        </w:rPr>
        <w:t>Business Combinations</w:t>
      </w:r>
      <w:r>
        <w:rPr>
          <w:rFonts w:ascii="Times New Roman" w:cs="Times New Roman" w:eastAsia="Times New Roman" w:hAnsi="Times New Roman"/>
          <w:sz w:val="18"/>
          <w:szCs w:val="18"/>
          <w:color w:val="auto"/>
        </w:rPr>
        <w:t>: Several valuation methods may be used to determine the fair value of assets acquired and liabilities assumed.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uses its best estimates and assumptions to assign fair value to the tangible and intangible assets acquired and liabilities assumed at the acquisition date. The Company’s estimates are inherently uncertain and subject to refinement. For intangible assets, the Company typically uses the income method. This method starts with a forecast of all of the expected future net cash flows for each asset. These cash flows are then adjusted to present value by applying an appropriate discount rate that reflects the risk factors associated with the cash flow streams. Some of the more significant estimates and assumptions inherent in the income method or other methods include the amount and timing of projected future cash flows, the discount rate selected to measure the risks inherent in the future cash flows and the assessment of the asset’s life cycle and the competitive trends impacting the asset, including consideration of any technical, legal, regulatory or economic barriers to entry. Determining the useful life of an intangible asset also requires judgment as different types of intangible assets will have different useful lives and certain assets may even be considered to have indefinite</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20"/>
          </w:cols>
          <w:pgMar w:left="320" w:top="454" w:right="5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31" w:lineRule="exact"/>
        <w:rPr>
          <w:sz w:val="20"/>
          <w:szCs w:val="20"/>
          <w:color w:val="auto"/>
        </w:rPr>
      </w:pPr>
    </w:p>
    <w:p>
      <w:pPr>
        <w:ind w:left="160" w:right="40"/>
        <w:spacing w:after="0" w:line="253" w:lineRule="auto"/>
        <w:rPr>
          <w:sz w:val="20"/>
          <w:szCs w:val="20"/>
          <w:color w:val="auto"/>
        </w:rPr>
      </w:pPr>
      <w:r>
        <w:rPr>
          <w:rFonts w:ascii="Times New Roman" w:cs="Times New Roman" w:eastAsia="Times New Roman" w:hAnsi="Times New Roman"/>
          <w:sz w:val="18"/>
          <w:szCs w:val="18"/>
          <w:color w:val="auto"/>
        </w:rPr>
        <w:t>useful lives.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recorded in connection with a business combination as of the acquisition date.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84"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For acquisitions involving additional consideration to be transferred to the selling parties in the event certain future events occur or conditions are met (“contingent consideration”), the Company recognizes the acquisition-date fair value of contingent consideration as part of the consideration transferred in exchange for the business combination. Contingent consideration meeting the criteria to be classified as equity in the consolidated balance sheets is not remeasured, and its subsequent settlement is recorded within stockholders’ equity. Contingent consideration classified as a liability is remeasured to fair value at each reporting date until the contingency is resolved, with any changes in fair value recognized in the Company’s consolidated statements of operations.</w:t>
      </w:r>
    </w:p>
    <w:p>
      <w:pPr>
        <w:spacing w:after="0" w:line="180" w:lineRule="exact"/>
        <w:rPr>
          <w:sz w:val="20"/>
          <w:szCs w:val="20"/>
          <w:color w:val="auto"/>
        </w:rPr>
      </w:pPr>
    </w:p>
    <w:p>
      <w:pPr>
        <w:ind w:left="160" w:right="80" w:firstLine="87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Deferred Rent: </w:t>
      </w:r>
      <w:r>
        <w:rPr>
          <w:rFonts w:ascii="Times New Roman" w:cs="Times New Roman" w:eastAsia="Times New Roman" w:hAnsi="Times New Roman"/>
          <w:sz w:val="18"/>
          <w:szCs w:val="18"/>
          <w:color w:val="auto"/>
        </w:rPr>
        <w:t>Operating leases rent expense is recognized on a straight-line basis over the terms of the leases and the difference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rent payments and recognized rent expense is recorded as a deferred rent liability. Landlord-funded leasehold improvements are also recorded as deferred rent liabilities and amortized as a reduction of rent expense over the non-cancelable term of the related operating lease. The Company may receive rent holidays and other incentives. The Company recognizes lease costs on a straight-line basis once control of the space is achieved, without regard to deferred payments such as rent holidays that defer the commencement date of required payments.</w:t>
      </w:r>
    </w:p>
    <w:p>
      <w:pPr>
        <w:spacing w:after="0" w:line="180"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Cost of subscription and support revenues consist of costs related to hosting the Company’s software solution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employee-related costs, including stock-based compensation expenses and allocated overhead associated with customer support. Cost of professional services and other revenues consist of employee-related costs associated with these services, including stock-based compensation expenses, and allocated overhead, and the cost of subcontractors. Allocated overhead includes costs such as information technology infrastructure, rent and occupancy charges, along with employee benefit costs, and taxes based upon a percentage of total compensation expense. As such, general overhead expenses are reflected in each cost of revenues and operating expenses category.</w:t>
      </w:r>
    </w:p>
    <w:p>
      <w:pPr>
        <w:spacing w:after="0" w:line="178" w:lineRule="exact"/>
        <w:rPr>
          <w:sz w:val="20"/>
          <w:szCs w:val="20"/>
          <w:color w:val="auto"/>
        </w:rPr>
      </w:pPr>
    </w:p>
    <w:p>
      <w:pPr>
        <w:ind w:left="160" w:right="320" w:firstLine="873"/>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Advertising: </w:t>
      </w:r>
      <w:r>
        <w:rPr>
          <w:rFonts w:ascii="Times New Roman" w:cs="Times New Roman" w:eastAsia="Times New Roman" w:hAnsi="Times New Roman"/>
          <w:sz w:val="18"/>
          <w:szCs w:val="18"/>
          <w:color w:val="auto"/>
        </w:rPr>
        <w:t>Advertising costs are expensed as incurred and consist of advertising, third-party marketing, branded marketing,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conference and event expenses. Advertising expenses are recorded in sales and marketing expenses in the consolidated statements of operations and were $1.2 million, $1.8 million and $3.7 million for the fiscal years ended January 31, 2018, 2019 and 2020, respectively.</w:t>
      </w:r>
    </w:p>
    <w:p>
      <w:pPr>
        <w:spacing w:after="0" w:line="170" w:lineRule="exact"/>
        <w:rPr>
          <w:sz w:val="20"/>
          <w:szCs w:val="20"/>
          <w:color w:val="auto"/>
        </w:rPr>
      </w:pPr>
    </w:p>
    <w:p>
      <w:pPr>
        <w:ind w:left="160" w:right="40" w:firstLine="87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Deferred income taxes are determined using the asset and liability method, whereby deferred tax assets are recognized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deductible temporary differences and deferred tax liabilities are recognized for taxable temporary differences. Temporary differences are the differences between the reported amounts of assets and liabilities and their tax bases. Deferred tax assets are also recorded for any tax attribute, such as net operating losses. Deferred tax assets and liabilities are adjusted for the effects of the changes in tax laws and rates</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40"/>
          </w:cols>
          <w:pgMar w:left="320" w:top="454" w:right="5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31"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on the date of enactment within income tax expense. The Company reflects the expected amount of income taxes to be paid or refunded during the year as current income tax expense or benefit, as applicable.</w:t>
      </w:r>
    </w:p>
    <w:p>
      <w:pPr>
        <w:spacing w:after="0" w:line="162" w:lineRule="exact"/>
        <w:rPr>
          <w:sz w:val="20"/>
          <w:szCs w:val="20"/>
          <w:color w:val="auto"/>
        </w:rPr>
      </w:pPr>
    </w:p>
    <w:p>
      <w:pPr>
        <w:ind w:left="160" w:right="140" w:firstLine="873"/>
        <w:spacing w:after="0" w:line="278" w:lineRule="auto"/>
        <w:rPr>
          <w:sz w:val="20"/>
          <w:szCs w:val="20"/>
          <w:color w:val="auto"/>
        </w:rPr>
      </w:pPr>
      <w:r>
        <w:rPr>
          <w:rFonts w:ascii="Times New Roman" w:cs="Times New Roman" w:eastAsia="Times New Roman" w:hAnsi="Times New Roman"/>
          <w:sz w:val="18"/>
          <w:szCs w:val="18"/>
          <w:color w:val="auto"/>
        </w:rPr>
        <w:t>Deferred tax assets are reduced by a valuation allowance when, in the opinion of management, it is more-likely-than-not that some portion or all of the deferred tax assets will not be realized.</w:t>
      </w:r>
    </w:p>
    <w:p>
      <w:pPr>
        <w:spacing w:after="0" w:line="162" w:lineRule="exact"/>
        <w:rPr>
          <w:sz w:val="20"/>
          <w:szCs w:val="20"/>
          <w:color w:val="auto"/>
        </w:rPr>
      </w:pPr>
    </w:p>
    <w:p>
      <w:pPr>
        <w:ind w:left="160" w:right="60" w:firstLine="873"/>
        <w:spacing w:after="0" w:line="253" w:lineRule="auto"/>
        <w:rPr>
          <w:sz w:val="20"/>
          <w:szCs w:val="20"/>
          <w:color w:val="auto"/>
        </w:rPr>
      </w:pPr>
      <w:r>
        <w:rPr>
          <w:rFonts w:ascii="Times New Roman" w:cs="Times New Roman" w:eastAsia="Times New Roman" w:hAnsi="Times New Roman"/>
          <w:sz w:val="18"/>
          <w:szCs w:val="18"/>
          <w:color w:val="auto"/>
        </w:rPr>
        <w:t>The Company follows the accounting standards on accounting for uncertainty in income taxes, which addresses the determination of whether tax benefits claimed or expected to be claimed on a tax return should be recorded in the consolidated financial statements. Under this guidance, the Company may recognize the tax benefit from an uncertain tax position only if it is more-likely-than-not that the tax position will be sustained on examination by taxing authorities based on the technical merits of the tax position. The tax benefits recognized in the consolidated financial statements from such a position are measured based on the benefit having a greater than 50% likelihood of being realized upon ultimate settlement. The guidance on accounting for uncertainty in income taxes also addresses de-recognition, classification, interest, and penalties on income taxes, and accounting interim periods.</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When and if applicable, potential interest and penalties are accrued as incurred, within income tax expense.</w:t>
      </w:r>
    </w:p>
    <w:p>
      <w:pPr>
        <w:spacing w:after="0" w:line="217" w:lineRule="exact"/>
        <w:rPr>
          <w:sz w:val="20"/>
          <w:szCs w:val="20"/>
          <w:color w:val="auto"/>
        </w:rPr>
      </w:pPr>
    </w:p>
    <w:p>
      <w:pPr>
        <w:ind w:left="160" w:right="460" w:firstLine="873"/>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Other Comprehensive Income (Loss): </w:t>
      </w:r>
      <w:r>
        <w:rPr>
          <w:rFonts w:ascii="Times New Roman" w:cs="Times New Roman" w:eastAsia="Times New Roman" w:hAnsi="Times New Roman"/>
          <w:sz w:val="18"/>
          <w:szCs w:val="18"/>
          <w:color w:val="auto"/>
        </w:rPr>
        <w:t>Accumulated other comprehensive income (loss) is reported as a component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and includes unrealized gains and losses on foreign currency translation adjustments.</w:t>
      </w:r>
    </w:p>
    <w:p>
      <w:pPr>
        <w:spacing w:after="0" w:line="156"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Foreign Currency Exchange: </w:t>
      </w:r>
      <w:r>
        <w:rPr>
          <w:rFonts w:ascii="Times New Roman" w:cs="Times New Roman" w:eastAsia="Times New Roman" w:hAnsi="Times New Roman"/>
          <w:sz w:val="18"/>
          <w:szCs w:val="18"/>
          <w:color w:val="auto"/>
        </w:rPr>
        <w:t>The functional currency of the Company’s foreign subsidiaries is generally the local currency.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from translating foreign functional currency financial statements into U.S. dollars are recorded as a separate component on the consolidated statements of comprehensive loss recorded in foreign currency translation line item. Foreign currency transaction gains and losses due to remeasurement are included in other expense in the consolidated statements of operations and were $0.005 million, $0.1 million, and $0.04 million for the fiscal years ended January 31, 2018, 2019 and 2020, respectively, primarily related to various intercompany loans.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spacing w:after="0" w:line="184" w:lineRule="exact"/>
        <w:rPr>
          <w:sz w:val="20"/>
          <w:szCs w:val="20"/>
          <w:color w:val="auto"/>
        </w:rPr>
      </w:pPr>
    </w:p>
    <w:p>
      <w:pPr>
        <w:ind w:left="160" w:right="180" w:firstLine="87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As further described in Note 11, the Company records compensation expense associated with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other equity-based compensation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establishes fair value as the measurement objective in accounting for share-based payment transactions with employees and recognizes expense on a straight-line basis over the applicable vesting period.</w:t>
      </w:r>
    </w:p>
    <w:p>
      <w:pPr>
        <w:spacing w:after="0" w:line="176" w:lineRule="exact"/>
        <w:rPr>
          <w:sz w:val="20"/>
          <w:szCs w:val="20"/>
          <w:color w:val="auto"/>
        </w:rPr>
      </w:pPr>
    </w:p>
    <w:p>
      <w:pPr>
        <w:ind w:left="160" w:right="220" w:firstLine="873"/>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Basic and Diluted Loss per Common Share: </w:t>
      </w:r>
      <w:r>
        <w:rPr>
          <w:rFonts w:ascii="Times New Roman" w:cs="Times New Roman" w:eastAsia="Times New Roman" w:hAnsi="Times New Roman"/>
          <w:sz w:val="18"/>
          <w:szCs w:val="18"/>
          <w:color w:val="auto"/>
        </w:rPr>
        <w:t>Basic loss per share is calculated by dividing the net loss attributable to nCino, Inc.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weighted-average number of shares of common stock outstanding for the period.</w:t>
      </w:r>
    </w:p>
    <w:p>
      <w:pPr>
        <w:spacing w:after="0" w:line="160" w:lineRule="exact"/>
        <w:rPr>
          <w:sz w:val="20"/>
          <w:szCs w:val="20"/>
          <w:color w:val="auto"/>
        </w:rPr>
      </w:pPr>
    </w:p>
    <w:p>
      <w:pPr>
        <w:ind w:left="160" w:right="520" w:firstLine="873"/>
        <w:spacing w:after="0" w:line="278" w:lineRule="auto"/>
        <w:rPr>
          <w:sz w:val="20"/>
          <w:szCs w:val="20"/>
          <w:color w:val="auto"/>
        </w:rPr>
      </w:pPr>
      <w:r>
        <w:rPr>
          <w:rFonts w:ascii="Times New Roman" w:cs="Times New Roman" w:eastAsia="Times New Roman" w:hAnsi="Times New Roman"/>
          <w:sz w:val="18"/>
          <w:szCs w:val="18"/>
          <w:color w:val="auto"/>
        </w:rPr>
        <w:t>Diluted loss per share is calculated by giving effect to all potentially dilutive common stock, which is comprised of stock options and restricted stock units, when determining the weighted-average number of</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60"/>
          </w:cols>
          <w:pgMar w:left="320" w:top="454" w:right="51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31" w:lineRule="exact"/>
        <w:rPr>
          <w:sz w:val="20"/>
          <w:szCs w:val="20"/>
          <w:color w:val="auto"/>
        </w:rPr>
      </w:pPr>
    </w:p>
    <w:p>
      <w:pPr>
        <w:ind w:left="160" w:right="280"/>
        <w:spacing w:after="0" w:line="278" w:lineRule="auto"/>
        <w:rPr>
          <w:sz w:val="20"/>
          <w:szCs w:val="20"/>
          <w:color w:val="auto"/>
        </w:rPr>
      </w:pPr>
      <w:r>
        <w:rPr>
          <w:rFonts w:ascii="Times New Roman" w:cs="Times New Roman" w:eastAsia="Times New Roman" w:hAnsi="Times New Roman"/>
          <w:sz w:val="18"/>
          <w:szCs w:val="18"/>
          <w:color w:val="auto"/>
        </w:rPr>
        <w:t>common shares outstanding. For purposes of the diluted loss per share calculation, basic and diluted loss per share were the same, as the effect of all potentially dilutive securities would have been anti-dilutive.</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Recently Adopted Accounting Guidance:</w:t>
      </w:r>
    </w:p>
    <w:p>
      <w:pPr>
        <w:spacing w:after="0" w:line="118" w:lineRule="exact"/>
        <w:rPr>
          <w:sz w:val="20"/>
          <w:szCs w:val="20"/>
          <w:color w:val="auto"/>
        </w:rPr>
      </w:pPr>
    </w:p>
    <w:p>
      <w:pPr>
        <w:ind w:left="160" w:right="60" w:firstLine="873"/>
        <w:spacing w:after="0" w:line="278" w:lineRule="auto"/>
        <w:rPr>
          <w:sz w:val="20"/>
          <w:szCs w:val="20"/>
          <w:color w:val="auto"/>
        </w:rPr>
      </w:pPr>
      <w:r>
        <w:rPr>
          <w:rFonts w:ascii="Times New Roman" w:cs="Times New Roman" w:eastAsia="Times New Roman" w:hAnsi="Times New Roman"/>
          <w:sz w:val="17"/>
          <w:szCs w:val="17"/>
          <w:color w:val="auto"/>
        </w:rPr>
        <w:t>On May 28, 2014, the FASB issued ASU 2014-09 requiring an entity to recognize the amount of revenues to which it expects to be entitled for the transfer of promised goods or services to customers. ASU 2014-09 also includes Subtopic 340-40, Other Assets and Deferred Costs – Contracts with Customers, which requires the capitalization of incremental costs to obtain a contract with a customer. The new revenue standard replaces most existing revenue recognition guidance in U.S. GAAP and permits the use of either the full retrospective or modified retrospective transition method.</w:t>
      </w:r>
    </w:p>
    <w:p>
      <w:pPr>
        <w:spacing w:after="0" w:line="16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The Company adopted the requirements of ASU 2014-09 as of February 1, 2019 and utilized the modified retrospective transition method.</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Company recognized the following cumulative effects of initially applying the new revenue standard:</w:t>
      </w:r>
    </w:p>
    <w:p>
      <w:pPr>
        <w:spacing w:after="0" w:line="211"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w w:val="99"/>
              </w:rPr>
              <w:t>As of January 31,</w:t>
            </w:r>
          </w:p>
        </w:tc>
        <w:tc>
          <w:tcPr>
            <w:tcW w:w="340" w:type="dxa"/>
            <w:vAlign w:val="bottom"/>
          </w:tcPr>
          <w:p>
            <w:pPr>
              <w:spacing w:after="0"/>
              <w:rPr>
                <w:sz w:val="13"/>
                <w:szCs w:val="13"/>
                <w:color w:val="auto"/>
              </w:rPr>
            </w:pPr>
          </w:p>
        </w:tc>
        <w:tc>
          <w:tcPr>
            <w:tcW w:w="148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color w:val="auto"/>
              </w:rPr>
              <w:t>Topic 606</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 of February 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2019</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Adjustments</w:t>
            </w:r>
          </w:p>
        </w:tc>
        <w:tc>
          <w:tcPr>
            <w:tcW w:w="220" w:type="dxa"/>
            <w:vAlign w:val="bottom"/>
          </w:tcPr>
          <w:p>
            <w:pPr>
              <w:spacing w:after="0"/>
              <w:rPr>
                <w:sz w:val="14"/>
                <w:szCs w:val="14"/>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Accounts receivable, less allowance for doubtful accounts </w:t>
            </w:r>
            <w:r>
              <w:rPr>
                <w:rFonts w:ascii="Times New Roman" w:cs="Times New Roman" w:eastAsia="Times New Roman" w:hAnsi="Times New Roman"/>
                <w:sz w:val="15"/>
                <w:szCs w:val="15"/>
                <w:color w:val="auto"/>
              </w:rPr>
              <w:t>(1)</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25,495</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Costs capitalized to obtain revenue contracts, current portion, net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2,879</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capitalized to obtain revenue contracts, noncurrent, net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5,330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5,330</w:t>
            </w:r>
          </w:p>
        </w:tc>
        <w:tc>
          <w:tcPr>
            <w:tcW w:w="0" w:type="dxa"/>
            <w:vAlign w:val="bottom"/>
          </w:tcPr>
          <w:p>
            <w:pPr>
              <w:spacing w:after="0"/>
              <w:rPr>
                <w:sz w:val="1"/>
                <w:szCs w:val="1"/>
                <w:color w:val="auto"/>
              </w:rPr>
            </w:pPr>
          </w:p>
        </w:tc>
      </w:tr>
      <w:tr>
        <w:trPr>
          <w:trHeight w:val="22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tcPr>
          <w:p>
            <w:pPr>
              <w:spacing w:after="0"/>
              <w:rPr>
                <w:sz w:val="19"/>
                <w:szCs w:val="19"/>
                <w:color w:val="auto"/>
              </w:rPr>
            </w:pPr>
          </w:p>
        </w:tc>
        <w:tc>
          <w:tcPr>
            <w:tcW w:w="2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119,966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76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34,172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(4,366)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825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(825)</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53,930</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(5,191)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48,739</w:t>
            </w:r>
          </w:p>
        </w:tc>
        <w:tc>
          <w:tcPr>
            <w:tcW w:w="0" w:type="dxa"/>
            <w:vAlign w:val="bottom"/>
          </w:tcPr>
          <w:p>
            <w:pPr>
              <w:spacing w:after="0"/>
              <w:rPr>
                <w:sz w:val="1"/>
                <w:szCs w:val="1"/>
                <w:color w:val="auto"/>
              </w:rPr>
            </w:pPr>
          </w:p>
        </w:tc>
      </w:tr>
      <w:tr>
        <w:trPr>
          <w:trHeight w:val="321"/>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(104,752)</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(93,330)</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00" w:hanging="433"/>
        <w:spacing w:after="0"/>
        <w:tabs>
          <w:tab w:leader="none" w:pos="6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Unbilled accounts receivable previously included in Accounts receivable, less allowance for doubtful accounts before the adoption of Topic 606.</w:t>
      </w:r>
    </w:p>
    <w:p>
      <w:pPr>
        <w:spacing w:after="0" w:line="232"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The Company recognized the cumulative effect of initially applying the new revenue standard as a positive adjustment to the opening balance of accumulated deficit on the consolidated balance sheet in the amount of $11.4 million, which reflects the acceleration of revenues and deferral of costs capitalized to obtain revenue contracts. The following is a summary of the adoption impacts of the new revenue standard:</w:t>
      </w:r>
    </w:p>
    <w:p>
      <w:pPr>
        <w:spacing w:after="0" w:line="82" w:lineRule="exact"/>
        <w:rPr>
          <w:sz w:val="20"/>
          <w:szCs w:val="20"/>
          <w:color w:val="auto"/>
        </w:rPr>
      </w:pPr>
    </w:p>
    <w:p>
      <w:pPr>
        <w:ind w:left="1460" w:right="320" w:hanging="316"/>
        <w:spacing w:after="0" w:line="263" w:lineRule="auto"/>
        <w:tabs>
          <w:tab w:leader="none" w:pos="1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capitalized $8.2 million of contract acquisition costs comprised of sales commissions at the adoption date with a corresponding adjustment to accumulated deficit. The Company is amortizing these costs over their respective expected period of benefit.</w:t>
      </w:r>
    </w:p>
    <w:p>
      <w:pPr>
        <w:spacing w:after="0" w:line="81" w:lineRule="exact"/>
        <w:rPr>
          <w:rFonts w:ascii="Times New Roman" w:cs="Times New Roman" w:eastAsia="Times New Roman" w:hAnsi="Times New Roman"/>
          <w:sz w:val="18"/>
          <w:szCs w:val="18"/>
          <w:color w:val="auto"/>
        </w:rPr>
      </w:pPr>
    </w:p>
    <w:p>
      <w:pPr>
        <w:ind w:left="1460" w:right="240" w:hanging="316"/>
        <w:spacing w:after="0" w:line="278" w:lineRule="auto"/>
        <w:tabs>
          <w:tab w:leader="none" w:pos="1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adoption, the Company recorded a decrease in deferred revenue of $5.2 million and a decrease of $2.0 million in receivables that were recorded to accumulated deficit.</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20"/>
          </w:cols>
          <w:pgMar w:left="320" w:top="454" w:right="5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Adoption of the new revenue standard impacted the Company’s consolidated statement of operations for the year ended January 31, 2020 as</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follows:</w:t>
      </w:r>
    </w:p>
    <w:p>
      <w:pPr>
        <w:spacing w:after="0" w:line="211"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Topic 606</w:t>
            </w:r>
          </w:p>
        </w:tc>
        <w:tc>
          <w:tcPr>
            <w:tcW w:w="1440" w:type="dxa"/>
            <w:vAlign w:val="bottom"/>
            <w:gridSpan w:val="4"/>
          </w:tcPr>
          <w:p>
            <w:pPr>
              <w:ind w:left="320"/>
              <w:spacing w:after="0"/>
              <w:rPr>
                <w:sz w:val="20"/>
                <w:szCs w:val="20"/>
                <w:color w:val="auto"/>
              </w:rPr>
            </w:pPr>
            <w:r>
              <w:rPr>
                <w:rFonts w:ascii="Times New Roman" w:cs="Times New Roman" w:eastAsia="Times New Roman" w:hAnsi="Times New Roman"/>
                <w:sz w:val="14"/>
                <w:szCs w:val="14"/>
                <w:color w:val="auto"/>
              </w:rPr>
              <w:t>Amounts without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60" w:type="dxa"/>
            <w:vAlign w:val="bottom"/>
            <w:gridSpan w:val="4"/>
            <w:vMerge w:val="restart"/>
          </w:tcPr>
          <w:p>
            <w:pPr>
              <w:jc w:val="right"/>
              <w:ind w:right="341"/>
              <w:spacing w:after="0"/>
              <w:rPr>
                <w:sz w:val="20"/>
                <w:szCs w:val="20"/>
                <w:color w:val="auto"/>
              </w:rPr>
            </w:pPr>
            <w:r>
              <w:rPr>
                <w:rFonts w:ascii="Times New Roman" w:cs="Times New Roman" w:eastAsia="Times New Roman" w:hAnsi="Times New Roman"/>
                <w:sz w:val="14"/>
                <w:szCs w:val="14"/>
                <w:color w:val="auto"/>
              </w:rPr>
              <w:t>As reported</w:t>
            </w:r>
          </w:p>
        </w:tc>
        <w:tc>
          <w:tcPr>
            <w:tcW w:w="3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7" w:lineRule="exact"/>
              <w:rPr>
                <w:sz w:val="20"/>
                <w:szCs w:val="20"/>
                <w:color w:val="auto"/>
              </w:rPr>
            </w:pPr>
            <w:r>
              <w:rPr>
                <w:rFonts w:ascii="Times New Roman" w:cs="Times New Roman" w:eastAsia="Times New Roman" w:hAnsi="Times New Roman"/>
                <w:sz w:val="14"/>
                <w:szCs w:val="14"/>
                <w:color w:val="auto"/>
              </w:rPr>
              <w:t>Topic 606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14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color w:val="auto"/>
              </w:rPr>
              <w:t>Adjustments</w:t>
            </w:r>
          </w:p>
        </w:tc>
        <w:tc>
          <w:tcPr>
            <w:tcW w:w="32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adoption impact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103,265</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(1,901)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138,180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31,062</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44,440</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102,280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nCino, Inc.</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(27,594)</w:t>
            </w:r>
          </w:p>
        </w:tc>
        <w:tc>
          <w:tcPr>
            <w:tcW w:w="4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(2,839)</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(30,433)</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60" w:type="dxa"/>
            <w:vAlign w:val="bottom"/>
          </w:tcPr>
          <w:p>
            <w:pPr>
              <w:jc w:val="right"/>
              <w:ind w:right="281"/>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Adoption of the new revenue standard impacted the Company’s consolidated balance sheet as of January 31, 2020 as follows:</w:t>
      </w:r>
    </w:p>
    <w:p>
      <w:pPr>
        <w:spacing w:after="0" w:line="23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Topic 606</w:t>
            </w:r>
          </w:p>
        </w:tc>
        <w:tc>
          <w:tcPr>
            <w:tcW w:w="1500" w:type="dxa"/>
            <w:vAlign w:val="bottom"/>
            <w:gridSpan w:val="4"/>
          </w:tcPr>
          <w:p>
            <w:pPr>
              <w:jc w:val="center"/>
              <w:ind w:left="189"/>
              <w:spacing w:after="0"/>
              <w:rPr>
                <w:sz w:val="20"/>
                <w:szCs w:val="20"/>
                <w:color w:val="auto"/>
              </w:rPr>
            </w:pPr>
            <w:r>
              <w:rPr>
                <w:rFonts w:ascii="Times New Roman" w:cs="Times New Roman" w:eastAsia="Times New Roman" w:hAnsi="Times New Roman"/>
                <w:sz w:val="14"/>
                <w:szCs w:val="14"/>
                <w:color w:val="auto"/>
              </w:rPr>
              <w:t>Amounts without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As reported</w:t>
            </w:r>
          </w:p>
        </w:tc>
        <w:tc>
          <w:tcPr>
            <w:tcW w:w="3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color w:val="auto"/>
                <w:w w:val="97"/>
              </w:rPr>
              <w:t>Topic 606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50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Adjustments</w:t>
            </w:r>
          </w:p>
        </w:tc>
        <w:tc>
          <w:tcPr>
            <w:tcW w:w="38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adoption impact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w:t>
            </w:r>
          </w:p>
        </w:tc>
        <w:tc>
          <w:tcPr>
            <w:tcW w:w="7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34,205</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Costs capitalized to obtain revenue contracts, current</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portion, net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(3,608)</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Costs capitalized to obtain revenue contracts, noncurrent,</w:t>
            </w: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(7,000)</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249,894</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(10,348)</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4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78,517</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4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(408)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9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(120,924)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(14,261)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(135,185)</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9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color w:val="auto"/>
              </w:rPr>
              <w:t>F-19</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4" w:right="5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31" w:lineRule="exact"/>
        <w:rPr>
          <w:sz w:val="20"/>
          <w:szCs w:val="20"/>
          <w:color w:val="auto"/>
        </w:rPr>
      </w:pPr>
    </w:p>
    <w:p>
      <w:pPr>
        <w:ind w:left="160" w:right="140" w:firstLine="873"/>
        <w:spacing w:after="0" w:line="263" w:lineRule="auto"/>
        <w:rPr>
          <w:sz w:val="20"/>
          <w:szCs w:val="20"/>
          <w:color w:val="auto"/>
        </w:rPr>
      </w:pPr>
      <w:r>
        <w:rPr>
          <w:rFonts w:ascii="Times New Roman" w:cs="Times New Roman" w:eastAsia="Times New Roman" w:hAnsi="Times New Roman"/>
          <w:sz w:val="18"/>
          <w:szCs w:val="18"/>
          <w:color w:val="auto"/>
        </w:rPr>
        <w:t>The adoption of ASU 2014-09 had no impact on cash provided by or used in operating, investing, or financing activities in the Company’s consolidated statement of cash flows. Additionally, the adoption of ASU 2014-09 did not have a material impact on the Company’s consolidated statement of comprehensive loss or the provision for income taxes.</w:t>
      </w:r>
    </w:p>
    <w:p>
      <w:pPr>
        <w:spacing w:after="0" w:line="175" w:lineRule="exact"/>
        <w:rPr>
          <w:sz w:val="20"/>
          <w:szCs w:val="20"/>
          <w:color w:val="auto"/>
        </w:rPr>
      </w:pPr>
    </w:p>
    <w:p>
      <w:pPr>
        <w:ind w:left="160" w:firstLine="873"/>
        <w:spacing w:after="0" w:line="270" w:lineRule="auto"/>
        <w:rPr>
          <w:sz w:val="20"/>
          <w:szCs w:val="20"/>
          <w:color w:val="auto"/>
        </w:rPr>
      </w:pPr>
      <w:r>
        <w:rPr>
          <w:rFonts w:ascii="Times New Roman" w:cs="Times New Roman" w:eastAsia="Times New Roman" w:hAnsi="Times New Roman"/>
          <w:sz w:val="17"/>
          <w:szCs w:val="17"/>
          <w:color w:val="auto"/>
        </w:rPr>
        <w:t>The most significant impact of the new revenue standard relates to the capitalization of certain incremental costs to acquire contracts and the requirement to amortize these amounts over the expected period of benefit. Under the previous standard, the Company expensed costs related to the acquisition of revenue generating contracts as incurred. There was impact from arrangements with customers that include subscription services bundled with professional services driven by a change in allocation of transaction value amongst performance obligations under the new standard. Additionally, there was impact from the Company’s acquisitions which are not material to the Company’s overall revenues. These consisted of principal versus agent consideration (reporting revenues gross vs. net – approximately a $0.9 million decrease to subscription revenues and cost of revenues to present net under ASU 2014-09) and a perpetual license model (approximately $0.6 million increase impact to subscription revenues to accelerate revenues).</w:t>
      </w:r>
    </w:p>
    <w:p>
      <w:pPr>
        <w:spacing w:after="0" w:line="172" w:lineRule="exact"/>
        <w:rPr>
          <w:sz w:val="20"/>
          <w:szCs w:val="20"/>
          <w:color w:val="auto"/>
        </w:rPr>
      </w:pPr>
    </w:p>
    <w:p>
      <w:pPr>
        <w:ind w:left="160" w:right="40" w:firstLine="873"/>
        <w:spacing w:after="0" w:line="258" w:lineRule="auto"/>
        <w:rPr>
          <w:sz w:val="20"/>
          <w:szCs w:val="20"/>
          <w:color w:val="auto"/>
        </w:rPr>
      </w:pPr>
      <w:r>
        <w:rPr>
          <w:rFonts w:ascii="Times New Roman" w:cs="Times New Roman" w:eastAsia="Times New Roman" w:hAnsi="Times New Roman"/>
          <w:sz w:val="18"/>
          <w:szCs w:val="18"/>
          <w:color w:val="auto"/>
        </w:rPr>
        <w:t>Other impacts to policies and disclosures include deferred recognition of revenues for certain contracts, the requirement to estimate variable consideration for certain arrangements, increased allocation of revenues to and from professional services and other offerings and changes to financial statement disclosures such as new disclosures related to remaining performance obligations. However, the timing and pattern of revenue recognition related to professional services remain substantially unchanged.</w:t>
      </w:r>
    </w:p>
    <w:p>
      <w:pPr>
        <w:spacing w:after="0" w:line="180" w:lineRule="exact"/>
        <w:rPr>
          <w:sz w:val="20"/>
          <w:szCs w:val="20"/>
          <w:color w:val="auto"/>
        </w:rPr>
      </w:pPr>
    </w:p>
    <w:p>
      <w:pPr>
        <w:jc w:val="both"/>
        <w:ind w:left="160" w:right="160" w:firstLine="873"/>
        <w:spacing w:after="0" w:line="258" w:lineRule="auto"/>
        <w:rPr>
          <w:sz w:val="20"/>
          <w:szCs w:val="20"/>
          <w:color w:val="auto"/>
        </w:rPr>
      </w:pPr>
      <w:r>
        <w:rPr>
          <w:rFonts w:ascii="Times New Roman" w:cs="Times New Roman" w:eastAsia="Times New Roman" w:hAnsi="Times New Roman"/>
          <w:sz w:val="18"/>
          <w:szCs w:val="18"/>
          <w:color w:val="auto"/>
        </w:rPr>
        <w:t>The Company utilized the transitional practical expedient provisions in adopting ASU 2014-09 to apply the new revenue standard and the related changes retrospectively to contracts that were not completed contracts upon initial application. Additionally, the Company did not analyze and separately retrospectively restate each contract modification, but instead reflected the aggregate effect of all modifications occurring before the date of adoption consistent with the transition guidance.</w:t>
      </w:r>
    </w:p>
    <w:p>
      <w:pPr>
        <w:spacing w:after="0" w:line="180" w:lineRule="exact"/>
        <w:rPr>
          <w:sz w:val="20"/>
          <w:szCs w:val="20"/>
          <w:color w:val="auto"/>
        </w:rPr>
      </w:pPr>
    </w:p>
    <w:p>
      <w:pPr>
        <w:ind w:left="160" w:right="620" w:firstLine="873"/>
        <w:spacing w:after="0" w:line="278" w:lineRule="auto"/>
        <w:rPr>
          <w:sz w:val="20"/>
          <w:szCs w:val="20"/>
          <w:color w:val="auto"/>
        </w:rPr>
      </w:pPr>
      <w:r>
        <w:rPr>
          <w:rFonts w:ascii="Times New Roman" w:cs="Times New Roman" w:eastAsia="Times New Roman" w:hAnsi="Times New Roman"/>
          <w:sz w:val="18"/>
          <w:szCs w:val="18"/>
          <w:color w:val="auto"/>
        </w:rPr>
        <w:t>The Company also adopted the following ASUs effective February 1, 2019, none of which had a material impact on the Company’s consolidated financial statements.</w:t>
      </w:r>
    </w:p>
    <w:p>
      <w:pPr>
        <w:spacing w:after="0" w:line="67" w:lineRule="exact"/>
        <w:rPr>
          <w:sz w:val="20"/>
          <w:szCs w:val="20"/>
          <w:color w:val="auto"/>
        </w:rPr>
      </w:pPr>
    </w:p>
    <w:p>
      <w:pPr>
        <w:ind w:left="1460" w:hanging="316"/>
        <w:spacing w:after="0"/>
        <w:tabs>
          <w:tab w:leader="none" w:pos="1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ASU 2016-15, </w:t>
      </w:r>
      <w:r>
        <w:rPr>
          <w:rFonts w:ascii="Times New Roman" w:cs="Times New Roman" w:eastAsia="Times New Roman" w:hAnsi="Times New Roman"/>
          <w:sz w:val="18"/>
          <w:szCs w:val="18"/>
          <w:i w:val="1"/>
          <w:iCs w:val="1"/>
          <w:color w:val="auto"/>
        </w:rPr>
        <w:t>Statement of Cash Flows (Topic 230): Classification of Certain Receipts and Cash Payments</w:t>
      </w:r>
    </w:p>
    <w:p>
      <w:pPr>
        <w:spacing w:after="0" w:line="12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ASU No. 2016-16, </w:t>
      </w:r>
      <w:r>
        <w:rPr>
          <w:rFonts w:ascii="Times New Roman" w:cs="Times New Roman" w:eastAsia="Times New Roman" w:hAnsi="Times New Roman"/>
          <w:sz w:val="18"/>
          <w:szCs w:val="18"/>
          <w:i w:val="1"/>
          <w:iCs w:val="1"/>
          <w:color w:val="auto"/>
        </w:rPr>
        <w:t>Income Taxes (Topic 740): Intra-Entity Transfers of Assets Other Than Inventory</w:t>
      </w:r>
    </w:p>
    <w:p>
      <w:pPr>
        <w:spacing w:after="0" w:line="12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ASU 2017-04, </w:t>
      </w:r>
      <w:r>
        <w:rPr>
          <w:rFonts w:ascii="Times New Roman" w:cs="Times New Roman" w:eastAsia="Times New Roman" w:hAnsi="Times New Roman"/>
          <w:sz w:val="18"/>
          <w:szCs w:val="18"/>
          <w:i w:val="1"/>
          <w:iCs w:val="1"/>
          <w:color w:val="auto"/>
        </w:rPr>
        <w:t>Intangibles – Goodwill and Other (Topic 350): Simplifying the Test for Goodwill Impairment</w:t>
      </w:r>
    </w:p>
    <w:p>
      <w:pPr>
        <w:spacing w:after="0" w:line="12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ASU 2018-07, </w:t>
      </w:r>
      <w:r>
        <w:rPr>
          <w:rFonts w:ascii="Times New Roman" w:cs="Times New Roman" w:eastAsia="Times New Roman" w:hAnsi="Times New Roman"/>
          <w:sz w:val="18"/>
          <w:szCs w:val="18"/>
          <w:i w:val="1"/>
          <w:iCs w:val="1"/>
          <w:color w:val="auto"/>
        </w:rPr>
        <w:t>Compensation – Stock Compensation (Topic 718): Improvements to Nonemployee Share-Based Payment Accounting</w:t>
      </w:r>
    </w:p>
    <w:p>
      <w:pPr>
        <w:spacing w:after="0" w:line="3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116" w:lineRule="exact"/>
        <w:rPr>
          <w:sz w:val="20"/>
          <w:szCs w:val="20"/>
          <w:color w:val="auto"/>
        </w:rPr>
      </w:pPr>
    </w:p>
    <w:p>
      <w:pPr>
        <w:ind w:left="160" w:right="120" w:firstLine="873"/>
        <w:spacing w:after="0" w:line="264"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60"/>
          </w:cols>
          <w:pgMar w:left="320" w:top="454" w:right="51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31" w:lineRule="exact"/>
        <w:rPr>
          <w:sz w:val="20"/>
          <w:szCs w:val="20"/>
          <w:color w:val="auto"/>
        </w:rPr>
      </w:pPr>
    </w:p>
    <w:p>
      <w:pPr>
        <w:ind w:left="160" w:right="20"/>
        <w:spacing w:after="0" w:line="270" w:lineRule="auto"/>
        <w:rPr>
          <w:sz w:val="20"/>
          <w:szCs w:val="20"/>
          <w:color w:val="auto"/>
        </w:rPr>
      </w:pPr>
      <w:r>
        <w:rPr>
          <w:rFonts w:ascii="Times New Roman" w:cs="Times New Roman" w:eastAsia="Times New Roman" w:hAnsi="Times New Roman"/>
          <w:sz w:val="17"/>
          <w:szCs w:val="17"/>
          <w:color w:val="auto"/>
        </w:rPr>
        <w:t xml:space="preserve">the underlying asset available to the lessee. For lessors, accounting for leases is substantially the same as in prior periods. In July 2018, the FASB issued ASU 2018-10, </w:t>
      </w:r>
      <w:r>
        <w:rPr>
          <w:rFonts w:ascii="Times New Roman" w:cs="Times New Roman" w:eastAsia="Times New Roman" w:hAnsi="Times New Roman"/>
          <w:sz w:val="17"/>
          <w:szCs w:val="17"/>
          <w:i w:val="1"/>
          <w:iCs w:val="1"/>
          <w:color w:val="auto"/>
        </w:rPr>
        <w:t>Codification Improvements to Topic 842, Leases,</w:t>
      </w:r>
      <w:r>
        <w:rPr>
          <w:rFonts w:ascii="Times New Roman" w:cs="Times New Roman" w:eastAsia="Times New Roman" w:hAnsi="Times New Roman"/>
          <w:sz w:val="17"/>
          <w:szCs w:val="17"/>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2020, and interim periods within annual periods beginning after December 15, 2021,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the adoption of this standard will have on its financial statements and related disclosures.</w:t>
      </w:r>
    </w:p>
    <w:p>
      <w:pPr>
        <w:spacing w:after="0" w:line="170" w:lineRule="exact"/>
        <w:rPr>
          <w:sz w:val="20"/>
          <w:szCs w:val="20"/>
          <w:color w:val="auto"/>
        </w:rPr>
      </w:pPr>
    </w:p>
    <w:p>
      <w:pPr>
        <w:ind w:left="160" w:right="220" w:firstLine="873"/>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changes the impairment model for most financial assets. The new model uses a forward-looking expected loss method, which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result in earlier recognition of allowances for losses. ASU 2016-13, as subsequently amended for various technical issues, is effective for emerging growth companies following private company adoption dates for fiscal years beginning after December 15, 2022 and for interim periods within those fiscal years. The Company is currently evaluating the impact of this standard to the consolidated financial statements.</w:t>
      </w:r>
    </w:p>
    <w:p>
      <w:pPr>
        <w:spacing w:after="0" w:line="180" w:lineRule="exact"/>
        <w:rPr>
          <w:sz w:val="20"/>
          <w:szCs w:val="20"/>
          <w:color w:val="auto"/>
        </w:rPr>
      </w:pPr>
    </w:p>
    <w:p>
      <w:pPr>
        <w:ind w:left="160" w:right="80" w:firstLine="873"/>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 – 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Requirements for Fair Value Measurement, </w:t>
      </w:r>
      <w:r>
        <w:rPr>
          <w:rFonts w:ascii="Times New Roman" w:cs="Times New Roman" w:eastAsia="Times New Roman" w:hAnsi="Times New Roman"/>
          <w:sz w:val="18"/>
          <w:szCs w:val="18"/>
          <w:color w:val="auto"/>
        </w:rPr>
        <w:t>which eliminates certain disclosure requirements for fair value measurements for all entities, requires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to disclose certain new information and modifies some disclosure requirements. 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is currently evaluating the impact of this standard to the consolidated financial statements.</w:t>
      </w:r>
    </w:p>
    <w:p>
      <w:pPr>
        <w:spacing w:after="0" w:line="184"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Intangibles-Goodwill and Other-Internal-Use Software (Subtopic 350-40):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Implementation Costs Incurred in a Cloud Computing Arrangement That is a Service Contract</w:t>
      </w:r>
      <w:r>
        <w:rPr>
          <w:rFonts w:ascii="Times New Roman" w:cs="Times New Roman" w:eastAsia="Times New Roman" w:hAnsi="Times New Roman"/>
          <w:sz w:val="18"/>
          <w:szCs w:val="18"/>
          <w:color w:val="auto"/>
        </w:rPr>
        <w:t>. This standard aligns the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capitalizing implementation costs incurred in a hosting arrangement that is a service contract with the requirements for capitalizing implementation costs incurred to develop or obtain internal-use software. ASU 2018-15 is effective for emerging growth companies following private company adoption dates in fiscal years beginning after December 15, 2019, and interim periods within annual periods beginning after December 15, 2020, with early adoption permitted. The Company is currently evaluating the impact of this standard to the consolidated financial statements.</w:t>
      </w:r>
    </w:p>
    <w:p>
      <w:pPr>
        <w:spacing w:after="0" w:line="184" w:lineRule="exact"/>
        <w:rPr>
          <w:sz w:val="20"/>
          <w:szCs w:val="20"/>
          <w:color w:val="auto"/>
        </w:rPr>
      </w:pPr>
    </w:p>
    <w:p>
      <w:pPr>
        <w:ind w:left="160" w:right="180" w:firstLine="873"/>
        <w:spacing w:after="0" w:line="272" w:lineRule="auto"/>
        <w:rPr>
          <w:sz w:val="20"/>
          <w:szCs w:val="20"/>
          <w:color w:val="auto"/>
        </w:rPr>
      </w:pPr>
      <w:r>
        <w:rPr>
          <w:rFonts w:ascii="Times New Roman" w:cs="Times New Roman" w:eastAsia="Times New Roman" w:hAnsi="Times New Roman"/>
          <w:sz w:val="17"/>
          <w:szCs w:val="17"/>
          <w:color w:val="auto"/>
        </w:rPr>
        <w:t xml:space="preserve">In October 2018, the FASB issued Accounting Standards Update (“ASU”) 2018-17, </w:t>
      </w:r>
      <w:r>
        <w:rPr>
          <w:rFonts w:ascii="Times New Roman" w:cs="Times New Roman" w:eastAsia="Times New Roman" w:hAnsi="Times New Roman"/>
          <w:sz w:val="17"/>
          <w:szCs w:val="17"/>
          <w:i w:val="1"/>
          <w:iCs w:val="1"/>
          <w:color w:val="auto"/>
        </w:rPr>
        <w:t>Consolidation (Topic 810), Targeted Improvements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Party Guidance for Variable Interest Entities</w:t>
      </w:r>
      <w:r>
        <w:rPr>
          <w:rFonts w:ascii="Times New Roman" w:cs="Times New Roman" w:eastAsia="Times New Roman" w:hAnsi="Times New Roman"/>
          <w:sz w:val="17"/>
          <w:szCs w:val="17"/>
          <w:color w:val="auto"/>
        </w:rPr>
        <w:t>, which addresses the cost and complexity of financial reporting associated with consolidation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variable interest entities (“VIE”). ASU 2018-17 is effective for emerging growth companies following private company adoption dates in fiscal years beginning after December 15, 2019, and interim periods within annual periods beginning after December 15, 2020, with early adoption permitted. The new guidance must be applied on a retrospective basis as a cumulative-effect adjustment as of the date of adoption. The Company is evaluating the effect of adopting this new accounting guidance, but does not expect adoption will have a material impact on the Company’s financial statements.</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80"/>
          </w:cols>
          <w:pgMar w:left="320" w:top="454" w:right="49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29" w:lineRule="exact"/>
        <w:rPr>
          <w:sz w:val="20"/>
          <w:szCs w:val="20"/>
          <w:color w:val="auto"/>
        </w:rPr>
      </w:pPr>
    </w:p>
    <w:p>
      <w:pPr>
        <w:ind w:left="160" w:right="80" w:firstLine="873"/>
        <w:spacing w:after="0" w:line="254" w:lineRule="auto"/>
        <w:rPr>
          <w:sz w:val="20"/>
          <w:szCs w:val="20"/>
          <w:color w:val="auto"/>
        </w:rPr>
      </w:pPr>
      <w:r>
        <w:rPr>
          <w:rFonts w:ascii="Times New Roman" w:cs="Times New Roman" w:eastAsia="Times New Roman" w:hAnsi="Times New Roman"/>
          <w:sz w:val="18"/>
          <w:szCs w:val="18"/>
          <w:color w:val="auto"/>
        </w:rPr>
        <w:t>In December 2019, the FASB issued ASU 2019-12, I</w:t>
      </w:r>
      <w:r>
        <w:rPr>
          <w:rFonts w:ascii="Times New Roman" w:cs="Times New Roman" w:eastAsia="Times New Roman" w:hAnsi="Times New Roman"/>
          <w:sz w:val="18"/>
          <w:szCs w:val="18"/>
          <w:i w:val="1"/>
          <w:iCs w:val="1"/>
          <w:color w:val="auto"/>
        </w:rPr>
        <w:t>ncome Taxes (Topic 740): Simplifying the Accounting for Income Taxes</w:t>
      </w:r>
      <w:r>
        <w:rPr>
          <w:rFonts w:ascii="Times New Roman" w:cs="Times New Roman" w:eastAsia="Times New Roman" w:hAnsi="Times New Roman"/>
          <w:sz w:val="18"/>
          <w:szCs w:val="18"/>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 interim periods within annual periods beginning after December 15, 2022, with early adoption permitted, including adoption in an interim period. The Company is evaluating the effect of adopting this new accounting guidance, but does not expect adoption will have a material impact on the Company’s financial statements.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3. Variable Interest Entity and Redeemable Non-Controlling Interest</w:t>
      </w:r>
    </w:p>
    <w:p>
      <w:pPr>
        <w:spacing w:after="0" w:line="118"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approximately $4.7 million in cash in exchange for 51% of the outstanding common stock of nCino K.K. As of January 31, 2020, the Company controls a majority stake in nCino K.K.</w:t>
      </w:r>
    </w:p>
    <w:p>
      <w:pPr>
        <w:spacing w:after="0" w:line="180" w:lineRule="exact"/>
        <w:rPr>
          <w:sz w:val="20"/>
          <w:szCs w:val="20"/>
          <w:color w:val="auto"/>
        </w:rPr>
      </w:pPr>
    </w:p>
    <w:p>
      <w:pPr>
        <w:ind w:left="160" w:right="80" w:firstLine="873"/>
        <w:spacing w:after="0" w:line="268" w:lineRule="auto"/>
        <w:rPr>
          <w:sz w:val="20"/>
          <w:szCs w:val="20"/>
          <w:color w:val="auto"/>
        </w:rPr>
      </w:pPr>
      <w:r>
        <w:rPr>
          <w:rFonts w:ascii="Times New Roman" w:cs="Times New Roman" w:eastAsia="Times New Roman" w:hAnsi="Times New Roman"/>
          <w:sz w:val="17"/>
          <w:szCs w:val="17"/>
          <w:color w:val="auto"/>
        </w:rPr>
        <w:t>All of the common stock held by the Investors is callable by the Company or puttable by the Investors upon certain contingent events. Should the call or put option be exercised, the redemption value would be determined based on a prescribed formula derived from the discrete revenues of nCino K.K. and the Company and may be settled, at the Company’s discretion, with Company stock, if the Company is public at that time, or cash. As a result of the put right available to the redeemable non-controlling interest holders in the future, the redeemable non-controlling interests in nCino</w:t>
      </w:r>
    </w:p>
    <w:p>
      <w:pPr>
        <w:spacing w:after="0" w:line="2" w:lineRule="exact"/>
        <w:rPr>
          <w:sz w:val="20"/>
          <w:szCs w:val="20"/>
          <w:color w:val="auto"/>
        </w:rPr>
      </w:pPr>
    </w:p>
    <w:p>
      <w:pPr>
        <w:ind w:left="160" w:right="100" w:firstLine="7"/>
        <w:spacing w:after="0" w:line="250" w:lineRule="auto"/>
        <w:tabs>
          <w:tab w:leader="none" w:pos="55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classified outside of permanent equity in the Company’s consolidated balance sheet at January 31, 2020, and the balance is reported at the greater of the initial carrying amount adjusted for the redeemable non-controlling interests’ share of earnings, or its estimated redemption value. The resulting changes in the estimated redemption amount are recorded within retained earnings or, in the absence of retained earnings, additional paid-in-capital. The estimated redemption value of the call/put option embedded in the redeemable non-controlling interest was $0 at January 31, 2020.</w:t>
      </w:r>
    </w:p>
    <w:p>
      <w:pPr>
        <w:spacing w:after="0" w:line="18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following table summarizes the activity in the redeemable non-controlling interests for the period indicated below:</w:t>
      </w:r>
    </w:p>
    <w:p>
      <w:pPr>
        <w:spacing w:after="0" w:line="266"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31, 2019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Investment by redeemable non-controlling interest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4,513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31, 2020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4,356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The Company uses a three-tier fair value hierarchy, which prioritizes the inputs used in the valuation methodologies in measuring fair value:</w:t>
      </w:r>
    </w:p>
    <w:p>
      <w:pPr>
        <w:spacing w:after="0" w:line="22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w:t>
      </w:r>
    </w:p>
    <w:p>
      <w:pPr>
        <w:spacing w:after="0" w:line="2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Significant other inputs that are directly or indirectly observable in the marketplace.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60"/>
          </w:cols>
          <w:pgMar w:left="320" w:top="454" w:right="51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 (Continued)</w:t>
      </w:r>
    </w:p>
    <w:p>
      <w:pPr>
        <w:spacing w:after="0" w:line="1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Significant unobservable inputs which are supported by little or no market activity.</w:t>
      </w:r>
    </w:p>
    <w:p>
      <w:pPr>
        <w:spacing w:after="0" w:line="225" w:lineRule="exact"/>
        <w:rPr>
          <w:sz w:val="20"/>
          <w:szCs w:val="20"/>
          <w:color w:val="auto"/>
        </w:rPr>
      </w:pPr>
    </w:p>
    <w:p>
      <w:pPr>
        <w:ind w:left="160" w:right="20" w:firstLine="873"/>
        <w:spacing w:after="0" w:line="278"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and accounts payable approximate fair value as of January 31, 2019 and 2020 because of the relatively short duration of these instruments.</w:t>
      </w:r>
    </w:p>
    <w:p>
      <w:pPr>
        <w:spacing w:after="0" w:line="162" w:lineRule="exact"/>
        <w:rPr>
          <w:sz w:val="20"/>
          <w:szCs w:val="20"/>
          <w:color w:val="auto"/>
        </w:rPr>
      </w:pPr>
    </w:p>
    <w:p>
      <w:pPr>
        <w:ind w:left="160" w:right="200" w:firstLine="873"/>
        <w:spacing w:after="0" w:line="263" w:lineRule="auto"/>
        <w:rPr>
          <w:sz w:val="20"/>
          <w:szCs w:val="20"/>
          <w:color w:val="auto"/>
        </w:rPr>
      </w:pPr>
      <w:r>
        <w:rPr>
          <w:rFonts w:ascii="Times New Roman" w:cs="Times New Roman" w:eastAsia="Times New Roman" w:hAnsi="Times New Roman"/>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2019 and 2020 and indicates the fair value hierarchy of the valuation:</w:t>
      </w:r>
    </w:p>
    <w:p>
      <w:pPr>
        <w:spacing w:after="0" w:line="184"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60" w:type="dxa"/>
            <w:vAlign w:val="bottom"/>
            <w:gridSpan w:val="7"/>
          </w:tcPr>
          <w:p>
            <w:pPr>
              <w:jc w:val="center"/>
              <w:ind w:left="158"/>
              <w:spacing w:after="0"/>
              <w:rPr>
                <w:sz w:val="20"/>
                <w:szCs w:val="20"/>
                <w:color w:val="auto"/>
              </w:rPr>
            </w:pPr>
            <w:r>
              <w:rPr>
                <w:rFonts w:ascii="Times New Roman" w:cs="Times New Roman" w:eastAsia="Times New Roman" w:hAnsi="Times New Roman"/>
                <w:sz w:val="14"/>
                <w:szCs w:val="14"/>
                <w:color w:val="auto"/>
              </w:rPr>
              <w:t>Fair value measurements on a recurring basis</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As of January 31, 2019</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38"/>
              <w:spacing w:after="0" w:line="141" w:lineRule="exact"/>
              <w:rPr>
                <w:sz w:val="20"/>
                <w:szCs w:val="20"/>
                <w:color w:val="auto"/>
              </w:rPr>
            </w:pPr>
            <w:r>
              <w:rPr>
                <w:rFonts w:ascii="Times New Roman" w:cs="Times New Roman" w:eastAsia="Times New Roman" w:hAnsi="Times New Roman"/>
                <w:sz w:val="14"/>
                <w:szCs w:val="14"/>
                <w:color w:val="auto"/>
              </w:rPr>
              <w:t>Level 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Level 2</w:t>
            </w:r>
          </w:p>
        </w:tc>
        <w:tc>
          <w:tcPr>
            <w:tcW w:w="240" w:type="dxa"/>
            <w:vAlign w:val="bottom"/>
          </w:tcPr>
          <w:p>
            <w:pPr>
              <w:spacing w:after="0"/>
              <w:rPr>
                <w:sz w:val="12"/>
                <w:szCs w:val="12"/>
                <w:color w:val="auto"/>
              </w:rPr>
            </w:pPr>
          </w:p>
        </w:tc>
        <w:tc>
          <w:tcPr>
            <w:tcW w:w="680" w:type="dxa"/>
            <w:vAlign w:val="bottom"/>
            <w:gridSpan w:val="2"/>
          </w:tcPr>
          <w:p>
            <w:pPr>
              <w:ind w:left="120"/>
              <w:spacing w:after="0" w:line="141" w:lineRule="exact"/>
              <w:rPr>
                <w:sz w:val="20"/>
                <w:szCs w:val="20"/>
                <w:color w:val="auto"/>
              </w:rPr>
            </w:pPr>
            <w:r>
              <w:rPr>
                <w:rFonts w:ascii="Times New Roman" w:cs="Times New Roman" w:eastAsia="Times New Roman" w:hAnsi="Times New Roman"/>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7"/>
          </w:tcPr>
          <w:p>
            <w:pPr>
              <w:jc w:val="center"/>
              <w:ind w:left="158"/>
              <w:spacing w:after="0"/>
              <w:rPr>
                <w:sz w:val="20"/>
                <w:szCs w:val="20"/>
                <w:color w:val="auto"/>
              </w:rPr>
            </w:pPr>
            <w:r>
              <w:rPr>
                <w:rFonts w:ascii="Times New Roman" w:cs="Times New Roman" w:eastAsia="Times New Roman" w:hAnsi="Times New Roman"/>
                <w:sz w:val="14"/>
                <w:szCs w:val="14"/>
                <w:color w:val="auto"/>
              </w:rPr>
              <w:t>Fair value measurements on a recurring basis</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As of January 31, 2020</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38"/>
              <w:spacing w:after="0" w:line="141" w:lineRule="exact"/>
              <w:rPr>
                <w:sz w:val="20"/>
                <w:szCs w:val="20"/>
                <w:color w:val="auto"/>
              </w:rPr>
            </w:pPr>
            <w:r>
              <w:rPr>
                <w:rFonts w:ascii="Times New Roman" w:cs="Times New Roman" w:eastAsia="Times New Roman" w:hAnsi="Times New Roman"/>
                <w:sz w:val="14"/>
                <w:szCs w:val="14"/>
                <w:color w:val="auto"/>
              </w:rPr>
              <w:t>Level 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Level 2</w:t>
            </w:r>
          </w:p>
        </w:tc>
        <w:tc>
          <w:tcPr>
            <w:tcW w:w="240" w:type="dxa"/>
            <w:vAlign w:val="bottom"/>
          </w:tcPr>
          <w:p>
            <w:pPr>
              <w:spacing w:after="0"/>
              <w:rPr>
                <w:sz w:val="12"/>
                <w:szCs w:val="12"/>
                <w:color w:val="auto"/>
              </w:rPr>
            </w:pPr>
          </w:p>
        </w:tc>
        <w:tc>
          <w:tcPr>
            <w:tcW w:w="680" w:type="dxa"/>
            <w:vAlign w:val="bottom"/>
            <w:gridSpan w:val="2"/>
          </w:tcPr>
          <w:p>
            <w:pPr>
              <w:ind w:left="120"/>
              <w:spacing w:after="0" w:line="141" w:lineRule="exact"/>
              <w:rPr>
                <w:sz w:val="20"/>
                <w:szCs w:val="20"/>
                <w:color w:val="auto"/>
              </w:rPr>
            </w:pPr>
            <w:r>
              <w:rPr>
                <w:rFonts w:ascii="Times New Roman" w:cs="Times New Roman" w:eastAsia="Times New Roman" w:hAnsi="Times New Roman"/>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(included in other long-term liabilities)</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6"/>
              </w:rPr>
              <w:t>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060"/>
          </w:cols>
          <w:pgMar w:left="320" w:top="454" w:right="51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 (Continued)</w:t>
      </w:r>
    </w:p>
    <w:p>
      <w:pPr>
        <w:spacing w:after="0" w:line="131"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color w:val="auto"/>
        </w:rPr>
        <w:t>The Company added contingent consideration, a Level 3 measurement, on October 18, 2019 with the acquisition of FinSuite Pty Ltd. Changes in fair value of the contingent consideration are recorded in the consolidated statements of operations within other income. The Company’s contingent consideration is valued using a probability weighted discounted cash flow analysis. Refer to Note 7, Business Combinations, for additional detailed discussion. A reconciliation of the beginning and ending balances for contingent consideration obligations are as follows:</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31, 2018</w:t>
            </w:r>
          </w:p>
        </w:tc>
        <w:tc>
          <w:tcPr>
            <w:tcW w:w="1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1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Translation adjustments</w:t>
            </w:r>
          </w:p>
        </w:tc>
        <w:tc>
          <w:tcPr>
            <w:tcW w:w="1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31, 2019</w:t>
            </w:r>
          </w:p>
        </w:tc>
        <w:tc>
          <w:tcPr>
            <w:tcW w:w="1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1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Translation adjustments</w:t>
            </w: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00" w:type="dxa"/>
            <w:vAlign w:val="bottom"/>
            <w:vMerge w:val="restart"/>
          </w:tcPr>
          <w:p>
            <w:pPr>
              <w:spacing w:after="0"/>
              <w:rPr>
                <w:sz w:val="2"/>
                <w:szCs w:val="2"/>
                <w:color w:val="auto"/>
              </w:rPr>
            </w:pPr>
          </w:p>
        </w:tc>
        <w:tc>
          <w:tcPr>
            <w:tcW w:w="86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9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31, 2020</w:t>
            </w:r>
          </w:p>
        </w:tc>
        <w:tc>
          <w:tcPr>
            <w:tcW w:w="1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195</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Revenues</w:t>
            </w: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5780" w:type="dxa"/>
            <w:vAlign w:val="bottom"/>
            <w:gridSpan w:val="3"/>
            <w:vMerge w:val="continue"/>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Area</w:t>
            </w: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7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Revenue by geographic region were as follows:</w:t>
            </w: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60" w:type="dxa"/>
            <w:vAlign w:val="bottom"/>
            <w:gridSpan w:val="9"/>
          </w:tcPr>
          <w:p>
            <w:pPr>
              <w:ind w:left="460"/>
              <w:spacing w:after="0"/>
              <w:rPr>
                <w:sz w:val="20"/>
                <w:szCs w:val="20"/>
                <w:color w:val="auto"/>
              </w:rPr>
            </w:pPr>
            <w:r>
              <w:rPr>
                <w:rFonts w:ascii="Times New Roman" w:cs="Times New Roman" w:eastAsia="Times New Roman" w:hAnsi="Times New Roman"/>
                <w:sz w:val="14"/>
                <w:szCs w:val="14"/>
                <w:color w:val="auto"/>
              </w:rPr>
              <w:t>Fiscal Year Ended January 31,</w:t>
            </w: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2018</w:t>
            </w:r>
          </w:p>
        </w:tc>
        <w:tc>
          <w:tcPr>
            <w:tcW w:w="1000" w:type="dxa"/>
            <w:vAlign w:val="bottom"/>
            <w:tcBorders>
              <w:top w:val="single" w:sz="8" w:color="auto"/>
            </w:tcBorders>
            <w:gridSpan w:val="3"/>
          </w:tcPr>
          <w:p>
            <w:pPr>
              <w:jc w:val="right"/>
              <w:ind w:right="71"/>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1"/>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900" w:type="dxa"/>
            <w:vAlign w:val="bottom"/>
          </w:tcPr>
          <w:p>
            <w:pPr>
              <w:spacing w:after="0"/>
              <w:rPr>
                <w:sz w:val="18"/>
                <w:szCs w:val="18"/>
                <w:color w:val="auto"/>
              </w:rPr>
            </w:pPr>
          </w:p>
        </w:tc>
        <w:tc>
          <w:tcPr>
            <w:tcW w:w="4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$58,075</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$87,328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$127,192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58,142</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91,534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138,180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Revenues by geography are determined based on the region of the Company’s contracting entity, which may be different than the region of the customer. No countries outside the United States represented 10% or more of total revenues.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Contract Amounts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14" w:lineRule="exact"/>
        <w:rPr>
          <w:sz w:val="20"/>
          <w:szCs w:val="20"/>
          <w:color w:val="auto"/>
        </w:rPr>
      </w:pPr>
    </w:p>
    <w:p>
      <w:pPr>
        <w:ind w:left="160" w:right="600" w:firstLine="873"/>
        <w:spacing w:after="0" w:line="278" w:lineRule="auto"/>
        <w:rPr>
          <w:sz w:val="20"/>
          <w:szCs w:val="20"/>
          <w:color w:val="auto"/>
        </w:rPr>
      </w:pPr>
      <w:r>
        <w:rPr>
          <w:rFonts w:ascii="Times New Roman" w:cs="Times New Roman" w:eastAsia="Times New Roman" w:hAnsi="Times New Roman"/>
          <w:sz w:val="18"/>
          <w:szCs w:val="18"/>
          <w:color w:val="auto"/>
        </w:rPr>
        <w:t>Unbilled accounts receivable were included in accounts receivable before the adoption of ASU 2014-09. Accounts receivable, less allowance for doubtful accounts, is as follows as of January 31, 2019 and 2020:</w:t>
      </w:r>
    </w:p>
    <w:p>
      <w:pPr>
        <w:spacing w:after="0" w:line="185" w:lineRule="exact"/>
        <w:rPr>
          <w:sz w:val="20"/>
          <w:szCs w:val="20"/>
          <w:color w:val="auto"/>
        </w:rPr>
      </w:pPr>
    </w:p>
    <w:tbl>
      <w:tblPr>
        <w:tblLayout w:type="fixed"/>
        <w:tblInd w:w="192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8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As of January 31,</w:t>
            </w:r>
          </w:p>
        </w:tc>
      </w:tr>
      <w:tr>
        <w:trPr>
          <w:trHeight w:val="140"/>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71"/>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4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8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$21,999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$32,686</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37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3,589</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1,425</w:t>
            </w:r>
          </w:p>
        </w:tc>
      </w:tr>
      <w:tr>
        <w:trPr>
          <w:trHeight w:val="214"/>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 receivable</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Allowances</w:t>
            </w:r>
          </w:p>
        </w:tc>
        <w:tc>
          <w:tcPr>
            <w:tcW w:w="28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0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25,495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34,205</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700" w:type="dxa"/>
            <w:vAlign w:val="bottom"/>
            <w:gridSpan w:val="3"/>
          </w:tcPr>
          <w:p>
            <w:pPr>
              <w:jc w:val="right"/>
              <w:ind w:right="2640"/>
              <w:spacing w:after="0"/>
              <w:rPr>
                <w:sz w:val="20"/>
                <w:szCs w:val="20"/>
                <w:color w:val="auto"/>
              </w:rPr>
            </w:pPr>
            <w:r>
              <w:rPr>
                <w:rFonts w:ascii="Times New Roman" w:cs="Times New Roman" w:eastAsia="Times New Roman" w:hAnsi="Times New Roman"/>
                <w:sz w:val="18"/>
                <w:szCs w:val="18"/>
                <w:color w:val="auto"/>
              </w:rPr>
              <w:t>F-24</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40"/>
          </w:cols>
          <w:pgMar w:left="320" w:top="454" w:right="6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5. Revenues (Continued)</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Deferred Revenue and Remaining Performance Obligation</w:t>
      </w:r>
    </w:p>
    <w:p>
      <w:pPr>
        <w:spacing w:after="0" w:line="114"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Significant movements in the deferred revenue balance during the period consisted of increases due to payments received prior to transfer of control of the underlying performance obligations to the customer and deferred revenue assumed through business combinations, which were offset by decreases due to revenue recognized in the period. During the year ended January 31, 2020, approximately $36.7 million of revenue was recognized that was included in the adjusted opening balance of deferred revenue as of February 1, 2019.</w:t>
      </w:r>
    </w:p>
    <w:p>
      <w:pPr>
        <w:spacing w:after="0" w:line="180" w:lineRule="exact"/>
        <w:rPr>
          <w:sz w:val="20"/>
          <w:szCs w:val="20"/>
          <w:color w:val="auto"/>
        </w:rPr>
      </w:pPr>
    </w:p>
    <w:p>
      <w:pPr>
        <w:ind w:left="160" w:right="60" w:firstLine="873"/>
        <w:spacing w:after="0" w:line="254"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represents contracted revenue that has not yet been recognized, which includes deferred revenue and unbilled amounts that will be recognized as revenue in future periods. Transaction price allocated to the remaining performance obligation is influenced by several factors, including the timing of renewals, average contract terms and foreign currency exchange rates. The Company applied practical expedients to exclude amounts related to performance obligations that are billed and recognized as they are delivered, optional purchases that do not represent material rights, and any estimated amounts of variable consideration that are subject to constraint in accordance with the new revenue standard.</w:t>
      </w:r>
    </w:p>
    <w:p>
      <w:pPr>
        <w:spacing w:after="0" w:line="184" w:lineRule="exact"/>
        <w:rPr>
          <w:sz w:val="20"/>
          <w:szCs w:val="20"/>
          <w:color w:val="auto"/>
        </w:rPr>
      </w:pPr>
    </w:p>
    <w:p>
      <w:pPr>
        <w:ind w:left="160" w:right="440" w:firstLine="873"/>
        <w:spacing w:after="0" w:line="263" w:lineRule="auto"/>
        <w:rPr>
          <w:sz w:val="20"/>
          <w:szCs w:val="20"/>
          <w:color w:val="auto"/>
        </w:rPr>
      </w:pPr>
      <w:r>
        <w:rPr>
          <w:rFonts w:ascii="Times New Roman" w:cs="Times New Roman" w:eastAsia="Times New Roman" w:hAnsi="Times New Roman"/>
          <w:sz w:val="18"/>
          <w:szCs w:val="18"/>
          <w:color w:val="auto"/>
        </w:rPr>
        <w:t>Remaining performance obligations were approximately $431.5 million as of January 31, 2020. The Company expects to recognize approximately 59% of its remaining performance obligation as revenues in the next 24 months, approximately 34% more in the following 25 to 48 months, and the remainder thereafter.</w:t>
      </w:r>
    </w:p>
    <w:p>
      <w:pPr>
        <w:spacing w:after="0" w:line="2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Costs Capitalized to Obtain Revenue Contracts</w:t>
      </w:r>
    </w:p>
    <w:p>
      <w:pPr>
        <w:spacing w:after="0" w:line="114" w:lineRule="exact"/>
        <w:rPr>
          <w:sz w:val="20"/>
          <w:szCs w:val="20"/>
          <w:color w:val="auto"/>
        </w:rPr>
      </w:pPr>
    </w:p>
    <w:p>
      <w:pPr>
        <w:ind w:left="160" w:right="100" w:firstLine="873"/>
        <w:spacing w:after="0" w:line="263" w:lineRule="auto"/>
        <w:rPr>
          <w:sz w:val="20"/>
          <w:szCs w:val="20"/>
          <w:color w:val="auto"/>
        </w:rPr>
      </w:pPr>
      <w:r>
        <w:rPr>
          <w:rFonts w:ascii="Times New Roman" w:cs="Times New Roman" w:eastAsia="Times New Roman" w:hAnsi="Times New Roman"/>
          <w:sz w:val="18"/>
          <w:szCs w:val="18"/>
          <w:color w:val="auto"/>
        </w:rPr>
        <w:t>During the fiscal year ended January 31, 2020, we amortized $0.01 million of capitalized contract acquisition costs into costs of revenues – professional services, $0.02 million within research and development and $3.2 million within sales and marketing expense. We did not incur any impairment losses.</w:t>
      </w:r>
    </w:p>
    <w:p>
      <w:pPr>
        <w:spacing w:after="0" w:line="175" w:lineRule="exact"/>
        <w:rPr>
          <w:sz w:val="20"/>
          <w:szCs w:val="20"/>
          <w:color w:val="auto"/>
        </w:rPr>
      </w:pPr>
    </w:p>
    <w:p>
      <w:pPr>
        <w:ind w:left="160" w:right="140" w:firstLine="873"/>
        <w:spacing w:after="0" w:line="263" w:lineRule="auto"/>
        <w:rPr>
          <w:sz w:val="20"/>
          <w:szCs w:val="20"/>
          <w:color w:val="auto"/>
        </w:rPr>
      </w:pPr>
      <w:r>
        <w:rPr>
          <w:rFonts w:ascii="Times New Roman" w:cs="Times New Roman" w:eastAsia="Times New Roman" w:hAnsi="Times New Roman"/>
          <w:sz w:val="18"/>
          <w:szCs w:val="18"/>
          <w:color w:val="auto"/>
        </w:rPr>
        <w:t>The opening balance of capitalized contract acquisition costs as of February 1, 2019 was $8.2 million. As of January 31, 2020, the balance of capitalized contract acquisition costs was $10.6 million, of which $7.0 million was long-term in the consolidated balance sheets. The remaining balance of the capitalized costs to obtain contracts was current.</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1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43"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color w:val="auto"/>
              </w:rPr>
              <w:t>As of January 31,</w:t>
            </w:r>
          </w:p>
        </w:tc>
      </w:tr>
      <w:tr>
        <w:trPr>
          <w:trHeight w:val="140"/>
        </w:trPr>
        <w:tc>
          <w:tcPr>
            <w:tcW w:w="308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207"/>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shd w:val="clear" w:color="auto" w:fill="CCEEFF"/>
          </w:tcPr>
          <w:p>
            <w:pPr>
              <w:spacing w:after="0"/>
              <w:rPr>
                <w:sz w:val="18"/>
                <w:szCs w:val="18"/>
                <w:color w:val="auto"/>
              </w:rPr>
            </w:pPr>
          </w:p>
        </w:tc>
      </w:tr>
      <w:tr>
        <w:trPr>
          <w:trHeight w:val="21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3,907</w:t>
            </w:r>
          </w:p>
        </w:tc>
      </w:tr>
      <w:tr>
        <w:trPr>
          <w:trHeight w:val="21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6,834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8,436</w:t>
            </w:r>
          </w:p>
        </w:tc>
      </w:tr>
      <w:tr>
        <w:trPr>
          <w:trHeight w:val="21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2,055</w:t>
            </w:r>
          </w:p>
        </w:tc>
      </w:tr>
      <w:tr>
        <w:trPr>
          <w:trHeight w:val="27"/>
        </w:trPr>
        <w:tc>
          <w:tcPr>
            <w:tcW w:w="30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30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14,026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19,677</w:t>
            </w:r>
          </w:p>
        </w:tc>
      </w:tr>
      <w:tr>
        <w:trPr>
          <w:trHeight w:val="21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(6,200)</w:t>
            </w:r>
          </w:p>
        </w:tc>
      </w:tr>
      <w:tr>
        <w:trPr>
          <w:trHeight w:val="27"/>
        </w:trPr>
        <w:tc>
          <w:tcPr>
            <w:tcW w:w="30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30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10,406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13,477</w:t>
            </w:r>
          </w:p>
        </w:tc>
      </w:tr>
      <w:tr>
        <w:trPr>
          <w:trHeight w:val="368"/>
        </w:trPr>
        <w:tc>
          <w:tcPr>
            <w:tcW w:w="3080" w:type="dxa"/>
            <w:vAlign w:val="bottom"/>
          </w:tcPr>
          <w:p>
            <w:pPr>
              <w:spacing w:after="0"/>
              <w:rPr>
                <w:sz w:val="24"/>
                <w:szCs w:val="24"/>
                <w:color w:val="auto"/>
              </w:rPr>
            </w:pPr>
          </w:p>
        </w:tc>
        <w:tc>
          <w:tcPr>
            <w:tcW w:w="34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F-25</w:t>
            </w: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60"/>
          </w:cols>
          <w:pgMar w:left="320" w:top="454" w:right="51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6. Property and Equipment (Continued)</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Company recognized depreciation expense as follows:</w:t>
      </w:r>
    </w:p>
    <w:p>
      <w:pPr>
        <w:spacing w:after="0" w:line="243"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40" w:type="dxa"/>
            <w:vAlign w:val="bottom"/>
            <w:gridSpan w:val="8"/>
          </w:tcPr>
          <w:p>
            <w:pPr>
              <w:ind w:left="220"/>
              <w:spacing w:after="0"/>
              <w:rPr>
                <w:sz w:val="20"/>
                <w:szCs w:val="20"/>
                <w:color w:val="auto"/>
              </w:rPr>
            </w:pPr>
            <w:r>
              <w:rPr>
                <w:rFonts w:ascii="Times New Roman" w:cs="Times New Roman" w:eastAsia="Times New Roman" w:hAnsi="Times New Roman"/>
                <w:sz w:val="14"/>
                <w:szCs w:val="14"/>
                <w:color w:val="auto"/>
              </w:rPr>
              <w:t>Fiscal Year Ended January 31,</w:t>
            </w:r>
          </w:p>
        </w:tc>
      </w:tr>
      <w:tr>
        <w:trPr>
          <w:trHeight w:val="140"/>
        </w:trPr>
        <w:tc>
          <w:tcPr>
            <w:tcW w:w="20" w:type="dxa"/>
            <w:vAlign w:val="bottom"/>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2018</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1" w:lineRule="exact"/>
              <w:rPr>
                <w:sz w:val="20"/>
                <w:szCs w:val="20"/>
                <w:color w:val="auto"/>
              </w:rPr>
            </w:pPr>
            <w:r>
              <w:rPr>
                <w:rFonts w:ascii="Times New Roman" w:cs="Times New Roman" w:eastAsia="Times New Roman" w:hAnsi="Times New Roman"/>
                <w:sz w:val="14"/>
                <w:szCs w:val="14"/>
                <w:color w:val="auto"/>
                <w:w w:val="99"/>
              </w:rPr>
              <w:t>2019</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1" w:lineRule="exact"/>
              <w:rPr>
                <w:sz w:val="20"/>
                <w:szCs w:val="20"/>
                <w:color w:val="auto"/>
              </w:rPr>
            </w:pPr>
            <w:r>
              <w:rPr>
                <w:rFonts w:ascii="Times New Roman" w:cs="Times New Roman" w:eastAsia="Times New Roman" w:hAnsi="Times New Roman"/>
                <w:sz w:val="14"/>
                <w:szCs w:val="14"/>
                <w:color w:val="auto"/>
                <w:w w:val="99"/>
              </w:rPr>
              <w:t>2020</w:t>
            </w:r>
          </w:p>
        </w:tc>
        <w:tc>
          <w:tcPr>
            <w:tcW w:w="6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$346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970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1,458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2,861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80" w:firstLine="873"/>
        <w:spacing w:after="0" w:line="278" w:lineRule="auto"/>
        <w:rPr>
          <w:sz w:val="20"/>
          <w:szCs w:val="20"/>
          <w:color w:val="auto"/>
        </w:rPr>
      </w:pPr>
      <w:r>
        <w:rPr>
          <w:rFonts w:ascii="Times New Roman" w:cs="Times New Roman" w:eastAsia="Times New Roman" w:hAnsi="Times New Roman"/>
          <w:sz w:val="18"/>
          <w:szCs w:val="18"/>
          <w:color w:val="auto"/>
        </w:rPr>
        <w:t>Subsequent to January 31, 2020, the Company entered into commitments in the amount of $1.2 million for additional furniture and fixtures and leasehold improvements.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7. Business Combinations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Visible Equity, LLC</w:t>
      </w:r>
    </w:p>
    <w:p>
      <w:pPr>
        <w:spacing w:after="0" w:line="118" w:lineRule="exact"/>
        <w:rPr>
          <w:sz w:val="20"/>
          <w:szCs w:val="20"/>
          <w:color w:val="auto"/>
        </w:rPr>
      </w:pPr>
    </w:p>
    <w:p>
      <w:pPr>
        <w:jc w:val="both"/>
        <w:ind w:left="160" w:right="140" w:firstLine="873"/>
        <w:spacing w:after="0" w:line="255" w:lineRule="auto"/>
        <w:rPr>
          <w:sz w:val="20"/>
          <w:szCs w:val="20"/>
          <w:color w:val="auto"/>
        </w:rPr>
      </w:pPr>
      <w:r>
        <w:rPr>
          <w:rFonts w:ascii="Times New Roman" w:cs="Times New Roman" w:eastAsia="Times New Roman" w:hAnsi="Times New Roman"/>
          <w:sz w:val="18"/>
          <w:szCs w:val="18"/>
          <w:color w:val="auto"/>
        </w:rPr>
        <w:t>On July 8, 2019, the Company acquired all outstanding membership interests of Visible Equity, LLC (“Visible Equity”) which provides financial analytics, portfolio management and compliance solutions to banks and credit unions. The Company acquired Visible Equity for its product offerings and the domain expertise of its employees. Visible Equity is headquartered in Salt Lake City, Utah. The Company has included the financial results of Visible Equity in the consolidated statements of operations from the date of acquisition. The transaction costs associated with the acquisition were approximately $0.8 million and were primarily recorded in general and administrative expenses.</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acquisition-date fair value of the consideration transferred is as follows:</w:t>
      </w:r>
    </w:p>
    <w:p>
      <w:pPr>
        <w:spacing w:after="0" w:line="230"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Total</w:t>
            </w:r>
          </w:p>
        </w:tc>
      </w:tr>
      <w:tr>
        <w:trPr>
          <w:trHeight w:val="170"/>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99"/>
              </w:rPr>
              <w:t>Consideration</w:t>
            </w:r>
          </w:p>
        </w:tc>
      </w:tr>
      <w:tr>
        <w:trPr>
          <w:trHeight w:val="207"/>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to members</w:t>
            </w:r>
          </w:p>
        </w:tc>
        <w:tc>
          <w:tcPr>
            <w:tcW w:w="1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49,428</w:t>
            </w:r>
          </w:p>
        </w:tc>
        <w:tc>
          <w:tcPr>
            <w:tcW w:w="4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Voting common stock issued (1,438,805 shares)</w:t>
            </w:r>
          </w:p>
        </w:tc>
        <w:tc>
          <w:tcPr>
            <w:tcW w:w="1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23,812</w:t>
            </w:r>
          </w:p>
        </w:tc>
        <w:tc>
          <w:tcPr>
            <w:tcW w:w="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7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73,240</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The fair value of the Company’s voting common stock was determined by management to be $16.55 per share with the assistance of a third-party valuation specialist.</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40"/>
          </w:cols>
          <w:pgMar w:left="320" w:top="454" w:right="5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7. Business Combinations (Continued)</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following table summarizes the fair values of assets acquired and liabilities assumed as of the date of acquisition:</w:t>
      </w:r>
    </w:p>
    <w:p>
      <w:pPr>
        <w:spacing w:after="0" w:line="230"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Fair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25,500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46,584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73,240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w:t>
      </w:r>
    </w:p>
    <w:p>
      <w:pPr>
        <w:spacing w:after="0" w:line="175" w:lineRule="exact"/>
        <w:rPr>
          <w:sz w:val="20"/>
          <w:szCs w:val="20"/>
          <w:color w:val="auto"/>
        </w:rPr>
      </w:pPr>
    </w:p>
    <w:p>
      <w:pPr>
        <w:ind w:left="160" w:right="100" w:firstLine="873"/>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and their estimated useful lives over which the acquired intangible assets will be amortized on a straight-line basis, as this approximates the pattern in which economic benefits of the assets are consumed as of the date of acquisition:</w:t>
      </w:r>
    </w:p>
    <w:p>
      <w:pPr>
        <w:spacing w:after="0" w:line="184"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7"/>
              </w:rPr>
              <w:t>Fair</w:t>
            </w:r>
          </w:p>
        </w:tc>
        <w:tc>
          <w:tcPr>
            <w:tcW w:w="36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Useful</w:t>
            </w:r>
          </w:p>
        </w:tc>
      </w:tr>
      <w:tr>
        <w:trPr>
          <w:trHeight w:val="170"/>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Value</w:t>
            </w:r>
          </w:p>
        </w:tc>
        <w:tc>
          <w:tcPr>
            <w:tcW w:w="3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Life</w:t>
            </w:r>
          </w:p>
        </w:tc>
      </w:tr>
      <w:tr>
        <w:trPr>
          <w:trHeight w:val="207"/>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21,600</w:t>
            </w: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 years</w:t>
            </w:r>
          </w:p>
        </w:tc>
      </w:tr>
      <w:tr>
        <w:trPr>
          <w:trHeight w:val="214"/>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&lt; 1 year</w:t>
            </w:r>
          </w:p>
        </w:tc>
      </w:tr>
      <w:tr>
        <w:trPr>
          <w:trHeight w:val="22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600" w:firstLine="873"/>
        <w:spacing w:after="0" w:line="278" w:lineRule="auto"/>
        <w:rPr>
          <w:sz w:val="20"/>
          <w:szCs w:val="20"/>
          <w:color w:val="auto"/>
        </w:rPr>
      </w:pPr>
      <w:r>
        <w:rPr>
          <w:rFonts w:ascii="Times New Roman" w:cs="Times New Roman" w:eastAsia="Times New Roman" w:hAnsi="Times New Roman"/>
          <w:sz w:val="18"/>
          <w:szCs w:val="18"/>
          <w:color w:val="auto"/>
        </w:rPr>
        <w:t>Developed technology represents the fair value of Visible Equity’s technology. Customer relationships represent the fair value of the underlying relationships with Visible Equity’s customers. Trademarks represent the fair value of Visible Equity’s company name.</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Goodwill is mainly attributable to synergies expected from the acquisition and assembled workforce and is expected to be deductible for tax</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purposes.</w:t>
      </w:r>
    </w:p>
    <w:p>
      <w:pPr>
        <w:spacing w:after="0" w:line="202" w:lineRule="exact"/>
        <w:rPr>
          <w:sz w:val="20"/>
          <w:szCs w:val="20"/>
          <w:color w:val="auto"/>
        </w:rPr>
      </w:pPr>
    </w:p>
    <w:p>
      <w:pPr>
        <w:jc w:val="both"/>
        <w:ind w:left="160" w:right="60" w:firstLine="873"/>
        <w:spacing w:after="0" w:line="263" w:lineRule="auto"/>
        <w:rPr>
          <w:sz w:val="20"/>
          <w:szCs w:val="20"/>
          <w:color w:val="auto"/>
        </w:rPr>
      </w:pPr>
      <w:r>
        <w:rPr>
          <w:rFonts w:ascii="Times New Roman" w:cs="Times New Roman" w:eastAsia="Times New Roman" w:hAnsi="Times New Roman"/>
          <w:sz w:val="18"/>
          <w:szCs w:val="18"/>
          <w:color w:val="auto"/>
        </w:rPr>
        <w:t>The results of operations of Visible Equity since the acquisition are included in our consolidated statements of operations for the year ended January 31, 2020. The revenues and results of operations attributable to Visible Equity for the period from the date of acquisition, July 8, 2019 through January 31, 2020 were $5.6 million and a $1.7 million loss, respectively.</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Finsuite Pty Ltd</w:t>
      </w:r>
    </w:p>
    <w:p>
      <w:pPr>
        <w:spacing w:after="0" w:line="118" w:lineRule="exact"/>
        <w:rPr>
          <w:sz w:val="20"/>
          <w:szCs w:val="20"/>
          <w:color w:val="auto"/>
        </w:rPr>
      </w:pPr>
    </w:p>
    <w:p>
      <w:pPr>
        <w:ind w:left="160" w:right="260" w:firstLine="873"/>
        <w:spacing w:after="0" w:line="259" w:lineRule="auto"/>
        <w:rPr>
          <w:sz w:val="20"/>
          <w:szCs w:val="20"/>
          <w:color w:val="auto"/>
        </w:rPr>
      </w:pPr>
      <w:r>
        <w:rPr>
          <w:rFonts w:ascii="Times New Roman" w:cs="Times New Roman" w:eastAsia="Times New Roman" w:hAnsi="Times New Roman"/>
          <w:sz w:val="18"/>
          <w:szCs w:val="18"/>
          <w:color w:val="auto"/>
        </w:rPr>
        <w:t>On October 18, 2019, the Company, through its wholly-owned subsidiary, nCino APAC Pty Ltd, acquired all of the outstanding shares of FinSuite Pty Ltd (“FinSuite”). The Company acquired FinSuite to</w:t>
      </w:r>
    </w:p>
    <w:p>
      <w:pPr>
        <w:ind w:left="160" w:right="380"/>
        <w:spacing w:after="0" w:line="256" w:lineRule="auto"/>
        <w:rPr>
          <w:sz w:val="20"/>
          <w:szCs w:val="20"/>
          <w:color w:val="auto"/>
        </w:rPr>
      </w:pPr>
      <w:r>
        <w:rPr>
          <w:rFonts w:ascii="Times New Roman" w:cs="Times New Roman" w:eastAsia="Times New Roman" w:hAnsi="Times New Roman"/>
          <w:sz w:val="18"/>
          <w:szCs w:val="18"/>
          <w:color w:val="auto"/>
        </w:rPr>
        <w:t>enhance the Company’s data recognition capabilities, including complex, unstructured data. FinSuite is headquartered in Melbourne, Australia. The Company has included the financial results of FinSuite in the</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080"/>
          </w:cols>
          <w:pgMar w:left="320" w:top="454" w:right="49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7. Business Combinations (Continued)</w:t>
      </w:r>
    </w:p>
    <w:p>
      <w:pPr>
        <w:spacing w:after="0" w:line="131"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consolidated statement of operations from the date of acquisition. The transaction costs associated with the acquisition were approximately $0.3 million and are included in general and administrative expenses in the consolidated statement of operations for the fiscal year ended January 31, 2020.</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acquisition-date fair value of the consideration transferred is as follows:</w:t>
      </w:r>
    </w:p>
    <w:p>
      <w:pPr>
        <w:spacing w:after="0" w:line="230"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w:t>
            </w:r>
          </w:p>
        </w:tc>
      </w:tr>
      <w:tr>
        <w:trPr>
          <w:trHeight w:val="170"/>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Consideration</w:t>
            </w:r>
          </w:p>
        </w:tc>
      </w:tr>
      <w:tr>
        <w:trPr>
          <w:trHeight w:val="207"/>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to shareholders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 to settle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r>
      <w:tr>
        <w:trPr>
          <w:trHeight w:val="21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Voting common stock issued (63,967 shares)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1,392</w:t>
            </w:r>
          </w:p>
        </w:tc>
        <w:tc>
          <w:tcPr>
            <w:tcW w:w="20" w:type="dxa"/>
            <w:vAlign w:val="bottom"/>
            <w:shd w:val="clear" w:color="auto" w:fill="CCEEFF"/>
          </w:tcPr>
          <w:p>
            <w:pPr>
              <w:spacing w:after="0"/>
              <w:rPr>
                <w:sz w:val="18"/>
                <w:szCs w:val="18"/>
                <w:color w:val="auto"/>
              </w:rPr>
            </w:pPr>
          </w:p>
        </w:tc>
      </w:tr>
      <w:tr>
        <w:trPr>
          <w:trHeight w:val="21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 cash payment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8"/>
                <w:szCs w:val="18"/>
                <w:color w:val="auto"/>
              </w:rPr>
            </w:pPr>
          </w:p>
        </w:tc>
      </w:tr>
      <w:tr>
        <w:trPr>
          <w:trHeight w:val="21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 voting common stock</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5,857</w:t>
            </w:r>
          </w:p>
        </w:tc>
        <w:tc>
          <w:tcPr>
            <w:tcW w:w="20" w:type="dxa"/>
            <w:vAlign w:val="bottom"/>
            <w:shd w:val="clear" w:color="auto" w:fill="CCEEFF"/>
          </w:tcPr>
          <w:p>
            <w:pPr>
              <w:spacing w:after="0"/>
              <w:rPr>
                <w:sz w:val="18"/>
                <w:szCs w:val="18"/>
                <w:color w:val="auto"/>
              </w:rPr>
            </w:pPr>
          </w:p>
        </w:tc>
      </w:tr>
      <w:tr>
        <w:trPr>
          <w:trHeight w:val="221"/>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220" w:firstLine="873"/>
        <w:spacing w:after="0" w:line="263" w:lineRule="auto"/>
        <w:rPr>
          <w:sz w:val="20"/>
          <w:szCs w:val="20"/>
          <w:color w:val="auto"/>
        </w:rPr>
      </w:pPr>
      <w:r>
        <w:rPr>
          <w:rFonts w:ascii="Times New Roman" w:cs="Times New Roman" w:eastAsia="Times New Roman" w:hAnsi="Times New Roman"/>
          <w:sz w:val="18"/>
          <w:szCs w:val="18"/>
          <w:color w:val="auto"/>
        </w:rPr>
        <w:t>The fair value of the Company’s voting common stock was determined by management to be $21.75 per share based upon the transaction price of the Company’s capital raise in September 2019, which is indicative of an observable price in the Company’s principal market at the time of acquisition.</w:t>
      </w:r>
    </w:p>
    <w:p>
      <w:pPr>
        <w:spacing w:after="0" w:line="175"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Contingent consideration includes two tranches of earn-out arrangements based upon the attainment of post-acquisition product development milestones. The first tranche includes an earn-out opportunity of $0.1 million of cash and the issuance of 142,846 shares of voting common stock (together, the “Initial Tranche Earn-Out”). The Initial Tranche Earn-Out is conditioned upon the development of a stated product in accordance with mutually agreed upon functional requirements within a certain period from the date of acquisition. The second tranche includes an earn-out opportunity of $0.1 million of cash and the issuance of 142,846 shares voting common stock (together, the “Final Tranche Earn-Out”). The Final Tranche Earn-Out is conditioned upon a customer’s use of the stated product in a production environment according to the mutually agreed upon functional requirements within a certain period from the date of acquisition. The Final Tranche Earn-Out is not conditioned upon the achievement of the Initial Tranche Earn-Out.</w:t>
      </w:r>
    </w:p>
    <w:p>
      <w:pPr>
        <w:spacing w:after="0" w:line="187"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The fair value of the contingent consideration at the date of acquisition, approximately $6.0 million, was determined based upon a probability-weighted discounted cash flow model. The cash portion of the contingent consideration, $0.2 million, was recorded as of the acquisition date and is included in other long-term liabilities in the accompanying consolidated balance sheet as of January 31, 2020. The share portion of the contingent consideration was recorded as of the acquisition date and is reflected as a component of stockholders’ equity in the accompanying consolidated balance sheet as of January 31, 2020.</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80"/>
          </w:cols>
          <w:pgMar w:left="320" w:top="454" w:right="49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7. Business Combinations (Continued)</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following table summarizes the fair values of assets acquired and liabilities assumed as of the date of acquisition:</w:t>
      </w:r>
    </w:p>
    <w:p>
      <w:pPr>
        <w:spacing w:after="0" w:line="243" w:lineRule="exact"/>
        <w:rPr>
          <w:sz w:val="20"/>
          <w:szCs w:val="20"/>
          <w:color w:val="auto"/>
        </w:rPr>
      </w:pPr>
    </w:p>
    <w:tbl>
      <w:tblPr>
        <w:tblLayout w:type="fixed"/>
        <w:tblInd w:w="192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2"/>
              </w:rPr>
              <w:t>11,511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w:t>
      </w:r>
    </w:p>
    <w:p>
      <w:pPr>
        <w:spacing w:after="0" w:line="175" w:lineRule="exact"/>
        <w:rPr>
          <w:sz w:val="20"/>
          <w:szCs w:val="20"/>
          <w:color w:val="auto"/>
        </w:rPr>
      </w:pPr>
    </w:p>
    <w:p>
      <w:pPr>
        <w:ind w:left="160" w:right="100" w:firstLine="873"/>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and their estimated useful lives over which the acquired intangible assets will be amortized on a straight-line basis, as this approximates the pattern in which economic benefits of the assets are consumed as of the date of acquisition:</w:t>
      </w:r>
    </w:p>
    <w:p>
      <w:pPr>
        <w:spacing w:after="0" w:line="198"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7"/>
              </w:rPr>
              <w:t>Fair Value</w:t>
            </w:r>
          </w:p>
        </w:tc>
        <w:tc>
          <w:tcPr>
            <w:tcW w:w="5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9"/>
              </w:rPr>
              <w:t>Useful Life</w:t>
            </w:r>
          </w:p>
        </w:tc>
      </w:tr>
      <w:tr>
        <w:trPr>
          <w:trHeight w:val="207"/>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years</w:t>
            </w:r>
          </w:p>
        </w:tc>
      </w:tr>
      <w:tr>
        <w:trPr>
          <w:trHeight w:val="214"/>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&lt; 1 year</w:t>
            </w:r>
          </w:p>
        </w:tc>
      </w:tr>
      <w:tr>
        <w:trPr>
          <w:trHeight w:val="22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200" w:firstLine="873"/>
        <w:spacing w:after="0" w:line="278" w:lineRule="auto"/>
        <w:rPr>
          <w:sz w:val="20"/>
          <w:szCs w:val="20"/>
          <w:color w:val="auto"/>
        </w:rPr>
      </w:pPr>
      <w:r>
        <w:rPr>
          <w:rFonts w:ascii="Times New Roman" w:cs="Times New Roman" w:eastAsia="Times New Roman" w:hAnsi="Times New Roman"/>
          <w:sz w:val="18"/>
          <w:szCs w:val="18"/>
          <w:color w:val="auto"/>
        </w:rPr>
        <w:t>Developed technology represents the fair value of FinSuite’s technology. Customer relationships represent the fair value of the underlying relationships with FinSuite’s customers. Trademarks represent the fair value of FinSuite’s company name.</w:t>
      </w:r>
    </w:p>
    <w:p>
      <w:pPr>
        <w:spacing w:after="0" w:line="162" w:lineRule="exact"/>
        <w:rPr>
          <w:sz w:val="20"/>
          <w:szCs w:val="20"/>
          <w:color w:val="auto"/>
        </w:rPr>
      </w:pPr>
    </w:p>
    <w:p>
      <w:pPr>
        <w:ind w:left="160" w:right="40" w:firstLine="873"/>
        <w:spacing w:after="0" w:line="278" w:lineRule="auto"/>
        <w:rPr>
          <w:sz w:val="20"/>
          <w:szCs w:val="20"/>
          <w:color w:val="auto"/>
        </w:rPr>
      </w:pPr>
      <w:r>
        <w:rPr>
          <w:rFonts w:ascii="Times New Roman" w:cs="Times New Roman" w:eastAsia="Times New Roman" w:hAnsi="Times New Roman"/>
          <w:sz w:val="18"/>
          <w:szCs w:val="18"/>
          <w:color w:val="auto"/>
        </w:rPr>
        <w:t>Goodwill is mainly attributable to synergies expected from the acquisition and assembled workforce and is not expected to be deductible for tax purposes.</w:t>
      </w:r>
    </w:p>
    <w:p>
      <w:pPr>
        <w:spacing w:after="0" w:line="162" w:lineRule="exact"/>
        <w:rPr>
          <w:sz w:val="20"/>
          <w:szCs w:val="20"/>
          <w:color w:val="auto"/>
        </w:rPr>
      </w:pPr>
    </w:p>
    <w:p>
      <w:pPr>
        <w:ind w:left="160" w:right="120" w:firstLine="873"/>
        <w:spacing w:after="0" w:line="263" w:lineRule="auto"/>
        <w:rPr>
          <w:sz w:val="20"/>
          <w:szCs w:val="20"/>
          <w:color w:val="auto"/>
        </w:rPr>
      </w:pPr>
      <w:r>
        <w:rPr>
          <w:rFonts w:ascii="Times New Roman" w:cs="Times New Roman" w:eastAsia="Times New Roman" w:hAnsi="Times New Roman"/>
          <w:sz w:val="18"/>
          <w:szCs w:val="18"/>
          <w:color w:val="auto"/>
        </w:rPr>
        <w:t>The results of operations of FinSuite since the acquisition are included in the Company’s consolidated statements of operations for the year ended January 31, 2020. The revenues and results of operations attributable to FinSuite for the period from the date of acquisition, October 18, 2019 through January 31, 2020 were $0.8 million and $0.3 million income, respectively.</w:t>
      </w:r>
    </w:p>
    <w:p>
      <w:pPr>
        <w:spacing w:after="0" w:line="175" w:lineRule="exact"/>
        <w:rPr>
          <w:sz w:val="20"/>
          <w:szCs w:val="20"/>
          <w:color w:val="auto"/>
        </w:rPr>
      </w:pPr>
    </w:p>
    <w:p>
      <w:pPr>
        <w:ind w:left="160" w:right="100" w:firstLine="873"/>
        <w:spacing w:after="0" w:line="258" w:lineRule="auto"/>
        <w:rPr>
          <w:sz w:val="20"/>
          <w:szCs w:val="20"/>
          <w:color w:val="auto"/>
        </w:rPr>
      </w:pPr>
      <w:r>
        <w:rPr>
          <w:rFonts w:ascii="Times New Roman" w:cs="Times New Roman" w:eastAsia="Times New Roman" w:hAnsi="Times New Roman"/>
          <w:sz w:val="18"/>
          <w:szCs w:val="18"/>
          <w:color w:val="auto"/>
        </w:rPr>
        <w:t>The pro forma statements of operations for the years ended January 31, 2019 and January 31, 2020, shown in the table below, give effect to the Visible Equity and FinSuite acquisitions, described above, as if they had occurred on February 1, 2018. These amounts have been calculated after applying the Company’s accounting policies and adjusting the results of Visible Equity and FinSuite to reflect the intangible amortization, stock-based compensation, and related items, and the adjustments to acquired deferred revenue that would have</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80"/>
          </w:cols>
          <w:pgMar w:left="320" w:top="454" w:right="49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7. Business Combinations (Continued)</w:t>
      </w:r>
    </w:p>
    <w:p>
      <w:pPr>
        <w:spacing w:after="0" w:line="131" w:lineRule="exact"/>
        <w:rPr>
          <w:sz w:val="20"/>
          <w:szCs w:val="20"/>
          <w:color w:val="auto"/>
        </w:rPr>
      </w:pPr>
    </w:p>
    <w:p>
      <w:pPr>
        <w:ind w:left="160"/>
        <w:spacing w:after="0" w:line="263" w:lineRule="auto"/>
        <w:rPr>
          <w:sz w:val="20"/>
          <w:szCs w:val="20"/>
          <w:color w:val="auto"/>
        </w:rPr>
      </w:pPr>
      <w:r>
        <w:rPr>
          <w:rFonts w:ascii="Times New Roman" w:cs="Times New Roman" w:eastAsia="Times New Roman" w:hAnsi="Times New Roman"/>
          <w:sz w:val="18"/>
          <w:szCs w:val="18"/>
          <w:color w:val="auto"/>
        </w:rPr>
        <w:t>occurred assuming the fair value adjustments had been applied and incurred since February 1, 2018. This pro forma data is presented for informational purposes only and is not indicative of future results of operations. The table below shows the pro forma statements of operations for the respective years ending January 31:</w:t>
      </w:r>
    </w:p>
    <w:p>
      <w:pPr>
        <w:spacing w:after="0" w:line="19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color w:val="auto"/>
        </w:rPr>
        <w:t>(Unaudited)</w:t>
      </w:r>
    </w:p>
    <w:p>
      <w:pPr>
        <w:ind w:left="8400"/>
        <w:spacing w:after="0" w:line="232" w:lineRule="auto"/>
        <w:rPr>
          <w:sz w:val="20"/>
          <w:szCs w:val="20"/>
          <w:color w:val="auto"/>
        </w:rPr>
      </w:pPr>
      <w:r>
        <w:rPr>
          <w:rFonts w:ascii="Times New Roman" w:cs="Times New Roman" w:eastAsia="Times New Roman" w:hAnsi="Times New Roman"/>
          <w:sz w:val="14"/>
          <w:szCs w:val="14"/>
          <w:color w:val="auto"/>
        </w:rPr>
        <w:t>January 31,</w:t>
      </w:r>
    </w:p>
    <w:tbl>
      <w:tblPr>
        <w:tblLayout w:type="fixed"/>
        <w:tblInd w:w="160" w:type="dxa"/>
        <w:tblCellMar>
          <w:top w:w="0" w:type="dxa"/>
          <w:left w:w="0" w:type="dxa"/>
          <w:bottom w:w="0" w:type="dxa"/>
          <w:right w:w="0" w:type="dxa"/>
        </w:tblCellMar>
      </w:tblPr>
      <w:tr>
        <w:trPr>
          <w:trHeight w:val="140"/>
        </w:trPr>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top w:val="single" w:sz="8" w:color="auto"/>
            </w:tcBorders>
            <w:gridSpan w:val="4"/>
          </w:tcPr>
          <w:p>
            <w:pPr>
              <w:jc w:val="right"/>
              <w:ind w:right="122"/>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6"/>
          </w:tcPr>
          <w:p>
            <w:pPr>
              <w:jc w:val="center"/>
              <w:ind w:left="321"/>
              <w:spacing w:after="0" w:line="141" w:lineRule="exact"/>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$102,244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$142,958</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(24,954)</w:t>
            </w:r>
          </w:p>
        </w:tc>
        <w:tc>
          <w:tcPr>
            <w:tcW w:w="11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(27,647)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7"/>
        </w:trPr>
        <w:tc>
          <w:tcPr>
            <w:tcW w:w="5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8. Intangible Assets and Goodwill</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40" w:type="dxa"/>
            <w:vAlign w:val="bottom"/>
          </w:tcPr>
          <w:p>
            <w:pPr>
              <w:spacing w:after="0"/>
              <w:rPr>
                <w:sz w:val="24"/>
                <w:szCs w:val="24"/>
                <w:color w:val="auto"/>
              </w:rPr>
            </w:pPr>
          </w:p>
        </w:tc>
        <w:tc>
          <w:tcPr>
            <w:tcW w:w="5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Intangible assets, net are as follows: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color w:val="auto"/>
              </w:rPr>
              <w:t>As of January 31, 2020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w w:val="99"/>
              </w:rPr>
              <w:t>Weighted</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3"/>
            <w:vMerge w:val="restart"/>
          </w:tcPr>
          <w:p>
            <w:pPr>
              <w:jc w:val="center"/>
              <w:ind w:right="60"/>
              <w:spacing w:after="0" w:line="125"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78"/>
        </w:trPr>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w w:val="98"/>
              </w:rPr>
              <w:t>Net</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Gross</w:t>
            </w:r>
          </w:p>
        </w:tc>
        <w:tc>
          <w:tcPr>
            <w:tcW w:w="380" w:type="dxa"/>
            <w:vAlign w:val="bottom"/>
          </w:tcPr>
          <w:p>
            <w:pPr>
              <w:spacing w:after="0"/>
              <w:rPr>
                <w:sz w:val="12"/>
                <w:szCs w:val="12"/>
                <w:color w:val="auto"/>
              </w:rPr>
            </w:pPr>
          </w:p>
        </w:tc>
        <w:tc>
          <w:tcPr>
            <w:tcW w:w="108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color w:val="auto"/>
              </w:rPr>
              <w:t>Remaining</w:t>
            </w:r>
          </w:p>
        </w:tc>
        <w:tc>
          <w:tcPr>
            <w:tcW w:w="0" w:type="dxa"/>
            <w:vAlign w:val="bottom"/>
          </w:tcPr>
          <w:p>
            <w:pPr>
              <w:spacing w:after="0"/>
              <w:rPr>
                <w:sz w:val="1"/>
                <w:szCs w:val="1"/>
                <w:color w:val="auto"/>
              </w:rPr>
            </w:pPr>
          </w:p>
        </w:tc>
      </w:tr>
      <w:tr>
        <w:trPr>
          <w:trHeight w:val="147"/>
        </w:trPr>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7"/>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5"/>
          </w:tcPr>
          <w:p>
            <w:pPr>
              <w:jc w:val="center"/>
              <w:ind w:right="260"/>
              <w:spacing w:after="0" w:line="147" w:lineRule="exact"/>
              <w:rPr>
                <w:sz w:val="20"/>
                <w:szCs w:val="20"/>
                <w:color w:val="auto"/>
              </w:rPr>
            </w:pPr>
            <w:r>
              <w:rPr>
                <w:rFonts w:ascii="Times New Roman" w:cs="Times New Roman" w:eastAsia="Times New Roman" w:hAnsi="Times New Roman"/>
                <w:sz w:val="14"/>
                <w:szCs w:val="14"/>
                <w:color w:val="auto"/>
              </w:rPr>
              <w:t>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color w:val="auto"/>
                <w:w w:val="99"/>
              </w:rPr>
              <w:t>Useful Life</w:t>
            </w: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Amount</w:t>
            </w:r>
          </w:p>
        </w:tc>
        <w:tc>
          <w:tcPr>
            <w:tcW w:w="380" w:type="dxa"/>
            <w:vAlign w:val="bottom"/>
          </w:tcPr>
          <w:p>
            <w:pPr>
              <w:spacing w:after="0"/>
              <w:rPr>
                <w:sz w:val="14"/>
                <w:szCs w:val="14"/>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4"/>
                <w:szCs w:val="14"/>
                <w:color w:val="auto"/>
              </w:rPr>
            </w:pPr>
          </w:p>
        </w:tc>
        <w:tc>
          <w:tcPr>
            <w:tcW w:w="8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5"/>
              </w:rPr>
              <w:t>(Years)</w:t>
            </w:r>
          </w:p>
        </w:tc>
        <w:tc>
          <w:tcPr>
            <w:tcW w:w="0" w:type="dxa"/>
            <w:vAlign w:val="bottom"/>
          </w:tcPr>
          <w:p>
            <w:pPr>
              <w:spacing w:after="0"/>
              <w:rPr>
                <w:sz w:val="1"/>
                <w:szCs w:val="1"/>
                <w:color w:val="auto"/>
              </w:rPr>
            </w:pPr>
          </w:p>
        </w:tc>
      </w:tr>
      <w:tr>
        <w:trPr>
          <w:trHeight w:val="207"/>
        </w:trPr>
        <w:tc>
          <w:tcPr>
            <w:tcW w:w="440" w:type="dxa"/>
            <w:vAlign w:val="bottom"/>
          </w:tcPr>
          <w:p>
            <w:pPr>
              <w:spacing w:after="0"/>
              <w:rPr>
                <w:sz w:val="18"/>
                <w:szCs w:val="18"/>
                <w:color w:val="auto"/>
              </w:rPr>
            </w:pPr>
          </w:p>
        </w:tc>
        <w:tc>
          <w:tcPr>
            <w:tcW w:w="52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$ 5,313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2"/>
              </w:rPr>
              <w:t>21,706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4"/>
          </w:tcPr>
          <w:p>
            <w:pPr>
              <w:jc w:val="right"/>
              <w:ind w:right="62"/>
              <w:spacing w:after="0"/>
              <w:rPr>
                <w:sz w:val="20"/>
                <w:szCs w:val="20"/>
                <w:color w:val="auto"/>
              </w:rPr>
            </w:pPr>
            <w:r>
              <w:rPr>
                <w:rFonts w:ascii="Times New Roman" w:cs="Times New Roman" w:eastAsia="Times New Roman" w:hAnsi="Times New Roman"/>
                <w:sz w:val="18"/>
                <w:szCs w:val="18"/>
                <w:color w:val="auto"/>
              </w:rPr>
              <w:t>(937)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20,769</w:t>
            </w:r>
          </w:p>
        </w:tc>
        <w:tc>
          <w:tcPr>
            <w:tcW w:w="1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center"/>
              <w:ind w:left="321"/>
              <w:spacing w:after="0"/>
              <w:rPr>
                <w:sz w:val="20"/>
                <w:szCs w:val="20"/>
                <w:color w:val="auto"/>
              </w:rPr>
            </w:pPr>
            <w:r>
              <w:rPr>
                <w:rFonts w:ascii="Times New Roman" w:cs="Times New Roman" w:eastAsia="Times New Roman" w:hAnsi="Times New Roman"/>
                <w:sz w:val="18"/>
                <w:szCs w:val="18"/>
                <w:color w:val="auto"/>
                <w:w w:val="88"/>
              </w:rPr>
              <w:t>11</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27,839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(1,746</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26,093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rPr>
              <w:t>There were no intangible assets as of January 31, 2019.</w:t>
            </w: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440" w:type="dxa"/>
            <w:vAlign w:val="bottom"/>
          </w:tcPr>
          <w:p>
            <w:pPr>
              <w:spacing w:after="0"/>
              <w:rPr>
                <w:sz w:val="24"/>
                <w:szCs w:val="24"/>
                <w:color w:val="auto"/>
              </w:rPr>
            </w:pPr>
          </w:p>
        </w:tc>
        <w:tc>
          <w:tcPr>
            <w:tcW w:w="524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40" w:type="dxa"/>
            <w:vAlign w:val="bottom"/>
          </w:tcPr>
          <w:p>
            <w:pPr>
              <w:spacing w:after="0"/>
              <w:rPr>
                <w:sz w:val="24"/>
                <w:szCs w:val="24"/>
                <w:color w:val="auto"/>
              </w:rPr>
            </w:pPr>
          </w:p>
        </w:tc>
        <w:tc>
          <w:tcPr>
            <w:tcW w:w="5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Company recognized amortization expense as follows: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Fiscal Year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color w:val="auto"/>
              </w:rPr>
              <w:t>January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3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w w:val="99"/>
              </w:rPr>
              <w:t>2018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ind w:left="340"/>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4"/>
              <w:spacing w:after="0" w:line="141" w:lineRule="exact"/>
              <w:rPr>
                <w:sz w:val="20"/>
                <w:szCs w:val="20"/>
                <w:color w:val="auto"/>
              </w:rPr>
            </w:pPr>
            <w:r>
              <w:rPr>
                <w:rFonts w:ascii="Times New Roman" w:cs="Times New Roman" w:eastAsia="Times New Roman" w:hAnsi="Times New Roman"/>
                <w:sz w:val="14"/>
                <w:szCs w:val="14"/>
                <w:color w:val="auto"/>
                <w:w w:val="92"/>
              </w:rPr>
              <w:t>2020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5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4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1,748</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expected future amortization expense for intangible assets as of January 31, 2020 is as follows:</w:t>
      </w:r>
    </w:p>
    <w:p>
      <w:pPr>
        <w:spacing w:after="0" w:line="233" w:lineRule="exact"/>
        <w:rPr>
          <w:sz w:val="20"/>
          <w:szCs w:val="20"/>
          <w:color w:val="auto"/>
        </w:rPr>
      </w:pPr>
    </w:p>
    <w:tbl>
      <w:tblPr>
        <w:tblLayout w:type="fixed"/>
        <w:tblInd w:w="192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Ending January 31,</w:t>
            </w:r>
          </w:p>
        </w:tc>
        <w:tc>
          <w:tcPr>
            <w:tcW w:w="3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Borders>
              <w:top w:val="single" w:sz="8" w:color="CCEEFF"/>
            </w:tcBorders>
          </w:tcPr>
          <w:p>
            <w:pPr>
              <w:spacing w:after="0"/>
              <w:rPr>
                <w:sz w:val="18"/>
                <w:szCs w:val="18"/>
                <w:color w:val="auto"/>
              </w:rPr>
            </w:pPr>
          </w:p>
        </w:tc>
        <w:tc>
          <w:tcPr>
            <w:tcW w:w="39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3,182</w:t>
            </w:r>
          </w:p>
        </w:tc>
      </w:tr>
      <w:tr>
        <w:trPr>
          <w:trHeight w:val="214"/>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3,172</w:t>
            </w:r>
          </w:p>
        </w:tc>
      </w:tr>
      <w:tr>
        <w:trPr>
          <w:trHeight w:val="214"/>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3,172</w:t>
            </w:r>
          </w:p>
        </w:tc>
      </w:tr>
      <w:tr>
        <w:trPr>
          <w:trHeight w:val="214"/>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2,478</w:t>
            </w:r>
          </w:p>
        </w:tc>
      </w:tr>
      <w:tr>
        <w:trPr>
          <w:trHeight w:val="214"/>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1,670</w:t>
            </w:r>
          </w:p>
        </w:tc>
      </w:tr>
      <w:tr>
        <w:trPr>
          <w:trHeight w:val="214"/>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12,419</w:t>
            </w:r>
          </w:p>
        </w:tc>
      </w:tr>
      <w:tr>
        <w:trPr>
          <w:trHeight w:val="221"/>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26,093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60" w:type="dxa"/>
            <w:vAlign w:val="bottom"/>
            <w:gridSpan w:val="2"/>
          </w:tcPr>
          <w:p>
            <w:pPr>
              <w:jc w:val="right"/>
              <w:ind w:right="2871"/>
              <w:spacing w:after="0"/>
              <w:rPr>
                <w:sz w:val="20"/>
                <w:szCs w:val="20"/>
                <w:color w:val="auto"/>
              </w:rPr>
            </w:pPr>
            <w:r>
              <w:rPr>
                <w:rFonts w:ascii="Times New Roman" w:cs="Times New Roman" w:eastAsia="Times New Roman" w:hAnsi="Times New Roman"/>
                <w:sz w:val="18"/>
                <w:szCs w:val="18"/>
                <w:color w:val="auto"/>
              </w:rPr>
              <w:t>F-30</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320" w:top="454" w:right="5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8. Intangible Assets and Goodwill (Continued)</w:t>
      </w:r>
    </w:p>
    <w:p>
      <w:pPr>
        <w:spacing w:after="0" w:line="131" w:lineRule="exact"/>
        <w:rPr>
          <w:sz w:val="20"/>
          <w:szCs w:val="20"/>
          <w:color w:val="auto"/>
        </w:rPr>
      </w:pPr>
    </w:p>
    <w:p>
      <w:pPr>
        <w:ind w:left="160" w:right="260" w:firstLine="873"/>
        <w:spacing w:after="0" w:line="263" w:lineRule="auto"/>
        <w:rPr>
          <w:sz w:val="20"/>
          <w:szCs w:val="20"/>
          <w:color w:val="auto"/>
        </w:rPr>
      </w:pPr>
      <w:r>
        <w:rPr>
          <w:rFonts w:ascii="Times New Roman" w:cs="Times New Roman" w:eastAsia="Times New Roman" w:hAnsi="Times New Roman"/>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8" w:lineRule="exact"/>
        <w:rPr>
          <w:sz w:val="20"/>
          <w:szCs w:val="20"/>
          <w:color w:val="auto"/>
        </w:rPr>
      </w:pPr>
    </w:p>
    <w:p>
      <w:pPr>
        <w:jc w:val="both"/>
        <w:ind w:left="160" w:right="60" w:firstLine="873"/>
        <w:spacing w:after="0" w:line="263"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assets acquired. Goodwill amounts are not amortized, but rather tested for impairment at least annually during the Company’s fourth quarter of each fiscal year. The change in the carrying amounts of goodwill was as follows:</w:t>
      </w:r>
    </w:p>
    <w:p>
      <w:pPr>
        <w:spacing w:after="0" w:line="221"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31, 2018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Translation adjustments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January 31, 2019</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55,989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adjustments</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31, 2020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55,840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9. Reseller Agreement</w:t>
      </w:r>
    </w:p>
    <w:p>
      <w:pPr>
        <w:spacing w:after="0" w:line="118" w:lineRule="exact"/>
        <w:rPr>
          <w:sz w:val="20"/>
          <w:szCs w:val="20"/>
          <w:color w:val="auto"/>
        </w:rPr>
      </w:pPr>
    </w:p>
    <w:p>
      <w:pPr>
        <w:ind w:left="160" w:right="220" w:firstLine="873"/>
        <w:spacing w:after="0" w:line="255" w:lineRule="auto"/>
        <w:rPr>
          <w:sz w:val="20"/>
          <w:szCs w:val="20"/>
          <w:color w:val="auto"/>
        </w:rPr>
      </w:pPr>
      <w:r>
        <w:rPr>
          <w:rFonts w:ascii="Times New Roman" w:cs="Times New Roman" w:eastAsia="Times New Roman" w:hAnsi="Times New Roman"/>
          <w:sz w:val="18"/>
          <w:szCs w:val="18"/>
          <w:color w:val="auto"/>
        </w:rPr>
        <w:t>The Company has a reseller agreement in place with a related party to utilize their platform and to develop the Company’s cloud-based banking software as an application within the related party’s hosted environment. This agreement expires in June 2022 unless renegotiated. Cost of subscription revenues in each of the fiscal years ended January 31, 2018, 2019 and 2020 substantially consists of fees paid for access to the related party’s platform, including their hosting infrastructure and data center operations. The Company has recorded expenses of $9.5 million, $15.4 million and $22.8 million for the fiscal years ended January 31, 2018, 2019, and 2020, respectively. See also Note 15.</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118"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On September 16, 2019, the Company amended the Certificate of Incorporation to change the designated number of voting shares of authorized common stock to 99,708,247 and the designated number of non-voting shares of authorized common stock to 10,291,753. On May 25, 2016, the Company amended the Certificate of Incorporation to change the designated number of voting shares of authorized common stock to 89,708,247 and the designated number of non-voting shares of authorized common stock to 10,291,753. During the fiscal years ended January 31, 2018 and 2019, no change was made to the total number of authorized common shares.</w:t>
      </w:r>
    </w:p>
    <w:p>
      <w:pPr>
        <w:spacing w:after="0" w:line="184"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color w:val="auto"/>
        </w:rPr>
        <w:t>In July 2017, January 2018, and September 2019 the Company completed a private placement common stock offering with accredited investors which raised $17.8 million, $51.4 million and $79.9 million, respectively, net of related expenses. During the July 2017 offering, 1,784,700 shares of voting common stock were issued, in January 2018, 3,958,354 shares of voting common stock were issued, and in September 2019, 3,678,161 shares of common stock were issued (3,448,276 shares of voting common stock and 229,885 shares of non-voting common stock).</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60"/>
          </w:cols>
          <w:pgMar w:left="320" w:top="454" w:right="51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10. Stockholders’ Equity (Continued)</w:t>
      </w:r>
    </w:p>
    <w:p>
      <w:pPr>
        <w:spacing w:after="0" w:line="131" w:lineRule="exact"/>
        <w:rPr>
          <w:sz w:val="20"/>
          <w:szCs w:val="20"/>
          <w:color w:val="auto"/>
        </w:rPr>
      </w:pPr>
    </w:p>
    <w:p>
      <w:pPr>
        <w:ind w:left="160" w:right="40" w:firstLine="873"/>
        <w:spacing w:after="0" w:line="278" w:lineRule="auto"/>
        <w:rPr>
          <w:sz w:val="20"/>
          <w:szCs w:val="20"/>
          <w:color w:val="auto"/>
        </w:rPr>
      </w:pPr>
      <w:r>
        <w:rPr>
          <w:rFonts w:ascii="Times New Roman" w:cs="Times New Roman" w:eastAsia="Times New Roman" w:hAnsi="Times New Roman"/>
          <w:sz w:val="18"/>
          <w:szCs w:val="18"/>
          <w:color w:val="auto"/>
        </w:rPr>
        <w:t>Also, during the fiscal years ended January 31, 2018, 2019 and 2020, certain employees exercised vested stock options resulting in 695,384, 2,845,482 and 458,770 shares, respectively, being issued.</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During the fiscal year ended January 31, 2020, 1,502,772 shares of voting common stock were issued related to business combinations.</w:t>
      </w:r>
    </w:p>
    <w:p>
      <w:pPr>
        <w:spacing w:after="0" w:line="2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 summary of the rights and key provisions affecting each class of the Company’s stock as of January 31, 2020, is as follows:</w:t>
      </w:r>
    </w:p>
    <w:p>
      <w:pPr>
        <w:spacing w:after="0" w:line="217" w:lineRule="exact"/>
        <w:rPr>
          <w:sz w:val="20"/>
          <w:szCs w:val="20"/>
          <w:color w:val="auto"/>
        </w:rPr>
      </w:pPr>
    </w:p>
    <w:p>
      <w:pPr>
        <w:jc w:val="both"/>
        <w:ind w:left="160" w:right="320" w:firstLine="873"/>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The Board of Directors is authorized to establish one or more series of preferred stock and to fix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constituting such series and the designation of such series, including the voting powers, preferences, limitations, restrictions, and other special rights thereof.</w:t>
      </w:r>
    </w:p>
    <w:p>
      <w:pPr>
        <w:spacing w:after="0" w:line="170"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Each holder of shares of voting common stock is entitled to attend all special and annual stockholder meetings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to cast one vote for each outstanding share of voting common stock held on any matter or thing properly considered and acted upon by the stockholders in accordance with the Company’s by-laws and applicable law. Non-voting common stockholders carry the same rights and privileges as voting common stockholders except they shall not be entitled to vote on any matter. Non-voting common stock can be converted to an equal number of shares of voting common stock provided that certain transfer provisions are met. The non-voting common stock will only be convertible after a transfer from the initial holder of the non-voting common stock to a third party unaffiliated with the initial holder through a permitted transfer. A permitted transfer is defined as being a transfer to an affiliate of the holder or the Company, transfer in a widespread public distribution, in transfers in which no transferee (or group of affiliated transferees) receives 2% or more of any class of the voting securities of the Company, or to a transferee that would control more than 50% of the voting securities of the Company without any transfer from the transferor.</w:t>
      </w:r>
    </w:p>
    <w:p>
      <w:pPr>
        <w:spacing w:after="0" w:line="18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At January 31, 2020, the Company committed a total of 9,579,061 shares of common stock for future issuance as follows:</w:t>
      </w:r>
    </w:p>
    <w:p>
      <w:pPr>
        <w:spacing w:after="0" w:line="266"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stock options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7,837,023</w:t>
            </w:r>
          </w:p>
        </w:tc>
        <w:tc>
          <w:tcPr>
            <w:tcW w:w="60" w:type="dxa"/>
            <w:vAlign w:val="bottom"/>
            <w:shd w:val="clear" w:color="auto" w:fill="CCEEFF"/>
          </w:tcPr>
          <w:p>
            <w:pPr>
              <w:spacing w:after="0"/>
              <w:rPr>
                <w:sz w:val="18"/>
                <w:szCs w:val="18"/>
                <w:color w:val="auto"/>
              </w:rPr>
            </w:pPr>
          </w:p>
        </w:tc>
      </w:tr>
      <w:tr>
        <w:trPr>
          <w:trHeight w:val="21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Nonvested issued and outstanding restricted stock units (“RSU”s)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948,119</w:t>
            </w:r>
          </w:p>
        </w:tc>
        <w:tc>
          <w:tcPr>
            <w:tcW w:w="60" w:type="dxa"/>
            <w:vAlign w:val="bottom"/>
          </w:tcPr>
          <w:p>
            <w:pPr>
              <w:spacing w:after="0"/>
              <w:rPr>
                <w:sz w:val="18"/>
                <w:szCs w:val="18"/>
                <w:color w:val="auto"/>
              </w:rPr>
            </w:pPr>
          </w:p>
        </w:tc>
      </w:tr>
      <w:tr>
        <w:trPr>
          <w:trHeight w:val="21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Possible issuance under incentive plans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793,919</w:t>
            </w:r>
          </w:p>
        </w:tc>
        <w:tc>
          <w:tcPr>
            <w:tcW w:w="60" w:type="dxa"/>
            <w:vAlign w:val="bottom"/>
            <w:shd w:val="clear" w:color="auto" w:fill="CCEEFF"/>
          </w:tcPr>
          <w:p>
            <w:pPr>
              <w:spacing w:after="0"/>
              <w:rPr>
                <w:sz w:val="18"/>
                <w:szCs w:val="18"/>
                <w:color w:val="auto"/>
              </w:rPr>
            </w:pPr>
          </w:p>
        </w:tc>
      </w:tr>
      <w:tr>
        <w:trPr>
          <w:trHeight w:val="221"/>
        </w:trPr>
        <w:tc>
          <w:tcPr>
            <w:tcW w:w="63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9,579,061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11. Stock-Based Compensation</w:t>
      </w:r>
    </w:p>
    <w:p>
      <w:pPr>
        <w:spacing w:after="0" w:line="118" w:lineRule="exact"/>
        <w:rPr>
          <w:sz w:val="20"/>
          <w:szCs w:val="20"/>
          <w:color w:val="auto"/>
        </w:rPr>
      </w:pPr>
    </w:p>
    <w:p>
      <w:pPr>
        <w:jc w:val="both"/>
        <w:ind w:left="160" w:right="480" w:firstLine="873"/>
        <w:spacing w:after="0" w:line="255" w:lineRule="auto"/>
        <w:rPr>
          <w:sz w:val="20"/>
          <w:szCs w:val="20"/>
          <w:color w:val="auto"/>
        </w:rPr>
      </w:pPr>
      <w:r>
        <w:rPr>
          <w:rFonts w:ascii="Times New Roman" w:cs="Times New Roman" w:eastAsia="Times New Roman" w:hAnsi="Times New Roman"/>
          <w:sz w:val="18"/>
          <w:szCs w:val="18"/>
          <w:color w:val="auto"/>
        </w:rPr>
        <w:t>The Company has two equity incentive plans: the 2014 Stock Plan (“2014 Plan”) and the 2019 Equity Incentive Plan (“2019 Plan”), collectively referred to as the “Incentive Plans.” Under the 2014 Plan, the Board of Directors had allotted 15,025,666 shares of common stock for incentive options or non-qualified options as of January 31, 2020. Prior to fiscal 2018, the option pool was increased by an aggregate of 6,797,476 shares with approval from the Board of directors and stockholders. Non-qualified options may be granted to Company employees, non-employee directors, and consultants. The exercise price of options is determined by the Board of</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080"/>
          </w:cols>
          <w:pgMar w:left="320" w:top="454" w:right="49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11. Stock-Based Compensation (Continued)</w:t>
      </w:r>
    </w:p>
    <w:p>
      <w:pPr>
        <w:spacing w:after="0" w:line="131" w:lineRule="exact"/>
        <w:rPr>
          <w:sz w:val="20"/>
          <w:szCs w:val="20"/>
          <w:color w:val="auto"/>
        </w:rPr>
      </w:pPr>
    </w:p>
    <w:p>
      <w:pPr>
        <w:ind w:left="160" w:right="100"/>
        <w:spacing w:after="0" w:line="278" w:lineRule="auto"/>
        <w:rPr>
          <w:sz w:val="20"/>
          <w:szCs w:val="20"/>
          <w:color w:val="auto"/>
        </w:rPr>
      </w:pPr>
      <w:r>
        <w:rPr>
          <w:rFonts w:ascii="Times New Roman" w:cs="Times New Roman" w:eastAsia="Times New Roman" w:hAnsi="Times New Roman"/>
          <w:sz w:val="18"/>
          <w:szCs w:val="18"/>
          <w:color w:val="auto"/>
        </w:rPr>
        <w:t>Directors, but cannot be less than 100% of the fair market value of the Company’s common stock on the date of the grant. The options generally vest in one of two ways:</w:t>
      </w:r>
    </w:p>
    <w:p>
      <w:pPr>
        <w:spacing w:after="0" w:line="69" w:lineRule="exact"/>
        <w:rPr>
          <w:sz w:val="20"/>
          <w:szCs w:val="20"/>
          <w:color w:val="auto"/>
        </w:rPr>
      </w:pPr>
    </w:p>
    <w:p>
      <w:pPr>
        <w:ind w:left="1460" w:hanging="316"/>
        <w:spacing w:after="0"/>
        <w:tabs>
          <w:tab w:leader="none" w:pos="1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equal annual installments over four years from the grant date.</w:t>
      </w:r>
    </w:p>
    <w:p>
      <w:pPr>
        <w:spacing w:after="0" w:line="12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in control transaction (with respect to certain Incentive Plan participants).</w:t>
      </w:r>
    </w:p>
    <w:p>
      <w:pPr>
        <w:spacing w:after="0" w:line="221" w:lineRule="exact"/>
        <w:rPr>
          <w:sz w:val="20"/>
          <w:szCs w:val="20"/>
          <w:color w:val="auto"/>
        </w:rPr>
      </w:pPr>
    </w:p>
    <w:p>
      <w:pPr>
        <w:ind w:left="160" w:right="300" w:firstLine="873"/>
        <w:spacing w:after="0" w:line="278" w:lineRule="auto"/>
        <w:rPr>
          <w:sz w:val="20"/>
          <w:szCs w:val="20"/>
          <w:color w:val="auto"/>
        </w:rPr>
      </w:pPr>
      <w:r>
        <w:rPr>
          <w:rFonts w:ascii="Times New Roman" w:cs="Times New Roman" w:eastAsia="Times New Roman" w:hAnsi="Times New Roman"/>
          <w:sz w:val="18"/>
          <w:szCs w:val="18"/>
          <w:color w:val="auto"/>
        </w:rPr>
        <w:t>All options expire ten years from the grant date and, with respect to certain Incentive Plan participants, provide for accelerated vesting if there is a change in control of the Company.</w:t>
      </w:r>
    </w:p>
    <w:p>
      <w:pPr>
        <w:spacing w:after="0" w:line="162" w:lineRule="exact"/>
        <w:rPr>
          <w:sz w:val="20"/>
          <w:szCs w:val="20"/>
          <w:color w:val="auto"/>
        </w:rPr>
      </w:pPr>
    </w:p>
    <w:p>
      <w:pPr>
        <w:ind w:left="160" w:right="120" w:firstLine="873"/>
        <w:spacing w:after="0" w:line="254" w:lineRule="auto"/>
        <w:rPr>
          <w:sz w:val="20"/>
          <w:szCs w:val="20"/>
          <w:color w:val="auto"/>
        </w:rPr>
      </w:pPr>
      <w:r>
        <w:rPr>
          <w:rFonts w:ascii="Times New Roman" w:cs="Times New Roman" w:eastAsia="Times New Roman" w:hAnsi="Times New Roman"/>
          <w:sz w:val="18"/>
          <w:szCs w:val="18"/>
          <w:color w:val="auto"/>
        </w:rPr>
        <w:t>In July 2019, the Company established the 2019 Plan. The 2019 Plan is allotted 1,500,000 shares that may be issued in the form of options, stock appreciation rights, restricted stock awards, restricted stock units, performance shares, performance units, cash-based awards and other stock-based awards. The allotted shares can be increased by shares available under the Company’s 2014 Plan, described above, however, not to exceed 7,500,000 shares from that 2014 Plan. The maximum number of incentive stock options cannot exceed 9,000,000 shares. All awards shall be granted within ten years from the effective date of the Plan and can only be granted to employees, non-employee directors and consultants and generally vest over four years.</w:t>
      </w:r>
    </w:p>
    <w:p>
      <w:pPr>
        <w:spacing w:after="0" w:line="184"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Restricted stock units (“RSU”) are subject to time-based and performance-based vesting conditions. RSUs are generally earned over a service period of four years, expire seven years from the grant date and will only vest upon an IPO or change in control. The compensation expense related to these awards is based on the grant date fair value of the RSUs and is recognized on a ratable basis over the applicable service period. No RSUs have vested as of January 31, 2020.</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8" w:lineRule="exact"/>
        <w:rPr>
          <w:sz w:val="20"/>
          <w:szCs w:val="20"/>
          <w:color w:val="auto"/>
        </w:rPr>
      </w:pPr>
    </w:p>
    <w:p>
      <w:pPr>
        <w:ind w:left="160" w:right="60" w:firstLine="873"/>
        <w:spacing w:after="0" w:line="253" w:lineRule="auto"/>
        <w:rPr>
          <w:sz w:val="20"/>
          <w:szCs w:val="20"/>
          <w:color w:val="auto"/>
        </w:rPr>
      </w:pPr>
      <w:r>
        <w:rPr>
          <w:rFonts w:ascii="Times New Roman" w:cs="Times New Roman" w:eastAsia="Times New Roman" w:hAnsi="Times New Roman"/>
          <w:sz w:val="18"/>
          <w:szCs w:val="18"/>
          <w:color w:val="auto"/>
        </w:rPr>
        <w:t>The calculated value of each option award is estimated at the date of grant using the Black-Scholes option valuation model that utilizes the assumptions included in the table below. The Company recognizes stock-based expenses related to stock option awards on a straight-line basis over the requisite service period of the awards, which is generally the vesting term of four years. Stock-based expenses are recognized net of estimated forfeiture activity. The estimated forfeiture rate applied is based on historical forfeiture rates. The expected term assumption, using the simplified method, reflects the period for which the Company believes the option will remain outstanding. The Company determined the volatility of its stock by looking at the historic volatility of its peer companies. The risk-free rate reflects the U.S. Treasury yield for a similar expected life instrument in effect at the time of the grant. The assumptions utilized for the fiscal years ended January 31, 2018, 2019, and 2020 are as follows:</w:t>
      </w:r>
    </w:p>
    <w:p>
      <w:pPr>
        <w:spacing w:after="0" w:line="207"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right"/>
              <w:ind w:right="511"/>
              <w:spacing w:after="0"/>
              <w:rPr>
                <w:sz w:val="20"/>
                <w:szCs w:val="20"/>
                <w:color w:val="auto"/>
              </w:rPr>
            </w:pPr>
            <w:r>
              <w:rPr>
                <w:rFonts w:ascii="Times New Roman" w:cs="Times New Roman" w:eastAsia="Times New Roman" w:hAnsi="Times New Roman"/>
                <w:sz w:val="14"/>
                <w:szCs w:val="14"/>
                <w:color w:val="auto"/>
              </w:rPr>
              <w:t>2018</w:t>
            </w:r>
          </w:p>
        </w:tc>
        <w:tc>
          <w:tcPr>
            <w:tcW w:w="2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26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r>
      <w:tr>
        <w:trPr>
          <w:trHeight w:val="207"/>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 from vesting)</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- 6.25</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6.10 -6.25</w:t>
            </w:r>
          </w:p>
        </w:tc>
      </w:tr>
      <w:tr>
        <w:trPr>
          <w:trHeight w:val="214"/>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- 44%</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- 41%</w:t>
            </w:r>
          </w:p>
        </w:tc>
        <w:tc>
          <w:tcPr>
            <w:tcW w:w="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r>
      <w:tr>
        <w:trPr>
          <w:trHeight w:val="214"/>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480" w:type="dxa"/>
            <w:vAlign w:val="bottom"/>
            <w:gridSpan w:val="2"/>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3"/>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- 2.27%</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- 3.06%</w:t>
            </w:r>
          </w:p>
        </w:tc>
        <w:tc>
          <w:tcPr>
            <w:tcW w:w="2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1.63% - 2.59%</w:t>
            </w:r>
          </w:p>
        </w:tc>
      </w:tr>
    </w:tbl>
    <w:p>
      <w:pPr>
        <w:spacing w:after="0" w:line="177" w:lineRule="exact"/>
        <w:rPr>
          <w:sz w:val="20"/>
          <w:szCs w:val="20"/>
          <w:color w:val="auto"/>
        </w:rPr>
      </w:pPr>
    </w:p>
    <w:p>
      <w:pPr>
        <w:ind w:left="160" w:right="380" w:firstLine="873"/>
        <w:spacing w:after="0" w:line="278" w:lineRule="auto"/>
        <w:rPr>
          <w:sz w:val="20"/>
          <w:szCs w:val="20"/>
          <w:color w:val="auto"/>
        </w:rPr>
      </w:pPr>
      <w:r>
        <w:rPr>
          <w:rFonts w:ascii="Times New Roman" w:cs="Times New Roman" w:eastAsia="Times New Roman" w:hAnsi="Times New Roman"/>
          <w:sz w:val="18"/>
          <w:szCs w:val="18"/>
          <w:color w:val="auto"/>
        </w:rPr>
        <w:t>The grant date weighted average calculated fair value of options issued, net of forfeitures, was $2.13, $5.36, and $6.74 per share for the fiscal years ended January 31, 2018, 2019 and 2020, respectively.</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80"/>
          </w:cols>
          <w:pgMar w:left="320" w:top="454" w:right="49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11. Stock-Based Compensation (Continued)</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Company recognized stock-based compensation expense related to the option grants under the Incentive Plans as follows:</w:t>
      </w:r>
    </w:p>
    <w:p>
      <w:pPr>
        <w:spacing w:after="0" w:line="241"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jc w:val="center"/>
        <w:ind w:left="8740"/>
        <w:spacing w:after="0" w:line="235" w:lineRule="auto"/>
        <w:rPr>
          <w:sz w:val="20"/>
          <w:szCs w:val="20"/>
          <w:color w:val="auto"/>
        </w:rPr>
      </w:pPr>
      <w:r>
        <w:rPr>
          <w:rFonts w:ascii="Times New Roman" w:cs="Times New Roman" w:eastAsia="Times New Roman" w:hAnsi="Times New Roman"/>
          <w:sz w:val="14"/>
          <w:szCs w:val="14"/>
          <w:b w:val="1"/>
          <w:bCs w:val="1"/>
          <w:color w:val="auto"/>
        </w:rPr>
        <w:t>January 31,</w:t>
      </w:r>
    </w:p>
    <w:tbl>
      <w:tblPr>
        <w:tblLayout w:type="fixed"/>
        <w:tblInd w:w="16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80" w:type="dxa"/>
            <w:vAlign w:val="bottom"/>
            <w:tcBorders>
              <w:top w:val="single" w:sz="8" w:color="auto"/>
            </w:tcBorders>
          </w:tcPr>
          <w:p>
            <w:pPr>
              <w:jc w:val="right"/>
              <w:ind w:right="17"/>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4"/>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1"/>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9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$1,357</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7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940</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1,078</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7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1,070</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1,056</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15"/>
                <w:szCs w:val="15"/>
                <w:color w:val="auto"/>
              </w:rPr>
              <w:t>(1)</w:t>
            </w:r>
          </w:p>
        </w:tc>
        <w:tc>
          <w:tcPr>
            <w:tcW w:w="29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459</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7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3,826</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4,095</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0" w:right="300" w:hanging="433"/>
        <w:spacing w:after="0" w:line="285" w:lineRule="auto"/>
        <w:tabs>
          <w:tab w:leader="none" w:pos="6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26, 2019, the Company entered into a separation agreement with an executive. The agreement resulted in a modification of the former employee’s 334,840 outstanding stock options to purchase voting common stock, which accelerated certain vesting and extended the exercise period, resulting in the recognition of $1.2 million of additional stock-based compensation expense for the year ended January 31, 2020.</w:t>
      </w:r>
    </w:p>
    <w:p>
      <w:pPr>
        <w:spacing w:after="0" w:line="160" w:lineRule="exact"/>
        <w:rPr>
          <w:sz w:val="20"/>
          <w:szCs w:val="20"/>
          <w:color w:val="auto"/>
        </w:rPr>
      </w:pPr>
    </w:p>
    <w:p>
      <w:pPr>
        <w:ind w:left="160" w:right="380" w:firstLine="873"/>
        <w:spacing w:after="0" w:line="278" w:lineRule="auto"/>
        <w:rPr>
          <w:sz w:val="20"/>
          <w:szCs w:val="20"/>
          <w:color w:val="auto"/>
        </w:rPr>
      </w:pPr>
      <w:r>
        <w:rPr>
          <w:rFonts w:ascii="Times New Roman" w:cs="Times New Roman" w:eastAsia="Times New Roman" w:hAnsi="Times New Roman"/>
          <w:sz w:val="18"/>
          <w:szCs w:val="18"/>
          <w:color w:val="auto"/>
        </w:rPr>
        <w:t>The Company granted 353,900 incentive stock options in the fiscal year ended January 31, 2020, which vest over four years and have a ten-year term.</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 summary of option activity under the Incentive Plans during the fiscal years ended January 31, 2018, 2019 and 2020 are as follows:</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w w:val="99"/>
              </w:rPr>
              <w:t>Weighted</w:t>
            </w:r>
          </w:p>
        </w:tc>
        <w:tc>
          <w:tcPr>
            <w:tcW w:w="7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color w:val="auto"/>
                <w:w w:val="99"/>
              </w:rPr>
              <w:t>Weighted</w:t>
            </w:r>
          </w:p>
        </w:tc>
        <w:tc>
          <w:tcPr>
            <w:tcW w:w="120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4"/>
                <w:szCs w:val="14"/>
                <w:color w:val="auto"/>
              </w:rPr>
              <w:t>Average</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Number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color w:val="auto"/>
              </w:rPr>
              <w:t>Remaining</w:t>
            </w:r>
          </w:p>
        </w:tc>
        <w:tc>
          <w:tcPr>
            <w:tcW w:w="100" w:type="dxa"/>
            <w:vAlign w:val="bottom"/>
          </w:tcPr>
          <w:p>
            <w:pPr>
              <w:spacing w:after="0"/>
              <w:rPr>
                <w:sz w:val="12"/>
                <w:szCs w:val="12"/>
                <w:color w:val="auto"/>
              </w:rPr>
            </w:pPr>
          </w:p>
        </w:tc>
        <w:tc>
          <w:tcPr>
            <w:tcW w:w="64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color w:val="auto"/>
              </w:rPr>
              <w:t>Intrinsic</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640"/>
              <w:spacing w:after="0" w:line="147" w:lineRule="exact"/>
              <w:rPr>
                <w:sz w:val="20"/>
                <w:szCs w:val="20"/>
                <w:color w:val="auto"/>
              </w:rPr>
            </w:pPr>
            <w:r>
              <w:rPr>
                <w:rFonts w:ascii="Times New Roman" w:cs="Times New Roman" w:eastAsia="Times New Roman" w:hAnsi="Times New Roman"/>
                <w:sz w:val="14"/>
                <w:szCs w:val="14"/>
                <w:color w:val="auto"/>
              </w:rPr>
              <w:t>Average</w:t>
            </w:r>
          </w:p>
        </w:tc>
        <w:tc>
          <w:tcPr>
            <w:tcW w:w="120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color w:val="auto"/>
              </w:rPr>
              <w:t>Contractual</w:t>
            </w:r>
          </w:p>
        </w:tc>
        <w:tc>
          <w:tcPr>
            <w:tcW w:w="74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color w:val="auto"/>
                <w:w w:val="97"/>
              </w:rPr>
              <w:t>Value (In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Exercise Price</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w w:val="94"/>
              </w:rPr>
              <w:t>Term (Years)</w:t>
            </w: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thousands)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31, 2017</w:t>
            </w:r>
          </w:p>
        </w:tc>
        <w:tc>
          <w:tcPr>
            <w:tcW w:w="19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6,845,834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4,267,151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5.17</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Expired or forfeited</w:t>
            </w:r>
          </w:p>
        </w:tc>
        <w:tc>
          <w:tcPr>
            <w:tcW w:w="3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(125,642)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2.93</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(695,384)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1.35</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31, 2018</w:t>
            </w:r>
          </w:p>
        </w:tc>
        <w:tc>
          <w:tcPr>
            <w:tcW w:w="19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10,291,959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3.31</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969,762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4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Expired or forfeited</w:t>
            </w:r>
          </w:p>
        </w:tc>
        <w:tc>
          <w:tcPr>
            <w:tcW w:w="3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(209,313)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9.46</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(2,845,482)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2.20</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31, 2019</w:t>
            </w:r>
          </w:p>
        </w:tc>
        <w:tc>
          <w:tcPr>
            <w:tcW w:w="19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8,206,926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4.74</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Expired or forfeited</w:t>
            </w:r>
          </w:p>
        </w:tc>
        <w:tc>
          <w:tcPr>
            <w:tcW w:w="3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(265,033)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6.82</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(458,770)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2.27</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31, 2020</w:t>
            </w:r>
          </w:p>
        </w:tc>
        <w:tc>
          <w:tcPr>
            <w:tcW w:w="19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7,837,023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5.39</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126,245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January 31, 2020</w:t>
            </w:r>
          </w:p>
        </w:tc>
        <w:tc>
          <w:tcPr>
            <w:tcW w:w="1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4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4,832,586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Fully vested or expected to vest, January 31, 2020</w:t>
            </w:r>
          </w:p>
        </w:tc>
        <w:tc>
          <w:tcPr>
            <w:tcW w:w="19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7,053,321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5.39</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113,620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40" w:type="dxa"/>
            <w:vAlign w:val="bottom"/>
            <w:gridSpan w:val="3"/>
          </w:tcPr>
          <w:p>
            <w:pPr>
              <w:jc w:val="right"/>
              <w:ind w:right="1840"/>
              <w:spacing w:after="0"/>
              <w:rPr>
                <w:sz w:val="20"/>
                <w:szCs w:val="20"/>
                <w:color w:val="auto"/>
              </w:rPr>
            </w:pPr>
            <w:r>
              <w:rPr>
                <w:rFonts w:ascii="Times New Roman" w:cs="Times New Roman" w:eastAsia="Times New Roman" w:hAnsi="Times New Roman"/>
                <w:sz w:val="18"/>
                <w:szCs w:val="18"/>
                <w:color w:val="auto"/>
              </w:rPr>
              <w:t>F-34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11. Stock-Based Compensation (Continued)</w:t>
      </w:r>
    </w:p>
    <w:p>
      <w:pPr>
        <w:spacing w:after="0" w:line="131"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Aggregate intrinsic value represents the total pre-tax intrinsic value, which is computed based on the difference between the option exercise price and the estimated fair value of the Company’s common stock at the time such option exercises. This intrinsic value changes based on changes in the fair value of the Company’s underlying stock.</w:t>
      </w:r>
    </w:p>
    <w:p>
      <w:pPr>
        <w:spacing w:after="0" w:line="175" w:lineRule="exact"/>
        <w:rPr>
          <w:sz w:val="20"/>
          <w:szCs w:val="20"/>
          <w:color w:val="auto"/>
        </w:rPr>
      </w:pPr>
    </w:p>
    <w:p>
      <w:pPr>
        <w:ind w:left="160" w:right="380" w:firstLine="873"/>
        <w:spacing w:after="0" w:line="308" w:lineRule="auto"/>
        <w:rPr>
          <w:sz w:val="20"/>
          <w:szCs w:val="20"/>
          <w:color w:val="auto"/>
        </w:rPr>
      </w:pPr>
      <w:r>
        <w:rPr>
          <w:rFonts w:ascii="Times New Roman" w:cs="Times New Roman" w:eastAsia="Times New Roman" w:hAnsi="Times New Roman"/>
          <w:sz w:val="17"/>
          <w:szCs w:val="17"/>
          <w:color w:val="auto"/>
        </w:rPr>
        <w:t>As of January 31, 2020, there was $7.6 million of total unrecognized compensation cost related to unvested stock-based compensation arrangements under the Incentive Plans. That cost is expected to be recognized over a weighted average period of approximately 1.65 years.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8"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The Company granted 948,119 RSUs during the fiscal year ended January 31, 2020 with a weighted-average grant date fair value of $21.75 per RSU. No RSUs vested, were forfeited or cancelled. As of January 31, 2020, total unrecognized compensation expense cost related to non-vested RSUs was $19.6 million, adjusted for estimated forfeitures, based on the estimated fair value of the Company’s common stock at the time of grant. The weighted-average period to be recognized is indeterminable until an IPO or a change in control occurs. At January 31, 2020, the intrinsic value of unvested restricted stock units was $0.0 million.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components of loss before income tax expense by domestic and foreign jurisdictions were as follows:</w:t>
      </w:r>
    </w:p>
    <w:p>
      <w:pPr>
        <w:spacing w:after="0" w:line="243"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2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color w:val="auto"/>
              </w:rPr>
              <w:t>Fiscal Year Ended January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60" w:type="dxa"/>
            <w:vAlign w:val="bottom"/>
            <w:tcBorders>
              <w:top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2018</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1"/>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91"/>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$(18,757)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$(17,333)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$(20,547)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(4,779)</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3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(18,539)</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(22,112)</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p>
      <w:pPr>
        <w:spacing w:after="0" w:line="243"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4"/>
          <w:szCs w:val="14"/>
          <w:color w:val="auto"/>
        </w:rPr>
        <w:t>Fiscal Year Ended</w:t>
      </w:r>
    </w:p>
    <w:p>
      <w:pPr>
        <w:jc w:val="center"/>
        <w:ind w:left="7120"/>
        <w:spacing w:after="0" w:line="232" w:lineRule="auto"/>
        <w:rPr>
          <w:sz w:val="20"/>
          <w:szCs w:val="20"/>
          <w:color w:val="auto"/>
        </w:rPr>
      </w:pPr>
      <w:r>
        <w:rPr>
          <w:rFonts w:ascii="Times New Roman" w:cs="Times New Roman" w:eastAsia="Times New Roman" w:hAnsi="Times New Roman"/>
          <w:sz w:val="14"/>
          <w:szCs w:val="14"/>
          <w:color w:val="auto"/>
        </w:rPr>
        <w:t>January 31,</w:t>
      </w:r>
    </w:p>
    <w:tbl>
      <w:tblPr>
        <w:tblLayout w:type="fixed"/>
        <w:tblInd w:w="104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60" w:type="dxa"/>
            <w:vAlign w:val="bottom"/>
            <w:tcBorders>
              <w:top w:val="single" w:sz="8" w:color="auto"/>
            </w:tcBorders>
            <w:gridSpan w:val="2"/>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2018</w:t>
            </w:r>
          </w:p>
        </w:tc>
        <w:tc>
          <w:tcPr>
            <w:tcW w:w="78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78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60" w:type="dxa"/>
            <w:vAlign w:val="bottom"/>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29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Current:</w:t>
            </w:r>
          </w:p>
        </w:tc>
        <w:tc>
          <w:tcPr>
            <w:tcW w:w="4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6"/>
              </w:rPr>
              <w:t>194</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194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8"/>
                <w:szCs w:val="18"/>
                <w:color w:val="auto"/>
              </w:rPr>
            </w:pPr>
          </w:p>
        </w:tc>
      </w:tr>
      <w:tr>
        <w:trPr>
          <w:trHeight w:val="227"/>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expense</w:t>
            </w:r>
          </w:p>
        </w:tc>
        <w:tc>
          <w:tcPr>
            <w:tcW w:w="4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194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340" w:type="dxa"/>
            <w:vAlign w:val="bottom"/>
            <w:gridSpan w:val="2"/>
          </w:tcPr>
          <w:p>
            <w:pPr>
              <w:jc w:val="right"/>
              <w:ind w:right="2469"/>
              <w:spacing w:after="0"/>
              <w:rPr>
                <w:sz w:val="20"/>
                <w:szCs w:val="20"/>
                <w:color w:val="auto"/>
              </w:rPr>
            </w:pPr>
            <w:r>
              <w:rPr>
                <w:rFonts w:ascii="Times New Roman" w:cs="Times New Roman" w:eastAsia="Times New Roman" w:hAnsi="Times New Roman"/>
                <w:sz w:val="18"/>
                <w:szCs w:val="18"/>
                <w:color w:val="auto"/>
              </w:rPr>
              <w:t>F-35</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0"/>
          </w:cols>
          <w:pgMar w:left="320" w:top="454" w:right="57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12. Income Taxes (Continued)</w:t>
      </w:r>
    </w:p>
    <w:p>
      <w:pPr>
        <w:spacing w:after="0" w:line="131" w:lineRule="exact"/>
        <w:rPr>
          <w:sz w:val="20"/>
          <w:szCs w:val="20"/>
          <w:color w:val="auto"/>
        </w:rPr>
      </w:pPr>
    </w:p>
    <w:p>
      <w:pPr>
        <w:ind w:left="160" w:right="660" w:firstLine="873"/>
        <w:spacing w:after="0" w:line="278" w:lineRule="auto"/>
        <w:rPr>
          <w:sz w:val="20"/>
          <w:szCs w:val="20"/>
          <w:color w:val="auto"/>
        </w:rPr>
      </w:pPr>
      <w:r>
        <w:rPr>
          <w:rFonts w:ascii="Times New Roman" w:cs="Times New Roman" w:eastAsia="Times New Roman" w:hAnsi="Times New Roman"/>
          <w:sz w:val="18"/>
          <w:szCs w:val="18"/>
          <w:color w:val="auto"/>
        </w:rPr>
        <w:t>The differences between income taxes expected at the US federal statutory income tax rate and the reported income tax expense are summarized as follows:</w:t>
      </w:r>
    </w:p>
    <w:p>
      <w:pPr>
        <w:spacing w:after="0" w:line="185"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color w:val="auto"/>
              </w:rPr>
              <w:t>Fiscal Year Ended January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2018</w:t>
            </w: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Income tax benefit at statutory rate of 21% for 2019 and 2020 (2018: 33.8%)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shd w:val="clear" w:color="auto" w:fill="CCEEFF"/>
              </w:rPr>
              <w:t>(6,268)</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shd w:val="clear" w:color="auto" w:fill="CCEEFF"/>
              </w:rPr>
              <w:t>33.8%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shd w:val="clear" w:color="auto" w:fill="CCEEFF"/>
              </w:rPr>
              <w:t>(4,644)</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shd w:val="clear" w:color="auto" w:fill="CCEEFF"/>
              </w:rPr>
              <w:t>21.0%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shd w:val="clear" w:color="auto" w:fill="CCEEFF"/>
              </w:rPr>
              <w:t>(5,701)</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shd w:val="clear" w:color="auto" w:fill="CCEEFF"/>
              </w:rPr>
              <w:t>21.0%</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benefit, net of federal impact</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(780)</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(1,331)</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(3,284)</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2"/>
              </w:rPr>
              <w:t>11,627</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3,303</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Impacts of adoption of the new revenue standard</w:t>
            </w: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2,389</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231</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181</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(5,753)</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deferred taxes due to Tax Cuts and Jobs Act</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9,958</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209</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20" w:type="dxa"/>
            <w:vAlign w:val="bottom"/>
            <w:vMerge w:val="continue"/>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20" w:type="dxa"/>
            <w:vAlign w:val="bottom"/>
            <w:vMerge w:val="continue"/>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Significant components of the Company’s net deferred tax assets and liabilities were as follows:</w:t>
      </w:r>
    </w:p>
    <w:p>
      <w:pPr>
        <w:spacing w:after="0" w:line="243"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4"/>
          <w:szCs w:val="14"/>
          <w:color w:val="auto"/>
        </w:rPr>
        <w:t>As of</w:t>
      </w:r>
    </w:p>
    <w:p>
      <w:pPr>
        <w:jc w:val="center"/>
        <w:ind w:left="6160"/>
        <w:spacing w:after="0" w:line="232" w:lineRule="auto"/>
        <w:rPr>
          <w:sz w:val="20"/>
          <w:szCs w:val="20"/>
          <w:color w:val="auto"/>
        </w:rPr>
      </w:pPr>
      <w:r>
        <w:rPr>
          <w:rFonts w:ascii="Times New Roman" w:cs="Times New Roman" w:eastAsia="Times New Roman" w:hAnsi="Times New Roman"/>
          <w:sz w:val="14"/>
          <w:szCs w:val="14"/>
          <w:color w:val="auto"/>
        </w:rPr>
        <w:t>January 31,</w:t>
      </w:r>
    </w:p>
    <w:tbl>
      <w:tblPr>
        <w:tblLayout w:type="fixed"/>
        <w:tblInd w:w="1480" w:type="dxa"/>
        <w:tblCellMar>
          <w:top w:w="0" w:type="dxa"/>
          <w:left w:w="0" w:type="dxa"/>
          <w:bottom w:w="0" w:type="dxa"/>
          <w:right w:w="0" w:type="dxa"/>
        </w:tblCellMar>
      </w:tblPr>
      <w:tr>
        <w:trPr>
          <w:trHeight w:val="140"/>
        </w:trPr>
        <w:tc>
          <w:tcPr>
            <w:tcW w:w="388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194"/>
        </w:trPr>
        <w:tc>
          <w:tcPr>
            <w:tcW w:w="3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Deferred tax assets:</w:t>
            </w:r>
          </w:p>
        </w:tc>
        <w:tc>
          <w:tcPr>
            <w:tcW w:w="2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31,765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35,608</w:t>
            </w:r>
          </w:p>
        </w:tc>
      </w:tr>
      <w:tr>
        <w:trPr>
          <w:trHeight w:val="214"/>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compensation</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1,655</w:t>
            </w:r>
          </w:p>
        </w:tc>
      </w:tr>
      <w:tr>
        <w:trPr>
          <w:trHeight w:val="214"/>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Reserves and accrueds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1,156</w:t>
            </w:r>
          </w:p>
        </w:tc>
      </w:tr>
      <w:tr>
        <w:trPr>
          <w:trHeight w:val="214"/>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rent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r>
      <w:tr>
        <w:trPr>
          <w:trHeight w:val="214"/>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14"/>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14"/>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14"/>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21"/>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33,187</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39,661</w:t>
            </w:r>
          </w:p>
        </w:tc>
        <w:tc>
          <w:tcPr>
            <w:tcW w:w="100" w:type="dxa"/>
            <w:vAlign w:val="bottom"/>
          </w:tcPr>
          <w:p>
            <w:pPr>
              <w:spacing w:after="0"/>
              <w:rPr>
                <w:sz w:val="19"/>
                <w:szCs w:val="19"/>
                <w:color w:val="auto"/>
              </w:rPr>
            </w:pPr>
          </w:p>
        </w:tc>
      </w:tr>
      <w:tr>
        <w:trPr>
          <w:trHeight w:val="21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7"/>
              </w:rPr>
              <w:t>(33,121)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(36,425)</w:t>
            </w:r>
          </w:p>
        </w:tc>
      </w:tr>
      <w:tr>
        <w:trPr>
          <w:trHeight w:val="22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 net of valuation allowances</w:t>
            </w:r>
          </w:p>
        </w:tc>
        <w:tc>
          <w:tcPr>
            <w:tcW w:w="2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tcPr>
          <w:p>
            <w:pPr>
              <w:spacing w:after="0"/>
              <w:rPr>
                <w:sz w:val="19"/>
                <w:szCs w:val="19"/>
                <w:color w:val="auto"/>
              </w:rPr>
            </w:pPr>
          </w:p>
        </w:tc>
      </w:tr>
      <w:tr>
        <w:trPr>
          <w:trHeight w:val="21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acquisition costs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(2,568)</w:t>
            </w:r>
          </w:p>
        </w:tc>
      </w:tr>
      <w:tr>
        <w:trPr>
          <w:trHeight w:val="214"/>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Remaining perforamance obligations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r>
      <w:tr>
        <w:trPr>
          <w:trHeight w:val="214"/>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r>
      <w:tr>
        <w:trPr>
          <w:trHeight w:val="214"/>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2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Pr>
          <w:p>
            <w:pPr>
              <w:spacing w:after="0"/>
              <w:rPr>
                <w:sz w:val="19"/>
                <w:szCs w:val="19"/>
                <w:color w:val="auto"/>
              </w:rPr>
            </w:pPr>
          </w:p>
        </w:tc>
      </w:tr>
      <w:tr>
        <w:trPr>
          <w:trHeight w:val="21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5"/>
        </w:trPr>
        <w:tc>
          <w:tcPr>
            <w:tcW w:w="3880" w:type="dxa"/>
            <w:vAlign w:val="bottom"/>
          </w:tcPr>
          <w:p>
            <w:pPr>
              <w:spacing w:after="0"/>
              <w:rPr>
                <w:sz w:val="24"/>
                <w:szCs w:val="24"/>
                <w:color w:val="auto"/>
              </w:rPr>
            </w:pPr>
          </w:p>
        </w:tc>
        <w:tc>
          <w:tcPr>
            <w:tcW w:w="2500" w:type="dxa"/>
            <w:vAlign w:val="bottom"/>
            <w:gridSpan w:val="2"/>
          </w:tcPr>
          <w:p>
            <w:pPr>
              <w:jc w:val="right"/>
              <w:ind w:right="1971"/>
              <w:spacing w:after="0"/>
              <w:rPr>
                <w:sz w:val="20"/>
                <w:szCs w:val="20"/>
                <w:color w:val="auto"/>
              </w:rPr>
            </w:pPr>
            <w:r>
              <w:rPr>
                <w:rFonts w:ascii="Times New Roman" w:cs="Times New Roman" w:eastAsia="Times New Roman" w:hAnsi="Times New Roman"/>
                <w:sz w:val="18"/>
                <w:szCs w:val="18"/>
                <w:color w:val="auto"/>
              </w:rPr>
              <w:t>F-36</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4" w:right="49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12. Income Taxes (Continued)</w:t>
      </w:r>
    </w:p>
    <w:p>
      <w:pPr>
        <w:spacing w:after="0" w:line="131" w:lineRule="exact"/>
        <w:rPr>
          <w:sz w:val="20"/>
          <w:szCs w:val="20"/>
          <w:color w:val="auto"/>
        </w:rPr>
      </w:pPr>
    </w:p>
    <w:p>
      <w:pPr>
        <w:ind w:left="160" w:right="80" w:firstLine="873"/>
        <w:spacing w:after="0" w:line="263" w:lineRule="auto"/>
        <w:rPr>
          <w:sz w:val="20"/>
          <w:szCs w:val="20"/>
          <w:color w:val="auto"/>
        </w:rPr>
      </w:pPr>
      <w:r>
        <w:rPr>
          <w:rFonts w:ascii="Times New Roman" w:cs="Times New Roman" w:eastAsia="Times New Roman" w:hAnsi="Times New Roman"/>
          <w:sz w:val="18"/>
          <w:szCs w:val="18"/>
          <w:color w:val="auto"/>
        </w:rPr>
        <w:t>A valuation allowance has been provided in the U.S. federal and state as well as certain foreign jurisdictions to reduce deferred tax assets to the amount that is more likely than not to be realized. The valuation allowance increased/(decreased) by ($3.3 million), $11.6 million and $3.3 million for the fiscal years ended January 31, 2018, 2019 and 2020, respectively.</w:t>
      </w:r>
    </w:p>
    <w:p>
      <w:pPr>
        <w:spacing w:after="0" w:line="175" w:lineRule="exact"/>
        <w:rPr>
          <w:sz w:val="20"/>
          <w:szCs w:val="20"/>
          <w:color w:val="auto"/>
        </w:rPr>
      </w:pPr>
    </w:p>
    <w:p>
      <w:pPr>
        <w:ind w:left="160" w:right="40" w:firstLine="873"/>
        <w:spacing w:after="0" w:line="258" w:lineRule="auto"/>
        <w:rPr>
          <w:sz w:val="20"/>
          <w:szCs w:val="20"/>
          <w:color w:val="auto"/>
        </w:rPr>
      </w:pPr>
      <w:r>
        <w:rPr>
          <w:rFonts w:ascii="Times New Roman" w:cs="Times New Roman" w:eastAsia="Times New Roman" w:hAnsi="Times New Roman"/>
          <w:sz w:val="18"/>
          <w:szCs w:val="18"/>
          <w:color w:val="auto"/>
        </w:rPr>
        <w:t>The Company continually assesses the realizability of its deferred tax assets based on an evaluative process that considers all available positive and negative evidence. The Company has established a valuation allowance in the amount of $33.1 million and $36.4 million as of January 31, 2019 and 2020, respectively, because the Company believes it is not more likely than not the deferred tax asset in jurisdictions excluding Canada will be realized.</w:t>
      </w:r>
    </w:p>
    <w:p>
      <w:pPr>
        <w:spacing w:after="0" w:line="180" w:lineRule="exact"/>
        <w:rPr>
          <w:sz w:val="20"/>
          <w:szCs w:val="20"/>
          <w:color w:val="auto"/>
        </w:rPr>
      </w:pPr>
    </w:p>
    <w:p>
      <w:pPr>
        <w:ind w:left="160" w:firstLine="873"/>
        <w:spacing w:after="0" w:line="274" w:lineRule="auto"/>
        <w:rPr>
          <w:sz w:val="20"/>
          <w:szCs w:val="20"/>
          <w:color w:val="auto"/>
        </w:rPr>
      </w:pPr>
      <w:r>
        <w:rPr>
          <w:rFonts w:ascii="Times New Roman" w:cs="Times New Roman" w:eastAsia="Times New Roman" w:hAnsi="Times New Roman"/>
          <w:sz w:val="17"/>
          <w:szCs w:val="17"/>
          <w:color w:val="auto"/>
        </w:rPr>
        <w:t>On December 22, 2017, President Trump signed into law the statute named the “Tax Cuts and Jobs Act” (“TCJA”) which enacts a broad range of changes to the Internal Revenue Code. The TCJA, among other things, includes changes to U.S. federal tax rates, imposes significant additional limitations on the deductibility of interest and net operating losses, allows for the expensing of certain capital expenditures, and puts into effect a number of changes impacting operations outside of the United States including, but not limited to, the imposition of a one-time tax on accumulated post-1986 deferred foreign income that has not previously been subject to tax, and modifications to the treatment of certain intercompany transactions.</w:t>
      </w:r>
    </w:p>
    <w:p>
      <w:pPr>
        <w:spacing w:after="0" w:line="168" w:lineRule="exact"/>
        <w:rPr>
          <w:sz w:val="20"/>
          <w:szCs w:val="20"/>
          <w:color w:val="auto"/>
        </w:rPr>
      </w:pPr>
    </w:p>
    <w:p>
      <w:pPr>
        <w:ind w:left="160" w:right="80" w:firstLine="873"/>
        <w:spacing w:after="0" w:line="278" w:lineRule="auto"/>
        <w:rPr>
          <w:sz w:val="20"/>
          <w:szCs w:val="20"/>
          <w:color w:val="auto"/>
        </w:rPr>
      </w:pPr>
      <w:r>
        <w:rPr>
          <w:rFonts w:ascii="Times New Roman" w:cs="Times New Roman" w:eastAsia="Times New Roman" w:hAnsi="Times New Roman"/>
          <w:sz w:val="18"/>
          <w:szCs w:val="18"/>
          <w:color w:val="auto"/>
        </w:rPr>
        <w:t>The decrease in the US corporate federal income tax rate to 21 percent was effective on January 1, 2018. For the tax year ended January 31, 2018, the blended federal income tax rate for the Company was 33.8%.</w:t>
      </w:r>
    </w:p>
    <w:p>
      <w:pPr>
        <w:spacing w:after="0" w:line="162" w:lineRule="exact"/>
        <w:rPr>
          <w:sz w:val="20"/>
          <w:szCs w:val="20"/>
          <w:color w:val="auto"/>
        </w:rPr>
      </w:pPr>
    </w:p>
    <w:p>
      <w:pPr>
        <w:ind w:left="160" w:right="480" w:firstLine="873"/>
        <w:spacing w:after="0" w:line="278" w:lineRule="auto"/>
        <w:rPr>
          <w:sz w:val="20"/>
          <w:szCs w:val="20"/>
          <w:color w:val="auto"/>
        </w:rPr>
      </w:pPr>
      <w:r>
        <w:rPr>
          <w:rFonts w:ascii="Times New Roman" w:cs="Times New Roman" w:eastAsia="Times New Roman" w:hAnsi="Times New Roman"/>
          <w:sz w:val="18"/>
          <w:szCs w:val="18"/>
          <w:color w:val="auto"/>
        </w:rPr>
        <w:t>The Company’s net deferred tax assets and liabilities were revalued at the newly enacted U.S. corporate rate of 21%, and the resulting increase to tax expense was offset by a related reduction of the Company’s valuation allowance.</w:t>
      </w:r>
    </w:p>
    <w:p>
      <w:pPr>
        <w:spacing w:after="0" w:line="162" w:lineRule="exact"/>
        <w:rPr>
          <w:sz w:val="20"/>
          <w:szCs w:val="20"/>
          <w:color w:val="auto"/>
        </w:rPr>
      </w:pPr>
    </w:p>
    <w:p>
      <w:pPr>
        <w:ind w:left="160" w:right="140" w:firstLine="873"/>
        <w:spacing w:after="0" w:line="251" w:lineRule="auto"/>
        <w:rPr>
          <w:sz w:val="20"/>
          <w:szCs w:val="20"/>
          <w:color w:val="auto"/>
        </w:rPr>
      </w:pPr>
      <w:r>
        <w:rPr>
          <w:rFonts w:ascii="Times New Roman" w:cs="Times New Roman" w:eastAsia="Times New Roman" w:hAnsi="Times New Roman"/>
          <w:sz w:val="18"/>
          <w:szCs w:val="18"/>
          <w:color w:val="auto"/>
        </w:rPr>
        <w:t>The TCJA also requires companies to pay a one-time transition tax on a mandatory deemed repatriation of earnings of certain foreign subsidiaries that were previously untaxed. The deemed repatriated earnings all relate to the fiscal year ending January 31, 2018 as it was the first year the Company had foreign operations. This deemed repatriation did not result in any additional income tax payable because the deemed repatriation amount was offset by net operating losses. The Company maintains its assertion of the Company’s intent for certain foreign earnings to be indefinitely reinvested. As of January 31, 2020, the Company has not recorded taxes on approximately $2.5 million of cumulative undistributed earnings of the Company’s non-U.S. subsidiaries. The Company generally does not provide for taxes related to the Company’s undistributed earnings because such earnings either would not be taxable when remitted or they are indefinitely reinvested. If in the foreseeable future, the Company can no longer demonstrate that these earnings are indefinitely reinvested, a deferred tax liability will be recognized. A determination of the amount of the unrecognized deferred tax liability related to these undistributed earnings is not practicable due to the complexity and variety of assumptions necessary based on the manner in which the undistributed earnings would be repatriated.</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080"/>
          </w:cols>
          <w:pgMar w:left="320" w:top="454" w:right="49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12. Income Taxes (Continued)</w:t>
      </w:r>
    </w:p>
    <w:p>
      <w:pPr>
        <w:spacing w:after="0" w:line="131" w:lineRule="exact"/>
        <w:rPr>
          <w:sz w:val="20"/>
          <w:szCs w:val="20"/>
          <w:color w:val="auto"/>
        </w:rPr>
      </w:pPr>
    </w:p>
    <w:p>
      <w:pPr>
        <w:ind w:left="160" w:right="880" w:firstLine="873"/>
        <w:spacing w:after="0" w:line="278" w:lineRule="auto"/>
        <w:rPr>
          <w:sz w:val="20"/>
          <w:szCs w:val="20"/>
          <w:color w:val="auto"/>
        </w:rPr>
      </w:pPr>
      <w:r>
        <w:rPr>
          <w:rFonts w:ascii="Times New Roman" w:cs="Times New Roman" w:eastAsia="Times New Roman" w:hAnsi="Times New Roman"/>
          <w:sz w:val="18"/>
          <w:szCs w:val="18"/>
          <w:color w:val="auto"/>
        </w:rPr>
        <w:t>The Company has federal loss carryforwards totaling $267,652 that may be offset against future taxable income. If not used, the carryforwards will expire as follows:</w:t>
      </w:r>
    </w:p>
    <w:p>
      <w:pPr>
        <w:spacing w:after="0" w:line="174" w:lineRule="exact"/>
        <w:rPr>
          <w:sz w:val="20"/>
          <w:szCs w:val="20"/>
          <w:color w:val="auto"/>
        </w:rPr>
      </w:pPr>
    </w:p>
    <w:tbl>
      <w:tblPr>
        <w:tblLayout w:type="fixed"/>
        <w:tblInd w:w="192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Ending January 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2032 and before</w:t>
            </w:r>
          </w:p>
        </w:tc>
        <w:tc>
          <w:tcPr>
            <w:tcW w:w="4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40,606</w:t>
            </w:r>
          </w:p>
        </w:tc>
        <w:tc>
          <w:tcPr>
            <w:tcW w:w="40" w:type="dxa"/>
            <w:vAlign w:val="bottom"/>
            <w:tcBorders>
              <w:top w:val="single" w:sz="8" w:color="CCEEFF"/>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2033</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7,098</w:t>
            </w:r>
          </w:p>
        </w:tc>
        <w:tc>
          <w:tcPr>
            <w:tcW w:w="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2034</w:t>
            </w: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18,355</w:t>
            </w: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2035</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20,379</w:t>
            </w:r>
          </w:p>
        </w:tc>
        <w:tc>
          <w:tcPr>
            <w:tcW w:w="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2036</w:t>
            </w: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9,995</w:t>
            </w: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2037</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51,551</w:t>
            </w:r>
          </w:p>
        </w:tc>
        <w:tc>
          <w:tcPr>
            <w:tcW w:w="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2038</w:t>
            </w: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25,766</w:t>
            </w: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2039</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13,900</w:t>
            </w:r>
          </w:p>
        </w:tc>
        <w:tc>
          <w:tcPr>
            <w:tcW w:w="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2040</w:t>
            </w: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3,291</w:t>
            </w: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76,710</w:t>
            </w:r>
          </w:p>
        </w:tc>
        <w:tc>
          <w:tcPr>
            <w:tcW w:w="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267,652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240" w:firstLine="873"/>
        <w:spacing w:after="0" w:line="308" w:lineRule="auto"/>
        <w:rPr>
          <w:sz w:val="20"/>
          <w:szCs w:val="20"/>
          <w:color w:val="auto"/>
        </w:rPr>
      </w:pPr>
      <w:r>
        <w:rPr>
          <w:rFonts w:ascii="Times New Roman" w:cs="Times New Roman" w:eastAsia="Times New Roman" w:hAnsi="Times New Roman"/>
          <w:sz w:val="17"/>
          <w:szCs w:val="17"/>
          <w:color w:val="auto"/>
        </w:rPr>
        <w:t>Because of the change of ownership provisions of the Tax Reform Act of 1986, the use of the Company’s U.S. federal loss carryforwards may be limited in future periods. Further, a portion of the carryforwards may expire before being applied to reduce future income tax liabilities.</w:t>
      </w:r>
    </w:p>
    <w:p>
      <w:pPr>
        <w:spacing w:after="0" w:line="14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The Company also has foreign net operating losses of $11.7 million that can be carried forward indefinitely, which are included in the table</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above.</w:t>
      </w:r>
    </w:p>
    <w:p>
      <w:pPr>
        <w:spacing w:after="0" w:line="202" w:lineRule="exact"/>
        <w:rPr>
          <w:sz w:val="20"/>
          <w:szCs w:val="20"/>
          <w:color w:val="auto"/>
        </w:rPr>
      </w:pPr>
    </w:p>
    <w:p>
      <w:pPr>
        <w:ind w:left="160" w:right="160" w:firstLine="873"/>
        <w:spacing w:after="0" w:line="263" w:lineRule="auto"/>
        <w:rPr>
          <w:sz w:val="20"/>
          <w:szCs w:val="20"/>
          <w:color w:val="auto"/>
        </w:rPr>
      </w:pPr>
      <w:r>
        <w:rPr>
          <w:rFonts w:ascii="Times New Roman" w:cs="Times New Roman" w:eastAsia="Times New Roman" w:hAnsi="Times New Roman"/>
          <w:sz w:val="18"/>
          <w:szCs w:val="18"/>
          <w:color w:val="auto"/>
        </w:rPr>
        <w:t>The Company is subject to taxation in the U.S. federal and various state and foreign jurisdictions. As of January 31, 2020, the Company is no longer subject to U.S. federal and state examinations by tax authorities for years prior to 2016. However, amounts reported as net operating losses and tax credit carryforwards from these tax periods remain subject to review by most tax authorities.</w:t>
      </w:r>
    </w:p>
    <w:p>
      <w:pPr>
        <w:spacing w:after="0" w:line="175" w:lineRule="exact"/>
        <w:rPr>
          <w:sz w:val="20"/>
          <w:szCs w:val="20"/>
          <w:color w:val="auto"/>
        </w:rPr>
      </w:pPr>
    </w:p>
    <w:p>
      <w:pPr>
        <w:jc w:val="both"/>
        <w:ind w:left="160" w:right="100" w:firstLine="873"/>
        <w:spacing w:after="0" w:line="285" w:lineRule="auto"/>
        <w:rPr>
          <w:sz w:val="20"/>
          <w:szCs w:val="20"/>
          <w:color w:val="auto"/>
        </w:rPr>
      </w:pPr>
      <w:r>
        <w:rPr>
          <w:rFonts w:ascii="Times New Roman" w:cs="Times New Roman" w:eastAsia="Times New Roman" w:hAnsi="Times New Roman"/>
          <w:sz w:val="17"/>
          <w:szCs w:val="17"/>
          <w:color w:val="auto"/>
        </w:rPr>
        <w:t>The Company recognizes the income tax benefits of any uncertain tax positions only when, based upon the technical merits of the position, it is more likely than not that the position is sustainable upon examination. With the information available, the Company has performed an analysis and as of January 31, 2019 and 2020, the Company has not recognized any unrecognized tax benefits, interest or penalties for any income tax positions.</w:t>
      </w:r>
    </w:p>
    <w:p>
      <w:pPr>
        <w:spacing w:after="0" w:line="160" w:lineRule="exact"/>
        <w:rPr>
          <w:sz w:val="20"/>
          <w:szCs w:val="20"/>
          <w:color w:val="auto"/>
        </w:rPr>
      </w:pPr>
    </w:p>
    <w:p>
      <w:pPr>
        <w:jc w:val="both"/>
        <w:ind w:left="160" w:firstLine="873"/>
        <w:spacing w:after="0" w:line="258" w:lineRule="auto"/>
        <w:rPr>
          <w:sz w:val="20"/>
          <w:szCs w:val="20"/>
          <w:color w:val="auto"/>
        </w:rPr>
      </w:pPr>
      <w:r>
        <w:rPr>
          <w:rFonts w:ascii="Times New Roman" w:cs="Times New Roman" w:eastAsia="Times New Roman" w:hAnsi="Times New Roman"/>
          <w:sz w:val="18"/>
          <w:szCs w:val="18"/>
          <w:color w:val="auto"/>
        </w:rPr>
        <w:t>On March 27, 2020, President Trump signed into law the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Company continues to examine the impacts the CARES Act may have on the Company’s business.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13. Defined Contribution Plan</w:t>
      </w:r>
    </w:p>
    <w:p>
      <w:pPr>
        <w:spacing w:after="0" w:line="118"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The Company has a 401(k) plan for its employees in the United States who meet the plan requirements. The Company, at its discretion, may make matching contributions. Employees are immediately vested in their contributions. The Company also has a Registered Retirement Savings Plan covering all eligible employees in Canada. Employer contributions for the fiscal years ended January 31, 2018, 2019 and 2020 were $0, $0.1 million and $0.9 million, respectively.</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60"/>
          </w:cols>
          <w:pgMar w:left="320" w:top="454" w:right="51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8" w:lineRule="exact"/>
        <w:rPr>
          <w:sz w:val="20"/>
          <w:szCs w:val="20"/>
          <w:color w:val="auto"/>
        </w:rPr>
      </w:pPr>
    </w:p>
    <w:p>
      <w:pPr>
        <w:ind w:left="160" w:right="320" w:firstLine="873"/>
        <w:spacing w:after="0" w:line="278" w:lineRule="auto"/>
        <w:rPr>
          <w:sz w:val="20"/>
          <w:szCs w:val="20"/>
          <w:color w:val="auto"/>
        </w:rPr>
      </w:pPr>
      <w:r>
        <w:rPr>
          <w:rFonts w:ascii="Times New Roman" w:cs="Times New Roman" w:eastAsia="Times New Roman" w:hAnsi="Times New Roman"/>
          <w:sz w:val="18"/>
          <w:szCs w:val="18"/>
          <w:color w:val="auto"/>
        </w:rPr>
        <w:t>The Company leases its facilities and a portion of its equipment and licenses under various non-cancellable agreements, which expire at various times through July 2028 and require various minimum annual rentals.</w:t>
      </w:r>
    </w:p>
    <w:p>
      <w:pPr>
        <w:spacing w:after="0" w:line="162" w:lineRule="exact"/>
        <w:rPr>
          <w:sz w:val="20"/>
          <w:szCs w:val="20"/>
          <w:color w:val="auto"/>
        </w:rPr>
      </w:pPr>
    </w:p>
    <w:p>
      <w:pPr>
        <w:ind w:left="160" w:right="340" w:firstLine="873"/>
        <w:spacing w:after="0" w:line="278" w:lineRule="auto"/>
        <w:rPr>
          <w:sz w:val="20"/>
          <w:szCs w:val="20"/>
          <w:color w:val="auto"/>
        </w:rPr>
      </w:pPr>
      <w:r>
        <w:rPr>
          <w:rFonts w:ascii="Times New Roman" w:cs="Times New Roman" w:eastAsia="Times New Roman" w:hAnsi="Times New Roman"/>
          <w:sz w:val="18"/>
          <w:szCs w:val="18"/>
          <w:color w:val="auto"/>
        </w:rPr>
        <w:t>The Company’s agreements for the facilities and certain services provide the Company with the option to renew. The Company’s future contractual obligations would change if the Company exercised these options.</w:t>
      </w:r>
    </w:p>
    <w:p>
      <w:pPr>
        <w:spacing w:after="0" w:line="162" w:lineRule="exact"/>
        <w:rPr>
          <w:sz w:val="20"/>
          <w:szCs w:val="20"/>
          <w:color w:val="auto"/>
        </w:rPr>
      </w:pPr>
    </w:p>
    <w:tbl>
      <w:tblPr>
        <w:tblLayout w:type="fixed"/>
        <w:tblInd w:w="1040" w:type="dxa"/>
        <w:tblCellMar>
          <w:top w:w="0" w:type="dxa"/>
          <w:left w:w="0" w:type="dxa"/>
          <w:bottom w:w="0" w:type="dxa"/>
          <w:right w:w="0" w:type="dxa"/>
        </w:tblCellMar>
      </w:tblPr>
      <w:tr>
        <w:trPr>
          <w:trHeight w:val="233"/>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minimum lease payments required under operating leases at January 31, 2020 are as follows: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80" w:type="dxa"/>
            <w:vAlign w:val="bottom"/>
            <w:vMerge w:val="restart"/>
          </w:tcPr>
          <w:p>
            <w:pPr>
              <w:spacing w:after="0"/>
              <w:rPr>
                <w:sz w:val="20"/>
                <w:szCs w:val="20"/>
                <w:color w:val="auto"/>
              </w:rPr>
            </w:pPr>
          </w:p>
        </w:tc>
        <w:tc>
          <w:tcPr>
            <w:tcW w:w="2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80" w:type="dxa"/>
            <w:vAlign w:val="bottom"/>
            <w:vMerge w:val="continue"/>
          </w:tcPr>
          <w:p>
            <w:pPr>
              <w:spacing w:after="0"/>
              <w:rPr>
                <w:sz w:val="16"/>
                <w:szCs w:val="16"/>
                <w:color w:val="auto"/>
              </w:rPr>
            </w:pPr>
          </w:p>
        </w:tc>
        <w:tc>
          <w:tcPr>
            <w:tcW w:w="672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Fiscal Year Ending January 31,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2021</w:t>
            </w:r>
          </w:p>
        </w:tc>
        <w:tc>
          <w:tcPr>
            <w:tcW w:w="4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6,068</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22,725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240" w:firstLine="873"/>
        <w:spacing w:after="0" w:line="278" w:lineRule="auto"/>
        <w:rPr>
          <w:sz w:val="20"/>
          <w:szCs w:val="20"/>
          <w:color w:val="auto"/>
        </w:rPr>
      </w:pPr>
      <w:r>
        <w:rPr>
          <w:rFonts w:ascii="Times New Roman" w:cs="Times New Roman" w:eastAsia="Times New Roman" w:hAnsi="Times New Roman"/>
          <w:sz w:val="18"/>
          <w:szCs w:val="18"/>
          <w:color w:val="auto"/>
        </w:rPr>
        <w:t>The terms of the lease agreements provide for rental payments on a graduated basis. The Company recognizes rent expense on a straight-line basis over the lease period and has accrued for rent expense incurred but not paid.</w:t>
      </w:r>
    </w:p>
    <w:p>
      <w:pPr>
        <w:spacing w:after="0" w:line="162" w:lineRule="exact"/>
        <w:rPr>
          <w:sz w:val="20"/>
          <w:szCs w:val="20"/>
          <w:color w:val="auto"/>
        </w:rPr>
      </w:pPr>
    </w:p>
    <w:p>
      <w:pPr>
        <w:ind w:left="160" w:right="260" w:firstLine="873"/>
        <w:spacing w:after="0" w:line="278" w:lineRule="auto"/>
        <w:rPr>
          <w:sz w:val="20"/>
          <w:szCs w:val="20"/>
          <w:color w:val="auto"/>
        </w:rPr>
      </w:pPr>
      <w:r>
        <w:rPr>
          <w:rFonts w:ascii="Times New Roman" w:cs="Times New Roman" w:eastAsia="Times New Roman" w:hAnsi="Times New Roman"/>
          <w:sz w:val="18"/>
          <w:szCs w:val="18"/>
          <w:color w:val="auto"/>
        </w:rPr>
        <w:t>Total lease expense amounted to $3.4 million, $5.8 million, and $8.7 million for the fiscal years ended January 31, 2018, 2019 and 2020, respectively.</w:t>
      </w:r>
    </w:p>
    <w:p>
      <w:pPr>
        <w:spacing w:after="0" w:line="162" w:lineRule="exact"/>
        <w:rPr>
          <w:sz w:val="20"/>
          <w:szCs w:val="20"/>
          <w:color w:val="auto"/>
        </w:rPr>
      </w:pPr>
    </w:p>
    <w:p>
      <w:pPr>
        <w:ind w:left="160" w:right="240" w:firstLine="873"/>
        <w:spacing w:after="0" w:line="263" w:lineRule="auto"/>
        <w:rPr>
          <w:sz w:val="20"/>
          <w:szCs w:val="20"/>
          <w:color w:val="auto"/>
        </w:rPr>
      </w:pPr>
      <w:r>
        <w:rPr>
          <w:rFonts w:ascii="Times New Roman" w:cs="Times New Roman" w:eastAsia="Times New Roman" w:hAnsi="Times New Roman"/>
          <w:sz w:val="18"/>
          <w:szCs w:val="18"/>
          <w:color w:val="auto"/>
        </w:rPr>
        <w:t>We have recognized liabilities for contingencies related to state sales and use tax deemed probable and estimable, including penalties and interest, totaling $0.9 million and $0.2 million at January 31, 2019 and 2020, respectively, which are included in other accrued expenses in the Company’s consolidated balance sheets.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15. Related-Party Transactions</w:t>
      </w:r>
    </w:p>
    <w:p>
      <w:pPr>
        <w:spacing w:after="0" w:line="118" w:lineRule="exact"/>
        <w:rPr>
          <w:sz w:val="20"/>
          <w:szCs w:val="20"/>
          <w:color w:val="auto"/>
        </w:rPr>
      </w:pPr>
    </w:p>
    <w:p>
      <w:pPr>
        <w:ind w:left="160" w:firstLine="873"/>
        <w:spacing w:after="0" w:line="270" w:lineRule="auto"/>
        <w:rPr>
          <w:sz w:val="20"/>
          <w:szCs w:val="20"/>
          <w:color w:val="auto"/>
        </w:rPr>
      </w:pPr>
      <w:r>
        <w:rPr>
          <w:rFonts w:ascii="Times New Roman" w:cs="Times New Roman" w:eastAsia="Times New Roman" w:hAnsi="Times New Roman"/>
          <w:sz w:val="17"/>
          <w:szCs w:val="17"/>
          <w:color w:val="auto"/>
        </w:rPr>
        <w:t>The Company’s main vendor is also an equity holder in the Company. Total payments related to the reseller agreement with the related party are disclosed in Note 9. The Company also purchases services from this related party to assist in managing its own sales cycle, customer relationship management, and other business functions. The Company signed a three-year, non-cancellable agreement with the related party in December 2015 for the purchase of services and renewed in December 2018 for an additional two years. Total payments to the related party for these services recorded to expenses were $0.5 million, $0.8 million and $1.1 million for the fiscal years ended January 31, 2018, 2019 and 2020, respectively, and $0.7 million and $1.1 million were in prepaid expenses and other current assets as of January 31, 2019 and 2020, respectively. Accounts payable to the related party were $2.1 million and $3.3 million at January 31, 2019 and 2020, respectively, included in accounts payable, related parties.</w:t>
      </w:r>
    </w:p>
    <w:p>
      <w:pPr>
        <w:spacing w:after="0" w:line="172" w:lineRule="exact"/>
        <w:rPr>
          <w:sz w:val="20"/>
          <w:szCs w:val="20"/>
          <w:color w:val="auto"/>
        </w:rPr>
      </w:pPr>
    </w:p>
    <w:p>
      <w:pPr>
        <w:jc w:val="both"/>
        <w:ind w:left="160" w:right="20" w:firstLine="873"/>
        <w:spacing w:after="0" w:line="263" w:lineRule="auto"/>
        <w:rPr>
          <w:sz w:val="20"/>
          <w:szCs w:val="20"/>
          <w:color w:val="auto"/>
        </w:rPr>
      </w:pPr>
      <w:r>
        <w:rPr>
          <w:rFonts w:ascii="Times New Roman" w:cs="Times New Roman" w:eastAsia="Times New Roman" w:hAnsi="Times New Roman"/>
          <w:sz w:val="18"/>
          <w:szCs w:val="18"/>
          <w:color w:val="auto"/>
        </w:rPr>
        <w:t>As discussed in Note 2, there are equity holders who are also customers of the Company. Included in revenues are $8.1 million, $9.9 million and $8.4 million from three equity holder customers for the fiscal years ended January 31, 2018, 2019 and 2020, respectively. Related party balances in current deferred revenue, related parties were $6.9 million and $8.0 million as of January 31, 2019 and 2020, respectively.</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60"/>
          </w:cols>
          <w:pgMar w:left="320" w:top="454" w:right="51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15. Related-Party Transactions (Continued)</w:t>
      </w:r>
    </w:p>
    <w:p>
      <w:pPr>
        <w:spacing w:after="0" w:line="131" w:lineRule="exact"/>
        <w:rPr>
          <w:sz w:val="20"/>
          <w:szCs w:val="20"/>
          <w:color w:val="auto"/>
        </w:rPr>
      </w:pPr>
    </w:p>
    <w:p>
      <w:pPr>
        <w:ind w:left="160" w:right="500" w:firstLine="873"/>
        <w:spacing w:after="0" w:line="278" w:lineRule="auto"/>
        <w:rPr>
          <w:sz w:val="20"/>
          <w:szCs w:val="20"/>
          <w:color w:val="auto"/>
        </w:rPr>
      </w:pPr>
      <w:r>
        <w:rPr>
          <w:rFonts w:ascii="Times New Roman" w:cs="Times New Roman" w:eastAsia="Times New Roman" w:hAnsi="Times New Roman"/>
          <w:sz w:val="18"/>
          <w:szCs w:val="18"/>
          <w:color w:val="auto"/>
        </w:rPr>
        <w:t>The Company has a banking relationship with one of its equity holders. Included in interest income is $0.2 million, $0.9 million and $0.7 million for the fiscal years ended January 31, 2018, 2019 and 2020, respectively.</w:t>
      </w:r>
    </w:p>
    <w:p>
      <w:pPr>
        <w:spacing w:after="0" w:line="162"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The Company made an agreement with one of its equity holders in May 2016 to spend an agreed-upon amount of funds over a three-year period to further the alliance between the two companies. As of fiscal year end January 31, 2020, the Company was in compliance with the terms of the agreement. Total consideration amounted to $0.3 million, $1.7 million, and $0.06 million for the fiscal years ended January 31, 2018, 2019 and 2020, respectively. In April 2019, the agreement was extended for an additional three years. As of January 31, 2020, there was a $0.2 million obligation remaining expected to be fulfilled within one year.</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16. Basic and Diluted Loss per Share</w:t>
      </w:r>
    </w:p>
    <w:p>
      <w:pPr>
        <w:spacing w:after="0" w:line="118"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options. The dilutive effect of outstanding awards is reflected in diluted earnings per share by application of the treasury stock method. Diluted loss per share for the fiscal years ended January 31, 2018, 2019, and 2020 is the same as the basic loss per share as there was a net loss for those periods, and inclusion of potentially issuable shares was anti-dilutive.</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components of basic and diluted loss per share for periods presented are as follows (in thousands, except share and per share data):</w:t>
      </w:r>
    </w:p>
    <w:p>
      <w:pPr>
        <w:spacing w:after="0" w:line="243"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4"/>
          <w:szCs w:val="14"/>
          <w:color w:val="auto"/>
        </w:rPr>
        <w:t>Fiscal Year Ended</w:t>
      </w:r>
    </w:p>
    <w:p>
      <w:pPr>
        <w:jc w:val="center"/>
        <w:ind w:left="5660"/>
        <w:spacing w:after="0" w:line="232" w:lineRule="auto"/>
        <w:rPr>
          <w:sz w:val="20"/>
          <w:szCs w:val="20"/>
          <w:color w:val="auto"/>
        </w:rPr>
      </w:pPr>
      <w:r>
        <w:rPr>
          <w:rFonts w:ascii="Times New Roman" w:cs="Times New Roman" w:eastAsia="Times New Roman" w:hAnsi="Times New Roman"/>
          <w:sz w:val="14"/>
          <w:szCs w:val="14"/>
          <w:color w:val="auto"/>
        </w:rPr>
        <w:t>January 31,</w:t>
      </w:r>
    </w:p>
    <w:tbl>
      <w:tblPr>
        <w:tblLayout w:type="fixed"/>
        <w:tblInd w:w="600" w:type="dxa"/>
        <w:tblCellMar>
          <w:top w:w="0" w:type="dxa"/>
          <w:left w:w="0" w:type="dxa"/>
          <w:bottom w:w="0" w:type="dxa"/>
          <w:right w:w="0" w:type="dxa"/>
        </w:tblCellMar>
      </w:tblPr>
      <w:tr>
        <w:trPr>
          <w:trHeight w:val="140"/>
        </w:trPr>
        <w:tc>
          <w:tcPr>
            <w:tcW w:w="44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1" w:lineRule="exact"/>
              <w:rPr>
                <w:sz w:val="20"/>
                <w:szCs w:val="20"/>
                <w:color w:val="auto"/>
              </w:rPr>
            </w:pPr>
            <w:r>
              <w:rPr>
                <w:rFonts w:ascii="Times New Roman" w:cs="Times New Roman" w:eastAsia="Times New Roman" w:hAnsi="Times New Roman"/>
                <w:sz w:val="14"/>
                <w:szCs w:val="14"/>
                <w:color w:val="auto"/>
              </w:rPr>
              <w:t>2018</w:t>
            </w:r>
          </w:p>
        </w:tc>
        <w:tc>
          <w:tcPr>
            <w:tcW w:w="7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7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194"/>
        </w:trPr>
        <w:tc>
          <w:tcPr>
            <w:tcW w:w="44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Basic loss per share:</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(18,589)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(22,306)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(27,594)</w:t>
            </w:r>
          </w:p>
        </w:tc>
      </w:tr>
      <w:tr>
        <w:trPr>
          <w:trHeight w:val="214"/>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6"/>
              </w:rPr>
              <w:t>68,290,570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8"/>
              </w:rPr>
              <w:t>74,593,709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78,316,794</w:t>
            </w:r>
          </w:p>
        </w:tc>
      </w:tr>
      <w:tr>
        <w:trPr>
          <w:trHeight w:val="214"/>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loss per share attributable to nCino, Inc.</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(0.35)</w:t>
            </w:r>
          </w:p>
        </w:tc>
      </w:tr>
      <w:tr>
        <w:trPr>
          <w:trHeight w:val="21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loss per share: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(18,589)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(22,306)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(27,594)</w:t>
            </w:r>
          </w:p>
        </w:tc>
      </w:tr>
      <w:tr>
        <w:trPr>
          <w:trHeight w:val="214"/>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6"/>
              </w:rPr>
              <w:t>68,290,570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8"/>
              </w:rPr>
              <w:t>74,593,709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78,316,794</w:t>
            </w:r>
          </w:p>
        </w:tc>
      </w:tr>
      <w:tr>
        <w:trPr>
          <w:trHeight w:val="233"/>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Dilutive loss per share attributable to nCino, Inc.</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(0.35)</w:t>
            </w:r>
          </w:p>
        </w:tc>
      </w:tr>
      <w:tr>
        <w:trPr>
          <w:trHeight w:val="343"/>
        </w:trPr>
        <w:tc>
          <w:tcPr>
            <w:tcW w:w="4460" w:type="dxa"/>
            <w:vAlign w:val="bottom"/>
          </w:tcPr>
          <w:p>
            <w:pPr>
              <w:spacing w:after="0"/>
              <w:rPr>
                <w:sz w:val="24"/>
                <w:szCs w:val="24"/>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F-40</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80"/>
          </w:cols>
          <w:pgMar w:left="320" w:top="454" w:right="59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16. Basic and Diluted Loss per Share (Continued)</w:t>
      </w:r>
    </w:p>
    <w:p>
      <w:pPr>
        <w:spacing w:after="0" w:line="131" w:lineRule="exact"/>
        <w:rPr>
          <w:sz w:val="20"/>
          <w:szCs w:val="20"/>
          <w:color w:val="auto"/>
        </w:rPr>
      </w:pPr>
    </w:p>
    <w:p>
      <w:pPr>
        <w:ind w:left="160" w:right="420" w:firstLine="873"/>
        <w:spacing w:after="0" w:line="278" w:lineRule="auto"/>
        <w:rPr>
          <w:sz w:val="20"/>
          <w:szCs w:val="20"/>
          <w:color w:val="auto"/>
        </w:rPr>
      </w:pPr>
      <w:r>
        <w:rPr>
          <w:rFonts w:ascii="Times New Roman" w:cs="Times New Roman" w:eastAsia="Times New Roman" w:hAnsi="Times New Roman"/>
          <w:sz w:val="18"/>
          <w:szCs w:val="18"/>
          <w:color w:val="auto"/>
        </w:rPr>
        <w:t>The weighted-average number of shares outstanding used in the computation of diluted loss per share does not include the effect of the following potential outstanding common stock because the effect would have been anti-dilutive for the periods presented:</w:t>
      </w:r>
    </w:p>
    <w:p>
      <w:pPr>
        <w:spacing w:after="0" w:line="185"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4"/>
          <w:szCs w:val="14"/>
          <w:color w:val="auto"/>
        </w:rPr>
        <w:t>Fiscal Year Ended</w:t>
      </w:r>
    </w:p>
    <w:p>
      <w:pPr>
        <w:jc w:val="center"/>
        <w:ind w:left="5580"/>
        <w:spacing w:after="0" w:line="232" w:lineRule="auto"/>
        <w:rPr>
          <w:sz w:val="20"/>
          <w:szCs w:val="20"/>
          <w:color w:val="auto"/>
        </w:rPr>
      </w:pPr>
      <w:r>
        <w:rPr>
          <w:rFonts w:ascii="Times New Roman" w:cs="Times New Roman" w:eastAsia="Times New Roman" w:hAnsi="Times New Roman"/>
          <w:sz w:val="14"/>
          <w:szCs w:val="14"/>
          <w:color w:val="auto"/>
        </w:rPr>
        <w:t>January 31,</w:t>
      </w:r>
    </w:p>
    <w:tbl>
      <w:tblPr>
        <w:tblLayout w:type="fixed"/>
        <w:tblInd w:w="104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7"/>
              <w:spacing w:after="0" w:line="141" w:lineRule="exact"/>
              <w:rPr>
                <w:sz w:val="20"/>
                <w:szCs w:val="20"/>
                <w:color w:val="auto"/>
              </w:rPr>
            </w:pPr>
            <w:r>
              <w:rPr>
                <w:rFonts w:ascii="Times New Roman" w:cs="Times New Roman" w:eastAsia="Times New Roman" w:hAnsi="Times New Roman"/>
                <w:sz w:val="14"/>
                <w:szCs w:val="14"/>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7"/>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7"/>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10,291,959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8,206,926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7,837,023</w:t>
            </w:r>
          </w:p>
        </w:tc>
        <w:tc>
          <w:tcPr>
            <w:tcW w:w="80" w:type="dxa"/>
            <w:vAlign w:val="bottom"/>
            <w:shd w:val="clear" w:color="auto" w:fill="CCEEFF"/>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Nonvested RSUs issued and outstanding</w:t>
            </w:r>
          </w:p>
        </w:tc>
        <w:tc>
          <w:tcPr>
            <w:tcW w:w="12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948,119</w:t>
            </w:r>
          </w:p>
        </w:tc>
        <w:tc>
          <w:tcPr>
            <w:tcW w:w="80" w:type="dxa"/>
            <w:vAlign w:val="bottom"/>
          </w:tcPr>
          <w:p>
            <w:pPr>
              <w:spacing w:after="0"/>
              <w:rPr>
                <w:sz w:val="20"/>
                <w:szCs w:val="20"/>
                <w:color w:val="auto"/>
              </w:rPr>
            </w:pPr>
          </w:p>
        </w:tc>
      </w:tr>
    </w:tbl>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17. Selected Quarterly Financial Data (Unaudited)</w:t>
      </w:r>
    </w:p>
    <w:p>
      <w:pPr>
        <w:spacing w:after="0" w:line="1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Selected summarized quarterly financial information for fiscal 2019 and 2020 is as follows: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1st</w:t>
            </w:r>
          </w:p>
        </w:tc>
        <w:tc>
          <w:tcPr>
            <w:tcW w:w="100" w:type="dxa"/>
            <w:vAlign w:val="bottom"/>
          </w:tcPr>
          <w:p>
            <w:pPr>
              <w:spacing w:after="0"/>
              <w:rPr>
                <w:sz w:val="13"/>
                <w:szCs w:val="13"/>
                <w:color w:val="auto"/>
              </w:rPr>
            </w:pPr>
          </w:p>
        </w:tc>
        <w:tc>
          <w:tcPr>
            <w:tcW w:w="62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2nd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3rd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4th</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20" w:type="dxa"/>
            <w:vAlign w:val="bottom"/>
            <w:gridSpan w:val="3"/>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4"/>
                <w:szCs w:val="14"/>
                <w:color w:val="auto"/>
              </w:rPr>
            </w:pPr>
          </w:p>
        </w:tc>
        <w:tc>
          <w:tcPr>
            <w:tcW w:w="740" w:type="dxa"/>
            <w:vAlign w:val="bottom"/>
            <w:gridSpan w:val="3"/>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0" w:type="dxa"/>
            <w:vAlign w:val="bottom"/>
          </w:tcPr>
          <w:p>
            <w:pPr>
              <w:spacing w:after="0"/>
              <w:rPr>
                <w:sz w:val="14"/>
                <w:szCs w:val="14"/>
                <w:color w:val="auto"/>
              </w:rPr>
            </w:pPr>
          </w:p>
        </w:tc>
        <w:tc>
          <w:tcPr>
            <w:tcW w:w="740" w:type="dxa"/>
            <w:vAlign w:val="bottom"/>
            <w:gridSpan w:val="3"/>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Fiscal Year Ended January 31, 2019</w:t>
            </w:r>
          </w:p>
        </w:tc>
        <w:tc>
          <w:tcPr>
            <w:tcW w:w="20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w w:val="96"/>
              </w:rPr>
              <w:t>19,064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w w:val="96"/>
              </w:rPr>
              <w:t>22,630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w w:val="96"/>
              </w:rPr>
              <w:t>23,663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w w:val="96"/>
              </w:rPr>
              <w:t>26,177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91,534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6"/>
              </w:rPr>
              <w:t>10,119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96"/>
              </w:rPr>
              <w:t>12,210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96"/>
              </w:rPr>
              <w:t>13,074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46,451</w:t>
            </w:r>
          </w:p>
        </w:tc>
        <w:tc>
          <w:tcPr>
            <w:tcW w:w="0" w:type="dxa"/>
            <w:vAlign w:val="bottom"/>
          </w:tcPr>
          <w:p>
            <w:pPr>
              <w:spacing w:after="0"/>
              <w:rPr>
                <w:sz w:val="1"/>
                <w:szCs w:val="1"/>
                <w:color w:val="auto"/>
              </w:rPr>
            </w:pPr>
          </w:p>
        </w:tc>
      </w:tr>
      <w:tr>
        <w:trPr>
          <w:trHeight w:val="221"/>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11,582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11,453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13,103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7,844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9,692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31,278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5,823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6,871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22,230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6"/>
              </w:rPr>
              <w:t>13,350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96"/>
              </w:rPr>
              <w:t>17,067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96"/>
              </w:rPr>
              <w:t>16,473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96"/>
              </w:rPr>
              <w:t>21,409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68,299</w:t>
            </w:r>
          </w:p>
        </w:tc>
        <w:tc>
          <w:tcPr>
            <w:tcW w:w="0" w:type="dxa"/>
            <w:vAlign w:val="bottom"/>
          </w:tcPr>
          <w:p>
            <w:pPr>
              <w:spacing w:after="0"/>
              <w:rPr>
                <w:sz w:val="1"/>
                <w:szCs w:val="1"/>
                <w:color w:val="auto"/>
              </w:rPr>
            </w:pPr>
          </w:p>
        </w:tc>
      </w:tr>
      <w:tr>
        <w:trPr>
          <w:trHeight w:val="221"/>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(4,405)</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(5,485)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(5,020)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(8,306)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(23,216)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21"/>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(4,191)</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(5,279)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(4,912)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(7,730)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(22,112)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1"/>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2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200" w:type="dxa"/>
            <w:vAlign w:val="bottom"/>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nCino, Inc.</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Fiscal Year Ended January 31, 2020</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4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6"/>
              </w:rPr>
              <w:t>29,836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96"/>
              </w:rPr>
              <w:t>31,978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96"/>
              </w:rPr>
              <w:t>37,862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96"/>
              </w:rPr>
              <w:t>38,504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99"/>
              </w:rPr>
              <w:t>138,180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14,038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14,770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16,889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18,373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6"/>
              </w:rPr>
              <w:t>15,798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96"/>
              </w:rPr>
              <w:t>17,208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96"/>
              </w:rPr>
              <w:t>20,973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96"/>
              </w:rPr>
              <w:t>20,131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74,110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8,015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96"/>
              </w:rPr>
              <w:t>10,453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96"/>
              </w:rPr>
              <w:t>12,602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96"/>
              </w:rPr>
              <w:t>13,370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44,440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7,366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9,534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w w:val="96"/>
              </w:rPr>
              <w:t>10,132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35,304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5,557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6,640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22,536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19,290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25,155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27,693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30,142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102,280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18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F-41</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17. Selected Quarterly Financial Data (Unaudited) (Continued)</w:t>
      </w:r>
    </w:p>
    <w:p>
      <w:pPr>
        <w:spacing w:after="0" w:line="11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1st</w:t>
            </w:r>
          </w:p>
        </w:tc>
        <w:tc>
          <w:tcPr>
            <w:tcW w:w="80" w:type="dxa"/>
            <w:vAlign w:val="bottom"/>
          </w:tcPr>
          <w:p>
            <w:pPr>
              <w:spacing w:after="0"/>
              <w:rPr>
                <w:sz w:val="13"/>
                <w:szCs w:val="13"/>
                <w:color w:val="auto"/>
              </w:rPr>
            </w:pPr>
          </w:p>
        </w:tc>
        <w:tc>
          <w:tcPr>
            <w:tcW w:w="60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2nd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3rd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4th</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Quarter</w:t>
            </w:r>
          </w:p>
        </w:tc>
        <w:tc>
          <w:tcPr>
            <w:tcW w:w="680" w:type="dxa"/>
            <w:vAlign w:val="bottom"/>
            <w:gridSpan w:val="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4"/>
                <w:szCs w:val="14"/>
                <w:color w:val="auto"/>
              </w:rPr>
            </w:pPr>
          </w:p>
        </w:tc>
        <w:tc>
          <w:tcPr>
            <w:tcW w:w="700" w:type="dxa"/>
            <w:vAlign w:val="bottom"/>
            <w:gridSpan w:val="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4"/>
                <w:szCs w:val="14"/>
                <w:color w:val="auto"/>
              </w:rPr>
            </w:pPr>
          </w:p>
        </w:tc>
        <w:tc>
          <w:tcPr>
            <w:tcW w:w="780" w:type="dxa"/>
            <w:vAlign w:val="bottom"/>
            <w:gridSpan w:val="3"/>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(3,492)</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(7,947)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(6,720)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(10,011)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(28,170)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(3,283)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5"/>
              </w:rPr>
              <w:t>(5,931)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(27,149)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(3,419)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(8,502)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5"/>
              </w:rPr>
              <w:t>(6,089)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(9,725)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(27,735)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(3,419)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(8,502)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5"/>
              </w:rPr>
              <w:t>(6,029)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(9,644)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(27,594)</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nCino, Inc.</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18. Subsequent Event</w:t>
      </w:r>
    </w:p>
    <w:p>
      <w:pPr>
        <w:spacing w:after="0" w:line="118"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a novel coronavirus disease (“COVID-19”) as a pandemic, which continues to spread throughout the world. COVID-19 is having an unprecedented impact on the global economy as national, state and local governments react to this public health crisis. Due to the COVID-19 outbreak, there is significant uncertainty surrounding the potential impact on the Company’s results of operations and cash flows. Continued impacts of the pandemic could materially adversely affect the Company’s near-term and long-term revenues, earnings, liquidity and cash flows.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80"/>
          </w:cols>
          <w:pgMar w:left="320" w:top="454" w:right="49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INDEX TO UNAUDITED INTERIM FINANCIAL STATEMENTS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10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Unaudited Financial Statements</w:t>
            </w: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6"/>
        </w:trPr>
        <w:tc>
          <w:tcPr>
            <w:tcW w:w="104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460" w:type="dxa"/>
            <w:vAlign w:val="bottom"/>
          </w:tcPr>
          <w:p>
            <w:pPr>
              <w:ind w:left="360"/>
              <w:spacing w:after="0"/>
              <w:rPr>
                <w:rFonts w:ascii="Times New Roman" w:cs="Times New Roman" w:eastAsia="Times New Roman" w:hAnsi="Times New Roman"/>
                <w:sz w:val="18"/>
                <w:szCs w:val="18"/>
                <w:u w:val="single" w:color="auto"/>
                <w:color w:val="0000EE"/>
              </w:rPr>
            </w:pPr>
            <w:hyperlink w:anchor="page183">
              <w:r>
                <w:rPr>
                  <w:rFonts w:ascii="Times New Roman" w:cs="Times New Roman" w:eastAsia="Times New Roman" w:hAnsi="Times New Roman"/>
                  <w:sz w:val="18"/>
                  <w:szCs w:val="18"/>
                  <w:u w:val="single" w:color="auto"/>
                  <w:color w:val="0000EE"/>
                </w:rPr>
                <w:t>Condensed Consolidated Balance Sheet as of January 31, 2020 and July 31, 2020</w:t>
              </w:r>
            </w:hyperlink>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F-44</w:t>
            </w:r>
          </w:p>
        </w:tc>
        <w:tc>
          <w:tcPr>
            <w:tcW w:w="0" w:type="dxa"/>
            <w:vAlign w:val="bottom"/>
          </w:tcPr>
          <w:p>
            <w:pPr>
              <w:spacing w:after="0"/>
              <w:rPr>
                <w:sz w:val="1"/>
                <w:szCs w:val="1"/>
                <w:color w:val="auto"/>
              </w:rPr>
            </w:pPr>
          </w:p>
        </w:tc>
      </w:tr>
      <w:tr>
        <w:trPr>
          <w:trHeight w:val="214"/>
        </w:trPr>
        <w:tc>
          <w:tcPr>
            <w:tcW w:w="10460" w:type="dxa"/>
            <w:vAlign w:val="bottom"/>
          </w:tcPr>
          <w:p>
            <w:pPr>
              <w:ind w:left="360"/>
              <w:spacing w:after="0"/>
              <w:rPr>
                <w:rFonts w:ascii="Times New Roman" w:cs="Times New Roman" w:eastAsia="Times New Roman" w:hAnsi="Times New Roman"/>
                <w:sz w:val="18"/>
                <w:szCs w:val="18"/>
                <w:u w:val="single" w:color="auto"/>
                <w:color w:val="0000EE"/>
              </w:rPr>
            </w:pPr>
            <w:hyperlink w:anchor="page184">
              <w:r>
                <w:rPr>
                  <w:rFonts w:ascii="Times New Roman" w:cs="Times New Roman" w:eastAsia="Times New Roman" w:hAnsi="Times New Roman"/>
                  <w:sz w:val="18"/>
                  <w:szCs w:val="18"/>
                  <w:u w:val="single" w:color="auto"/>
                  <w:color w:val="0000EE"/>
                </w:rPr>
                <w:t>Unaudited Condensed Consolidated Statements of Operations for the six months ended July 31, 2019 and 2020</w:t>
              </w:r>
            </w:hyperlink>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F-45</w:t>
            </w:r>
          </w:p>
        </w:tc>
        <w:tc>
          <w:tcPr>
            <w:tcW w:w="0" w:type="dxa"/>
            <w:vAlign w:val="bottom"/>
          </w:tcPr>
          <w:p>
            <w:pPr>
              <w:spacing w:after="0"/>
              <w:rPr>
                <w:sz w:val="1"/>
                <w:szCs w:val="1"/>
                <w:color w:val="auto"/>
              </w:rPr>
            </w:pPr>
          </w:p>
        </w:tc>
      </w:tr>
      <w:tr>
        <w:trPr>
          <w:trHeight w:val="214"/>
        </w:trPr>
        <w:tc>
          <w:tcPr>
            <w:tcW w:w="10460" w:type="dxa"/>
            <w:vAlign w:val="bottom"/>
          </w:tcPr>
          <w:p>
            <w:pPr>
              <w:ind w:left="360"/>
              <w:spacing w:after="0"/>
              <w:rPr>
                <w:rFonts w:ascii="Times New Roman" w:cs="Times New Roman" w:eastAsia="Times New Roman" w:hAnsi="Times New Roman"/>
                <w:sz w:val="18"/>
                <w:szCs w:val="18"/>
                <w:u w:val="single" w:color="auto"/>
                <w:color w:val="0000EE"/>
              </w:rPr>
            </w:pPr>
            <w:hyperlink w:anchor="page185">
              <w:r>
                <w:rPr>
                  <w:rFonts w:ascii="Times New Roman" w:cs="Times New Roman" w:eastAsia="Times New Roman" w:hAnsi="Times New Roman"/>
                  <w:sz w:val="18"/>
                  <w:szCs w:val="18"/>
                  <w:u w:val="single" w:color="auto"/>
                  <w:color w:val="0000EE"/>
                </w:rPr>
                <w:t>Unaudited Condensed Consolidated Statements of Comprehensive Loss for the six months ended July 31, 2019 and 2020</w:t>
              </w:r>
            </w:hyperlink>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F-46</w:t>
            </w:r>
          </w:p>
        </w:tc>
        <w:tc>
          <w:tcPr>
            <w:tcW w:w="0" w:type="dxa"/>
            <w:vAlign w:val="bottom"/>
          </w:tcPr>
          <w:p>
            <w:pPr>
              <w:spacing w:after="0"/>
              <w:rPr>
                <w:sz w:val="1"/>
                <w:szCs w:val="1"/>
                <w:color w:val="auto"/>
              </w:rPr>
            </w:pPr>
          </w:p>
        </w:tc>
      </w:tr>
      <w:tr>
        <w:trPr>
          <w:trHeight w:val="214"/>
        </w:trPr>
        <w:tc>
          <w:tcPr>
            <w:tcW w:w="10460" w:type="dxa"/>
            <w:vAlign w:val="bottom"/>
          </w:tcPr>
          <w:p>
            <w:pPr>
              <w:ind w:left="360"/>
              <w:spacing w:after="0"/>
              <w:rPr>
                <w:rFonts w:ascii="Times New Roman" w:cs="Times New Roman" w:eastAsia="Times New Roman" w:hAnsi="Times New Roman"/>
                <w:sz w:val="18"/>
                <w:szCs w:val="18"/>
                <w:u w:val="single" w:color="auto"/>
                <w:color w:val="0000EE"/>
              </w:rPr>
            </w:pPr>
            <w:hyperlink w:anchor="page186">
              <w:r>
                <w:rPr>
                  <w:rFonts w:ascii="Times New Roman" w:cs="Times New Roman" w:eastAsia="Times New Roman" w:hAnsi="Times New Roman"/>
                  <w:sz w:val="18"/>
                  <w:szCs w:val="18"/>
                  <w:u w:val="single" w:color="auto"/>
                  <w:color w:val="0000EE"/>
                </w:rPr>
                <w:t>Unaudited Condensed Consolidated Statements of Stockholders’ Equity for the six months ended July 31, 2019 and 2020</w:t>
              </w:r>
            </w:hyperlink>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F-47</w:t>
            </w:r>
          </w:p>
        </w:tc>
        <w:tc>
          <w:tcPr>
            <w:tcW w:w="0" w:type="dxa"/>
            <w:vAlign w:val="bottom"/>
          </w:tcPr>
          <w:p>
            <w:pPr>
              <w:spacing w:after="0"/>
              <w:rPr>
                <w:sz w:val="1"/>
                <w:szCs w:val="1"/>
                <w:color w:val="auto"/>
              </w:rPr>
            </w:pPr>
          </w:p>
        </w:tc>
      </w:tr>
      <w:tr>
        <w:trPr>
          <w:trHeight w:val="214"/>
        </w:trPr>
        <w:tc>
          <w:tcPr>
            <w:tcW w:w="10460" w:type="dxa"/>
            <w:vAlign w:val="bottom"/>
          </w:tcPr>
          <w:p>
            <w:pPr>
              <w:ind w:left="360"/>
              <w:spacing w:after="0"/>
              <w:rPr>
                <w:rFonts w:ascii="Times New Roman" w:cs="Times New Roman" w:eastAsia="Times New Roman" w:hAnsi="Times New Roman"/>
                <w:sz w:val="18"/>
                <w:szCs w:val="18"/>
                <w:u w:val="single" w:color="auto"/>
                <w:color w:val="0000EE"/>
              </w:rPr>
            </w:pPr>
            <w:hyperlink w:anchor="page188">
              <w:r>
                <w:rPr>
                  <w:rFonts w:ascii="Times New Roman" w:cs="Times New Roman" w:eastAsia="Times New Roman" w:hAnsi="Times New Roman"/>
                  <w:sz w:val="18"/>
                  <w:szCs w:val="18"/>
                  <w:u w:val="single" w:color="auto"/>
                  <w:color w:val="0000EE"/>
                </w:rPr>
                <w:t>Unaudited Condensed Consolidated Statements of Cash Flows for the six months ended July 31, 2019 and 2020</w:t>
              </w:r>
            </w:hyperlink>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F-49</w:t>
            </w:r>
          </w:p>
        </w:tc>
        <w:tc>
          <w:tcPr>
            <w:tcW w:w="0" w:type="dxa"/>
            <w:vAlign w:val="bottom"/>
          </w:tcPr>
          <w:p>
            <w:pPr>
              <w:spacing w:after="0"/>
              <w:rPr>
                <w:sz w:val="1"/>
                <w:szCs w:val="1"/>
                <w:color w:val="auto"/>
              </w:rPr>
            </w:pPr>
          </w:p>
        </w:tc>
      </w:tr>
      <w:tr>
        <w:trPr>
          <w:trHeight w:val="233"/>
        </w:trPr>
        <w:tc>
          <w:tcPr>
            <w:tcW w:w="10460" w:type="dxa"/>
            <w:vAlign w:val="bottom"/>
          </w:tcPr>
          <w:p>
            <w:pPr>
              <w:ind w:left="360"/>
              <w:spacing w:after="0"/>
              <w:rPr>
                <w:rFonts w:ascii="Times New Roman" w:cs="Times New Roman" w:eastAsia="Times New Roman" w:hAnsi="Times New Roman"/>
                <w:sz w:val="18"/>
                <w:szCs w:val="18"/>
                <w:u w:val="single" w:color="auto"/>
                <w:color w:val="0000EE"/>
              </w:rPr>
            </w:pPr>
            <w:hyperlink w:anchor="page189">
              <w:r>
                <w:rPr>
                  <w:rFonts w:ascii="Times New Roman" w:cs="Times New Roman" w:eastAsia="Times New Roman" w:hAnsi="Times New Roman"/>
                  <w:sz w:val="18"/>
                  <w:szCs w:val="18"/>
                  <w:u w:val="single" w:color="auto"/>
                  <w:color w:val="0000EE"/>
                </w:rPr>
                <w:t>Notes to Unaudited Condensed Consolidated Financial Statements</w:t>
              </w:r>
            </w:hyperlink>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F-50</w:t>
            </w:r>
          </w:p>
        </w:tc>
        <w:tc>
          <w:tcPr>
            <w:tcW w:w="0" w:type="dxa"/>
            <w:vAlign w:val="bottom"/>
          </w:tcPr>
          <w:p>
            <w:pPr>
              <w:spacing w:after="0"/>
              <w:rPr>
                <w:sz w:val="1"/>
                <w:szCs w:val="1"/>
                <w:color w:val="auto"/>
              </w:rPr>
            </w:pPr>
          </w:p>
        </w:tc>
      </w:tr>
      <w:tr>
        <w:trPr>
          <w:trHeight w:val="361"/>
        </w:trPr>
        <w:tc>
          <w:tcPr>
            <w:tcW w:w="10460" w:type="dxa"/>
            <w:vAlign w:val="bottom"/>
          </w:tcPr>
          <w:p>
            <w:pPr>
              <w:ind w:left="5300"/>
              <w:spacing w:after="0"/>
              <w:rPr>
                <w:sz w:val="20"/>
                <w:szCs w:val="20"/>
                <w:color w:val="auto"/>
              </w:rPr>
            </w:pPr>
            <w:r>
              <w:rPr>
                <w:rFonts w:ascii="Times New Roman" w:cs="Times New Roman" w:eastAsia="Times New Roman" w:hAnsi="Times New Roman"/>
                <w:sz w:val="18"/>
                <w:szCs w:val="18"/>
                <w:color w:val="auto"/>
              </w:rPr>
              <w:t>F-43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4" w:right="55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of January 31, 2020 and July 31, 2020</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9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July 31,</w:t>
            </w:r>
          </w:p>
        </w:tc>
      </w:tr>
      <w:tr>
        <w:trPr>
          <w:trHeight w:val="17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2"/>
                <w:szCs w:val="12"/>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(VIE: $8,892 and $8,635 at January 31, 2020 and July 31, 2020, respectively)</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91,184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388,191</w:t>
            </w:r>
          </w:p>
        </w:tc>
      </w:tr>
      <w:tr>
        <w:trPr>
          <w:trHeight w:val="196"/>
        </w:trPr>
        <w:tc>
          <w:tcPr>
            <w:tcW w:w="20" w:type="dxa"/>
            <w:vAlign w:val="bottom"/>
          </w:tcPr>
          <w:p>
            <w:pPr>
              <w:spacing w:after="0"/>
              <w:rPr>
                <w:sz w:val="17"/>
                <w:szCs w:val="17"/>
                <w:color w:val="auto"/>
              </w:rPr>
            </w:pPr>
          </w:p>
        </w:tc>
        <w:tc>
          <w:tcPr>
            <w:tcW w:w="898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Accounts receivable, less allowance for doubtful accounts of $0 and $622 at January 31, 2020 and July 31, 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8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34,205</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30,228</w:t>
            </w: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related parties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 capitalized to obtain revenue contracts, current portion,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4,007</w:t>
            </w: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7,152</w:t>
            </w:r>
          </w:p>
        </w:tc>
      </w:tr>
      <w:tr>
        <w:trPr>
          <w:trHeight w:val="227"/>
        </w:trPr>
        <w:tc>
          <w:tcPr>
            <w:tcW w:w="20" w:type="dxa"/>
            <w:vAlign w:val="bottom"/>
          </w:tcPr>
          <w:p>
            <w:pPr>
              <w:spacing w:after="0"/>
              <w:rPr>
                <w:sz w:val="19"/>
                <w:szCs w:val="19"/>
                <w:color w:val="auto"/>
              </w:rPr>
            </w:pPr>
          </w:p>
        </w:tc>
        <w:tc>
          <w:tcPr>
            <w:tcW w:w="89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145,277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429,578</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13,477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14,591</w:t>
            </w:r>
          </w:p>
        </w:tc>
      </w:tr>
      <w:tr>
        <w:trPr>
          <w:trHeight w:val="214"/>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 capitalized to obtain revenue contracts, noncurrent,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7,817</w:t>
            </w: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55,840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56,527</w:t>
            </w:r>
          </w:p>
        </w:tc>
      </w:tr>
      <w:tr>
        <w:trPr>
          <w:trHeight w:val="214"/>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26,093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24,636</w:t>
            </w: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r>
      <w:tr>
        <w:trPr>
          <w:trHeight w:val="221"/>
        </w:trPr>
        <w:tc>
          <w:tcPr>
            <w:tcW w:w="20" w:type="dxa"/>
            <w:vAlign w:val="bottom"/>
          </w:tcPr>
          <w:p>
            <w:pPr>
              <w:spacing w:after="0"/>
              <w:rPr>
                <w:sz w:val="19"/>
                <w:szCs w:val="19"/>
                <w:color w:val="auto"/>
              </w:rPr>
            </w:pPr>
          </w:p>
        </w:tc>
        <w:tc>
          <w:tcPr>
            <w:tcW w:w="89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250,151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533,799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2,188</w:t>
            </w:r>
          </w:p>
        </w:tc>
      </w:tr>
      <w:tr>
        <w:trPr>
          <w:trHeight w:val="214"/>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related parties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4,018</w:t>
            </w: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commissions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4,701</w:t>
            </w:r>
          </w:p>
        </w:tc>
      </w:tr>
      <w:tr>
        <w:trPr>
          <w:trHeight w:val="214"/>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4,820</w:t>
            </w: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rent,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14"/>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50,929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84,288</w:t>
            </w: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 current portion, related parties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0" w:type="dxa"/>
            <w:vAlign w:val="bottom"/>
          </w:tcPr>
          <w:p>
            <w:pPr>
              <w:spacing w:after="0"/>
              <w:rPr>
                <w:sz w:val="19"/>
                <w:szCs w:val="19"/>
                <w:color w:val="auto"/>
              </w:rPr>
            </w:pPr>
          </w:p>
        </w:tc>
        <w:tc>
          <w:tcPr>
            <w:tcW w:w="89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100,223</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r>
      <w:tr>
        <w:trPr>
          <w:trHeight w:val="214"/>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rent,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1,468</w:t>
            </w: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0" w:type="dxa"/>
            <w:vAlign w:val="bottom"/>
          </w:tcPr>
          <w:p>
            <w:pPr>
              <w:spacing w:after="0"/>
              <w:rPr>
                <w:sz w:val="19"/>
                <w:szCs w:val="19"/>
                <w:color w:val="auto"/>
              </w:rPr>
            </w:pPr>
          </w:p>
        </w:tc>
        <w:tc>
          <w:tcPr>
            <w:tcW w:w="89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78,522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101,925</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(Notes 8, 11 and 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 (Note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4,384</w:t>
            </w: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898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Preferred stock, $0.001 par value; 1,000,000 and 10,000,000 shares authorized as of January 31, 2020 and July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8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2020, respectively; and none issued and outstanding as of January 31, 2020 and July 31, 2020,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Common stock, $0.0005 par value; 0 and 500,000,000 shares authorized as of January 31, 2020 and July 31, 2020,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 0 and 91,122,356 shares issued and outstanding as of January 31, 2020 and July 31, 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8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196"/>
        </w:trPr>
        <w:tc>
          <w:tcPr>
            <w:tcW w:w="20" w:type="dxa"/>
            <w:vAlign w:val="bottom"/>
          </w:tcPr>
          <w:p>
            <w:pPr>
              <w:spacing w:after="0"/>
              <w:rPr>
                <w:sz w:val="17"/>
                <w:szCs w:val="17"/>
                <w:color w:val="auto"/>
              </w:rPr>
            </w:pPr>
          </w:p>
        </w:tc>
        <w:tc>
          <w:tcPr>
            <w:tcW w:w="898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Voting common stock, $0.0005 par value; 99,708,247 and 0 shares authorized as of January 31, 2020 and July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8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2020, respectively; 75,596,007 and 0 shares issued and outstanding as of January 31, 2020 and July 31, 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8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Non-voting common stock, $0.0005 par value; 10,291,753 and 0 shares authorized as of January 31, 2020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July 31, 2020, respectively; 5,931,319 and 0 shares issued and outstanding as of January 31, 2020 and July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8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2020,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567,314</w:t>
            </w: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r>
      <w:tr>
        <w:trPr>
          <w:trHeight w:val="221"/>
        </w:trPr>
        <w:tc>
          <w:tcPr>
            <w:tcW w:w="20" w:type="dxa"/>
            <w:vAlign w:val="bottom"/>
          </w:tcPr>
          <w:p>
            <w:pPr>
              <w:spacing w:after="0"/>
              <w:rPr>
                <w:sz w:val="19"/>
                <w:szCs w:val="19"/>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(120,924)</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(140,072)</w:t>
            </w: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167,273</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427,490</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9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250,151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533,799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80"/>
          </w:cols>
          <w:pgMar w:left="320" w:top="454" w:right="49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10"/>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1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1"/>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1"/>
              <w:spacing w:after="0" w:line="141" w:lineRule="exact"/>
              <w:rPr>
                <w:sz w:val="20"/>
                <w:szCs w:val="20"/>
                <w:color w:val="auto"/>
              </w:rPr>
            </w:pPr>
            <w:r>
              <w:rPr>
                <w:rFonts w:ascii="Times New Roman" w:cs="Times New Roman" w:eastAsia="Times New Roman" w:hAnsi="Times New Roman"/>
                <w:sz w:val="14"/>
                <w:szCs w:val="14"/>
                <w:b w:val="1"/>
                <w:bCs w:val="1"/>
                <w:color w:val="auto"/>
                <w:w w:val="92"/>
              </w:rPr>
              <w:t>2020</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4"/>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22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Subscription (related parties $2,112, $0, $3,867 and $2,439, respectively)</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23,110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39,351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gridSpan w:val="2"/>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80" w:type="dxa"/>
            <w:vAlign w:val="bottom"/>
            <w:gridSpan w:val="4"/>
          </w:tcPr>
          <w:p>
            <w:pPr>
              <w:jc w:val="right"/>
              <w:ind w:right="124"/>
              <w:spacing w:after="0"/>
              <w:rPr>
                <w:sz w:val="20"/>
                <w:szCs w:val="20"/>
                <w:color w:val="auto"/>
              </w:rPr>
            </w:pPr>
            <w:r>
              <w:rPr>
                <w:rFonts w:ascii="Times New Roman" w:cs="Times New Roman" w:eastAsia="Times New Roman" w:hAnsi="Times New Roman"/>
                <w:sz w:val="16"/>
                <w:szCs w:val="16"/>
                <w:color w:val="auto"/>
              </w:rPr>
              <w:t>44,142</w:t>
            </w:r>
          </w:p>
        </w:tc>
        <w:tc>
          <w:tcPr>
            <w:tcW w:w="2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74,182</w:t>
            </w:r>
          </w:p>
        </w:tc>
        <w:tc>
          <w:tcPr>
            <w:tcW w:w="0" w:type="dxa"/>
            <w:vAlign w:val="bottom"/>
          </w:tcPr>
          <w:p>
            <w:pPr>
              <w:spacing w:after="0"/>
              <w:rPr>
                <w:sz w:val="1"/>
                <w:szCs w:val="1"/>
                <w:color w:val="auto"/>
              </w:rPr>
            </w:pPr>
          </w:p>
        </w:tc>
      </w:tr>
      <w:tr>
        <w:trPr>
          <w:trHeight w:val="201"/>
        </w:trPr>
        <w:tc>
          <w:tcPr>
            <w:tcW w:w="20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Professional services</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8,868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17,672</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19,295</w:t>
            </w: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 revenues</w:t>
            </w: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31,978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48,765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61,814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93,477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602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4"/>
                <w:szCs w:val="14"/>
                <w:color w:val="auto"/>
              </w:rPr>
              <w:t>Subscription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(related party $5,361, $8,700, $10,420 and $16,210, respectively)</w:t>
            </w:r>
          </w:p>
        </w:tc>
        <w:tc>
          <w:tcPr>
            <w:tcW w:w="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7,083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11,920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124"/>
              <w:spacing w:after="0"/>
              <w:rPr>
                <w:sz w:val="20"/>
                <w:szCs w:val="20"/>
                <w:color w:val="auto"/>
              </w:rPr>
            </w:pPr>
            <w:r>
              <w:rPr>
                <w:rFonts w:ascii="Times New Roman" w:cs="Times New Roman" w:eastAsia="Times New Roman" w:hAnsi="Times New Roman"/>
                <w:sz w:val="16"/>
                <w:szCs w:val="16"/>
                <w:color w:val="auto"/>
              </w:rPr>
              <w:t>13,585</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22,019</w:t>
            </w:r>
          </w:p>
        </w:tc>
        <w:tc>
          <w:tcPr>
            <w:tcW w:w="0" w:type="dxa"/>
            <w:vAlign w:val="bottom"/>
          </w:tcPr>
          <w:p>
            <w:pPr>
              <w:spacing w:after="0"/>
              <w:rPr>
                <w:sz w:val="1"/>
                <w:szCs w:val="1"/>
                <w:color w:val="auto"/>
              </w:rPr>
            </w:pPr>
          </w:p>
        </w:tc>
      </w:tr>
      <w:tr>
        <w:trPr>
          <w:trHeight w:val="201"/>
        </w:trPr>
        <w:tc>
          <w:tcPr>
            <w:tcW w:w="20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ind w:left="120"/>
              <w:spacing w:after="0" w:line="201" w:lineRule="exact"/>
              <w:rPr>
                <w:sz w:val="20"/>
                <w:szCs w:val="20"/>
                <w:color w:val="auto"/>
              </w:rPr>
            </w:pPr>
            <w:r>
              <w:rPr>
                <w:rFonts w:ascii="Times New Roman" w:cs="Times New Roman" w:eastAsia="Times New Roman" w:hAnsi="Times New Roman"/>
                <w:sz w:val="14"/>
                <w:szCs w:val="14"/>
                <w:color w:val="auto"/>
              </w:rPr>
              <w:t>Professional services</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7,687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15,223</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19,434</w:t>
            </w: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 cost of revenues</w:t>
            </w: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22,587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28,808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41,453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17,208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33,006</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52,024</w:t>
            </w:r>
          </w:p>
        </w:tc>
        <w:tc>
          <w:tcPr>
            <w:tcW w:w="0" w:type="dxa"/>
            <w:vAlign w:val="bottom"/>
          </w:tcPr>
          <w:p>
            <w:pPr>
              <w:spacing w:after="0"/>
              <w:rPr>
                <w:sz w:val="1"/>
                <w:szCs w:val="1"/>
                <w:color w:val="auto"/>
              </w:rPr>
            </w:pPr>
          </w:p>
        </w:tc>
      </w:tr>
      <w:tr>
        <w:trPr>
          <w:trHeight w:val="205"/>
        </w:trPr>
        <w:tc>
          <w:tcPr>
            <w:tcW w:w="6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10,453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18,468</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27,852</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602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8,272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15,292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124"/>
              <w:spacing w:after="0"/>
              <w:rPr>
                <w:sz w:val="20"/>
                <w:szCs w:val="20"/>
                <w:color w:val="auto"/>
              </w:rPr>
            </w:pPr>
            <w:r>
              <w:rPr>
                <w:rFonts w:ascii="Times New Roman" w:cs="Times New Roman" w:eastAsia="Times New Roman" w:hAnsi="Times New Roman"/>
                <w:sz w:val="16"/>
                <w:szCs w:val="16"/>
                <w:color w:val="auto"/>
              </w:rPr>
              <w:t>15,638</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26,257</w:t>
            </w:r>
          </w:p>
        </w:tc>
        <w:tc>
          <w:tcPr>
            <w:tcW w:w="0" w:type="dxa"/>
            <w:vAlign w:val="bottom"/>
          </w:tcPr>
          <w:p>
            <w:pPr>
              <w:spacing w:after="0"/>
              <w:rPr>
                <w:sz w:val="1"/>
                <w:szCs w:val="1"/>
                <w:color w:val="auto"/>
              </w:rPr>
            </w:pPr>
          </w:p>
        </w:tc>
      </w:tr>
      <w:tr>
        <w:trPr>
          <w:trHeight w:val="201"/>
        </w:trPr>
        <w:tc>
          <w:tcPr>
            <w:tcW w:w="20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ind w:left="120"/>
              <w:spacing w:after="0" w:line="201" w:lineRule="exact"/>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6,430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10,339</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17,879</w:t>
            </w: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41,871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44,445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71,988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(7,947)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5"/>
              </w:rPr>
              <w:t>(11,439)</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(19,964)</w:t>
            </w:r>
          </w:p>
        </w:tc>
        <w:tc>
          <w:tcPr>
            <w:tcW w:w="0" w:type="dxa"/>
            <w:vAlign w:val="bottom"/>
          </w:tcPr>
          <w:p>
            <w:pPr>
              <w:spacing w:after="0"/>
              <w:rPr>
                <w:sz w:val="1"/>
                <w:szCs w:val="1"/>
                <w:color w:val="auto"/>
              </w:rPr>
            </w:pPr>
          </w:p>
        </w:tc>
      </w:tr>
      <w:tr>
        <w:trPr>
          <w:trHeight w:val="205"/>
        </w:trPr>
        <w:tc>
          <w:tcPr>
            <w:tcW w:w="6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Non-operating Income (Expense)</w:t>
            </w: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583</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(618)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1,117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84"/>
              <w:spacing w:after="0"/>
              <w:rPr>
                <w:sz w:val="20"/>
                <w:szCs w:val="20"/>
                <w:color w:val="auto"/>
              </w:rPr>
            </w:pPr>
            <w:r>
              <w:rPr>
                <w:rFonts w:ascii="Times New Roman" w:cs="Times New Roman" w:eastAsia="Times New Roman" w:hAnsi="Times New Roman"/>
                <w:sz w:val="16"/>
                <w:szCs w:val="16"/>
                <w:color w:val="auto"/>
              </w:rPr>
              <w:t>(727)</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b w:val="1"/>
                <w:bCs w:val="1"/>
                <w:color w:val="auto"/>
              </w:rPr>
              <w:t>Loss before income tax expense</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(8,300)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5"/>
              </w:rPr>
              <w:t>(11,583)</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(19,156)</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(8,502)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5"/>
              </w:rPr>
              <w:t>(11,921)</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(19,556)</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 attributable to redeemable non-controlling interest (Note 3)</w:t>
            </w:r>
          </w:p>
        </w:tc>
        <w:tc>
          <w:tcPr>
            <w:tcW w:w="8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01"/>
        </w:trPr>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 attributable to redeemable non-controlling interest (Note 3)</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Net loss attributable to nCino, Inc.</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(14,646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7"/>
              </w:rPr>
              <w:t>(11,921</w:t>
            </w:r>
          </w:p>
        </w:tc>
        <w:tc>
          <w:tcPr>
            <w:tcW w:w="180" w:type="dxa"/>
            <w:vAlign w:val="bottom"/>
          </w:tcPr>
          <w:p>
            <w:pPr>
              <w:jc w:val="right"/>
              <w:ind w:right="84"/>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(19,415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per share attributable to nCino, Inc.:</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 and 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80" w:type="dxa"/>
            <w:vAlign w:val="bottom"/>
          </w:tcPr>
          <w:p>
            <w:pPr>
              <w:spacing w:after="0"/>
              <w:rPr>
                <w:sz w:val="17"/>
                <w:szCs w:val="17"/>
                <w:color w:val="auto"/>
              </w:rPr>
            </w:pPr>
          </w:p>
        </w:tc>
        <w:tc>
          <w:tcPr>
            <w:tcW w:w="460" w:type="dxa"/>
            <w:vAlign w:val="bottom"/>
            <w:gridSpan w:val="2"/>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80" w:type="dxa"/>
            <w:vAlign w:val="bottom"/>
            <w:gridSpan w:val="4"/>
          </w:tcPr>
          <w:p>
            <w:pPr>
              <w:jc w:val="right"/>
              <w:ind w:right="84"/>
              <w:spacing w:after="0"/>
              <w:rPr>
                <w:sz w:val="20"/>
                <w:szCs w:val="20"/>
                <w:color w:val="auto"/>
              </w:rPr>
            </w:pPr>
            <w:r>
              <w:rPr>
                <w:rFonts w:ascii="Times New Roman" w:cs="Times New Roman" w:eastAsia="Times New Roman" w:hAnsi="Times New Roman"/>
                <w:sz w:val="16"/>
                <w:szCs w:val="16"/>
                <w:color w:val="auto"/>
              </w:rPr>
              <w:t>(0.16)</w:t>
            </w:r>
          </w:p>
        </w:tc>
        <w:tc>
          <w:tcPr>
            <w:tcW w:w="2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 outstanding:</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 and diluted</w:t>
            </w:r>
          </w:p>
        </w:tc>
        <w:tc>
          <w:tcPr>
            <w:tcW w:w="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7"/>
              </w:rPr>
              <w:t>76,420,098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w w:val="97"/>
              </w:rPr>
              <w:t>84,629,777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7"/>
          </w:tcPr>
          <w:p>
            <w:pPr>
              <w:jc w:val="right"/>
              <w:ind w:right="124"/>
              <w:spacing w:after="0"/>
              <w:rPr>
                <w:sz w:val="20"/>
                <w:szCs w:val="20"/>
                <w:color w:val="auto"/>
              </w:rPr>
            </w:pPr>
            <w:r>
              <w:rPr>
                <w:rFonts w:ascii="Times New Roman" w:cs="Times New Roman" w:eastAsia="Times New Roman" w:hAnsi="Times New Roman"/>
                <w:sz w:val="16"/>
                <w:szCs w:val="16"/>
                <w:color w:val="auto"/>
              </w:rPr>
              <w:t>76,206,900</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7"/>
              </w:rPr>
              <w:t>83,112,132</w:t>
            </w: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line="20" w:lineRule="exact"/>
              <w:rPr>
                <w:sz w:val="1"/>
                <w:szCs w:val="1"/>
                <w:color w:val="auto"/>
              </w:rPr>
            </w:pPr>
          </w:p>
        </w:tc>
        <w:tc>
          <w:tcPr>
            <w:tcW w:w="58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Includes stock-based compensation expense as follows: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9"/>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24"/>
                <w:szCs w:val="24"/>
                <w:color w:val="auto"/>
              </w:rPr>
            </w:pPr>
          </w:p>
        </w:tc>
        <w:tc>
          <w:tcPr>
            <w:tcW w:w="164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1"/>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106"/>
              <w:spacing w:after="0" w:line="141" w:lineRule="exact"/>
              <w:rPr>
                <w:sz w:val="20"/>
                <w:szCs w:val="20"/>
                <w:color w:val="auto"/>
              </w:rPr>
            </w:pPr>
            <w:r>
              <w:rPr>
                <w:rFonts w:ascii="Times New Roman" w:cs="Times New Roman" w:eastAsia="Times New Roman" w:hAnsi="Times New Roman"/>
                <w:sz w:val="14"/>
                <w:szCs w:val="14"/>
                <w:b w:val="1"/>
                <w:bCs w:val="1"/>
                <w:color w:val="auto"/>
                <w:w w:val="92"/>
              </w:rPr>
              <w:t>2020</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3"/>
          </w:tcPr>
          <w:p>
            <w:pPr>
              <w:jc w:val="right"/>
              <w:ind w:right="24"/>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subscription revenues</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Cost of professional services revenues</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2,282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3,346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3,031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611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4,368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1,623</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13,269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3,601</w:t>
            </w:r>
          </w:p>
        </w:tc>
        <w:tc>
          <w:tcPr>
            <w:tcW w:w="240" w:type="dxa"/>
            <w:vAlign w:val="bottom"/>
          </w:tcPr>
          <w:p>
            <w:pPr>
              <w:spacing w:after="0"/>
              <w:rPr>
                <w:sz w:val="17"/>
                <w:szCs w:val="17"/>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14,320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080"/>
          </w:cols>
          <w:pgMar w:left="320" w:top="454" w:right="49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7"/>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40"/>
        </w:trPr>
        <w:tc>
          <w:tcPr>
            <w:tcW w:w="6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7"/>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(11,921)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(19,556)</w:t>
            </w:r>
          </w:p>
        </w:tc>
        <w:tc>
          <w:tcPr>
            <w:tcW w:w="100" w:type="dxa"/>
            <w:vAlign w:val="bottom"/>
            <w:shd w:val="clear" w:color="auto" w:fill="CCEEFF"/>
          </w:tcPr>
          <w:p>
            <w:pPr>
              <w:spacing w:after="0"/>
              <w:rPr>
                <w:sz w:val="18"/>
                <w:szCs w:val="18"/>
                <w:color w:val="auto"/>
              </w:rPr>
            </w:pPr>
          </w:p>
        </w:tc>
      </w:tr>
      <w:tr>
        <w:trPr>
          <w:trHeight w:val="214"/>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779</w:t>
            </w:r>
          </w:p>
        </w:tc>
      </w:tr>
      <w:tr>
        <w:trPr>
          <w:trHeight w:val="227"/>
        </w:trPr>
        <w:tc>
          <w:tcPr>
            <w:tcW w:w="64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r>
      <w:tr>
        <w:trPr>
          <w:trHeight w:val="214"/>
        </w:trPr>
        <w:tc>
          <w:tcPr>
            <w:tcW w:w="6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(14,257)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(11,472)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w:t>
            </w:r>
          </w:p>
        </w:tc>
      </w:tr>
      <w:tr>
        <w:trPr>
          <w:trHeight w:val="221"/>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comprehensive loss attributable to redeemable non-controlling interest:</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1"/>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attributable to redeemable non-controlling interest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r>
      <w:tr>
        <w:trPr>
          <w:trHeight w:val="214"/>
        </w:trPr>
        <w:tc>
          <w:tcPr>
            <w:tcW w:w="6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redeemable non-controlling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1"/>
        </w:trPr>
        <w:tc>
          <w:tcPr>
            <w:tcW w:w="64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nCino, Inc.</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(14,103</w:t>
            </w:r>
          </w:p>
        </w:tc>
        <w:tc>
          <w:tcPr>
            <w:tcW w:w="2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40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080"/>
          </w:cols>
          <w:pgMar w:left="320" w:top="454" w:right="49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9"/>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July 31, 2019</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880" w:type="dxa"/>
            <w:vAlign w:val="bottom"/>
            <w:gridSpan w:val="2"/>
          </w:tcPr>
          <w:p>
            <w:pPr>
              <w:jc w:val="center"/>
              <w:ind w:left="429"/>
              <w:spacing w:after="0" w:line="127" w:lineRule="exact"/>
              <w:rPr>
                <w:sz w:val="20"/>
                <w:szCs w:val="20"/>
                <w:color w:val="auto"/>
              </w:rPr>
            </w:pPr>
            <w:r>
              <w:rPr>
                <w:rFonts w:ascii="Times New Roman" w:cs="Times New Roman" w:eastAsia="Times New Roman" w:hAnsi="Times New Roman"/>
                <w:sz w:val="14"/>
                <w:szCs w:val="14"/>
                <w:color w:val="auto"/>
                <w:w w:val="97"/>
              </w:rPr>
              <w:t>Voting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tcPr>
          <w:p>
            <w:pPr>
              <w:ind w:left="340"/>
              <w:spacing w:after="0" w:line="127" w:lineRule="exact"/>
              <w:rPr>
                <w:sz w:val="20"/>
                <w:szCs w:val="20"/>
                <w:color w:val="auto"/>
              </w:rPr>
            </w:pPr>
            <w:r>
              <w:rPr>
                <w:rFonts w:ascii="Times New Roman" w:cs="Times New Roman" w:eastAsia="Times New Roman" w:hAnsi="Times New Roman"/>
                <w:sz w:val="14"/>
                <w:szCs w:val="14"/>
                <w:color w:val="auto"/>
              </w:rPr>
              <w:t>Non-voting</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jc w:val="right"/>
              <w:ind w:right="180"/>
              <w:spacing w:after="0" w:line="127" w:lineRule="exact"/>
              <w:rPr>
                <w:sz w:val="20"/>
                <w:szCs w:val="20"/>
                <w:color w:val="auto"/>
              </w:rPr>
            </w:pPr>
            <w:r>
              <w:rPr>
                <w:rFonts w:ascii="Times New Roman" w:cs="Times New Roman" w:eastAsia="Times New Roman" w:hAnsi="Times New Roman"/>
                <w:sz w:val="14"/>
                <w:szCs w:val="14"/>
                <w:color w:val="auto"/>
                <w:w w:val="96"/>
              </w:rPr>
              <w:t>Additional</w:t>
            </w:r>
          </w:p>
        </w:tc>
        <w:tc>
          <w:tcPr>
            <w:tcW w:w="640" w:type="dxa"/>
            <w:vAlign w:val="bottom"/>
          </w:tcPr>
          <w:p>
            <w:pPr>
              <w:jc w:val="center"/>
              <w:ind w:left="169"/>
              <w:spacing w:after="0" w:line="127"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140" w:type="dxa"/>
            <w:vAlign w:val="bottom"/>
            <w:tcBorders>
              <w:bottom w:val="single" w:sz="8" w:color="auto"/>
            </w:tcBorders>
            <w:gridSpan w:val="4"/>
          </w:tcPr>
          <w:p>
            <w:pPr>
              <w:jc w:val="center"/>
              <w:ind w:left="149"/>
              <w:spacing w:after="0"/>
              <w:rPr>
                <w:sz w:val="20"/>
                <w:szCs w:val="20"/>
                <w:color w:val="auto"/>
              </w:rPr>
            </w:pPr>
            <w:r>
              <w:rPr>
                <w:rFonts w:ascii="Times New Roman" w:cs="Times New Roman" w:eastAsia="Times New Roman" w:hAnsi="Times New Roman"/>
                <w:sz w:val="14"/>
                <w:szCs w:val="14"/>
                <w:color w:val="auto"/>
              </w:rPr>
              <w:t>Common Stock</w:t>
            </w: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8"/>
              </w:rPr>
              <w:t>Paid-in</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Comprehensive</w:t>
            </w:r>
          </w:p>
        </w:tc>
        <w:tc>
          <w:tcPr>
            <w:tcW w:w="8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80" w:type="dxa"/>
            <w:vAlign w:val="bottom"/>
            <w:gridSpan w:val="2"/>
          </w:tcPr>
          <w:p>
            <w:pPr>
              <w:jc w:val="right"/>
              <w:ind w:right="320"/>
              <w:spacing w:after="0" w:line="141" w:lineRule="exact"/>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2"/>
                <w:szCs w:val="12"/>
                <w:color w:val="auto"/>
              </w:rPr>
            </w:pPr>
          </w:p>
        </w:tc>
        <w:tc>
          <w:tcPr>
            <w:tcW w:w="4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4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80"/>
              <w:spacing w:after="0" w:line="141" w:lineRule="exact"/>
              <w:rPr>
                <w:sz w:val="20"/>
                <w:szCs w:val="20"/>
                <w:color w:val="auto"/>
              </w:rPr>
            </w:pPr>
            <w:r>
              <w:rPr>
                <w:rFonts w:ascii="Times New Roman" w:cs="Times New Roman" w:eastAsia="Times New Roman" w:hAnsi="Times New Roman"/>
                <w:sz w:val="14"/>
                <w:szCs w:val="14"/>
                <w:color w:val="auto"/>
                <w:w w:val="98"/>
              </w:rPr>
              <w:t>Capital</w:t>
            </w:r>
          </w:p>
        </w:tc>
        <w:tc>
          <w:tcPr>
            <w:tcW w:w="98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color w:val="auto"/>
              </w:rPr>
              <w:t>Income (Loss)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80"/>
              <w:spacing w:after="0" w:line="141" w:lineRule="exact"/>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2"/>
                <w:szCs w:val="12"/>
                <w:color w:val="auto"/>
              </w:rPr>
            </w:pPr>
          </w:p>
        </w:tc>
        <w:tc>
          <w:tcPr>
            <w:tcW w:w="5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4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Balance, April 30, 2019</w:t>
            </w:r>
          </w:p>
        </w:tc>
        <w:tc>
          <w:tcPr>
            <w:tcW w:w="7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70,318,021</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35</w:t>
            </w: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100"/>
              <w:spacing w:after="0" w:line="141" w:lineRule="exact"/>
              <w:rPr>
                <w:sz w:val="20"/>
                <w:szCs w:val="20"/>
                <w:color w:val="auto"/>
              </w:rPr>
            </w:pPr>
            <w:r>
              <w:rPr>
                <w:rFonts w:ascii="Times New Roman" w:cs="Times New Roman" w:eastAsia="Times New Roman" w:hAnsi="Times New Roman"/>
                <w:sz w:val="14"/>
                <w:szCs w:val="14"/>
                <w:color w:val="auto"/>
                <w:w w:val="99"/>
              </w:rPr>
              <w:t>5,701,435</w:t>
            </w: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3</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172,152</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ind w:left="120"/>
              <w:spacing w:after="0" w:line="141" w:lineRule="exact"/>
              <w:rPr>
                <w:sz w:val="20"/>
                <w:szCs w:val="20"/>
                <w:color w:val="auto"/>
              </w:rPr>
            </w:pPr>
            <w:r>
              <w:rPr>
                <w:rFonts w:ascii="Times New Roman" w:cs="Times New Roman" w:eastAsia="Times New Roman" w:hAnsi="Times New Roman"/>
                <w:sz w:val="14"/>
                <w:szCs w:val="14"/>
                <w:color w:val="auto"/>
                <w:w w:val="85"/>
              </w:rPr>
              <w:t>37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(96,749)</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75,478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42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Stock issuance related to business combinations</w:t>
            </w:r>
          </w:p>
        </w:tc>
        <w:tc>
          <w:tcPr>
            <w:tcW w:w="88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1,438,805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680" w:type="dxa"/>
            <w:vAlign w:val="bottom"/>
          </w:tcPr>
          <w:p>
            <w:pPr>
              <w:ind w:left="4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23,811</w:t>
            </w:r>
          </w:p>
        </w:tc>
        <w:tc>
          <w:tcPr>
            <w:tcW w:w="640" w:type="dxa"/>
            <w:vAlign w:val="bottom"/>
          </w:tcPr>
          <w:p>
            <w:pPr>
              <w:spacing w:after="0"/>
              <w:rPr>
                <w:sz w:val="12"/>
                <w:szCs w:val="12"/>
                <w:color w:val="auto"/>
              </w:rPr>
            </w:pPr>
          </w:p>
        </w:tc>
        <w:tc>
          <w:tcPr>
            <w:tcW w:w="34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23,812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4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56,269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265</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42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2,492</w:t>
            </w:r>
          </w:p>
        </w:tc>
        <w:tc>
          <w:tcPr>
            <w:tcW w:w="640" w:type="dxa"/>
            <w:vAlign w:val="bottom"/>
          </w:tcPr>
          <w:p>
            <w:pPr>
              <w:spacing w:after="0"/>
              <w:rPr>
                <w:sz w:val="12"/>
                <w:szCs w:val="12"/>
                <w:color w:val="auto"/>
              </w:rPr>
            </w:pPr>
          </w:p>
        </w:tc>
        <w:tc>
          <w:tcPr>
            <w:tcW w:w="34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2,492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4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391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42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Net loss attributable to nCino, Inc.</w:t>
            </w:r>
          </w:p>
        </w:tc>
        <w:tc>
          <w:tcPr>
            <w:tcW w:w="7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tcPr>
          <w:p>
            <w:pPr>
              <w:ind w:left="4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(8,502)</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(8,502)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44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Balance, July 31, 2019</w:t>
            </w:r>
          </w:p>
        </w:tc>
        <w:tc>
          <w:tcPr>
            <w:tcW w:w="88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71,813,095</w:t>
            </w:r>
          </w:p>
        </w:tc>
        <w:tc>
          <w:tcPr>
            <w:tcW w:w="2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36</w:t>
            </w:r>
          </w:p>
        </w:tc>
        <w:tc>
          <w:tcPr>
            <w:tcW w:w="6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w w:val="99"/>
              </w:rPr>
              <w:t>5,701,435</w:t>
            </w:r>
          </w:p>
        </w:tc>
        <w:tc>
          <w:tcPr>
            <w:tcW w:w="560" w:type="dxa"/>
            <w:vAlign w:val="bottom"/>
            <w:gridSpan w:val="2"/>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3</w:t>
            </w:r>
          </w:p>
        </w:tc>
        <w:tc>
          <w:tcPr>
            <w:tcW w:w="2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198,720</w:t>
            </w:r>
          </w:p>
        </w:tc>
        <w:tc>
          <w:tcPr>
            <w:tcW w:w="6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428</w:t>
            </w:r>
          </w:p>
        </w:tc>
        <w:tc>
          <w:tcPr>
            <w:tcW w:w="2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(105,251)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93,936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10"/>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July 31, 2020</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280" w:type="dxa"/>
            <w:vAlign w:val="bottom"/>
            <w:gridSpan w:val="4"/>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1"/>
                <w:szCs w:val="11"/>
                <w:color w:val="auto"/>
              </w:rPr>
            </w:pPr>
          </w:p>
        </w:tc>
        <w:tc>
          <w:tcPr>
            <w:tcW w:w="880" w:type="dxa"/>
            <w:vAlign w:val="bottom"/>
            <w:gridSpan w:val="2"/>
          </w:tcPr>
          <w:p>
            <w:pPr>
              <w:jc w:val="center"/>
              <w:ind w:left="429"/>
              <w:spacing w:after="0" w:line="127" w:lineRule="exact"/>
              <w:rPr>
                <w:sz w:val="20"/>
                <w:szCs w:val="20"/>
                <w:color w:val="auto"/>
              </w:rPr>
            </w:pPr>
            <w:r>
              <w:rPr>
                <w:rFonts w:ascii="Times New Roman" w:cs="Times New Roman" w:eastAsia="Times New Roman" w:hAnsi="Times New Roman"/>
                <w:sz w:val="14"/>
                <w:szCs w:val="14"/>
                <w:color w:val="auto"/>
                <w:w w:val="97"/>
              </w:rPr>
              <w:t>Voting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ind w:left="340"/>
              <w:spacing w:after="0" w:line="127" w:lineRule="exact"/>
              <w:rPr>
                <w:sz w:val="20"/>
                <w:szCs w:val="20"/>
                <w:color w:val="auto"/>
              </w:rPr>
            </w:pPr>
            <w:r>
              <w:rPr>
                <w:rFonts w:ascii="Times New Roman" w:cs="Times New Roman" w:eastAsia="Times New Roman" w:hAnsi="Times New Roman"/>
                <w:sz w:val="14"/>
                <w:szCs w:val="14"/>
                <w:color w:val="auto"/>
              </w:rPr>
              <w:t>Non-voting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180"/>
              <w:spacing w:after="0" w:line="127" w:lineRule="exact"/>
              <w:rPr>
                <w:sz w:val="20"/>
                <w:szCs w:val="20"/>
                <w:color w:val="auto"/>
              </w:rPr>
            </w:pPr>
            <w:r>
              <w:rPr>
                <w:rFonts w:ascii="Times New Roman" w:cs="Times New Roman" w:eastAsia="Times New Roman" w:hAnsi="Times New Roman"/>
                <w:sz w:val="14"/>
                <w:szCs w:val="14"/>
                <w:color w:val="auto"/>
                <w:w w:val="96"/>
              </w:rPr>
              <w:t>Additional</w:t>
            </w:r>
          </w:p>
        </w:tc>
        <w:tc>
          <w:tcPr>
            <w:tcW w:w="180" w:type="dxa"/>
            <w:vAlign w:val="bottom"/>
          </w:tcPr>
          <w:p>
            <w:pPr>
              <w:spacing w:after="0"/>
              <w:rPr>
                <w:sz w:val="11"/>
                <w:szCs w:val="11"/>
                <w:color w:val="auto"/>
              </w:rPr>
            </w:pPr>
          </w:p>
        </w:tc>
        <w:tc>
          <w:tcPr>
            <w:tcW w:w="820" w:type="dxa"/>
            <w:vAlign w:val="bottom"/>
            <w:gridSpan w:val="2"/>
          </w:tcPr>
          <w:p>
            <w:pPr>
              <w:ind w:left="100"/>
              <w:spacing w:after="0" w:line="127" w:lineRule="exact"/>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4"/>
          </w:tcPr>
          <w:p>
            <w:pPr>
              <w:jc w:val="center"/>
              <w:ind w:left="149"/>
              <w:spacing w:after="0"/>
              <w:rPr>
                <w:sz w:val="20"/>
                <w:szCs w:val="20"/>
                <w:color w:val="auto"/>
              </w:rPr>
            </w:pPr>
            <w:r>
              <w:rPr>
                <w:rFonts w:ascii="Times New Roman" w:cs="Times New Roman" w:eastAsia="Times New Roman" w:hAnsi="Times New Roman"/>
                <w:sz w:val="14"/>
                <w:szCs w:val="14"/>
                <w:color w:val="auto"/>
              </w:rPr>
              <w:t>Common Stock</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8"/>
              </w:rPr>
              <w:t>Paid-in</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Comprehensive</w:t>
            </w:r>
          </w:p>
        </w:tc>
        <w:tc>
          <w:tcPr>
            <w:tcW w:w="6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80" w:type="dxa"/>
            <w:vAlign w:val="bottom"/>
            <w:tcBorders>
              <w:top w:val="single" w:sz="8" w:color="auto"/>
            </w:tcBorders>
          </w:tcPr>
          <w:p>
            <w:pPr>
              <w:ind w:left="160"/>
              <w:spacing w:after="0" w:line="141"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20"/>
              <w:spacing w:after="0" w:line="141" w:lineRule="exact"/>
              <w:rPr>
                <w:sz w:val="20"/>
                <w:szCs w:val="20"/>
                <w:color w:val="auto"/>
              </w:rPr>
            </w:pPr>
            <w:r>
              <w:rPr>
                <w:rFonts w:ascii="Times New Roman" w:cs="Times New Roman" w:eastAsia="Times New Roman" w:hAnsi="Times New Roman"/>
                <w:sz w:val="14"/>
                <w:szCs w:val="14"/>
                <w:color w:val="auto"/>
              </w:rPr>
              <w:t>Shares</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00"/>
              <w:spacing w:after="0" w:line="141" w:lineRule="exact"/>
              <w:rPr>
                <w:sz w:val="20"/>
                <w:szCs w:val="20"/>
                <w:color w:val="auto"/>
              </w:rPr>
            </w:pPr>
            <w:r>
              <w:rPr>
                <w:rFonts w:ascii="Times New Roman" w:cs="Times New Roman" w:eastAsia="Times New Roman" w:hAnsi="Times New Roman"/>
                <w:sz w:val="14"/>
                <w:szCs w:val="14"/>
                <w:color w:val="auto"/>
              </w:rPr>
              <w:t>Shares</w:t>
            </w:r>
          </w:p>
        </w:tc>
        <w:tc>
          <w:tcPr>
            <w:tcW w:w="48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80"/>
              <w:spacing w:after="0" w:line="141" w:lineRule="exact"/>
              <w:rPr>
                <w:sz w:val="20"/>
                <w:szCs w:val="20"/>
                <w:color w:val="auto"/>
              </w:rPr>
            </w:pPr>
            <w:r>
              <w:rPr>
                <w:rFonts w:ascii="Times New Roman" w:cs="Times New Roman" w:eastAsia="Times New Roman" w:hAnsi="Times New Roman"/>
                <w:sz w:val="14"/>
                <w:szCs w:val="14"/>
                <w:color w:val="auto"/>
                <w:w w:val="98"/>
              </w:rPr>
              <w:t>Capital</w:t>
            </w:r>
          </w:p>
        </w:tc>
        <w:tc>
          <w:tcPr>
            <w:tcW w:w="100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color w:val="auto"/>
              </w:rPr>
              <w:t>Income (Loss)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80"/>
              <w:spacing w:after="0" w:line="141" w:lineRule="exact"/>
              <w:rPr>
                <w:sz w:val="20"/>
                <w:szCs w:val="20"/>
                <w:color w:val="auto"/>
              </w:rPr>
            </w:pPr>
            <w:r>
              <w:rPr>
                <w:rFonts w:ascii="Times New Roman" w:cs="Times New Roman" w:eastAsia="Times New Roman" w:hAnsi="Times New Roman"/>
                <w:sz w:val="14"/>
                <w:szCs w:val="14"/>
                <w:color w:val="auto"/>
              </w:rPr>
              <w:t>Deficit</w:t>
            </w:r>
          </w:p>
        </w:tc>
        <w:tc>
          <w:tcPr>
            <w:tcW w:w="6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Balance, April 30, 2020</w:t>
            </w:r>
          </w:p>
        </w:tc>
        <w:tc>
          <w:tcPr>
            <w:tcW w:w="680" w:type="dxa"/>
            <w:vAlign w:val="bottom"/>
            <w:tcBorders>
              <w:top w:val="single" w:sz="8" w:color="auto"/>
            </w:tcBorders>
            <w:shd w:val="clear" w:color="auto" w:fill="CCEEFF"/>
          </w:tcPr>
          <w:p>
            <w:pPr>
              <w:ind w:left="4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CEEFF"/>
          </w:tcPr>
          <w:p>
            <w:pPr>
              <w:jc w:val="right"/>
              <w:ind w:right="9"/>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75,651,808</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38</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5,931,319</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289,624</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ind w:left="460"/>
              <w:spacing w:after="0" w:line="141" w:lineRule="exact"/>
              <w:rPr>
                <w:sz w:val="20"/>
                <w:szCs w:val="20"/>
                <w:color w:val="auto"/>
              </w:rPr>
            </w:pPr>
            <w:r>
              <w:rPr>
                <w:rFonts w:ascii="Times New Roman" w:cs="Times New Roman" w:eastAsia="Times New Roman" w:hAnsi="Times New Roman"/>
                <w:sz w:val="14"/>
                <w:szCs w:val="14"/>
                <w:color w:val="auto"/>
                <w:w w:val="78"/>
              </w:rPr>
              <w:t>(187)</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(125,580)</w:t>
            </w:r>
          </w:p>
        </w:tc>
        <w:tc>
          <w:tcPr>
            <w:tcW w:w="1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8"/>
              </w:rPr>
              <w:t>$163,898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20" w:type="dxa"/>
            <w:vAlign w:val="bottom"/>
          </w:tcPr>
          <w:p>
            <w:pPr>
              <w:ind w:left="280"/>
              <w:spacing w:after="0" w:line="125"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20" w:type="dxa"/>
            <w:vAlign w:val="bottom"/>
          </w:tcPr>
          <w:p>
            <w:pPr>
              <w:ind w:left="420"/>
              <w:spacing w:after="0" w:line="147" w:lineRule="exact"/>
              <w:rPr>
                <w:sz w:val="20"/>
                <w:szCs w:val="20"/>
                <w:color w:val="auto"/>
              </w:rPr>
            </w:pPr>
            <w:r>
              <w:rPr>
                <w:rFonts w:ascii="Times New Roman" w:cs="Times New Roman" w:eastAsia="Times New Roman" w:hAnsi="Times New Roman"/>
                <w:sz w:val="14"/>
                <w:szCs w:val="14"/>
                <w:color w:val="auto"/>
              </w:rPr>
              <w:t>initial public offering, net of underwriting</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9,269,000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268,370</w:t>
            </w:r>
          </w:p>
        </w:tc>
        <w:tc>
          <w:tcPr>
            <w:tcW w:w="180" w:type="dxa"/>
            <w:vAlign w:val="bottom"/>
          </w:tcPr>
          <w:p>
            <w:pPr>
              <w:spacing w:after="0"/>
              <w:rPr>
                <w:sz w:val="12"/>
                <w:szCs w:val="12"/>
                <w:color w:val="auto"/>
              </w:rPr>
            </w:pP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268,375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discounts and commissions</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Costs in connection with initial public offering</w:t>
            </w:r>
          </w:p>
        </w:tc>
        <w:tc>
          <w:tcPr>
            <w:tcW w:w="680" w:type="dxa"/>
            <w:vAlign w:val="bottom"/>
            <w:shd w:val="clear" w:color="auto" w:fill="CCEEFF"/>
          </w:tcPr>
          <w:p>
            <w:pPr>
              <w:ind w:left="4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(4,534)</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(4,534)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2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Exercise of stock options</w:t>
            </w:r>
          </w:p>
        </w:tc>
        <w:tc>
          <w:tcPr>
            <w:tcW w:w="680" w:type="dxa"/>
            <w:vAlign w:val="bottom"/>
          </w:tcPr>
          <w:p>
            <w:pPr>
              <w:ind w:left="480"/>
              <w:spacing w:after="0" w:line="147" w:lineRule="exact"/>
              <w:rPr>
                <w:sz w:val="20"/>
                <w:szCs w:val="20"/>
                <w:color w:val="auto"/>
              </w:rPr>
            </w:pPr>
            <w:r>
              <w:rPr>
                <w:rFonts w:ascii="Times New Roman" w:cs="Times New Roman" w:eastAsia="Times New Roman" w:hAnsi="Times New Roman"/>
                <w:sz w:val="14"/>
                <w:szCs w:val="14"/>
                <w:color w:val="auto"/>
                <w:w w:val="85"/>
              </w:rPr>
              <w:t>500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269,729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739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ind w:left="5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20" w:type="dxa"/>
            <w:vAlign w:val="bottom"/>
            <w:shd w:val="clear" w:color="auto" w:fill="CCEEFF"/>
          </w:tcPr>
          <w:p>
            <w:pPr>
              <w:ind w:left="280"/>
              <w:spacing w:after="0" w:line="125" w:lineRule="exact"/>
              <w:rPr>
                <w:sz w:val="20"/>
                <w:szCs w:val="20"/>
                <w:color w:val="auto"/>
              </w:rPr>
            </w:pPr>
            <w:r>
              <w:rPr>
                <w:rFonts w:ascii="Times New Roman" w:cs="Times New Roman" w:eastAsia="Times New Roman" w:hAnsi="Times New Roman"/>
                <w:sz w:val="14"/>
                <w:szCs w:val="14"/>
                <w:color w:val="auto"/>
              </w:rPr>
              <w:t>Reclassification of voting and non-voting</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81,852,856</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(75,921,537)</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9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(5,931,319)</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2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ind w:left="4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13,269</w:t>
            </w:r>
          </w:p>
        </w:tc>
        <w:tc>
          <w:tcPr>
            <w:tcW w:w="180" w:type="dxa"/>
            <w:vAlign w:val="bottom"/>
          </w:tcPr>
          <w:p>
            <w:pPr>
              <w:spacing w:after="0"/>
              <w:rPr>
                <w:sz w:val="12"/>
                <w:szCs w:val="12"/>
                <w:color w:val="auto"/>
              </w:rPr>
            </w:pPr>
          </w:p>
        </w:tc>
        <w:tc>
          <w:tcPr>
            <w:tcW w:w="820" w:type="dxa"/>
            <w:vAlign w:val="bottom"/>
            <w:gridSpan w:val="2"/>
          </w:tcPr>
          <w:p>
            <w:pPr>
              <w:ind w:left="5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13,269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Other comprehensive income</w:t>
            </w:r>
          </w:p>
        </w:tc>
        <w:tc>
          <w:tcPr>
            <w:tcW w:w="680" w:type="dxa"/>
            <w:vAlign w:val="bottom"/>
            <w:shd w:val="clear" w:color="auto" w:fill="CCEEFF"/>
          </w:tcPr>
          <w:p>
            <w:pPr>
              <w:ind w:left="4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00"/>
              <w:spacing w:after="0" w:line="147" w:lineRule="exact"/>
              <w:rPr>
                <w:sz w:val="20"/>
                <w:szCs w:val="20"/>
                <w:color w:val="auto"/>
              </w:rPr>
            </w:pPr>
            <w:r>
              <w:rPr>
                <w:rFonts w:ascii="Times New Roman" w:cs="Times New Roman" w:eastAsia="Times New Roman" w:hAnsi="Times New Roman"/>
                <w:sz w:val="14"/>
                <w:szCs w:val="14"/>
                <w:color w:val="auto"/>
              </w:rPr>
              <w:t>389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20" w:type="dxa"/>
            <w:vAlign w:val="bottom"/>
          </w:tcPr>
          <w:p>
            <w:pPr>
              <w:ind w:left="280"/>
              <w:spacing w:after="0" w:line="125" w:lineRule="exact"/>
              <w:rPr>
                <w:sz w:val="20"/>
                <w:szCs w:val="20"/>
                <w:color w:val="auto"/>
              </w:rPr>
            </w:pPr>
            <w:r>
              <w:rPr>
                <w:rFonts w:ascii="Times New Roman" w:cs="Times New Roman" w:eastAsia="Times New Roman" w:hAnsi="Times New Roman"/>
                <w:sz w:val="14"/>
                <w:szCs w:val="14"/>
                <w:color w:val="auto"/>
              </w:rPr>
              <w:t>Net loss attributable to nCino, Inc., including</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20" w:type="dxa"/>
            <w:vAlign w:val="bottom"/>
          </w:tcPr>
          <w:p>
            <w:pPr>
              <w:ind w:left="420"/>
              <w:spacing w:after="0" w:line="147" w:lineRule="exact"/>
              <w:rPr>
                <w:sz w:val="20"/>
                <w:szCs w:val="20"/>
                <w:color w:val="auto"/>
              </w:rPr>
            </w:pPr>
            <w:r>
              <w:rPr>
                <w:rFonts w:ascii="Times New Roman" w:cs="Times New Roman" w:eastAsia="Times New Roman" w:hAnsi="Times New Roman"/>
                <w:sz w:val="14"/>
                <w:szCs w:val="14"/>
                <w:color w:val="auto"/>
              </w:rPr>
              <w:t>adjustment to redeemable non-controlling</w:t>
            </w: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(154)</w:t>
            </w:r>
          </w:p>
        </w:tc>
        <w:tc>
          <w:tcPr>
            <w:tcW w:w="180" w:type="dxa"/>
            <w:vAlign w:val="bottom"/>
          </w:tcPr>
          <w:p>
            <w:pPr>
              <w:spacing w:after="0"/>
              <w:rPr>
                <w:sz w:val="12"/>
                <w:szCs w:val="12"/>
                <w:color w:val="auto"/>
              </w:rPr>
            </w:pP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(14,492)</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(14,646)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interest</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Balance, July 31, 2020</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91,122,356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567,314</w:t>
            </w:r>
          </w:p>
        </w:tc>
        <w:tc>
          <w:tcPr>
            <w:tcW w:w="1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00"/>
              <w:spacing w:after="0" w:line="147" w:lineRule="exact"/>
              <w:rPr>
                <w:sz w:val="20"/>
                <w:szCs w:val="20"/>
                <w:color w:val="auto"/>
              </w:rPr>
            </w:pPr>
            <w:r>
              <w:rPr>
                <w:rFonts w:ascii="Times New Roman" w:cs="Times New Roman" w:eastAsia="Times New Roman" w:hAnsi="Times New Roman"/>
                <w:sz w:val="14"/>
                <w:szCs w:val="14"/>
                <w:color w:val="auto"/>
              </w:rPr>
              <w:t>202</w:t>
            </w:r>
          </w:p>
        </w:tc>
        <w:tc>
          <w:tcPr>
            <w:tcW w:w="20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(140,072)</w:t>
            </w:r>
          </w:p>
        </w:tc>
        <w:tc>
          <w:tcPr>
            <w:tcW w:w="6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427,490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080"/>
          </w:cols>
          <w:pgMar w:left="320" w:top="454" w:right="49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4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Six Months Ended July 31, 2019</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440" w:type="dxa"/>
            <w:vAlign w:val="bottom"/>
          </w:tcPr>
          <w:p>
            <w:pPr>
              <w:spacing w:after="0"/>
              <w:rPr>
                <w:sz w:val="11"/>
                <w:szCs w:val="11"/>
                <w:color w:val="auto"/>
              </w:rPr>
            </w:pPr>
          </w:p>
        </w:tc>
        <w:tc>
          <w:tcPr>
            <w:tcW w:w="900" w:type="dxa"/>
            <w:vAlign w:val="bottom"/>
            <w:gridSpan w:val="3"/>
          </w:tcPr>
          <w:p>
            <w:pPr>
              <w:ind w:left="500"/>
              <w:spacing w:after="0" w:line="127" w:lineRule="exact"/>
              <w:rPr>
                <w:sz w:val="20"/>
                <w:szCs w:val="20"/>
                <w:color w:val="auto"/>
              </w:rPr>
            </w:pPr>
            <w:r>
              <w:rPr>
                <w:rFonts w:ascii="Times New Roman" w:cs="Times New Roman" w:eastAsia="Times New Roman" w:hAnsi="Times New Roman"/>
                <w:sz w:val="14"/>
                <w:szCs w:val="14"/>
                <w:color w:val="auto"/>
                <w:w w:val="97"/>
              </w:rPr>
              <w:t>Voting</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tcPr>
          <w:p>
            <w:pPr>
              <w:ind w:left="340"/>
              <w:spacing w:after="0" w:line="127" w:lineRule="exact"/>
              <w:rPr>
                <w:sz w:val="20"/>
                <w:szCs w:val="20"/>
                <w:color w:val="auto"/>
              </w:rPr>
            </w:pPr>
            <w:r>
              <w:rPr>
                <w:rFonts w:ascii="Times New Roman" w:cs="Times New Roman" w:eastAsia="Times New Roman" w:hAnsi="Times New Roman"/>
                <w:sz w:val="14"/>
                <w:szCs w:val="14"/>
                <w:color w:val="auto"/>
              </w:rPr>
              <w:t>Non-voting</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spacing w:after="0" w:line="127" w:lineRule="exact"/>
              <w:rPr>
                <w:sz w:val="20"/>
                <w:szCs w:val="20"/>
                <w:color w:val="auto"/>
              </w:rPr>
            </w:pPr>
            <w:r>
              <w:rPr>
                <w:rFonts w:ascii="Times New Roman" w:cs="Times New Roman" w:eastAsia="Times New Roman" w:hAnsi="Times New Roman"/>
                <w:sz w:val="14"/>
                <w:szCs w:val="14"/>
                <w:color w:val="auto"/>
              </w:rPr>
              <w:t>Additional</w:t>
            </w:r>
          </w:p>
        </w:tc>
        <w:tc>
          <w:tcPr>
            <w:tcW w:w="640" w:type="dxa"/>
            <w:vAlign w:val="bottom"/>
          </w:tcPr>
          <w:p>
            <w:pPr>
              <w:jc w:val="center"/>
              <w:ind w:left="169"/>
              <w:spacing w:after="0" w:line="127"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440" w:type="dxa"/>
            <w:vAlign w:val="bottom"/>
          </w:tcPr>
          <w:p>
            <w:pPr>
              <w:spacing w:after="0"/>
              <w:rPr>
                <w:sz w:val="13"/>
                <w:szCs w:val="13"/>
                <w:color w:val="auto"/>
              </w:rPr>
            </w:pPr>
          </w:p>
        </w:tc>
        <w:tc>
          <w:tcPr>
            <w:tcW w:w="11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color w:val="auto"/>
              </w:rPr>
              <w:t>Common Stock</w:t>
            </w: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8"/>
              </w:rPr>
              <w:t>Paid-in</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Comprehensive</w:t>
            </w:r>
          </w:p>
        </w:tc>
        <w:tc>
          <w:tcPr>
            <w:tcW w:w="6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900" w:type="dxa"/>
            <w:vAlign w:val="bottom"/>
            <w:gridSpan w:val="3"/>
          </w:tcPr>
          <w:p>
            <w:pPr>
              <w:ind w:left="180"/>
              <w:spacing w:after="0" w:line="141" w:lineRule="exact"/>
              <w:rPr>
                <w:sz w:val="20"/>
                <w:szCs w:val="20"/>
                <w:color w:val="auto"/>
              </w:rPr>
            </w:pPr>
            <w:r>
              <w:rPr>
                <w:rFonts w:ascii="Times New Roman" w:cs="Times New Roman" w:eastAsia="Times New Roman" w:hAnsi="Times New Roman"/>
                <w:sz w:val="14"/>
                <w:szCs w:val="14"/>
                <w:color w:val="auto"/>
              </w:rPr>
              <w:t>Shares</w:t>
            </w:r>
          </w:p>
        </w:tc>
        <w:tc>
          <w:tcPr>
            <w:tcW w:w="4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4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80"/>
              <w:spacing w:after="0" w:line="141" w:lineRule="exact"/>
              <w:rPr>
                <w:sz w:val="20"/>
                <w:szCs w:val="20"/>
                <w:color w:val="auto"/>
              </w:rPr>
            </w:pPr>
            <w:r>
              <w:rPr>
                <w:rFonts w:ascii="Times New Roman" w:cs="Times New Roman" w:eastAsia="Times New Roman" w:hAnsi="Times New Roman"/>
                <w:sz w:val="14"/>
                <w:szCs w:val="14"/>
                <w:color w:val="auto"/>
                <w:w w:val="98"/>
              </w:rPr>
              <w:t>Capital</w:t>
            </w:r>
          </w:p>
        </w:tc>
        <w:tc>
          <w:tcPr>
            <w:tcW w:w="100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color w:val="auto"/>
              </w:rPr>
              <w:t>Income (Loss)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39"/>
              <w:spacing w:after="0" w:line="141" w:lineRule="exact"/>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2"/>
                <w:szCs w:val="12"/>
                <w:color w:val="auto"/>
              </w:rPr>
            </w:pPr>
          </w:p>
        </w:tc>
        <w:tc>
          <w:tcPr>
            <w:tcW w:w="5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0"/>
        </w:trPr>
        <w:tc>
          <w:tcPr>
            <w:tcW w:w="44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Balance, January 31, 2019</w:t>
            </w:r>
          </w:p>
        </w:tc>
        <w:tc>
          <w:tcPr>
            <w:tcW w:w="7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70,186,189</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35</w:t>
            </w: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100"/>
              <w:spacing w:after="0" w:line="141" w:lineRule="exact"/>
              <w:rPr>
                <w:sz w:val="20"/>
                <w:szCs w:val="20"/>
                <w:color w:val="auto"/>
              </w:rPr>
            </w:pPr>
            <w:r>
              <w:rPr>
                <w:rFonts w:ascii="Times New Roman" w:cs="Times New Roman" w:eastAsia="Times New Roman" w:hAnsi="Times New Roman"/>
                <w:sz w:val="14"/>
                <w:szCs w:val="14"/>
                <w:color w:val="auto"/>
                <w:w w:val="99"/>
              </w:rPr>
              <w:t>5,701,435</w:t>
            </w: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3</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170,771</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76"/>
              </w:rPr>
              <w:t>(21)</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(104,752)</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66,036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Cumulative-effect adjustment from adoption of accounting standard</w:t>
            </w:r>
          </w:p>
        </w:tc>
        <w:tc>
          <w:tcPr>
            <w:tcW w:w="9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3"/>
                <w:szCs w:val="1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11,422</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11,422</w:t>
            </w:r>
          </w:p>
        </w:tc>
        <w:tc>
          <w:tcPr>
            <w:tcW w:w="0" w:type="dxa"/>
            <w:vAlign w:val="bottom"/>
          </w:tcPr>
          <w:p>
            <w:pPr>
              <w:spacing w:after="0"/>
              <w:rPr>
                <w:sz w:val="1"/>
                <w:szCs w:val="1"/>
                <w:color w:val="auto"/>
              </w:rPr>
            </w:pPr>
          </w:p>
        </w:tc>
      </w:tr>
      <w:tr>
        <w:trPr>
          <w:trHeight w:val="147"/>
        </w:trPr>
        <w:tc>
          <w:tcPr>
            <w:tcW w:w="4440" w:type="dxa"/>
            <w:vAlign w:val="bottom"/>
            <w:shd w:val="clear" w:color="auto" w:fill="CCEEFF"/>
          </w:tcPr>
          <w:p>
            <w:pPr>
              <w:ind w:left="300"/>
              <w:spacing w:after="0" w:line="147" w:lineRule="exact"/>
              <w:rPr>
                <w:sz w:val="20"/>
                <w:szCs w:val="20"/>
                <w:color w:val="auto"/>
              </w:rPr>
            </w:pPr>
            <w:r>
              <w:rPr>
                <w:rFonts w:ascii="Times New Roman" w:cs="Times New Roman" w:eastAsia="Times New Roman" w:hAnsi="Times New Roman"/>
                <w:sz w:val="14"/>
                <w:szCs w:val="14"/>
                <w:color w:val="auto"/>
              </w:rPr>
              <w:t>Stock issuance related to business combinations</w:t>
            </w:r>
          </w:p>
        </w:tc>
        <w:tc>
          <w:tcPr>
            <w:tcW w:w="74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1,438,805</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680" w:type="dxa"/>
            <w:vAlign w:val="bottom"/>
            <w:shd w:val="clear" w:color="auto" w:fill="CCEEFF"/>
          </w:tcPr>
          <w:p>
            <w:pPr>
              <w:ind w:left="4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23,811</w:t>
            </w:r>
          </w:p>
        </w:tc>
        <w:tc>
          <w:tcPr>
            <w:tcW w:w="6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1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23,812</w:t>
            </w:r>
          </w:p>
        </w:tc>
        <w:tc>
          <w:tcPr>
            <w:tcW w:w="0" w:type="dxa"/>
            <w:vAlign w:val="bottom"/>
          </w:tcPr>
          <w:p>
            <w:pPr>
              <w:spacing w:after="0"/>
              <w:rPr>
                <w:sz w:val="1"/>
                <w:szCs w:val="1"/>
                <w:color w:val="auto"/>
              </w:rPr>
            </w:pPr>
          </w:p>
        </w:tc>
      </w:tr>
      <w:tr>
        <w:trPr>
          <w:trHeight w:val="147"/>
        </w:trPr>
        <w:tc>
          <w:tcPr>
            <w:tcW w:w="4440" w:type="dxa"/>
            <w:vAlign w:val="bottom"/>
          </w:tcPr>
          <w:p>
            <w:pPr>
              <w:ind w:left="300"/>
              <w:spacing w:after="0" w:line="147" w:lineRule="exact"/>
              <w:rPr>
                <w:sz w:val="20"/>
                <w:szCs w:val="20"/>
                <w:color w:val="auto"/>
              </w:rPr>
            </w:pPr>
            <w:r>
              <w:rPr>
                <w:rFonts w:ascii="Times New Roman" w:cs="Times New Roman" w:eastAsia="Times New Roman" w:hAnsi="Times New Roman"/>
                <w:sz w:val="14"/>
                <w:szCs w:val="14"/>
                <w:color w:val="auto"/>
              </w:rPr>
              <w:t>Exercise of stock options</w:t>
            </w:r>
          </w:p>
        </w:tc>
        <w:tc>
          <w:tcPr>
            <w:tcW w:w="900" w:type="dxa"/>
            <w:vAlign w:val="bottom"/>
            <w:gridSpan w:val="3"/>
          </w:tcPr>
          <w:p>
            <w:pPr>
              <w:ind w:left="260"/>
              <w:spacing w:after="0" w:line="147" w:lineRule="exact"/>
              <w:rPr>
                <w:sz w:val="20"/>
                <w:szCs w:val="20"/>
                <w:color w:val="auto"/>
              </w:rPr>
            </w:pPr>
            <w:r>
              <w:rPr>
                <w:rFonts w:ascii="Times New Roman" w:cs="Times New Roman" w:eastAsia="Times New Roman" w:hAnsi="Times New Roman"/>
                <w:sz w:val="14"/>
                <w:szCs w:val="14"/>
                <w:color w:val="auto"/>
              </w:rPr>
              <w:t>188,101</w:t>
            </w:r>
          </w:p>
        </w:tc>
        <w:tc>
          <w:tcPr>
            <w:tcW w:w="240" w:type="dxa"/>
            <w:vAlign w:val="bottom"/>
          </w:tcPr>
          <w:p>
            <w:pPr>
              <w:spacing w:after="0"/>
              <w:rPr>
                <w:sz w:val="12"/>
                <w:szCs w:val="12"/>
                <w:color w:val="auto"/>
              </w:rPr>
            </w:pPr>
          </w:p>
        </w:tc>
        <w:tc>
          <w:tcPr>
            <w:tcW w:w="40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537</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1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147"/>
        </w:trPr>
        <w:tc>
          <w:tcPr>
            <w:tcW w:w="4440" w:type="dxa"/>
            <w:vAlign w:val="bottom"/>
            <w:shd w:val="clear" w:color="auto" w:fill="CCEEFF"/>
          </w:tcPr>
          <w:p>
            <w:pPr>
              <w:ind w:left="300"/>
              <w:spacing w:after="0" w:line="147"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3"/>
            <w:shd w:val="clear" w:color="auto" w:fill="CCEEFF"/>
          </w:tcPr>
          <w:p>
            <w:pPr>
              <w:ind w:left="5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3,601</w:t>
            </w:r>
          </w:p>
        </w:tc>
        <w:tc>
          <w:tcPr>
            <w:tcW w:w="6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1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3,601</w:t>
            </w:r>
          </w:p>
        </w:tc>
        <w:tc>
          <w:tcPr>
            <w:tcW w:w="0" w:type="dxa"/>
            <w:vAlign w:val="bottom"/>
          </w:tcPr>
          <w:p>
            <w:pPr>
              <w:spacing w:after="0"/>
              <w:rPr>
                <w:sz w:val="1"/>
                <w:szCs w:val="1"/>
                <w:color w:val="auto"/>
              </w:rPr>
            </w:pPr>
          </w:p>
        </w:tc>
      </w:tr>
      <w:tr>
        <w:trPr>
          <w:trHeight w:val="147"/>
        </w:trPr>
        <w:tc>
          <w:tcPr>
            <w:tcW w:w="4440" w:type="dxa"/>
            <w:vAlign w:val="bottom"/>
          </w:tcPr>
          <w:p>
            <w:pPr>
              <w:ind w:left="300"/>
              <w:spacing w:after="0" w:line="147" w:lineRule="exact"/>
              <w:rPr>
                <w:sz w:val="20"/>
                <w:szCs w:val="20"/>
                <w:color w:val="auto"/>
              </w:rPr>
            </w:pPr>
            <w:r>
              <w:rPr>
                <w:rFonts w:ascii="Times New Roman" w:cs="Times New Roman" w:eastAsia="Times New Roman" w:hAnsi="Times New Roman"/>
                <w:sz w:val="14"/>
                <w:szCs w:val="14"/>
                <w:color w:val="auto"/>
              </w:rPr>
              <w:t>Other comprehensive income</w:t>
            </w:r>
          </w:p>
        </w:tc>
        <w:tc>
          <w:tcPr>
            <w:tcW w:w="900" w:type="dxa"/>
            <w:vAlign w:val="bottom"/>
            <w:gridSpan w:val="3"/>
          </w:tcPr>
          <w:p>
            <w:pPr>
              <w:ind w:left="5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0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color w:val="auto"/>
              </w:rPr>
              <w:t>449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1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47"/>
        </w:trPr>
        <w:tc>
          <w:tcPr>
            <w:tcW w:w="4440" w:type="dxa"/>
            <w:vAlign w:val="bottom"/>
            <w:shd w:val="clear" w:color="auto" w:fill="CCEEFF"/>
          </w:tcPr>
          <w:p>
            <w:pPr>
              <w:ind w:left="300"/>
              <w:spacing w:after="0" w:line="147" w:lineRule="exact"/>
              <w:rPr>
                <w:sz w:val="20"/>
                <w:szCs w:val="20"/>
                <w:color w:val="auto"/>
              </w:rPr>
            </w:pPr>
            <w:r>
              <w:rPr>
                <w:rFonts w:ascii="Times New Roman" w:cs="Times New Roman" w:eastAsia="Times New Roman" w:hAnsi="Times New Roman"/>
                <w:sz w:val="14"/>
                <w:szCs w:val="14"/>
                <w:color w:val="auto"/>
              </w:rPr>
              <w:t>Net loss attributable to nCino, Inc.</w:t>
            </w:r>
          </w:p>
        </w:tc>
        <w:tc>
          <w:tcPr>
            <w:tcW w:w="900" w:type="dxa"/>
            <w:vAlign w:val="bottom"/>
            <w:gridSpan w:val="3"/>
            <w:shd w:val="clear" w:color="auto" w:fill="CCEEFF"/>
          </w:tcPr>
          <w:p>
            <w:pPr>
              <w:ind w:left="5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7" w:lineRule="exact"/>
              <w:rPr>
                <w:sz w:val="20"/>
                <w:szCs w:val="20"/>
                <w:color w:val="auto"/>
              </w:rPr>
            </w:pPr>
            <w:r>
              <w:rPr>
                <w:rFonts w:ascii="Times New Roman" w:cs="Times New Roman" w:eastAsia="Times New Roman" w:hAnsi="Times New Roman"/>
                <w:sz w:val="14"/>
                <w:szCs w:val="14"/>
                <w:color w:val="auto"/>
              </w:rPr>
              <w:t>(11,921)</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(11,921)</w:t>
            </w:r>
          </w:p>
        </w:tc>
        <w:tc>
          <w:tcPr>
            <w:tcW w:w="0" w:type="dxa"/>
            <w:vAlign w:val="bottom"/>
          </w:tcPr>
          <w:p>
            <w:pPr>
              <w:spacing w:after="0"/>
              <w:rPr>
                <w:sz w:val="1"/>
                <w:szCs w:val="1"/>
                <w:color w:val="auto"/>
              </w:rPr>
            </w:pPr>
          </w:p>
        </w:tc>
      </w:tr>
      <w:tr>
        <w:trPr>
          <w:trHeight w:val="154"/>
        </w:trPr>
        <w:tc>
          <w:tcPr>
            <w:tcW w:w="444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Balance, July 31, 2019</w:t>
            </w: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71,813,095</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36</w:t>
            </w: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ind w:left="100"/>
              <w:spacing w:after="0" w:line="154" w:lineRule="exact"/>
              <w:rPr>
                <w:sz w:val="20"/>
                <w:szCs w:val="20"/>
                <w:color w:val="auto"/>
              </w:rPr>
            </w:pPr>
            <w:r>
              <w:rPr>
                <w:rFonts w:ascii="Times New Roman" w:cs="Times New Roman" w:eastAsia="Times New Roman" w:hAnsi="Times New Roman"/>
                <w:sz w:val="14"/>
                <w:szCs w:val="14"/>
                <w:color w:val="auto"/>
                <w:w w:val="99"/>
              </w:rPr>
              <w:t>5,701,435</w:t>
            </w:r>
          </w:p>
        </w:tc>
        <w:tc>
          <w:tcPr>
            <w:tcW w:w="16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w w:val="85"/>
              </w:rPr>
              <w:t>3</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198,720</w:t>
            </w:r>
          </w:p>
        </w:tc>
        <w:tc>
          <w:tcPr>
            <w:tcW w:w="18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ind w:left="40"/>
              <w:spacing w:after="0" w:line="154" w:lineRule="exact"/>
              <w:rPr>
                <w:sz w:val="20"/>
                <w:szCs w:val="20"/>
                <w:color w:val="auto"/>
              </w:rPr>
            </w:pPr>
            <w:r>
              <w:rPr>
                <w:rFonts w:ascii="Times New Roman" w:cs="Times New Roman" w:eastAsia="Times New Roman" w:hAnsi="Times New Roman"/>
                <w:sz w:val="14"/>
                <w:szCs w:val="14"/>
                <w:color w:val="auto"/>
                <w:w w:val="95"/>
              </w:rPr>
              <w:t>428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(105,251</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93,936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10"/>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 July 31, 2020</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280" w:type="dxa"/>
            <w:vAlign w:val="bottom"/>
            <w:gridSpan w:val="4"/>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1"/>
                <w:szCs w:val="11"/>
                <w:color w:val="auto"/>
              </w:rPr>
            </w:pPr>
          </w:p>
        </w:tc>
        <w:tc>
          <w:tcPr>
            <w:tcW w:w="880" w:type="dxa"/>
            <w:vAlign w:val="bottom"/>
            <w:gridSpan w:val="2"/>
          </w:tcPr>
          <w:p>
            <w:pPr>
              <w:jc w:val="center"/>
              <w:ind w:left="429"/>
              <w:spacing w:after="0" w:line="127" w:lineRule="exact"/>
              <w:rPr>
                <w:sz w:val="20"/>
                <w:szCs w:val="20"/>
                <w:color w:val="auto"/>
              </w:rPr>
            </w:pPr>
            <w:r>
              <w:rPr>
                <w:rFonts w:ascii="Times New Roman" w:cs="Times New Roman" w:eastAsia="Times New Roman" w:hAnsi="Times New Roman"/>
                <w:sz w:val="14"/>
                <w:szCs w:val="14"/>
                <w:color w:val="auto"/>
                <w:w w:val="97"/>
              </w:rPr>
              <w:t>Voting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ind w:left="340"/>
              <w:spacing w:after="0" w:line="127" w:lineRule="exact"/>
              <w:rPr>
                <w:sz w:val="20"/>
                <w:szCs w:val="20"/>
                <w:color w:val="auto"/>
              </w:rPr>
            </w:pPr>
            <w:r>
              <w:rPr>
                <w:rFonts w:ascii="Times New Roman" w:cs="Times New Roman" w:eastAsia="Times New Roman" w:hAnsi="Times New Roman"/>
                <w:sz w:val="14"/>
                <w:szCs w:val="14"/>
                <w:color w:val="auto"/>
              </w:rPr>
              <w:t>Non-voting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180"/>
              <w:spacing w:after="0" w:line="127" w:lineRule="exact"/>
              <w:rPr>
                <w:sz w:val="20"/>
                <w:szCs w:val="20"/>
                <w:color w:val="auto"/>
              </w:rPr>
            </w:pPr>
            <w:r>
              <w:rPr>
                <w:rFonts w:ascii="Times New Roman" w:cs="Times New Roman" w:eastAsia="Times New Roman" w:hAnsi="Times New Roman"/>
                <w:sz w:val="14"/>
                <w:szCs w:val="14"/>
                <w:color w:val="auto"/>
                <w:w w:val="96"/>
              </w:rPr>
              <w:t>Additional</w:t>
            </w:r>
          </w:p>
        </w:tc>
        <w:tc>
          <w:tcPr>
            <w:tcW w:w="180" w:type="dxa"/>
            <w:vAlign w:val="bottom"/>
          </w:tcPr>
          <w:p>
            <w:pPr>
              <w:spacing w:after="0"/>
              <w:rPr>
                <w:sz w:val="11"/>
                <w:szCs w:val="11"/>
                <w:color w:val="auto"/>
              </w:rPr>
            </w:pPr>
          </w:p>
        </w:tc>
        <w:tc>
          <w:tcPr>
            <w:tcW w:w="820" w:type="dxa"/>
            <w:vAlign w:val="bottom"/>
            <w:gridSpan w:val="2"/>
          </w:tcPr>
          <w:p>
            <w:pPr>
              <w:ind w:left="100"/>
              <w:spacing w:after="0" w:line="127" w:lineRule="exact"/>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4"/>
          </w:tcPr>
          <w:p>
            <w:pPr>
              <w:jc w:val="center"/>
              <w:ind w:left="149"/>
              <w:spacing w:after="0"/>
              <w:rPr>
                <w:sz w:val="20"/>
                <w:szCs w:val="20"/>
                <w:color w:val="auto"/>
              </w:rPr>
            </w:pPr>
            <w:r>
              <w:rPr>
                <w:rFonts w:ascii="Times New Roman" w:cs="Times New Roman" w:eastAsia="Times New Roman" w:hAnsi="Times New Roman"/>
                <w:sz w:val="14"/>
                <w:szCs w:val="14"/>
                <w:color w:val="auto"/>
              </w:rPr>
              <w:t>Common Stock</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8"/>
              </w:rPr>
              <w:t>Paid-in</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Comprehensive</w:t>
            </w:r>
          </w:p>
        </w:tc>
        <w:tc>
          <w:tcPr>
            <w:tcW w:w="6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80" w:type="dxa"/>
            <w:vAlign w:val="bottom"/>
            <w:tcBorders>
              <w:top w:val="single" w:sz="8" w:color="auto"/>
            </w:tcBorders>
          </w:tcPr>
          <w:p>
            <w:pPr>
              <w:ind w:left="160"/>
              <w:spacing w:after="0" w:line="141"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20"/>
              <w:spacing w:after="0" w:line="141" w:lineRule="exact"/>
              <w:rPr>
                <w:sz w:val="20"/>
                <w:szCs w:val="20"/>
                <w:color w:val="auto"/>
              </w:rPr>
            </w:pPr>
            <w:r>
              <w:rPr>
                <w:rFonts w:ascii="Times New Roman" w:cs="Times New Roman" w:eastAsia="Times New Roman" w:hAnsi="Times New Roman"/>
                <w:sz w:val="14"/>
                <w:szCs w:val="14"/>
                <w:color w:val="auto"/>
              </w:rPr>
              <w:t>Shares</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00"/>
              <w:spacing w:after="0" w:line="141" w:lineRule="exact"/>
              <w:rPr>
                <w:sz w:val="20"/>
                <w:szCs w:val="20"/>
                <w:color w:val="auto"/>
              </w:rPr>
            </w:pPr>
            <w:r>
              <w:rPr>
                <w:rFonts w:ascii="Times New Roman" w:cs="Times New Roman" w:eastAsia="Times New Roman" w:hAnsi="Times New Roman"/>
                <w:sz w:val="14"/>
                <w:szCs w:val="14"/>
                <w:color w:val="auto"/>
              </w:rPr>
              <w:t>Shares</w:t>
            </w:r>
          </w:p>
        </w:tc>
        <w:tc>
          <w:tcPr>
            <w:tcW w:w="48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80"/>
              <w:spacing w:after="0" w:line="141" w:lineRule="exact"/>
              <w:rPr>
                <w:sz w:val="20"/>
                <w:szCs w:val="20"/>
                <w:color w:val="auto"/>
              </w:rPr>
            </w:pPr>
            <w:r>
              <w:rPr>
                <w:rFonts w:ascii="Times New Roman" w:cs="Times New Roman" w:eastAsia="Times New Roman" w:hAnsi="Times New Roman"/>
                <w:sz w:val="14"/>
                <w:szCs w:val="14"/>
                <w:color w:val="auto"/>
                <w:w w:val="98"/>
              </w:rPr>
              <w:t>Capital</w:t>
            </w:r>
          </w:p>
        </w:tc>
        <w:tc>
          <w:tcPr>
            <w:tcW w:w="100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color w:val="auto"/>
              </w:rPr>
              <w:t>Income (Loss)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80"/>
              <w:spacing w:after="0" w:line="141" w:lineRule="exact"/>
              <w:rPr>
                <w:sz w:val="20"/>
                <w:szCs w:val="20"/>
                <w:color w:val="auto"/>
              </w:rPr>
            </w:pPr>
            <w:r>
              <w:rPr>
                <w:rFonts w:ascii="Times New Roman" w:cs="Times New Roman" w:eastAsia="Times New Roman" w:hAnsi="Times New Roman"/>
                <w:sz w:val="14"/>
                <w:szCs w:val="14"/>
                <w:color w:val="auto"/>
              </w:rPr>
              <w:t>Deficit</w:t>
            </w:r>
          </w:p>
        </w:tc>
        <w:tc>
          <w:tcPr>
            <w:tcW w:w="6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Balance, January 31, 2020</w:t>
            </w:r>
          </w:p>
        </w:tc>
        <w:tc>
          <w:tcPr>
            <w:tcW w:w="680" w:type="dxa"/>
            <w:vAlign w:val="bottom"/>
            <w:tcBorders>
              <w:top w:val="single" w:sz="8" w:color="auto"/>
            </w:tcBorders>
            <w:shd w:val="clear" w:color="auto" w:fill="CCEEFF"/>
          </w:tcPr>
          <w:p>
            <w:pPr>
              <w:ind w:left="4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CEEFF"/>
          </w:tcPr>
          <w:p>
            <w:pPr>
              <w:jc w:val="right"/>
              <w:ind w:right="9"/>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75,596,007</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5,931,319</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288,564</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ind w:left="460"/>
              <w:spacing w:after="0" w:line="141" w:lineRule="exact"/>
              <w:rPr>
                <w:sz w:val="20"/>
                <w:szCs w:val="20"/>
                <w:color w:val="auto"/>
              </w:rPr>
            </w:pPr>
            <w:r>
              <w:rPr>
                <w:rFonts w:ascii="Times New Roman" w:cs="Times New Roman" w:eastAsia="Times New Roman" w:hAnsi="Times New Roman"/>
                <w:sz w:val="14"/>
                <w:szCs w:val="14"/>
                <w:color w:val="auto"/>
                <w:w w:val="78"/>
              </w:rPr>
              <w:t>(408)</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(120,924)</w:t>
            </w:r>
          </w:p>
        </w:tc>
        <w:tc>
          <w:tcPr>
            <w:tcW w:w="1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8"/>
              </w:rPr>
              <w:t>$167,273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20" w:type="dxa"/>
            <w:vAlign w:val="bottom"/>
          </w:tcPr>
          <w:p>
            <w:pPr>
              <w:ind w:left="280"/>
              <w:spacing w:after="0" w:line="125"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20" w:type="dxa"/>
            <w:vAlign w:val="bottom"/>
          </w:tcPr>
          <w:p>
            <w:pPr>
              <w:ind w:left="420"/>
              <w:spacing w:after="0" w:line="147" w:lineRule="exact"/>
              <w:rPr>
                <w:sz w:val="20"/>
                <w:szCs w:val="20"/>
                <w:color w:val="auto"/>
              </w:rPr>
            </w:pPr>
            <w:r>
              <w:rPr>
                <w:rFonts w:ascii="Times New Roman" w:cs="Times New Roman" w:eastAsia="Times New Roman" w:hAnsi="Times New Roman"/>
                <w:sz w:val="14"/>
                <w:szCs w:val="14"/>
                <w:color w:val="auto"/>
              </w:rPr>
              <w:t>initial public offering, net of underwriting</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9,269,000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268,370</w:t>
            </w:r>
          </w:p>
        </w:tc>
        <w:tc>
          <w:tcPr>
            <w:tcW w:w="180" w:type="dxa"/>
            <w:vAlign w:val="bottom"/>
          </w:tcPr>
          <w:p>
            <w:pPr>
              <w:spacing w:after="0"/>
              <w:rPr>
                <w:sz w:val="12"/>
                <w:szCs w:val="12"/>
                <w:color w:val="auto"/>
              </w:rPr>
            </w:pP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268,375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discounts and commissions</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Costs in connection with initial public offering</w:t>
            </w:r>
          </w:p>
        </w:tc>
        <w:tc>
          <w:tcPr>
            <w:tcW w:w="680" w:type="dxa"/>
            <w:vAlign w:val="bottom"/>
            <w:shd w:val="clear" w:color="auto" w:fill="CCEEFF"/>
          </w:tcPr>
          <w:p>
            <w:pPr>
              <w:ind w:left="4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(4,534)</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(4,534)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2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Exercise of stock options</w:t>
            </w:r>
          </w:p>
        </w:tc>
        <w:tc>
          <w:tcPr>
            <w:tcW w:w="680" w:type="dxa"/>
            <w:vAlign w:val="bottom"/>
          </w:tcPr>
          <w:p>
            <w:pPr>
              <w:ind w:left="480"/>
              <w:spacing w:after="0" w:line="147" w:lineRule="exact"/>
              <w:rPr>
                <w:sz w:val="20"/>
                <w:szCs w:val="20"/>
                <w:color w:val="auto"/>
              </w:rPr>
            </w:pPr>
            <w:r>
              <w:rPr>
                <w:rFonts w:ascii="Times New Roman" w:cs="Times New Roman" w:eastAsia="Times New Roman" w:hAnsi="Times New Roman"/>
                <w:sz w:val="14"/>
                <w:szCs w:val="14"/>
                <w:color w:val="auto"/>
                <w:w w:val="85"/>
              </w:rPr>
              <w:t>500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325,530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861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ind w:left="5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20" w:type="dxa"/>
            <w:vAlign w:val="bottom"/>
            <w:shd w:val="clear" w:color="auto" w:fill="CCEEFF"/>
          </w:tcPr>
          <w:p>
            <w:pPr>
              <w:ind w:left="280"/>
              <w:spacing w:after="0" w:line="125" w:lineRule="exact"/>
              <w:rPr>
                <w:sz w:val="20"/>
                <w:szCs w:val="20"/>
                <w:color w:val="auto"/>
              </w:rPr>
            </w:pPr>
            <w:r>
              <w:rPr>
                <w:rFonts w:ascii="Times New Roman" w:cs="Times New Roman" w:eastAsia="Times New Roman" w:hAnsi="Times New Roman"/>
                <w:sz w:val="14"/>
                <w:szCs w:val="14"/>
                <w:color w:val="auto"/>
              </w:rPr>
              <w:t>Reclassification of voting and non-voting</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81,852,856</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(75,921,537)</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w:t>
            </w:r>
          </w:p>
        </w:tc>
        <w:tc>
          <w:tcPr>
            <w:tcW w:w="9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(5,931,319)</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2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ind w:left="4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14,320</w:t>
            </w:r>
          </w:p>
        </w:tc>
        <w:tc>
          <w:tcPr>
            <w:tcW w:w="180" w:type="dxa"/>
            <w:vAlign w:val="bottom"/>
          </w:tcPr>
          <w:p>
            <w:pPr>
              <w:spacing w:after="0"/>
              <w:rPr>
                <w:sz w:val="12"/>
                <w:szCs w:val="12"/>
                <w:color w:val="auto"/>
              </w:rPr>
            </w:pPr>
          </w:p>
        </w:tc>
        <w:tc>
          <w:tcPr>
            <w:tcW w:w="820" w:type="dxa"/>
            <w:vAlign w:val="bottom"/>
            <w:gridSpan w:val="2"/>
          </w:tcPr>
          <w:p>
            <w:pPr>
              <w:ind w:left="5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14,320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Other comprehensive income</w:t>
            </w:r>
          </w:p>
        </w:tc>
        <w:tc>
          <w:tcPr>
            <w:tcW w:w="680" w:type="dxa"/>
            <w:vAlign w:val="bottom"/>
            <w:shd w:val="clear" w:color="auto" w:fill="CCEEFF"/>
          </w:tcPr>
          <w:p>
            <w:pPr>
              <w:ind w:left="4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00"/>
              <w:spacing w:after="0" w:line="147" w:lineRule="exact"/>
              <w:rPr>
                <w:sz w:val="20"/>
                <w:szCs w:val="20"/>
                <w:color w:val="auto"/>
              </w:rPr>
            </w:pPr>
            <w:r>
              <w:rPr>
                <w:rFonts w:ascii="Times New Roman" w:cs="Times New Roman" w:eastAsia="Times New Roman" w:hAnsi="Times New Roman"/>
                <w:sz w:val="14"/>
                <w:szCs w:val="14"/>
                <w:color w:val="auto"/>
              </w:rPr>
              <w:t>610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20" w:type="dxa"/>
            <w:vAlign w:val="bottom"/>
          </w:tcPr>
          <w:p>
            <w:pPr>
              <w:ind w:left="280"/>
              <w:spacing w:after="0" w:line="125" w:lineRule="exact"/>
              <w:rPr>
                <w:sz w:val="20"/>
                <w:szCs w:val="20"/>
                <w:color w:val="auto"/>
              </w:rPr>
            </w:pPr>
            <w:r>
              <w:rPr>
                <w:rFonts w:ascii="Times New Roman" w:cs="Times New Roman" w:eastAsia="Times New Roman" w:hAnsi="Times New Roman"/>
                <w:sz w:val="14"/>
                <w:szCs w:val="14"/>
                <w:color w:val="auto"/>
              </w:rPr>
              <w:t>Net loss attributable to nCino, Inc., including</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20" w:type="dxa"/>
            <w:vAlign w:val="bottom"/>
          </w:tcPr>
          <w:p>
            <w:pPr>
              <w:ind w:left="420"/>
              <w:spacing w:after="0" w:line="147" w:lineRule="exact"/>
              <w:rPr>
                <w:sz w:val="20"/>
                <w:szCs w:val="20"/>
                <w:color w:val="auto"/>
              </w:rPr>
            </w:pPr>
            <w:r>
              <w:rPr>
                <w:rFonts w:ascii="Times New Roman" w:cs="Times New Roman" w:eastAsia="Times New Roman" w:hAnsi="Times New Roman"/>
                <w:sz w:val="14"/>
                <w:szCs w:val="14"/>
                <w:color w:val="auto"/>
              </w:rPr>
              <w:t>adjustment to redeemable non-controlling</w:t>
            </w: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(267)</w:t>
            </w:r>
          </w:p>
        </w:tc>
        <w:tc>
          <w:tcPr>
            <w:tcW w:w="180" w:type="dxa"/>
            <w:vAlign w:val="bottom"/>
          </w:tcPr>
          <w:p>
            <w:pPr>
              <w:spacing w:after="0"/>
              <w:rPr>
                <w:sz w:val="12"/>
                <w:szCs w:val="12"/>
                <w:color w:val="auto"/>
              </w:rPr>
            </w:pP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(19,148)</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(19,415)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interest</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Balance, July 31, 2020</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91,122,356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567,314</w:t>
            </w:r>
          </w:p>
        </w:tc>
        <w:tc>
          <w:tcPr>
            <w:tcW w:w="1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00"/>
              <w:spacing w:after="0" w:line="147" w:lineRule="exact"/>
              <w:rPr>
                <w:sz w:val="20"/>
                <w:szCs w:val="20"/>
                <w:color w:val="auto"/>
              </w:rPr>
            </w:pPr>
            <w:r>
              <w:rPr>
                <w:rFonts w:ascii="Times New Roman" w:cs="Times New Roman" w:eastAsia="Times New Roman" w:hAnsi="Times New Roman"/>
                <w:sz w:val="14"/>
                <w:szCs w:val="14"/>
                <w:color w:val="auto"/>
              </w:rPr>
              <w:t>202</w:t>
            </w:r>
          </w:p>
        </w:tc>
        <w:tc>
          <w:tcPr>
            <w:tcW w:w="20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(140,072)</w:t>
            </w:r>
          </w:p>
        </w:tc>
        <w:tc>
          <w:tcPr>
            <w:tcW w:w="6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427,490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080"/>
          </w:cols>
          <w:pgMar w:left="320" w:top="454" w:right="49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9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9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90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(11,921)</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(19,415)</w:t>
            </w:r>
          </w:p>
        </w:tc>
        <w:tc>
          <w:tcPr>
            <w:tcW w:w="0" w:type="dxa"/>
            <w:vAlign w:val="bottom"/>
          </w:tcPr>
          <w:p>
            <w:pPr>
              <w:spacing w:after="0"/>
              <w:rPr>
                <w:sz w:val="1"/>
                <w:szCs w:val="1"/>
                <w:color w:val="auto"/>
              </w:rPr>
            </w:pPr>
          </w:p>
        </w:tc>
      </w:tr>
      <w:tr>
        <w:trPr>
          <w:trHeight w:val="214"/>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and adjustment attributable to redeemable non-controlling interest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1"/>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(11,921)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4"/>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costs capitalized to obtain revenue contracts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14"/>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14,320</w:t>
            </w:r>
          </w:p>
        </w:tc>
        <w:tc>
          <w:tcPr>
            <w:tcW w:w="0" w:type="dxa"/>
            <w:vAlign w:val="bottom"/>
          </w:tcPr>
          <w:p>
            <w:pPr>
              <w:spacing w:after="0"/>
              <w:rPr>
                <w:sz w:val="1"/>
                <w:szCs w:val="1"/>
                <w:color w:val="auto"/>
              </w:rPr>
            </w:pPr>
          </w:p>
        </w:tc>
      </w:tr>
      <w:tr>
        <w:trPr>
          <w:trHeight w:val="214"/>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4"/>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Provision for (recovery of) bad debt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4"/>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14"/>
        </w:trPr>
        <w:tc>
          <w:tcPr>
            <w:tcW w:w="90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receivable, related parties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9,201</w:t>
            </w:r>
          </w:p>
        </w:tc>
        <w:tc>
          <w:tcPr>
            <w:tcW w:w="0" w:type="dxa"/>
            <w:vAlign w:val="bottom"/>
          </w:tcPr>
          <w:p>
            <w:pPr>
              <w:spacing w:after="0"/>
              <w:rPr>
                <w:sz w:val="1"/>
                <w:szCs w:val="1"/>
                <w:color w:val="auto"/>
              </w:rPr>
            </w:pPr>
          </w:p>
        </w:tc>
      </w:tr>
      <w:tr>
        <w:trPr>
          <w:trHeight w:val="214"/>
        </w:trPr>
        <w:tc>
          <w:tcPr>
            <w:tcW w:w="90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Costs capitalized to obtain revenue contracts</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(3,615)</w:t>
            </w:r>
          </w:p>
        </w:tc>
        <w:tc>
          <w:tcPr>
            <w:tcW w:w="0" w:type="dxa"/>
            <w:vAlign w:val="bottom"/>
          </w:tcPr>
          <w:p>
            <w:pPr>
              <w:spacing w:after="0"/>
              <w:rPr>
                <w:sz w:val="1"/>
                <w:szCs w:val="1"/>
                <w:color w:val="auto"/>
              </w:rPr>
            </w:pPr>
          </w:p>
        </w:tc>
      </w:tr>
      <w:tr>
        <w:trPr>
          <w:trHeight w:val="214"/>
        </w:trPr>
        <w:tc>
          <w:tcPr>
            <w:tcW w:w="90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4"/>
        </w:trPr>
        <w:tc>
          <w:tcPr>
            <w:tcW w:w="90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payable and accrued expenses and other liabilities</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(4,115)</w:t>
            </w:r>
          </w:p>
        </w:tc>
        <w:tc>
          <w:tcPr>
            <w:tcW w:w="0" w:type="dxa"/>
            <w:vAlign w:val="bottom"/>
          </w:tcPr>
          <w:p>
            <w:pPr>
              <w:spacing w:after="0"/>
              <w:rPr>
                <w:sz w:val="1"/>
                <w:szCs w:val="1"/>
                <w:color w:val="auto"/>
              </w:rPr>
            </w:pPr>
          </w:p>
        </w:tc>
      </w:tr>
      <w:tr>
        <w:trPr>
          <w:trHeight w:val="214"/>
        </w:trPr>
        <w:tc>
          <w:tcPr>
            <w:tcW w:w="90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 related parties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4"/>
        </w:trPr>
        <w:tc>
          <w:tcPr>
            <w:tcW w:w="90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rent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4"/>
        </w:trPr>
        <w:tc>
          <w:tcPr>
            <w:tcW w:w="90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33,188</w:t>
            </w:r>
          </w:p>
        </w:tc>
        <w:tc>
          <w:tcPr>
            <w:tcW w:w="0" w:type="dxa"/>
            <w:vAlign w:val="bottom"/>
          </w:tcPr>
          <w:p>
            <w:pPr>
              <w:spacing w:after="0"/>
              <w:rPr>
                <w:sz w:val="1"/>
                <w:szCs w:val="1"/>
                <w:color w:val="auto"/>
              </w:rPr>
            </w:pPr>
          </w:p>
        </w:tc>
      </w:tr>
      <w:tr>
        <w:trPr>
          <w:trHeight w:val="214"/>
        </w:trPr>
        <w:tc>
          <w:tcPr>
            <w:tcW w:w="90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revenues, related parties</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(8,013)</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90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31,906</w:t>
            </w:r>
          </w:p>
        </w:tc>
        <w:tc>
          <w:tcPr>
            <w:tcW w:w="0" w:type="dxa"/>
            <w:vAlign w:val="bottom"/>
          </w:tcPr>
          <w:p>
            <w:pPr>
              <w:spacing w:after="0"/>
              <w:rPr>
                <w:sz w:val="1"/>
                <w:szCs w:val="1"/>
                <w:color w:val="auto"/>
              </w:rPr>
            </w:pPr>
          </w:p>
        </w:tc>
      </w:tr>
      <w:tr>
        <w:trPr>
          <w:trHeight w:val="221"/>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(48,219)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(2,936)</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90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(50,843)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(2,936)</w:t>
            </w:r>
          </w:p>
        </w:tc>
        <w:tc>
          <w:tcPr>
            <w:tcW w:w="0" w:type="dxa"/>
            <w:vAlign w:val="bottom"/>
          </w:tcPr>
          <w:p>
            <w:pPr>
              <w:spacing w:after="0"/>
              <w:rPr>
                <w:sz w:val="1"/>
                <w:szCs w:val="1"/>
                <w:color w:val="auto"/>
              </w:rPr>
            </w:pPr>
          </w:p>
        </w:tc>
      </w:tr>
      <w:tr>
        <w:trPr>
          <w:trHeight w:val="221"/>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initial public offering, net of underwriting discounts and commissions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268,375</w:t>
            </w:r>
          </w:p>
        </w:tc>
        <w:tc>
          <w:tcPr>
            <w:tcW w:w="0" w:type="dxa"/>
            <w:vAlign w:val="bottom"/>
          </w:tcPr>
          <w:p>
            <w:pPr>
              <w:spacing w:after="0"/>
              <w:rPr>
                <w:sz w:val="1"/>
                <w:szCs w:val="1"/>
                <w:color w:val="auto"/>
              </w:rPr>
            </w:pPr>
          </w:p>
        </w:tc>
      </w:tr>
      <w:tr>
        <w:trPr>
          <w:trHeight w:val="214"/>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Payments of costs related to initial public offering</w:t>
            </w: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14"/>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27"/>
        </w:trPr>
        <w:tc>
          <w:tcPr>
            <w:tcW w:w="904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1"/>
        </w:trPr>
        <w:tc>
          <w:tcPr>
            <w:tcW w:w="904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(39,065)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74,347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91,184</w:t>
            </w:r>
          </w:p>
        </w:tc>
        <w:tc>
          <w:tcPr>
            <w:tcW w:w="0" w:type="dxa"/>
            <w:vAlign w:val="bottom"/>
          </w:tcPr>
          <w:p>
            <w:pPr>
              <w:spacing w:after="0"/>
              <w:rPr>
                <w:sz w:val="1"/>
                <w:szCs w:val="1"/>
                <w:color w:val="auto"/>
              </w:rPr>
            </w:pPr>
          </w:p>
        </w:tc>
      </w:tr>
      <w:tr>
        <w:trPr>
          <w:trHeight w:val="234"/>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35,282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388,191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paid during the year for taxes, net of refunds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 of property and equipment, accrued but not paid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Fair value of common stock issued as consideration for business acquisition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0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Costs related to initial public offering, accrued but not paid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Costs related to initial public offering, reclassified from other long term assets to equity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80"/>
          </w:cols>
          <w:pgMar w:left="320" w:top="454" w:right="49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114" w:lineRule="exact"/>
        <w:rPr>
          <w:sz w:val="20"/>
          <w:szCs w:val="20"/>
          <w:color w:val="auto"/>
        </w:rPr>
      </w:pPr>
    </w:p>
    <w:p>
      <w:pPr>
        <w:ind w:left="160" w:right="60" w:firstLine="873"/>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color w:val="auto"/>
        </w:rPr>
        <w:t>nCino, Inc. is a software-as-a-service (SaaS) company that provides software applications to financial institutions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streamline employee and client interactions. The Company is headquartered in Wilmington, North Carolina and has offices in Salt Lake City, Utah; London, United Kingdom; Sydney, Australia; Melbourne, Australia; Toronto, Canada; and Tokyo, Japan.</w:t>
      </w:r>
    </w:p>
    <w:p>
      <w:pPr>
        <w:spacing w:after="0" w:line="170"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Initial Public Offering: </w:t>
      </w:r>
      <w:r>
        <w:rPr>
          <w:rFonts w:ascii="Times New Roman" w:cs="Times New Roman" w:eastAsia="Times New Roman" w:hAnsi="Times New Roman"/>
          <w:sz w:val="18"/>
          <w:szCs w:val="18"/>
          <w:color w:val="auto"/>
        </w:rPr>
        <w:t>On July 13, 2020, the Company’s Registration Statement on Form S-1 relating to the initial public offering (“IPO”)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common stock was declared effective by the Securities and Exchange Commission (“SEC”). Prior to the closing of the IPO, the Company’s certificate of incorporation was amended such that all outstanding shares of voting common stock and non-voting common stock were reclassified into a single class of stock designated as common stock which has one vote per share. In addition, effective upon the closing of the IPO, the Company’s certificate of incorporation was amended and restated such that the total number of shares of common stock authorized to issue, par value $0.0005, was increased to 500,000,000 shares and the total number of shares of preferred stock, par value $0.001, was increased to 10,000,000 shares. In connection with the IPO, the Company issued and sold 9,269,000 shares of common stock (including shares issued pursuant to the exercise in full of the underwriters’ option to purchase additional shares) at a public offering price of $31.00 per share for net proceeds of $268.4 million, after deducting underwriters’ discounts and commissions (excluding other IPO costs as of July 31, 2020).</w:t>
      </w:r>
    </w:p>
    <w:p>
      <w:pPr>
        <w:spacing w:after="0" w:line="188" w:lineRule="exact"/>
        <w:rPr>
          <w:sz w:val="20"/>
          <w:szCs w:val="20"/>
          <w:color w:val="auto"/>
        </w:rPr>
      </w:pPr>
    </w:p>
    <w:p>
      <w:pPr>
        <w:jc w:val="both"/>
        <w:ind w:left="160" w:right="220" w:firstLine="873"/>
        <w:spacing w:after="0" w:line="263" w:lineRule="auto"/>
        <w:rPr>
          <w:sz w:val="20"/>
          <w:szCs w:val="20"/>
          <w:color w:val="auto"/>
        </w:rPr>
      </w:pPr>
      <w:r>
        <w:rPr>
          <w:rFonts w:ascii="Times New Roman" w:cs="Times New Roman" w:eastAsia="Times New Roman" w:hAnsi="Times New Roman"/>
          <w:sz w:val="18"/>
          <w:szCs w:val="18"/>
          <w:color w:val="auto"/>
        </w:rPr>
        <w:t>Prior to the IPO, deferred offering costs, which consist of legal, accounting, consulting and other direct fees and costs relating to the IPO, were capitalized in other long-term assets. Upon consummation of the IPO, these costs were offset against the proceeds from the IPO and recorded in additional paid-in capital.</w:t>
      </w:r>
    </w:p>
    <w:p>
      <w:pPr>
        <w:spacing w:after="0" w:line="17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 xml:space="preserve">Fiscal Year End: </w:t>
      </w:r>
      <w:r>
        <w:rPr>
          <w:rFonts w:ascii="Times New Roman" w:cs="Times New Roman" w:eastAsia="Times New Roman" w:hAnsi="Times New Roman"/>
          <w:sz w:val="18"/>
          <w:szCs w:val="18"/>
          <w:color w:val="auto"/>
        </w:rPr>
        <w:t>The Company’s fiscal year ends on January 31.</w:t>
      </w:r>
    </w:p>
    <w:p>
      <w:pPr>
        <w:spacing w:after="0" w:line="3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4" w:lineRule="exact"/>
        <w:rPr>
          <w:sz w:val="20"/>
          <w:szCs w:val="20"/>
          <w:color w:val="auto"/>
        </w:rPr>
      </w:pPr>
    </w:p>
    <w:p>
      <w:pPr>
        <w:ind w:left="160" w:right="120" w:firstLine="873"/>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Principles of Consolidation and Basis of Presentation: </w:t>
      </w:r>
      <w:r>
        <w:rPr>
          <w:rFonts w:ascii="Times New Roman" w:cs="Times New Roman" w:eastAsia="Times New Roman" w:hAnsi="Times New Roman"/>
          <w:sz w:val="17"/>
          <w:szCs w:val="17"/>
          <w:color w:val="auto"/>
        </w:rPr>
        <w:t>The accompanying unaudited condensed consolidated financial statements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prepared in accordance with generally accepted accounting principles in the United States of America (“GAAP”) as set forth in the Financial Accounting Standards Board (“FASB”) Accounting Standards Codification (“ASC”) and applicable rules and regulations of the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for the Company’s audited January 31, 2020 consolidated financial statements contained in the Company’s final prospectus for its IPO dated as of July 13, 2020 and filed with the SEC pursuant to Rule 424(b)(4) on July 14, 2020. The unaudited condensed consolidated financial statements include accounts of the Company’s wholly-owned subsidiaries, as well as a variable interest entity in which the Company is the primary beneficiary. All intercompany accounts and transactions are eliminated. Refer to the variable interest entity section below and Note 3 for additional information regarding the Company’s variable interest entity.</w:t>
      </w:r>
    </w:p>
    <w:p>
      <w:pPr>
        <w:spacing w:after="0" w:line="175" w:lineRule="exact"/>
        <w:rPr>
          <w:sz w:val="20"/>
          <w:szCs w:val="20"/>
          <w:color w:val="auto"/>
        </w:rPr>
      </w:pPr>
    </w:p>
    <w:p>
      <w:pPr>
        <w:ind w:left="160" w:right="40" w:firstLine="873"/>
        <w:spacing w:after="0" w:line="263" w:lineRule="auto"/>
        <w:rPr>
          <w:sz w:val="20"/>
          <w:szCs w:val="20"/>
          <w:color w:val="auto"/>
        </w:rPr>
      </w:pPr>
      <w:r>
        <w:rPr>
          <w:rFonts w:ascii="Times New Roman" w:cs="Times New Roman" w:eastAsia="Times New Roman" w:hAnsi="Times New Roman"/>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060"/>
          </w:cols>
          <w:pgMar w:left="320" w:top="454" w:right="51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31" w:lineRule="exact"/>
        <w:rPr>
          <w:sz w:val="20"/>
          <w:szCs w:val="20"/>
          <w:color w:val="auto"/>
        </w:rPr>
      </w:pPr>
    </w:p>
    <w:p>
      <w:pPr>
        <w:ind w:left="160" w:right="240" w:firstLine="873"/>
        <w:spacing w:after="0" w:line="263"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year 2021 or any future period.</w:t>
      </w:r>
    </w:p>
    <w:p>
      <w:pPr>
        <w:spacing w:after="0" w:line="171" w:lineRule="exact"/>
        <w:rPr>
          <w:sz w:val="20"/>
          <w:szCs w:val="20"/>
          <w:color w:val="auto"/>
        </w:rPr>
      </w:pPr>
    </w:p>
    <w:p>
      <w:pPr>
        <w:ind w:left="160" w:firstLine="873"/>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Variable Interest Entity: </w:t>
      </w:r>
      <w:r>
        <w:rPr>
          <w:rFonts w:ascii="Times New Roman" w:cs="Times New Roman" w:eastAsia="Times New Roman" w:hAnsi="Times New Roman"/>
          <w:sz w:val="17"/>
          <w:szCs w:val="17"/>
          <w:color w:val="auto"/>
        </w:rPr>
        <w:t>The Company holds an interest in a Japanese company (“nCino K.K.”) that is considered a variable interest entity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Refer to Note 3 for additional information regarding the Company’s variable interest.</w:t>
      </w:r>
    </w:p>
    <w:p>
      <w:pPr>
        <w:spacing w:after="0" w:line="171" w:lineRule="exact"/>
        <w:rPr>
          <w:sz w:val="20"/>
          <w:szCs w:val="20"/>
          <w:color w:val="auto"/>
        </w:rPr>
      </w:pPr>
    </w:p>
    <w:p>
      <w:pPr>
        <w:ind w:left="160" w:firstLine="873"/>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Redeemable Non-Controlling Interest: </w:t>
      </w:r>
      <w:r>
        <w:rPr>
          <w:rFonts w:ascii="Times New Roman" w:cs="Times New Roman" w:eastAsia="Times New Roman" w:hAnsi="Times New Roman"/>
          <w:sz w:val="17"/>
          <w:szCs w:val="17"/>
          <w:color w:val="auto"/>
        </w:rPr>
        <w:t>Redeemable non-controlling interest relates to minority investors of nCino K.K. An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the minority investors of nCino K.K. contains redemption features whereby the interest held by the minority investors are redeemable either (i) at the option of the minority investors or (ii) at the option of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spacing w:after="0" w:line="168" w:lineRule="exact"/>
        <w:rPr>
          <w:sz w:val="20"/>
          <w:szCs w:val="20"/>
          <w:color w:val="auto"/>
        </w:rPr>
      </w:pPr>
    </w:p>
    <w:p>
      <w:pPr>
        <w:ind w:left="160" w:right="180" w:firstLine="873"/>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unaudited condensed consolidated financial statements in conformity with GAAP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fair value of contingent consideration; the useful lives of intangible assets; the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060"/>
          </w:cols>
          <w:pgMar w:left="320" w:top="454" w:right="51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27" w:lineRule="exact"/>
        <w:rPr>
          <w:sz w:val="20"/>
          <w:szCs w:val="20"/>
          <w:color w:val="auto"/>
        </w:rPr>
      </w:pPr>
    </w:p>
    <w:p>
      <w:pPr>
        <w:jc w:val="both"/>
        <w:ind w:left="160" w:right="360" w:firstLine="873"/>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and Significant Customers: </w:t>
      </w:r>
      <w:r>
        <w:rPr>
          <w:rFonts w:ascii="Times New Roman" w:cs="Times New Roman" w:eastAsia="Times New Roman" w:hAnsi="Times New Roman"/>
          <w:sz w:val="18"/>
          <w:szCs w:val="18"/>
          <w:color w:val="auto"/>
        </w:rPr>
        <w:t>The Company’s financial instruments that are exposed to concentration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risk consist primarily of cash and cash equivalents. The Company’s cash and cash equivalents exceeded the Federal deposit insurance limit at January 31, 2020 and July 31, 2020. The Company maintains its cash and cash equivalents with high-credit-quality financial institutions.</w:t>
      </w:r>
    </w:p>
    <w:p>
      <w:pPr>
        <w:spacing w:after="0" w:line="174" w:lineRule="exact"/>
        <w:rPr>
          <w:sz w:val="20"/>
          <w:szCs w:val="20"/>
          <w:color w:val="auto"/>
        </w:rPr>
      </w:pPr>
    </w:p>
    <w:p>
      <w:pPr>
        <w:ind w:left="160" w:firstLine="873"/>
        <w:spacing w:after="0" w:line="277" w:lineRule="auto"/>
        <w:rPr>
          <w:sz w:val="20"/>
          <w:szCs w:val="20"/>
          <w:color w:val="auto"/>
        </w:rPr>
      </w:pPr>
      <w:r>
        <w:rPr>
          <w:rFonts w:ascii="Times New Roman" w:cs="Times New Roman" w:eastAsia="Times New Roman" w:hAnsi="Times New Roman"/>
          <w:sz w:val="17"/>
          <w:szCs w:val="17"/>
          <w:color w:val="auto"/>
        </w:rPr>
        <w:t>As of January 31, 2020, two customers represented 22% of accounts receivable, 11% of which was from a customer who is an equity holder. In the quarter ended July 31, 2020, the equity holder no longer qualifies as a related party of the Company and the amounts disclosed related to such equity holder are presented as a related party through April 30, 2020, only. As of July 31, 2020, one customer represented 12% of accounts receivable. For the three and six months ended July 31, 2019 and 2020, no individual customer represented more than 10% of the Company’s total revenues.</w:t>
      </w:r>
    </w:p>
    <w:p>
      <w:pPr>
        <w:spacing w:after="0" w:line="163" w:lineRule="exact"/>
        <w:rPr>
          <w:sz w:val="20"/>
          <w:szCs w:val="20"/>
          <w:color w:val="auto"/>
        </w:rPr>
      </w:pPr>
    </w:p>
    <w:p>
      <w:pPr>
        <w:ind w:left="160" w:right="40" w:firstLine="873"/>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Accounts Receivable and Allowances: </w:t>
      </w:r>
      <w:r>
        <w:rPr>
          <w:rFonts w:ascii="Times New Roman" w:cs="Times New Roman" w:eastAsia="Times New Roman" w:hAnsi="Times New Roman"/>
          <w:sz w:val="17"/>
          <w:szCs w:val="17"/>
          <w:color w:val="auto"/>
        </w:rPr>
        <w:t>A receivable is recorded when an unconditional right to invoice and receive payment exists,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only the passage of time is required before payment of consideration is due. Timing of revenue recognition may differ from the timing of invoicing to customers. Certain performance obligations may require payment before delivery of the service to the customer.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w:t>
      </w:r>
    </w:p>
    <w:p>
      <w:pPr>
        <w:spacing w:after="0" w:line="172" w:lineRule="exact"/>
        <w:rPr>
          <w:sz w:val="20"/>
          <w:szCs w:val="20"/>
          <w:color w:val="auto"/>
        </w:rPr>
      </w:pPr>
    </w:p>
    <w:p>
      <w:pPr>
        <w:ind w:left="160" w:right="60" w:firstLine="873"/>
        <w:spacing w:after="0" w:line="278" w:lineRule="auto"/>
        <w:rPr>
          <w:sz w:val="20"/>
          <w:szCs w:val="20"/>
          <w:color w:val="auto"/>
        </w:rPr>
      </w:pPr>
      <w:r>
        <w:rPr>
          <w:rFonts w:ascii="Times New Roman" w:cs="Times New Roman" w:eastAsia="Times New Roman" w:hAnsi="Times New Roman"/>
          <w:sz w:val="18"/>
          <w:szCs w:val="18"/>
          <w:color w:val="auto"/>
        </w:rPr>
        <w:t>The Company records allowances for doubtful accounts based upon the credit worthiness of customers, historical experience, the age of the accounts receivable and current market and economic conditions.</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 summary of activity in the allowance for doubtful accounts is as follows:</w:t>
      </w:r>
    </w:p>
    <w:p>
      <w:pPr>
        <w:spacing w:after="0" w:line="230"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4"/>
                <w:szCs w:val="14"/>
                <w:color w:val="auto"/>
              </w:rPr>
              <w:t>Three Months Ended</w:t>
            </w:r>
          </w:p>
        </w:tc>
        <w:tc>
          <w:tcPr>
            <w:tcW w:w="120" w:type="dxa"/>
            <w:vAlign w:val="bottom"/>
          </w:tcPr>
          <w:p>
            <w:pPr>
              <w:spacing w:after="0"/>
              <w:rPr>
                <w:sz w:val="13"/>
                <w:szCs w:val="13"/>
                <w:color w:val="auto"/>
              </w:rPr>
            </w:pPr>
          </w:p>
        </w:tc>
        <w:tc>
          <w:tcPr>
            <w:tcW w:w="1800" w:type="dxa"/>
            <w:vAlign w:val="bottom"/>
            <w:gridSpan w:val="6"/>
          </w:tcPr>
          <w:p>
            <w:pPr>
              <w:ind w:left="28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36"/>
              <w:spacing w:after="0"/>
              <w:rPr>
                <w:sz w:val="20"/>
                <w:szCs w:val="20"/>
                <w:color w:val="auto"/>
              </w:rPr>
            </w:pPr>
            <w:r>
              <w:rPr>
                <w:rFonts w:ascii="Times New Roman" w:cs="Times New Roman" w:eastAsia="Times New Roman" w:hAnsi="Times New Roman"/>
                <w:sz w:val="14"/>
                <w:szCs w:val="14"/>
                <w:color w:val="auto"/>
              </w:rPr>
              <w:t>July 31,</w:t>
            </w:r>
          </w:p>
        </w:tc>
        <w:tc>
          <w:tcPr>
            <w:tcW w:w="46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4"/>
                <w:szCs w:val="14"/>
                <w:color w:val="auto"/>
              </w:rPr>
              <w:t>July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1" w:lineRule="exact"/>
              <w:rPr>
                <w:sz w:val="20"/>
                <w:szCs w:val="20"/>
                <w:color w:val="auto"/>
              </w:rPr>
            </w:pPr>
            <w:r>
              <w:rPr>
                <w:rFonts w:ascii="Times New Roman" w:cs="Times New Roman" w:eastAsia="Times New Roman" w:hAnsi="Times New Roman"/>
                <w:sz w:val="14"/>
                <w:szCs w:val="14"/>
                <w:color w:val="auto"/>
                <w:w w:val="99"/>
              </w:rPr>
              <w:t>2020</w:t>
            </w:r>
          </w:p>
        </w:tc>
        <w:tc>
          <w:tcPr>
            <w:tcW w:w="6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Charged to (recovery of) bad debt expense</w:t>
            </w: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off of uncollectible accounts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Recently Adopted Accounting Guidance:</w:t>
      </w:r>
    </w:p>
    <w:p>
      <w:pPr>
        <w:spacing w:after="0" w:line="116" w:lineRule="exact"/>
        <w:rPr>
          <w:sz w:val="20"/>
          <w:szCs w:val="20"/>
          <w:color w:val="auto"/>
        </w:rPr>
      </w:pPr>
    </w:p>
    <w:p>
      <w:pPr>
        <w:ind w:left="160" w:right="200" w:firstLine="873"/>
        <w:spacing w:after="0" w:line="264"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Accounting Standards Update (“ASU”) 2018-13,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(Topic 820): Disclosure Framework – Changes to the Disclosure Requirements for Fair Value Measurement, </w:t>
      </w:r>
      <w:r>
        <w:rPr>
          <w:rFonts w:ascii="Times New Roman" w:cs="Times New Roman" w:eastAsia="Times New Roman" w:hAnsi="Times New Roman"/>
          <w:sz w:val="18"/>
          <w:szCs w:val="18"/>
          <w:color w:val="auto"/>
        </w:rPr>
        <w:t>which eliminates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requirements for fair</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060"/>
          </w:cols>
          <w:pgMar w:left="320" w:top="454" w:right="51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value measurements for all entities, requires public entities to disclose certain new information and modifies some disclosure requirements.</w:t>
      </w:r>
    </w:p>
    <w:p>
      <w:pPr>
        <w:spacing w:after="0" w:line="26" w:lineRule="exact"/>
        <w:rPr>
          <w:sz w:val="20"/>
          <w:szCs w:val="20"/>
          <w:color w:val="auto"/>
        </w:rPr>
      </w:pPr>
    </w:p>
    <w:p>
      <w:pPr>
        <w:ind w:left="160" w:right="180"/>
        <w:spacing w:after="0" w:line="250" w:lineRule="auto"/>
        <w:rPr>
          <w:sz w:val="20"/>
          <w:szCs w:val="20"/>
          <w:color w:val="auto"/>
        </w:rPr>
      </w:pPr>
      <w:r>
        <w:rPr>
          <w:rFonts w:ascii="Times New Roman" w:cs="Times New Roman" w:eastAsia="Times New Roman" w:hAnsi="Times New Roman"/>
          <w:sz w:val="18"/>
          <w:szCs w:val="18"/>
          <w:color w:val="auto"/>
        </w:rPr>
        <w:t>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adopted the standard effective February 1, 2020. The adoption of this standard did not have a material impact on the Company’s unaudited condensed consolidated financial statements.</w:t>
      </w:r>
    </w:p>
    <w:p>
      <w:pPr>
        <w:spacing w:after="0" w:line="187"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Intangibles-Goodwill and Other-Internal-Use Software (Subtopic 350-40):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Implementation Costs Incurred in a Cloud Computing Arrangement That is a Service Contract. </w:t>
      </w:r>
      <w:r>
        <w:rPr>
          <w:rFonts w:ascii="Times New Roman" w:cs="Times New Roman" w:eastAsia="Times New Roman" w:hAnsi="Times New Roman"/>
          <w:sz w:val="18"/>
          <w:szCs w:val="18"/>
          <w:color w:val="auto"/>
        </w:rPr>
        <w:t>This standard aligns the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capitalizing implementation costs incurred in a hosting arrangement that is a service contract with the requirements for capitalizing implementation costs incurred to develop or obtain internal-use software. ASU 2018-15 is effective for emerging growth companies following private company adoption dates in fiscal years beginning after December 15, 2019, and interim periods within annual periods beginning after December 15, 2020, with early adoption permitted. The Company prospectively adopted the standard effective February 1, 2020. The adoption of this standard did not have a material impact on the Company’s unaudited condensed consolidated financial statements.</w:t>
      </w:r>
    </w:p>
    <w:p>
      <w:pPr>
        <w:spacing w:after="0" w:line="184" w:lineRule="exact"/>
        <w:rPr>
          <w:sz w:val="20"/>
          <w:szCs w:val="20"/>
          <w:color w:val="auto"/>
        </w:rPr>
      </w:pPr>
    </w:p>
    <w:p>
      <w:pPr>
        <w:ind w:left="160" w:right="260" w:firstLine="873"/>
        <w:spacing w:after="0" w:line="253" w:lineRule="auto"/>
        <w:rPr>
          <w:sz w:val="20"/>
          <w:szCs w:val="20"/>
          <w:color w:val="auto"/>
        </w:rPr>
      </w:pPr>
      <w:r>
        <w:rPr>
          <w:rFonts w:ascii="Times New Roman" w:cs="Times New Roman" w:eastAsia="Times New Roman" w:hAnsi="Times New Roman"/>
          <w:sz w:val="18"/>
          <w:szCs w:val="18"/>
          <w:color w:val="auto"/>
        </w:rPr>
        <w:t xml:space="preserve">In October 2018, the FASB issued ASU 2018-17, </w:t>
      </w:r>
      <w:r>
        <w:rPr>
          <w:rFonts w:ascii="Times New Roman" w:cs="Times New Roman" w:eastAsia="Times New Roman" w:hAnsi="Times New Roman"/>
          <w:sz w:val="18"/>
          <w:szCs w:val="18"/>
          <w:i w:val="1"/>
          <w:iCs w:val="1"/>
          <w:color w:val="auto"/>
        </w:rPr>
        <w:t>Consolidation (Topic 810), Targeted Improvements to Related Party Guidance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which addresses the cost and complexity of financial reporting associated with consolidation of variable interest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(“VIE”). ASU 2018-17 is effective for emerging growth companies following private company adoption dates in fiscal years beginning after December 15, 2019, and interim periods within annual periods beginning after December 15, 2020, with early adoption permitted. The new guidance must be applied on a retrospective basis as a cumulative-effect adjustment as of the date of adoption. The adoption of this standard did not impact the Company’s unaudited condensed consolidated financial statements or related disclosures upon adoption, because the Company did not, and currently does not, have any indirect interests through related parties under common control for which it receives decision-making fees.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116" w:lineRule="exact"/>
        <w:rPr>
          <w:sz w:val="20"/>
          <w:szCs w:val="20"/>
          <w:color w:val="auto"/>
        </w:rPr>
      </w:pPr>
    </w:p>
    <w:p>
      <w:pPr>
        <w:ind w:left="160" w:right="60" w:firstLine="873"/>
        <w:spacing w:after="0" w:line="252"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In July 2018, the FASB issued ASU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2021, and interim periods within annual periods beginning after December 15, 2022, and early adoption is permitted. If the Company were to cease meeting the emerging growth company criteria during the fiscal year ending January 31, 2022, this ASU would be effective for the Company for its Annual Report on 10-K for the fiscal year ended January 31, 2022. The Company is currently evaluating the impact of this standard to the Company’s financial statements.</w:t>
      </w:r>
    </w:p>
    <w:p>
      <w:pPr>
        <w:spacing w:after="0" w:line="184" w:lineRule="exact"/>
        <w:rPr>
          <w:sz w:val="20"/>
          <w:szCs w:val="20"/>
          <w:color w:val="auto"/>
        </w:rPr>
      </w:pPr>
    </w:p>
    <w:p>
      <w:pPr>
        <w:ind w:left="160" w:right="220" w:firstLine="873"/>
        <w:spacing w:after="0" w:line="264"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changes the impairment model for most financial assets. The new model uses a forward-looking expected loss method, which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result in earlier recognition of</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80"/>
          </w:cols>
          <w:pgMar w:left="320" w:top="454" w:right="49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(Continued)</w:t>
      </w:r>
    </w:p>
    <w:p>
      <w:pPr>
        <w:spacing w:after="0" w:line="131" w:lineRule="exact"/>
        <w:rPr>
          <w:sz w:val="20"/>
          <w:szCs w:val="20"/>
          <w:color w:val="auto"/>
        </w:rPr>
      </w:pPr>
    </w:p>
    <w:p>
      <w:pPr>
        <w:ind w:left="160" w:right="120"/>
        <w:spacing w:after="0" w:line="255" w:lineRule="auto"/>
        <w:rPr>
          <w:sz w:val="20"/>
          <w:szCs w:val="20"/>
          <w:color w:val="auto"/>
        </w:rPr>
      </w:pPr>
      <w:r>
        <w:rPr>
          <w:rFonts w:ascii="Times New Roman" w:cs="Times New Roman" w:eastAsia="Times New Roman" w:hAnsi="Times New Roman"/>
          <w:sz w:val="18"/>
          <w:szCs w:val="18"/>
          <w:color w:val="auto"/>
        </w:rPr>
        <w:t>allowances for losses. ASU 2016-13, as subsequently amended for various technical issues, is effective for emerging growth companies following private company adoption dates for fiscal years beginning after December 15, 2022 and for interim periods within those fiscal years. If the Company were to cease meeting the emerging growth company criteria during the fiscal year ending January 31, 2022, this ASU would be effective for the Company for its Annual Report on 10-K for the fiscal year ended January 31, 2022. The Company is currently evaluating the impact of this standard to the Company’s financial statements.</w:t>
      </w:r>
    </w:p>
    <w:p>
      <w:pPr>
        <w:spacing w:after="0" w:line="182" w:lineRule="exact"/>
        <w:rPr>
          <w:sz w:val="20"/>
          <w:szCs w:val="20"/>
          <w:color w:val="auto"/>
        </w:rPr>
      </w:pPr>
    </w:p>
    <w:p>
      <w:pPr>
        <w:ind w:left="160" w:right="60" w:firstLine="873"/>
        <w:spacing w:after="0" w:line="252" w:lineRule="auto"/>
        <w:rPr>
          <w:sz w:val="20"/>
          <w:szCs w:val="20"/>
          <w:color w:val="auto"/>
        </w:rPr>
      </w:pPr>
      <w:r>
        <w:rPr>
          <w:rFonts w:ascii="Times New Roman" w:cs="Times New Roman" w:eastAsia="Times New Roman" w:hAnsi="Times New Roman"/>
          <w:sz w:val="18"/>
          <w:szCs w:val="18"/>
          <w:color w:val="auto"/>
        </w:rPr>
        <w:t>In December 2019, the FASB issued ASU 2019-12, I</w:t>
      </w:r>
      <w:r>
        <w:rPr>
          <w:rFonts w:ascii="Times New Roman" w:cs="Times New Roman" w:eastAsia="Times New Roman" w:hAnsi="Times New Roman"/>
          <w:sz w:val="18"/>
          <w:szCs w:val="18"/>
          <w:i w:val="1"/>
          <w:iCs w:val="1"/>
          <w:color w:val="auto"/>
        </w:rPr>
        <w:t>ncome Taxes (Topic 740): Simplifying the Accounting for Income Taxes</w:t>
      </w:r>
      <w:r>
        <w:rPr>
          <w:rFonts w:ascii="Times New Roman" w:cs="Times New Roman" w:eastAsia="Times New Roman" w:hAnsi="Times New Roman"/>
          <w:sz w:val="18"/>
          <w:szCs w:val="18"/>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 interim periods within annual periods beginning after December 15, 2022, with early adoption permitted, including adoption in an interim period. If the Company were to cease meeting the emerging growth company criteria during the fiscal year ending January 31, 2022, this ASU would be effective for the Company for its Annual Report on 10-K for the fiscal year ended January 31, 2022. The Company is evaluating the effect of adopting this new accounting guidance, but does not expect adoption will have a material impact on the Company’s financial statements.</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3. Variable Interest Entity and Redeemable Non-Controlling Interest</w:t>
      </w:r>
    </w:p>
    <w:p>
      <w:pPr>
        <w:spacing w:after="0" w:line="118" w:lineRule="exact"/>
        <w:rPr>
          <w:sz w:val="20"/>
          <w:szCs w:val="20"/>
          <w:color w:val="auto"/>
        </w:rPr>
      </w:pPr>
    </w:p>
    <w:p>
      <w:pPr>
        <w:ind w:left="160" w:right="40" w:firstLine="873"/>
        <w:spacing w:after="0" w:line="258" w:lineRule="auto"/>
        <w:rPr>
          <w:sz w:val="20"/>
          <w:szCs w:val="20"/>
          <w:color w:val="auto"/>
        </w:rPr>
      </w:pPr>
      <w:r>
        <w:rPr>
          <w:rFonts w:ascii="Times New Roman" w:cs="Times New Roman" w:eastAsia="Times New Roman" w:hAnsi="Times New Roman"/>
          <w:sz w:val="18"/>
          <w:szCs w:val="18"/>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July 31, 2020, the Company controls a majority of the outstanding common stock in nCino K.K.</w:t>
      </w:r>
    </w:p>
    <w:p>
      <w:pPr>
        <w:spacing w:after="0" w:line="180"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 and the balance is reported at the greater of the initial carrying amount adjusted for the redeemable non-controlling interests’ share of earnings, or its estimated redemption value. The resulting changes in the estimated redemption amount are recorded within retained earnings or, in the absence of retained earnings, additional paid-in capital. The estimated redemption value of the call/put option embedded in the redeemable non-controlling interest was $0.3 million at July 31, 2020.</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080"/>
          </w:cols>
          <w:pgMar w:left="320" w:top="454" w:right="49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3. Variable Interest Entity and Redeemable Non-Controlling Interest (Continued)</w:t>
      </w:r>
    </w:p>
    <w:p>
      <w:pPr>
        <w:spacing w:after="0" w:line="13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following table summarizes the activity in the redeemable non-controlling interests for the period indicated below:</w:t>
      </w:r>
    </w:p>
    <w:p>
      <w:pPr>
        <w:spacing w:after="0" w:line="230"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9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color w:val="auto"/>
              </w:rPr>
              <w:t>Three Months Ended</w:t>
            </w:r>
          </w:p>
        </w:tc>
        <w:tc>
          <w:tcPr>
            <w:tcW w:w="14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July 31,</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July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4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480" w:type="dxa"/>
            <w:vAlign w:val="bottom"/>
          </w:tcPr>
          <w:p>
            <w:pPr>
              <w:spacing w:after="0"/>
              <w:rPr>
                <w:sz w:val="12"/>
                <w:szCs w:val="12"/>
                <w:color w:val="auto"/>
              </w:rPr>
            </w:pPr>
          </w:p>
        </w:tc>
        <w:tc>
          <w:tcPr>
            <w:tcW w:w="3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940" w:type="dxa"/>
            <w:vAlign w:val="bottom"/>
            <w:tcBorders>
              <w:top w:val="single" w:sz="8" w:color="auto"/>
            </w:tcBorders>
            <w:gridSpan w:val="2"/>
          </w:tcPr>
          <w:p>
            <w:pPr>
              <w:jc w:val="right"/>
              <w:ind w:right="31"/>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redeemable non-controlling interest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4,384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The Company uses a three-tier fair value hierarchy, which prioritizes the inputs used in the valuation methodologies in measuring fair value:</w:t>
      </w:r>
    </w:p>
    <w:p>
      <w:pPr>
        <w:spacing w:after="0" w:line="22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w:t>
      </w:r>
    </w:p>
    <w:p>
      <w:pPr>
        <w:spacing w:after="0" w:line="2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Significant other inputs that are directly or indirectly observable in the marketplace.</w:t>
      </w:r>
    </w:p>
    <w:p>
      <w:pPr>
        <w:spacing w:after="0" w:line="2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Significant unobservable inputs which are supported by little or no market activity.</w:t>
      </w:r>
    </w:p>
    <w:p>
      <w:pPr>
        <w:spacing w:after="0" w:line="225" w:lineRule="exact"/>
        <w:rPr>
          <w:sz w:val="20"/>
          <w:szCs w:val="20"/>
          <w:color w:val="auto"/>
        </w:rPr>
      </w:pPr>
    </w:p>
    <w:p>
      <w:pPr>
        <w:ind w:left="160" w:right="380" w:firstLine="873"/>
        <w:spacing w:after="0" w:line="278" w:lineRule="auto"/>
        <w:rPr>
          <w:sz w:val="20"/>
          <w:szCs w:val="20"/>
          <w:color w:val="auto"/>
        </w:rPr>
      </w:pPr>
      <w:r>
        <w:rPr>
          <w:rFonts w:ascii="Times New Roman" w:cs="Times New Roman" w:eastAsia="Times New Roman" w:hAnsi="Times New Roman"/>
          <w:sz w:val="18"/>
          <w:szCs w:val="18"/>
          <w:color w:val="auto"/>
        </w:rPr>
        <w:t>The carrying amounts of cash equivalents, accounts receivable and accounts payable approximate fair value as of January 31, 2020 and July 31, 2020 because of the relatively short duration of these instruments.</w:t>
      </w:r>
    </w:p>
    <w:p>
      <w:pPr>
        <w:spacing w:after="0" w:line="162" w:lineRule="exact"/>
        <w:rPr>
          <w:sz w:val="20"/>
          <w:szCs w:val="20"/>
          <w:color w:val="auto"/>
        </w:rPr>
      </w:pPr>
    </w:p>
    <w:p>
      <w:pPr>
        <w:ind w:left="160" w:right="200" w:firstLine="873"/>
        <w:spacing w:after="0" w:line="263" w:lineRule="auto"/>
        <w:rPr>
          <w:sz w:val="20"/>
          <w:szCs w:val="20"/>
          <w:color w:val="auto"/>
        </w:rPr>
      </w:pPr>
      <w:r>
        <w:rPr>
          <w:rFonts w:ascii="Times New Roman" w:cs="Times New Roman" w:eastAsia="Times New Roman" w:hAnsi="Times New Roman"/>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2020 and July 31, 2020 and indicates the fair value hierarchy of the valuation:</w:t>
      </w:r>
    </w:p>
    <w:p>
      <w:pPr>
        <w:spacing w:after="0" w:line="184"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40" w:type="dxa"/>
            <w:vAlign w:val="bottom"/>
            <w:gridSpan w:val="9"/>
          </w:tcPr>
          <w:p>
            <w:pPr>
              <w:jc w:val="center"/>
              <w:ind w:right="200"/>
              <w:spacing w:after="0"/>
              <w:rPr>
                <w:sz w:val="20"/>
                <w:szCs w:val="20"/>
                <w:color w:val="auto"/>
              </w:rPr>
            </w:pPr>
            <w:r>
              <w:rPr>
                <w:rFonts w:ascii="Times New Roman" w:cs="Times New Roman" w:eastAsia="Times New Roman" w:hAnsi="Times New Roman"/>
                <w:sz w:val="14"/>
                <w:szCs w:val="14"/>
                <w:color w:val="auto"/>
              </w:rPr>
              <w:t>Fair value measurements on a recurring basis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as of January 31, 2020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37"/>
              <w:spacing w:after="0" w:line="141" w:lineRule="exact"/>
              <w:rPr>
                <w:sz w:val="20"/>
                <w:szCs w:val="20"/>
                <w:color w:val="auto"/>
              </w:rPr>
            </w:pPr>
            <w:r>
              <w:rPr>
                <w:rFonts w:ascii="Times New Roman" w:cs="Times New Roman" w:eastAsia="Times New Roman" w:hAnsi="Times New Roman"/>
                <w:sz w:val="14"/>
                <w:szCs w:val="14"/>
                <w:color w:val="auto"/>
              </w:rPr>
              <w:t>Level 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Level 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4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(included in other long-term liabilities)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6"/>
              </w:rPr>
              <w:t>195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4400"/>
              <w:spacing w:after="0"/>
              <w:rPr>
                <w:sz w:val="20"/>
                <w:szCs w:val="20"/>
                <w:color w:val="auto"/>
              </w:rPr>
            </w:pPr>
            <w:r>
              <w:rPr>
                <w:rFonts w:ascii="Times New Roman" w:cs="Times New Roman" w:eastAsia="Times New Roman" w:hAnsi="Times New Roman"/>
                <w:sz w:val="18"/>
                <w:szCs w:val="18"/>
                <w:color w:val="auto"/>
              </w:rPr>
              <w:t>F-55</w:t>
            </w: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 (Continued)</w:t>
      </w:r>
    </w:p>
    <w:p>
      <w:pPr>
        <w:spacing w:after="0" w:line="113"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40" w:type="dxa"/>
            <w:vAlign w:val="bottom"/>
            <w:gridSpan w:val="9"/>
          </w:tcPr>
          <w:p>
            <w:pPr>
              <w:jc w:val="center"/>
              <w:ind w:right="240"/>
              <w:spacing w:after="0"/>
              <w:rPr>
                <w:sz w:val="20"/>
                <w:szCs w:val="20"/>
                <w:color w:val="auto"/>
              </w:rPr>
            </w:pPr>
            <w:r>
              <w:rPr>
                <w:rFonts w:ascii="Times New Roman" w:cs="Times New Roman" w:eastAsia="Times New Roman" w:hAnsi="Times New Roman"/>
                <w:sz w:val="14"/>
                <w:szCs w:val="14"/>
                <w:color w:val="auto"/>
              </w:rPr>
              <w:t>Fair value measurements on a recurring basis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color w:val="auto"/>
              </w:rPr>
              <w:t>as of July 31, 2020</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97"/>
              <w:spacing w:after="0" w:line="141" w:lineRule="exact"/>
              <w:rPr>
                <w:sz w:val="20"/>
                <w:szCs w:val="20"/>
                <w:color w:val="auto"/>
              </w:rPr>
            </w:pPr>
            <w:r>
              <w:rPr>
                <w:rFonts w:ascii="Times New Roman" w:cs="Times New Roman" w:eastAsia="Times New Roman" w:hAnsi="Times New Roman"/>
                <w:sz w:val="14"/>
                <w:szCs w:val="14"/>
                <w:color w:val="auto"/>
              </w:rPr>
              <w:t>Level 1</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Level 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353,857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353,857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(included in other accrued expenses)</w:t>
            </w: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209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6"/>
              </w:rPr>
              <w:t>209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62" w:lineRule="exact"/>
        <w:rPr>
          <w:sz w:val="20"/>
          <w:szCs w:val="20"/>
          <w:color w:val="auto"/>
        </w:rPr>
      </w:pPr>
    </w:p>
    <w:p>
      <w:pPr>
        <w:ind w:left="160" w:right="120" w:firstLine="873"/>
        <w:spacing w:after="0" w:line="258" w:lineRule="auto"/>
        <w:rPr>
          <w:sz w:val="20"/>
          <w:szCs w:val="20"/>
          <w:color w:val="auto"/>
        </w:rPr>
      </w:pPr>
      <w:r>
        <w:rPr>
          <w:rFonts w:ascii="Times New Roman" w:cs="Times New Roman" w:eastAsia="Times New Roman" w:hAnsi="Times New Roman"/>
          <w:sz w:val="18"/>
          <w:szCs w:val="18"/>
          <w:color w:val="auto"/>
        </w:rPr>
        <w:t>The Company added contingent consideration, a Level 3 measurement, on October 18, 2019 with the acquisition of FinSuite Pty Ltd. Changes in fair value of the contingent consideration are recorded in the unaudited condensed consolidated statements of operations within other income. The Company’s contingent consideration is valued using a probability weighted discounted cash flow analysis. A reconciliation of the balance for contingent consideration obligations for the three and six months ended July 31, 2020 is as follows:</w:t>
      </w:r>
    </w:p>
    <w:p>
      <w:pPr>
        <w:spacing w:after="0" w:line="18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7"/>
          </w:tcPr>
          <w:p>
            <w:pPr>
              <w:ind w:left="140"/>
              <w:spacing w:after="0"/>
              <w:rPr>
                <w:sz w:val="20"/>
                <w:szCs w:val="20"/>
                <w:color w:val="auto"/>
              </w:rPr>
            </w:pPr>
            <w:r>
              <w:rPr>
                <w:rFonts w:ascii="Times New Roman" w:cs="Times New Roman" w:eastAsia="Times New Roman" w:hAnsi="Times New Roman"/>
                <w:sz w:val="14"/>
                <w:szCs w:val="14"/>
                <w:color w:val="auto"/>
              </w:rPr>
              <w:t>Three Months Ended</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color w:val="auto"/>
              </w:rPr>
              <w:t>July 31,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color w:val="auto"/>
                <w:w w:val="99"/>
              </w:rPr>
              <w:t>July 31,</w:t>
            </w: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ind w:left="40"/>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1160" w:type="dxa"/>
            <w:vAlign w:val="bottom"/>
            <w:tcBorders>
              <w:top w:val="single" w:sz="8" w:color="auto"/>
            </w:tcBorders>
            <w:gridSpan w:val="4"/>
          </w:tcPr>
          <w:p>
            <w:pPr>
              <w:jc w:val="right"/>
              <w:ind w:right="71"/>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center"/>
              <w:ind w:left="500"/>
              <w:spacing w:after="0" w:line="141" w:lineRule="exact"/>
              <w:rPr>
                <w:sz w:val="20"/>
                <w:szCs w:val="20"/>
                <w:color w:val="auto"/>
              </w:rPr>
            </w:pPr>
            <w:r>
              <w:rPr>
                <w:rFonts w:ascii="Times New Roman" w:cs="Times New Roman" w:eastAsia="Times New Roman" w:hAnsi="Times New Roman"/>
                <w:sz w:val="14"/>
                <w:szCs w:val="14"/>
                <w:color w:val="auto"/>
                <w:w w:val="99"/>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40" w:type="dxa"/>
            <w:vAlign w:val="bottom"/>
          </w:tcPr>
          <w:p>
            <w:pPr>
              <w:spacing w:after="0"/>
              <w:rPr>
                <w:sz w:val="18"/>
                <w:szCs w:val="18"/>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190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Translation adjustments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4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7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209</w:t>
            </w: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center"/>
              <w:ind w:left="4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209</w:t>
            </w: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Revenues</w:t>
            </w: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4820" w:type="dxa"/>
            <w:vAlign w:val="bottom"/>
            <w:gridSpan w:val="3"/>
            <w:vMerge w:val="continue"/>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Revenues by Geographic Area</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40" w:type="dxa"/>
            <w:vAlign w:val="bottom"/>
          </w:tcPr>
          <w:p>
            <w:pPr>
              <w:spacing w:after="0"/>
              <w:rPr>
                <w:sz w:val="24"/>
                <w:szCs w:val="24"/>
                <w:color w:val="auto"/>
              </w:rPr>
            </w:pPr>
          </w:p>
        </w:tc>
        <w:tc>
          <w:tcPr>
            <w:tcW w:w="4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Revenues by geographic region were as follows:</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gridSpan w:val="7"/>
          </w:tcPr>
          <w:p>
            <w:pPr>
              <w:ind w:left="180"/>
              <w:spacing w:after="0"/>
              <w:rPr>
                <w:sz w:val="20"/>
                <w:szCs w:val="20"/>
                <w:color w:val="auto"/>
              </w:rPr>
            </w:pPr>
            <w:r>
              <w:rPr>
                <w:rFonts w:ascii="Times New Roman" w:cs="Times New Roman" w:eastAsia="Times New Roman" w:hAnsi="Times New Roman"/>
                <w:sz w:val="14"/>
                <w:szCs w:val="14"/>
                <w:color w:val="auto"/>
              </w:rPr>
              <w:t>Three Months Ended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gridSpan w:val="9"/>
          </w:tcPr>
          <w:p>
            <w:pPr>
              <w:jc w:val="center"/>
              <w:ind w:right="48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496"/>
              <w:spacing w:after="0"/>
              <w:rPr>
                <w:sz w:val="20"/>
                <w:szCs w:val="20"/>
                <w:color w:val="auto"/>
              </w:rPr>
            </w:pPr>
            <w:r>
              <w:rPr>
                <w:rFonts w:ascii="Times New Roman" w:cs="Times New Roman" w:eastAsia="Times New Roman" w:hAnsi="Times New Roman"/>
                <w:sz w:val="14"/>
                <w:szCs w:val="14"/>
                <w:color w:val="auto"/>
              </w:rPr>
              <w:t>July 31,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w w:val="99"/>
              </w:rPr>
              <w:t>July 31,</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0" w:type="dxa"/>
            <w:vAlign w:val="bottom"/>
            <w:gridSpan w:val="3"/>
          </w:tcPr>
          <w:p>
            <w:pPr>
              <w:jc w:val="right"/>
              <w:ind w:right="78"/>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180" w:type="dxa"/>
            <w:vAlign w:val="bottom"/>
          </w:tcPr>
          <w:p>
            <w:pPr>
              <w:spacing w:after="0"/>
              <w:rPr>
                <w:sz w:val="12"/>
                <w:szCs w:val="12"/>
                <w:color w:val="auto"/>
              </w:rPr>
            </w:pPr>
          </w:p>
        </w:tc>
        <w:tc>
          <w:tcPr>
            <w:tcW w:w="820" w:type="dxa"/>
            <w:vAlign w:val="bottom"/>
            <w:gridSpan w:val="3"/>
          </w:tcPr>
          <w:p>
            <w:pPr>
              <w:jc w:val="right"/>
              <w:ind w:right="76"/>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ind w:right="3"/>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40"/>
              <w:spacing w:after="0" w:line="141" w:lineRule="exact"/>
              <w:rPr>
                <w:sz w:val="20"/>
                <w:szCs w:val="20"/>
                <w:color w:val="auto"/>
              </w:rPr>
            </w:pPr>
            <w:r>
              <w:rPr>
                <w:rFonts w:ascii="Times New Roman" w:cs="Times New Roman" w:eastAsia="Times New Roman" w:hAnsi="Times New Roman"/>
                <w:sz w:val="14"/>
                <w:szCs w:val="14"/>
                <w:color w:val="auto"/>
                <w:w w:val="99"/>
              </w:rPr>
              <w:t>2020</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$29,653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$44,049</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$57,332</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$ 84,520</w:t>
            </w: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$ 2,325</w:t>
            </w: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$ 4,716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$ 4,482</w:t>
            </w:r>
          </w:p>
        </w:tc>
        <w:tc>
          <w:tcPr>
            <w:tcW w:w="4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31,978</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48,765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61,814</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$ 93,477</w:t>
            </w:r>
          </w:p>
        </w:tc>
        <w:tc>
          <w:tcPr>
            <w:tcW w:w="6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F-56</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5. Revenues (Continued)</w:t>
      </w:r>
    </w:p>
    <w:p>
      <w:pPr>
        <w:spacing w:after="0" w:line="131" w:lineRule="exact"/>
        <w:rPr>
          <w:sz w:val="20"/>
          <w:szCs w:val="20"/>
          <w:color w:val="auto"/>
        </w:rPr>
      </w:pPr>
    </w:p>
    <w:p>
      <w:pPr>
        <w:ind w:left="160" w:right="120" w:firstLine="873"/>
        <w:spacing w:after="0" w:line="278" w:lineRule="auto"/>
        <w:rPr>
          <w:sz w:val="20"/>
          <w:szCs w:val="20"/>
          <w:color w:val="auto"/>
        </w:rPr>
      </w:pPr>
      <w:r>
        <w:rPr>
          <w:rFonts w:ascii="Times New Roman" w:cs="Times New Roman" w:eastAsia="Times New Roman" w:hAnsi="Times New Roman"/>
          <w:sz w:val="18"/>
          <w:szCs w:val="18"/>
          <w:color w:val="auto"/>
        </w:rPr>
        <w:t>Revenues by geography are determined based on the region of the Company’s contracting entity, which may be different than the region of the customer. No country outside the United States represented 10% or more of total revenues.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Contract Amounts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1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is as follows as of January 31, 2020 and July 31, 2020:</w:t>
      </w:r>
    </w:p>
    <w:p>
      <w:pPr>
        <w:spacing w:after="0" w:line="230"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 of January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 of July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2020</w:t>
            </w:r>
          </w:p>
        </w:tc>
        <w:tc>
          <w:tcPr>
            <w:tcW w:w="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2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1,425</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accounts receivable</w:t>
            </w:r>
          </w:p>
        </w:tc>
        <w:tc>
          <w:tcPr>
            <w:tcW w:w="22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34,205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Deferred Revenue and Remaining Performance Obligation</w:t>
      </w:r>
    </w:p>
    <w:p>
      <w:pPr>
        <w:spacing w:after="0" w:line="114"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Significant movements in the deferred revenue balance during the period consisted of increases due to payments received prior to transfer of control of the underlying performance obligations to the customer, which were offset by decreases due to revenues recognized in the period. During the six months ended July 31, 2020, $43.1 million of revenues were recognized that were included in the balance of deferred revenue as of January 31, 2020.</w:t>
      </w:r>
    </w:p>
    <w:p>
      <w:pPr>
        <w:spacing w:after="0" w:line="180" w:lineRule="exact"/>
        <w:rPr>
          <w:sz w:val="20"/>
          <w:szCs w:val="20"/>
          <w:color w:val="auto"/>
        </w:rPr>
      </w:pPr>
    </w:p>
    <w:p>
      <w:pPr>
        <w:ind w:left="160" w:right="180" w:firstLine="873"/>
        <w:spacing w:after="0" w:line="274" w:lineRule="auto"/>
        <w:rPr>
          <w:sz w:val="20"/>
          <w:szCs w:val="20"/>
          <w:color w:val="auto"/>
        </w:rPr>
      </w:pPr>
      <w:r>
        <w:rPr>
          <w:rFonts w:ascii="Times New Roman" w:cs="Times New Roman" w:eastAsia="Times New Roman" w:hAnsi="Times New Roman"/>
          <w:sz w:val="17"/>
          <w:szCs w:val="17"/>
          <w:color w:val="auto"/>
        </w:rPr>
        <w:t>Transaction price allocated to remaining performance obligations represents contracted revenues that have not yet been recognized, which includes deferred revenue and unbilled amounts that will be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68" w:lineRule="exact"/>
        <w:rPr>
          <w:sz w:val="20"/>
          <w:szCs w:val="20"/>
          <w:color w:val="auto"/>
        </w:rPr>
      </w:pPr>
    </w:p>
    <w:p>
      <w:pPr>
        <w:ind w:left="160" w:right="420" w:firstLine="873"/>
        <w:spacing w:after="0" w:line="278" w:lineRule="auto"/>
        <w:rPr>
          <w:sz w:val="20"/>
          <w:szCs w:val="20"/>
          <w:color w:val="auto"/>
        </w:rPr>
      </w:pPr>
      <w:r>
        <w:rPr>
          <w:rFonts w:ascii="Times New Roman" w:cs="Times New Roman" w:eastAsia="Times New Roman" w:hAnsi="Times New Roman"/>
          <w:sz w:val="18"/>
          <w:szCs w:val="18"/>
          <w:color w:val="auto"/>
        </w:rPr>
        <w:t>Remaining performance obligations were $455.7 million as of July 31, 2020. The Company expects to recognize 66% of its remaining performance obligation as revenues in the next 24 months, 30% more in the following 25 to 48 months, and the remainder thereafter.</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6. Business Combinations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Visible Equity, LLC</w:t>
      </w:r>
    </w:p>
    <w:p>
      <w:pPr>
        <w:spacing w:after="0" w:line="118" w:lineRule="exact"/>
        <w:rPr>
          <w:sz w:val="20"/>
          <w:szCs w:val="20"/>
          <w:color w:val="auto"/>
        </w:rPr>
      </w:pPr>
    </w:p>
    <w:p>
      <w:pPr>
        <w:jc w:val="both"/>
        <w:ind w:left="160" w:right="260" w:firstLine="873"/>
        <w:spacing w:after="0" w:line="263" w:lineRule="auto"/>
        <w:rPr>
          <w:sz w:val="20"/>
          <w:szCs w:val="20"/>
          <w:color w:val="auto"/>
        </w:rPr>
      </w:pPr>
      <w:r>
        <w:rPr>
          <w:rFonts w:ascii="Times New Roman" w:cs="Times New Roman" w:eastAsia="Times New Roman" w:hAnsi="Times New Roman"/>
          <w:sz w:val="18"/>
          <w:szCs w:val="18"/>
          <w:color w:val="auto"/>
        </w:rPr>
        <w:t>On July 8, 2019, the Company acquired all outstanding membership interests of Visible Equity, LLC (“Visible Equity”) which provides financial analytics, portfolio management and compliance solutions to banks and credit unions. The Company acquired Visible Equity for its product offerings and the domain expertise of its employees. Visible Equity is headquartered in Salt Lake City, Utah.</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060"/>
          </w:cols>
          <w:pgMar w:left="320" w:top="454" w:right="51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6. Business Combinations (Continued)</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acquisition-date fair value of the consideration transferred is as follows:</w:t>
      </w:r>
    </w:p>
    <w:p>
      <w:pPr>
        <w:spacing w:after="0" w:line="230"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Consideration</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to members</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2"/>
              </w:rPr>
              <w:t>49,428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Voting common stock issued (1,438,805 shares)</w:t>
            </w:r>
          </w:p>
        </w:tc>
        <w:tc>
          <w:tcPr>
            <w:tcW w:w="18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23,812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320" w:firstLine="873"/>
        <w:spacing w:after="0" w:line="263"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 The measurement period ended one year from the acquisition date.</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Finsuite Pty Ltd</w:t>
      </w:r>
    </w:p>
    <w:p>
      <w:pPr>
        <w:spacing w:after="0" w:line="118" w:lineRule="exact"/>
        <w:rPr>
          <w:sz w:val="20"/>
          <w:szCs w:val="20"/>
          <w:color w:val="auto"/>
        </w:rPr>
      </w:pPr>
    </w:p>
    <w:p>
      <w:pPr>
        <w:ind w:left="160" w:right="260" w:firstLine="873"/>
        <w:spacing w:after="0" w:line="263" w:lineRule="auto"/>
        <w:rPr>
          <w:sz w:val="20"/>
          <w:szCs w:val="20"/>
          <w:color w:val="auto"/>
        </w:rPr>
      </w:pPr>
      <w:r>
        <w:rPr>
          <w:rFonts w:ascii="Times New Roman" w:cs="Times New Roman" w:eastAsia="Times New Roman" w:hAnsi="Times New Roman"/>
          <w:sz w:val="18"/>
          <w:szCs w:val="18"/>
          <w:color w:val="auto"/>
        </w:rPr>
        <w:t>On October 18, 2019, the Company, through its wholly-owned subsidiary, nCino APAC Pty Ltd, acquired all of the outstanding shares of FinSuite Pty Ltd (“FinSuite”). The Company acquired FinSuite to enhance the Company’s data recognition capabilities, including of complex, unstructured data. FinSuite is headquartered in Melbourne, Australia.</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acquisition-date fair value of the consideration transferred is as follows:</w:t>
      </w:r>
    </w:p>
    <w:p>
      <w:pPr>
        <w:spacing w:after="0" w:line="230"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w:t>
            </w:r>
          </w:p>
        </w:tc>
      </w:tr>
      <w:tr>
        <w:trPr>
          <w:trHeight w:val="170"/>
        </w:trPr>
        <w:tc>
          <w:tcPr>
            <w:tcW w:w="656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Consideration</w:t>
            </w:r>
          </w:p>
        </w:tc>
      </w:tr>
      <w:tr>
        <w:trPr>
          <w:trHeight w:val="207"/>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to shareholders</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 to settle debt</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r>
      <w:tr>
        <w:trPr>
          <w:trHeight w:val="21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Voting common stock issued (63,967 shares)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consideration—cash payment</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8"/>
                <w:szCs w:val="18"/>
                <w:color w:val="auto"/>
              </w:rPr>
            </w:pPr>
          </w:p>
        </w:tc>
      </w:tr>
      <w:tr>
        <w:trPr>
          <w:trHeight w:val="21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consideration—voting common stock</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1"/>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320" w:firstLine="873"/>
        <w:spacing w:after="0" w:line="263"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 The measurement period will end one year from the acquisition date.</w:t>
      </w:r>
    </w:p>
    <w:p>
      <w:pPr>
        <w:spacing w:after="0" w:line="175"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Contingent consideration includes two tranches of earn-out arrangements based upon the attainment of post-acquisition product development milestones. The first tranche includes an earn-out opportunity of $0.1 million of cash and the issuance of 142,846 shares of voting common stock (together, the “Initial Tranche Earn-Out”). The Initial Tranche Earn-Out is conditioned upon the development of a stated product in accordance with mutually agreed upon functional requirements within a certain period from the date of acquisition. The second tranche includes an earn-out opportunity of $0.1 million of cash and the issuance of 142,846 shares of voting common stock (together, the “Final Tranche Earn-Out”). The Final Tranche Earn-Out is conditioned upon a customer’s use of the stated product in a production environment according to the mutually agreed upon functional requirements within a certain period from the date of acquisition. The Final Tranche Earn-Out is not conditioned upon the achievement of the Initial Tranche Earn-Out.</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080"/>
          </w:cols>
          <w:pgMar w:left="320" w:top="454" w:right="49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6. Business Combinations (Continued)</w:t>
      </w:r>
    </w:p>
    <w:p>
      <w:pPr>
        <w:spacing w:after="0" w:line="131" w:lineRule="exact"/>
        <w:rPr>
          <w:sz w:val="20"/>
          <w:szCs w:val="20"/>
          <w:color w:val="auto"/>
        </w:rPr>
      </w:pPr>
    </w:p>
    <w:p>
      <w:pPr>
        <w:ind w:left="160" w:right="100" w:firstLine="873"/>
        <w:spacing w:after="0" w:line="258" w:lineRule="auto"/>
        <w:rPr>
          <w:sz w:val="20"/>
          <w:szCs w:val="20"/>
          <w:color w:val="auto"/>
        </w:rPr>
      </w:pPr>
      <w:r>
        <w:rPr>
          <w:rFonts w:ascii="Times New Roman" w:cs="Times New Roman" w:eastAsia="Times New Roman" w:hAnsi="Times New Roman"/>
          <w:sz w:val="18"/>
          <w:szCs w:val="18"/>
          <w:color w:val="auto"/>
        </w:rPr>
        <w:t>The cash portion of the contingent consideration of $0.2 million is included in other long-term liabilities and other accrued expenses in the accompanying unaudited condensed consolidated balance sheet as of January 31, 2020 and July 31, 2020, respectively. The share portion of the contingent consideration was recorded as of the acquisition date and is reflected as a component of stockholders’ equity in the accompanying unaudited condensed consolidated balance sheet as of January 31, 2020 and July 31, 2020.</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7. Intangible Assets and Goodwill</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Intangible assets, net are as follows:</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4"/>
                <w:szCs w:val="14"/>
                <w:color w:val="auto"/>
              </w:rPr>
              <w:t>As of January 31, 2020</w:t>
            </w: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jc w:val="right"/>
              <w:ind w:right="1"/>
              <w:spacing w:after="0"/>
              <w:rPr>
                <w:sz w:val="20"/>
                <w:szCs w:val="20"/>
                <w:color w:val="auto"/>
              </w:rPr>
            </w:pPr>
            <w:r>
              <w:rPr>
                <w:rFonts w:ascii="Times New Roman" w:cs="Times New Roman" w:eastAsia="Times New Roman" w:hAnsi="Times New Roman"/>
                <w:sz w:val="14"/>
                <w:szCs w:val="14"/>
                <w:color w:val="auto"/>
              </w:rPr>
              <w:t>As of July 31, 2020</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color w:val="auto"/>
              </w:rPr>
              <w:t>Gross</w:t>
            </w:r>
          </w:p>
        </w:tc>
        <w:tc>
          <w:tcPr>
            <w:tcW w:w="220" w:type="dxa"/>
            <w:vAlign w:val="bottom"/>
          </w:tcPr>
          <w:p>
            <w:pPr>
              <w:spacing w:after="0"/>
              <w:rPr>
                <w:sz w:val="10"/>
                <w:szCs w:val="10"/>
                <w:color w:val="auto"/>
              </w:rPr>
            </w:pPr>
          </w:p>
        </w:tc>
        <w:tc>
          <w:tcPr>
            <w:tcW w:w="1080" w:type="dxa"/>
            <w:vAlign w:val="bottom"/>
            <w:gridSpan w:val="7"/>
          </w:tcPr>
          <w:p>
            <w:pPr>
              <w:spacing w:after="0" w:line="118" w:lineRule="exact"/>
              <w:rPr>
                <w:sz w:val="20"/>
                <w:szCs w:val="20"/>
                <w:color w:val="auto"/>
              </w:rPr>
            </w:pPr>
            <w:r>
              <w:rPr>
                <w:rFonts w:ascii="Times New Roman" w:cs="Times New Roman" w:eastAsia="Times New Roman" w:hAnsi="Times New Roman"/>
                <w:sz w:val="13"/>
                <w:szCs w:val="13"/>
                <w:color w:val="auto"/>
              </w:rPr>
              <w:t>Accumulated</w:t>
            </w:r>
          </w:p>
        </w:tc>
        <w:tc>
          <w:tcPr>
            <w:tcW w:w="7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color w:val="auto"/>
              </w:rPr>
              <w:t>Net Carrying</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6"/>
          </w:tcPr>
          <w:p>
            <w:pPr>
              <w:ind w:left="80"/>
              <w:spacing w:after="0" w:line="118" w:lineRule="exact"/>
              <w:rPr>
                <w:sz w:val="20"/>
                <w:szCs w:val="20"/>
                <w:color w:val="auto"/>
              </w:rPr>
            </w:pPr>
            <w:r>
              <w:rPr>
                <w:rFonts w:ascii="Times New Roman" w:cs="Times New Roman" w:eastAsia="Times New Roman" w:hAnsi="Times New Roman"/>
                <w:sz w:val="13"/>
                <w:szCs w:val="13"/>
                <w:color w:val="auto"/>
              </w:rPr>
              <w:t>Gross</w:t>
            </w:r>
          </w:p>
        </w:tc>
        <w:tc>
          <w:tcPr>
            <w:tcW w:w="140" w:type="dxa"/>
            <w:vAlign w:val="bottom"/>
          </w:tcPr>
          <w:p>
            <w:pPr>
              <w:spacing w:after="0"/>
              <w:rPr>
                <w:sz w:val="10"/>
                <w:szCs w:val="10"/>
                <w:color w:val="auto"/>
              </w:rPr>
            </w:pPr>
          </w:p>
        </w:tc>
        <w:tc>
          <w:tcPr>
            <w:tcW w:w="110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color w:val="auto"/>
              </w:rPr>
              <w:t>Accumulated</w:t>
            </w: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4"/>
                <w:szCs w:val="14"/>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1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14"/>
                <w:szCs w:val="14"/>
                <w:color w:val="auto"/>
              </w:rPr>
            </w:pPr>
          </w:p>
        </w:tc>
        <w:tc>
          <w:tcPr>
            <w:tcW w:w="6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4"/>
                <w:szCs w:val="14"/>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07"/>
        </w:trPr>
        <w:tc>
          <w:tcPr>
            <w:tcW w:w="518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2"/>
              </w:rPr>
              <w:t>21,706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182"/>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20,769</w:t>
            </w:r>
          </w:p>
        </w:tc>
        <w:tc>
          <w:tcPr>
            <w:tcW w:w="70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21,714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19,941</w:t>
            </w:r>
          </w:p>
        </w:tc>
        <w:tc>
          <w:tcPr>
            <w:tcW w:w="0" w:type="dxa"/>
            <w:vAlign w:val="bottom"/>
          </w:tcPr>
          <w:p>
            <w:pPr>
              <w:spacing w:after="0"/>
              <w:rPr>
                <w:sz w:val="1"/>
                <w:szCs w:val="1"/>
                <w:color w:val="auto"/>
              </w:rPr>
            </w:pPr>
          </w:p>
        </w:tc>
      </w:tr>
      <w:tr>
        <w:trPr>
          <w:trHeight w:val="214"/>
        </w:trPr>
        <w:tc>
          <w:tcPr>
            <w:tcW w:w="5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27,839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3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26,093</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28,013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320" w:type="dxa"/>
            <w:vAlign w:val="bottom"/>
          </w:tcPr>
          <w:p>
            <w:pPr>
              <w:jc w:val="right"/>
              <w:ind w:right="24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4"/>
            <w:vMerge w:val="restart"/>
          </w:tcPr>
          <w:p>
            <w:pPr>
              <w:ind w:left="880"/>
              <w:spacing w:after="0"/>
              <w:rPr>
                <w:sz w:val="20"/>
                <w:szCs w:val="20"/>
                <w:color w:val="auto"/>
              </w:rPr>
            </w:pPr>
            <w:r>
              <w:rPr>
                <w:rFonts w:ascii="Times New Roman" w:cs="Times New Roman" w:eastAsia="Times New Roman" w:hAnsi="Times New Roman"/>
                <w:sz w:val="18"/>
                <w:szCs w:val="18"/>
                <w:color w:val="auto"/>
              </w:rPr>
              <w:t>The Company recognized amortization expense as follows:</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518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11"/>
          </w:tcPr>
          <w:p>
            <w:pPr>
              <w:jc w:val="right"/>
              <w:ind w:right="641"/>
              <w:spacing w:after="0"/>
              <w:rPr>
                <w:sz w:val="20"/>
                <w:szCs w:val="20"/>
                <w:color w:val="auto"/>
              </w:rPr>
            </w:pPr>
            <w:r>
              <w:rPr>
                <w:rFonts w:ascii="Times New Roman" w:cs="Times New Roman" w:eastAsia="Times New Roman" w:hAnsi="Times New Roman"/>
                <w:sz w:val="14"/>
                <w:szCs w:val="14"/>
                <w:color w:val="auto"/>
              </w:rPr>
              <w:t>Six Months Ended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July 31,</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July 31,</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320" w:type="dxa"/>
            <w:vAlign w:val="bottom"/>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1" w:lineRule="exact"/>
              <w:rPr>
                <w:sz w:val="20"/>
                <w:szCs w:val="20"/>
                <w:color w:val="auto"/>
              </w:rPr>
            </w:pPr>
            <w:r>
              <w:rPr>
                <w:rFonts w:ascii="Times New Roman" w:cs="Times New Roman" w:eastAsia="Times New Roman" w:hAnsi="Times New Roman"/>
                <w:sz w:val="14"/>
                <w:szCs w:val="14"/>
                <w:color w:val="auto"/>
                <w:w w:val="99"/>
              </w:rPr>
              <w:t>2019</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gridSpan w:val="4"/>
          </w:tcPr>
          <w:p>
            <w:pPr>
              <w:jc w:val="right"/>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1" w:lineRule="exact"/>
              <w:rPr>
                <w:sz w:val="20"/>
                <w:szCs w:val="20"/>
                <w:color w:val="auto"/>
              </w:rPr>
            </w:pPr>
            <w:r>
              <w:rPr>
                <w:rFonts w:ascii="Times New Roman" w:cs="Times New Roman" w:eastAsia="Times New Roman" w:hAnsi="Times New Roman"/>
                <w:sz w:val="14"/>
                <w:szCs w:val="14"/>
                <w:color w:val="auto"/>
                <w:w w:val="99"/>
              </w:rPr>
              <w:t>2020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3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378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4"/>
          </w:tcPr>
          <w:p>
            <w:pPr>
              <w:jc w:val="right"/>
              <w:ind w:right="109"/>
              <w:spacing w:after="0"/>
              <w:rPr>
                <w:sz w:val="20"/>
                <w:szCs w:val="20"/>
                <w:color w:val="auto"/>
              </w:rPr>
            </w:pPr>
            <w:r>
              <w:rPr>
                <w:rFonts w:ascii="Times New Roman" w:cs="Times New Roman" w:eastAsia="Times New Roman" w:hAnsi="Times New Roman"/>
                <w:sz w:val="18"/>
                <w:szCs w:val="18"/>
                <w:color w:val="auto"/>
                <w:w w:val="88"/>
              </w:rPr>
              <w:t>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spacing w:after="0"/>
              <w:rPr>
                <w:sz w:val="19"/>
                <w:szCs w:val="19"/>
                <w:color w:val="auto"/>
              </w:rPr>
            </w:pPr>
          </w:p>
        </w:tc>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6"/>
              </w:rPr>
              <w:t>796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1,592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8160" w:type="dxa"/>
            <w:vAlign w:val="bottom"/>
            <w:gridSpan w:val="20"/>
          </w:tcPr>
          <w:p>
            <w:pPr>
              <w:ind w:left="880"/>
              <w:spacing w:after="0"/>
              <w:rPr>
                <w:sz w:val="20"/>
                <w:szCs w:val="20"/>
                <w:color w:val="auto"/>
              </w:rPr>
            </w:pPr>
            <w:r>
              <w:rPr>
                <w:rFonts w:ascii="Times New Roman" w:cs="Times New Roman" w:eastAsia="Times New Roman" w:hAnsi="Times New Roman"/>
                <w:sz w:val="18"/>
                <w:szCs w:val="18"/>
                <w:color w:val="auto"/>
              </w:rPr>
              <w:t>The expected future amortization expense for intangible assets as of July 31, 2020 is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20" w:type="dxa"/>
            <w:vAlign w:val="bottom"/>
          </w:tcPr>
          <w:p>
            <w:pPr>
              <w:spacing w:after="0"/>
              <w:rPr>
                <w:sz w:val="20"/>
                <w:szCs w:val="20"/>
                <w:color w:val="auto"/>
              </w:rPr>
            </w:pPr>
          </w:p>
        </w:tc>
        <w:tc>
          <w:tcPr>
            <w:tcW w:w="440" w:type="dxa"/>
            <w:vAlign w:val="bottom"/>
            <w:vMerge w:val="restart"/>
          </w:tcPr>
          <w:p>
            <w:pPr>
              <w:spacing w:after="0"/>
              <w:rPr>
                <w:sz w:val="20"/>
                <w:szCs w:val="20"/>
                <w:color w:val="auto"/>
              </w:rPr>
            </w:pPr>
          </w:p>
        </w:tc>
        <w:tc>
          <w:tcPr>
            <w:tcW w:w="2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42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Fiscal Year Ending January 31,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2021 (remaining)</w:t>
            </w:r>
          </w:p>
        </w:tc>
        <w:tc>
          <w:tcPr>
            <w:tcW w:w="1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gridSpan w:val="8"/>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w w:val="98"/>
              </w:rPr>
              <w:t>$ 24,636</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280" w:firstLine="873"/>
        <w:spacing w:after="0" w:line="263" w:lineRule="auto"/>
        <w:rPr>
          <w:sz w:val="20"/>
          <w:szCs w:val="20"/>
          <w:color w:val="auto"/>
        </w:rPr>
      </w:pPr>
      <w:r>
        <w:rPr>
          <w:rFonts w:ascii="Times New Roman" w:cs="Times New Roman" w:eastAsia="Times New Roman" w:hAnsi="Times New Roman"/>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80"/>
          </w:cols>
          <w:pgMar w:left="320" w:top="454" w:right="49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7. Intangible Assets and Goodwill (Continued)</w:t>
      </w:r>
    </w:p>
    <w:p>
      <w:pPr>
        <w:spacing w:after="0" w:line="1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8"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The carrying amount of goodwill was $55.8 million and $56.5 million as of January 31, 2020 and July 31, 2020, respectively. The change in goodwill is due to translation adjustments and was $0.0 million and $0.9 million for the three months ended July 31, 2019 and 2020, respectively, and $0.0 million and $0.7 million for the six months ended July 31, 2019 and 2020, respectively.</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8. Reseller Agreement</w:t>
      </w:r>
    </w:p>
    <w:p>
      <w:pPr>
        <w:spacing w:after="0" w:line="118" w:lineRule="exact"/>
        <w:rPr>
          <w:sz w:val="20"/>
          <w:szCs w:val="20"/>
          <w:color w:val="auto"/>
        </w:rPr>
      </w:pPr>
    </w:p>
    <w:p>
      <w:pPr>
        <w:ind w:left="160" w:right="160" w:firstLine="873"/>
        <w:spacing w:after="0" w:line="253" w:lineRule="auto"/>
        <w:rPr>
          <w:sz w:val="20"/>
          <w:szCs w:val="20"/>
          <w:color w:val="auto"/>
        </w:rPr>
      </w:pPr>
      <w:r>
        <w:rPr>
          <w:rFonts w:ascii="Times New Roman" w:cs="Times New Roman" w:eastAsia="Times New Roman" w:hAnsi="Times New Roman"/>
          <w:sz w:val="18"/>
          <w:szCs w:val="18"/>
          <w:color w:val="auto"/>
        </w:rPr>
        <w:t>The Company has a reseller agreement in place with a related party to utilize their platform and to develop the Company’s cloud-based banking software as an application within the related party’s hosted environment. In June 2020, this agreement was renegotiated and expires in June 2027 and will automatically renew in annual increments thereafter unless either party gives notice of non-renewal before the end of the initial term or the respective renewal term. Cost of subscription revenues in each of the three and six months ended July 31, 2019 and 2020 substantially consists of fees paid for access to the related party’s platform, including their hosting infrastructure and data center operations. The Company has recorded expenses of $5.4 million and $8.7 million for the three months ended July 31, 2019 and 2020, respectively and $10.4 million and $16.2 million for the six months ended July 31, 2019 and 2020, respectively. See also Note 12.</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118"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Pursuant to the fourth certificate of amendment to the Company’s third amended and restated certificate of incorporation dated July 6, 2020, each share of voting and non-voting common stock issued and outstanding prior to the effectiveness was reclassified into a single class of stock designated as common stock which has one vote per share. Subsequent to the effectiveness of the Company’s amended and restated certificate of incorporation, the Company’s common stock consists of 500,000,000 authorized shares, par value $0.0005 per share and the Company’s preferred stock consists of 10,000,000 authorized shares, par value $0.001 per share.</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At July 31, 2020, the Company committed a total of 24,785,528 shares of common stock for future issuance as follows:</w:t>
      </w:r>
    </w:p>
    <w:p>
      <w:pPr>
        <w:spacing w:after="0" w:line="266"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7,464,094</w:t>
            </w:r>
          </w:p>
        </w:tc>
        <w:tc>
          <w:tcPr>
            <w:tcW w:w="20" w:type="dxa"/>
            <w:vAlign w:val="bottom"/>
            <w:shd w:val="clear" w:color="auto" w:fill="CCEEFF"/>
          </w:tcPr>
          <w:p>
            <w:pPr>
              <w:spacing w:after="0"/>
              <w:rPr>
                <w:sz w:val="18"/>
                <w:szCs w:val="18"/>
                <w:color w:val="auto"/>
              </w:rPr>
            </w:pPr>
          </w:p>
        </w:tc>
      </w:tr>
      <w:tr>
        <w:trPr>
          <w:trHeight w:val="21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Nonvested issued and outstanding restricted stock units (“RSUs”)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2,041,093</w:t>
            </w:r>
          </w:p>
        </w:tc>
        <w:tc>
          <w:tcPr>
            <w:tcW w:w="20" w:type="dxa"/>
            <w:vAlign w:val="bottom"/>
          </w:tcPr>
          <w:p>
            <w:pPr>
              <w:spacing w:after="0"/>
              <w:rPr>
                <w:sz w:val="18"/>
                <w:szCs w:val="18"/>
                <w:color w:val="auto"/>
              </w:rPr>
            </w:pPr>
          </w:p>
        </w:tc>
      </w:tr>
      <w:tr>
        <w:trPr>
          <w:trHeight w:val="214"/>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Possible issuance under stock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15,280,341</w:t>
            </w:r>
          </w:p>
        </w:tc>
        <w:tc>
          <w:tcPr>
            <w:tcW w:w="20" w:type="dxa"/>
            <w:vAlign w:val="bottom"/>
            <w:shd w:val="clear" w:color="auto" w:fill="CCEEFF"/>
          </w:tcPr>
          <w:p>
            <w:pPr>
              <w:spacing w:after="0"/>
              <w:rPr>
                <w:sz w:val="18"/>
                <w:szCs w:val="18"/>
                <w:color w:val="auto"/>
              </w:rPr>
            </w:pPr>
          </w:p>
        </w:tc>
      </w:tr>
      <w:tr>
        <w:trPr>
          <w:trHeight w:val="221"/>
        </w:trPr>
        <w:tc>
          <w:tcPr>
            <w:tcW w:w="62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24,785,528</w:t>
            </w:r>
          </w:p>
        </w:tc>
        <w:tc>
          <w:tcPr>
            <w:tcW w:w="20" w:type="dxa"/>
            <w:vAlign w:val="bottom"/>
            <w:tcBorders>
              <w:bottom w:val="single" w:sz="8" w:color="auto"/>
            </w:tcBorders>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18" w:lineRule="exact"/>
        <w:rPr>
          <w:sz w:val="20"/>
          <w:szCs w:val="20"/>
          <w:color w:val="auto"/>
        </w:rPr>
      </w:pPr>
    </w:p>
    <w:p>
      <w:pPr>
        <w:ind w:left="160" w:right="140" w:firstLine="873"/>
        <w:spacing w:after="0" w:line="258" w:lineRule="auto"/>
        <w:rPr>
          <w:sz w:val="20"/>
          <w:szCs w:val="20"/>
          <w:color w:val="auto"/>
        </w:rPr>
      </w:pPr>
      <w:r>
        <w:rPr>
          <w:rFonts w:ascii="Times New Roman" w:cs="Times New Roman" w:eastAsia="Times New Roman" w:hAnsi="Times New Roman"/>
          <w:sz w:val="18"/>
          <w:szCs w:val="18"/>
          <w:color w:val="auto"/>
        </w:rPr>
        <w:t>The Company has stock-based compensation plans that provide for the award of equity incentives, including stock options, stock appreciation rights, restricted stock awards, restricted stock units, performance shares, performance units, cash-based award and other stock-based awards. As of July 31, 2020, the Company had stock options outstanding under the 2014 Stock Plan (“2014 Plan”) and the 2019 Equity Incentive Plan had stock options and RSUs outstanding. As of July 31, 2020, the Company also has an employee stock purchase plan.</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040"/>
          </w:cols>
          <w:pgMar w:left="320" w:top="454" w:right="5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10. Stock-Based Compensation (Continued)</w:t>
      </w:r>
    </w:p>
    <w:p>
      <w:pPr>
        <w:spacing w:after="0" w:line="131" w:lineRule="exact"/>
        <w:rPr>
          <w:sz w:val="20"/>
          <w:szCs w:val="20"/>
          <w:color w:val="auto"/>
        </w:rPr>
      </w:pPr>
    </w:p>
    <w:p>
      <w:pPr>
        <w:ind w:left="160" w:firstLine="873"/>
        <w:spacing w:after="0" w:line="269" w:lineRule="auto"/>
        <w:rPr>
          <w:sz w:val="20"/>
          <w:szCs w:val="20"/>
          <w:color w:val="auto"/>
        </w:rPr>
      </w:pPr>
      <w:r>
        <w:rPr>
          <w:rFonts w:ascii="Times New Roman" w:cs="Times New Roman" w:eastAsia="Times New Roman" w:hAnsi="Times New Roman"/>
          <w:sz w:val="17"/>
          <w:szCs w:val="17"/>
          <w:color w:val="auto"/>
        </w:rPr>
        <w:t>In connection with the IPO, the Board of Directors adopted and stockholders approved an amended and restated 2019 Equity Incentive Plan (“2019 Plan”) to, among other things as defined in the 2019 Plan document, increase the available shares under the Plan to 15,250,000, plus an annual increase added on the first day of each fiscal year, beginning with the fiscal year ending January 31, 2022, and continuing until, and including, the fiscal year ending January 31, 2031. The annual increase will be equal to the lesser of (i) 5% of the number of shares issued and outstanding as of January 31 of the immediately preceding fiscal year and (ii) an amount determined by the Company’s Board of Directors. The Company ceased granting awards under the 2014 Plan during the fiscal year ended January 31, 2020, and all shares that remained available for issuance under the 2014 Plan were transferred to the 2019 Plan prior to the closing of the IPO. Additionally, the number of shares available under the 2019 Plan shall be increased by the number of shares outstanding under the 2014 Plan that expire, terminate or are canceled without having been exercised or settled in full.</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Stock option activity during the six months ended July 31, 2020 was as follows:</w:t>
      </w:r>
    </w:p>
    <w:p>
      <w:pPr>
        <w:spacing w:after="0" w:line="230"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1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Number of</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Weighted</w:t>
            </w:r>
          </w:p>
        </w:tc>
        <w:tc>
          <w:tcPr>
            <w:tcW w:w="0" w:type="dxa"/>
            <w:vAlign w:val="bottom"/>
          </w:tcPr>
          <w:p>
            <w:pPr>
              <w:spacing w:after="0"/>
              <w:rPr>
                <w:sz w:val="1"/>
                <w:szCs w:val="1"/>
                <w:color w:val="auto"/>
              </w:rPr>
            </w:pPr>
          </w:p>
        </w:tc>
      </w:tr>
      <w:tr>
        <w:trPr>
          <w:trHeight w:val="147"/>
        </w:trPr>
        <w:tc>
          <w:tcPr>
            <w:tcW w:w="59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70"/>
        </w:trPr>
        <w:tc>
          <w:tcPr>
            <w:tcW w:w="590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Shares</w:t>
            </w:r>
          </w:p>
        </w:tc>
        <w:tc>
          <w:tcPr>
            <w:tcW w:w="34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Exercise Price</w:t>
            </w:r>
          </w:p>
        </w:tc>
        <w:tc>
          <w:tcPr>
            <w:tcW w:w="0" w:type="dxa"/>
            <w:vAlign w:val="bottom"/>
          </w:tcPr>
          <w:p>
            <w:pPr>
              <w:spacing w:after="0"/>
              <w:rPr>
                <w:sz w:val="1"/>
                <w:szCs w:val="1"/>
                <w:color w:val="auto"/>
              </w:rPr>
            </w:pPr>
          </w:p>
        </w:tc>
      </w:tr>
      <w:tr>
        <w:trPr>
          <w:trHeight w:val="207"/>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7,837,023</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 or forfeited</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(46,899)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21"/>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(326,030)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July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7,464,094</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July 31, 2020</w:t>
            </w: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line="20" w:lineRule="exact"/>
              <w:rPr>
                <w:sz w:val="1"/>
                <w:szCs w:val="1"/>
                <w:color w:val="auto"/>
              </w:rPr>
            </w:pPr>
          </w:p>
        </w:tc>
      </w:tr>
      <w:tr>
        <w:trPr>
          <w:trHeight w:val="207"/>
        </w:trPr>
        <w:tc>
          <w:tcPr>
            <w:tcW w:w="5900" w:type="dxa"/>
            <w:vAlign w:val="bottom"/>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5,542,247</w:t>
            </w:r>
          </w:p>
        </w:tc>
        <w:tc>
          <w:tcPr>
            <w:tcW w:w="3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Fully vested or expected to vest, July 31, 2020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6,717,685</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380" w:firstLine="873"/>
        <w:spacing w:after="0" w:line="278" w:lineRule="auto"/>
        <w:rPr>
          <w:sz w:val="20"/>
          <w:szCs w:val="20"/>
          <w:color w:val="auto"/>
        </w:rPr>
      </w:pPr>
      <w:r>
        <w:rPr>
          <w:rFonts w:ascii="Times New Roman" w:cs="Times New Roman" w:eastAsia="Times New Roman" w:hAnsi="Times New Roman"/>
          <w:sz w:val="18"/>
          <w:szCs w:val="18"/>
          <w:color w:val="auto"/>
        </w:rPr>
        <w:t>As of July 31, 2020, there was $5.5 million of total unrecognized compensation expense related to unvested stock-based compensation arrangements under the 2014 and 2019 Plans. That cost is expected to be recognized over a weighted average period of 1.53 years.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Restricted stock unit (“RSU”) activity during the six months ended July 31, 2020 was as follows:</w:t>
      </w:r>
    </w:p>
    <w:p>
      <w:pPr>
        <w:spacing w:after="0" w:line="230"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2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color w:val="auto"/>
              </w:rPr>
              <w:t>Number of</w:t>
            </w:r>
          </w:p>
        </w:tc>
        <w:tc>
          <w:tcPr>
            <w:tcW w:w="36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47"/>
        </w:trPr>
        <w:tc>
          <w:tcPr>
            <w:tcW w:w="56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3"/>
          </w:tcPr>
          <w:p>
            <w:pPr>
              <w:ind w:left="80"/>
              <w:spacing w:after="0" w:line="147" w:lineRule="exact"/>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70"/>
        </w:trPr>
        <w:tc>
          <w:tcPr>
            <w:tcW w:w="562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Shares</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07"/>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January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948,119</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3"/>
              </w:rPr>
              <w:t>21.75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1,120,054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14"/>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15"/>
                <w:szCs w:val="15"/>
                <w:color w:val="auto"/>
              </w:rPr>
              <w:t>1</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(17,500)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4"/>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(9,580)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July 31, 2020</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2,041,093</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460" w:right="4740" w:hanging="5293"/>
        <w:spacing w:after="0" w:line="448" w:lineRule="auto"/>
        <w:tabs>
          <w:tab w:leader="none" w:pos="60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17,500 RSUs that were not issued and outstanding as of July 31, 2020. F-61</w:t>
      </w:r>
    </w:p>
    <w:p>
      <w:pPr>
        <w:sectPr>
          <w:pgSz w:w="11900" w:h="16838" w:orient="portrait"/>
          <w:cols w:equalWidth="0" w:num="1">
            <w:col w:w="11020"/>
          </w:cols>
          <w:pgMar w:left="320" w:top="454" w:right="5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10. Stock-Based Compensation (Continued)</w:t>
      </w:r>
    </w:p>
    <w:p>
      <w:pPr>
        <w:spacing w:after="0" w:line="131" w:lineRule="exact"/>
        <w:rPr>
          <w:sz w:val="20"/>
          <w:szCs w:val="20"/>
          <w:color w:val="auto"/>
        </w:rPr>
      </w:pPr>
    </w:p>
    <w:p>
      <w:pPr>
        <w:ind w:left="160" w:right="120" w:firstLine="873"/>
        <w:spacing w:after="0" w:line="277" w:lineRule="auto"/>
        <w:rPr>
          <w:sz w:val="20"/>
          <w:szCs w:val="20"/>
          <w:color w:val="auto"/>
        </w:rPr>
      </w:pPr>
      <w:r>
        <w:rPr>
          <w:rFonts w:ascii="Times New Roman" w:cs="Times New Roman" w:eastAsia="Times New Roman" w:hAnsi="Times New Roman"/>
          <w:sz w:val="17"/>
          <w:szCs w:val="17"/>
          <w:color w:val="auto"/>
        </w:rPr>
        <w:t>The RSUs granted prior to the IPO vest upon the satisfaction of both a service-based, generally over 4 years, vesting 25% annually, and liquidity event-based vesting condition. For RSUs granted to the non-employee members of the Board of Directors, some vest in less than a year, some annually and some over three years. The liquidity event-based condition was satisfied upon the completion of the IPO and the Company recognized an expense of $12.2 million in cost of revenues and operating expenses for RSUs as of that date, using the accelerated attribution recognition method.</w:t>
      </w:r>
    </w:p>
    <w:p>
      <w:pPr>
        <w:spacing w:after="0" w:line="167"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As of July 31, 2020, total unrecognized compensation expense related to non-vested RSUs was $30.7 million, adjusted for estimated forfeitures, based on the estimated fair value of the Company’s common stock at the time of grant. The weighted-average period to be recognized is 3.52 years.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18"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In July 2020, the Board of Directors adopted and stockholders approved the Employee Stock Purchase Plan (the “ESPP”), which became effective immediately prior to the closing of the IPO. The ESPP includes two components, one component is intended to qualify as an “employee stock purchase plan” within the meaning of Section 423 of the Internal Revenue Code (the “Code) and a component that does not qualify as an “employee stock purchase plan” under Section 423 of the Code. The ESPP initially reserved and authorized the issuance of up to a total of 1,800,000 shares of common stock to participating employees. The aggregate number of shares of the Company’s common stock under the ESPP will automatically increase on the first day of each fiscal year, beginning with the first fiscal year ending January 31, 2022 and continuing until the fiscal year ended January 31, 2031, by an amount equal to the lesser of (i) 1% of the shares of the Company’s common stock issued and outstanding on January 31 of the immediately preceding fiscal year, (ii) 1,800,000 shares of the Company’s common stock or (iii) an amount determined by the Board of Directors. As of July 31, 2020, 1,800,000 shares of common stock remain available for grant under the ESPP.</w:t>
      </w:r>
    </w:p>
    <w:p>
      <w:pPr>
        <w:spacing w:after="0" w:line="192" w:lineRule="exact"/>
        <w:rPr>
          <w:sz w:val="20"/>
          <w:szCs w:val="20"/>
          <w:color w:val="auto"/>
        </w:rPr>
      </w:pPr>
    </w:p>
    <w:p>
      <w:pPr>
        <w:ind w:left="160" w:right="20" w:firstLine="873"/>
        <w:spacing w:after="0" w:line="274" w:lineRule="auto"/>
        <w:rPr>
          <w:sz w:val="20"/>
          <w:szCs w:val="20"/>
          <w:color w:val="auto"/>
        </w:rPr>
      </w:pPr>
      <w:r>
        <w:rPr>
          <w:rFonts w:ascii="Times New Roman" w:cs="Times New Roman" w:eastAsia="Times New Roman" w:hAnsi="Times New Roman"/>
          <w:sz w:val="17"/>
          <w:szCs w:val="17"/>
          <w:color w:val="auto"/>
        </w:rPr>
        <w:t>The ESPP permits employees to purchase the Company’s common stock through payroll deductions during six month offerings. The offering periods begin each January 1 and July 1, or such other period determined by the compensation committee. Eligible employees will purchase the shares at a price per share equal to the lesser of (i) 85% of the fair market value of a share of the Company’s common stock on the first business day of such offering period and (ii) 85% of the fair market value of share of the Company’s common stock on the last business day of such offering period, although the compensation committee has discretion to change the purchase price with respect to future offering periods, subject to terms of the ESPP.</w:t>
      </w:r>
    </w:p>
    <w:p>
      <w:pPr>
        <w:spacing w:after="0" w:line="2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18" w:lineRule="exact"/>
        <w:rPr>
          <w:sz w:val="20"/>
          <w:szCs w:val="20"/>
          <w:color w:val="auto"/>
        </w:rPr>
      </w:pPr>
    </w:p>
    <w:p>
      <w:pPr>
        <w:ind w:left="160" w:right="320" w:firstLine="873"/>
        <w:spacing w:after="0" w:line="278" w:lineRule="auto"/>
        <w:rPr>
          <w:sz w:val="20"/>
          <w:szCs w:val="20"/>
          <w:color w:val="auto"/>
        </w:rPr>
      </w:pPr>
      <w:r>
        <w:rPr>
          <w:rFonts w:ascii="Times New Roman" w:cs="Times New Roman" w:eastAsia="Times New Roman" w:hAnsi="Times New Roman"/>
          <w:sz w:val="18"/>
          <w:szCs w:val="18"/>
          <w:color w:val="auto"/>
        </w:rPr>
        <w:t>The Company leases its facilities and a portion of its equipment and licenses under various non-cancellable agreements, which expire at various times through July 2028 and require various minimum annual rentals.</w:t>
      </w:r>
    </w:p>
    <w:p>
      <w:pPr>
        <w:spacing w:after="0" w:line="162" w:lineRule="exact"/>
        <w:rPr>
          <w:sz w:val="20"/>
          <w:szCs w:val="20"/>
          <w:color w:val="auto"/>
        </w:rPr>
      </w:pPr>
    </w:p>
    <w:p>
      <w:pPr>
        <w:ind w:left="160" w:right="340" w:firstLine="873"/>
        <w:spacing w:after="0" w:line="278" w:lineRule="auto"/>
        <w:rPr>
          <w:sz w:val="20"/>
          <w:szCs w:val="20"/>
          <w:color w:val="auto"/>
        </w:rPr>
      </w:pPr>
      <w:r>
        <w:rPr>
          <w:rFonts w:ascii="Times New Roman" w:cs="Times New Roman" w:eastAsia="Times New Roman" w:hAnsi="Times New Roman"/>
          <w:sz w:val="18"/>
          <w:szCs w:val="18"/>
          <w:color w:val="auto"/>
        </w:rPr>
        <w:t>The Company’s agreements for the facilities and certain services provide the Company with the option to renew. The Company’s future contractual obligations would change if the Company exercised these options.</w:t>
      </w:r>
    </w:p>
    <w:p>
      <w:pPr>
        <w:spacing w:after="0" w:line="162" w:lineRule="exact"/>
        <w:rPr>
          <w:sz w:val="20"/>
          <w:szCs w:val="20"/>
          <w:color w:val="auto"/>
        </w:rPr>
      </w:pPr>
    </w:p>
    <w:p>
      <w:pPr>
        <w:ind w:left="160" w:right="240" w:firstLine="873"/>
        <w:spacing w:after="0" w:line="278" w:lineRule="auto"/>
        <w:rPr>
          <w:sz w:val="20"/>
          <w:szCs w:val="20"/>
          <w:color w:val="auto"/>
        </w:rPr>
      </w:pPr>
      <w:r>
        <w:rPr>
          <w:rFonts w:ascii="Times New Roman" w:cs="Times New Roman" w:eastAsia="Times New Roman" w:hAnsi="Times New Roman"/>
          <w:sz w:val="18"/>
          <w:szCs w:val="18"/>
          <w:color w:val="auto"/>
        </w:rPr>
        <w:t>The terms of the lease agreements provide for rental payments on a graduated basis. The Company recognizes rent expense on a straight-line basis over the lease period and has accrued for rent expense incurred but not paid.</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060"/>
          </w:cols>
          <w:pgMar w:left="320" w:top="454" w:right="51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 (Continued)</w:t>
      </w:r>
    </w:p>
    <w:p>
      <w:pPr>
        <w:spacing w:after="0" w:line="131" w:lineRule="exact"/>
        <w:rPr>
          <w:sz w:val="20"/>
          <w:szCs w:val="20"/>
          <w:color w:val="auto"/>
        </w:rPr>
      </w:pPr>
    </w:p>
    <w:p>
      <w:pPr>
        <w:ind w:left="160" w:right="600" w:firstLine="873"/>
        <w:spacing w:after="0" w:line="278" w:lineRule="auto"/>
        <w:rPr>
          <w:sz w:val="20"/>
          <w:szCs w:val="20"/>
          <w:color w:val="auto"/>
        </w:rPr>
      </w:pPr>
      <w:r>
        <w:rPr>
          <w:rFonts w:ascii="Times New Roman" w:cs="Times New Roman" w:eastAsia="Times New Roman" w:hAnsi="Times New Roman"/>
          <w:sz w:val="18"/>
          <w:szCs w:val="18"/>
          <w:color w:val="auto"/>
        </w:rPr>
        <w:t>Total lease expense amounted to $2.1 million and $2.7 million for the three months ended July 31, 2019 and 2020, respectively and $3.9 million and $5.4 million for the six months ended July 31, 2019 and 2020, respectively.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18"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unaudited condensed consolidated financial statements.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12. Related-Party Transactions</w:t>
      </w:r>
    </w:p>
    <w:p>
      <w:pPr>
        <w:spacing w:after="0" w:line="118" w:lineRule="exact"/>
        <w:rPr>
          <w:sz w:val="20"/>
          <w:szCs w:val="20"/>
          <w:color w:val="auto"/>
        </w:rPr>
      </w:pPr>
    </w:p>
    <w:p>
      <w:pPr>
        <w:ind w:left="160" w:right="60" w:firstLine="873"/>
        <w:spacing w:after="0" w:line="252" w:lineRule="auto"/>
        <w:rPr>
          <w:sz w:val="20"/>
          <w:szCs w:val="20"/>
          <w:color w:val="auto"/>
        </w:rPr>
      </w:pPr>
      <w:r>
        <w:rPr>
          <w:rFonts w:ascii="Times New Roman" w:cs="Times New Roman" w:eastAsia="Times New Roman" w:hAnsi="Times New Roman"/>
          <w:sz w:val="18"/>
          <w:szCs w:val="18"/>
          <w:color w:val="auto"/>
        </w:rPr>
        <w:t>The Company’s main vendor is also an equity holder in the Company. Total payments related to the agreement with the related party are disclosed in Note 8. The Company also purchases services from this related party to assist in managing its own sales cycle, customer relationship management, and other business functions. The Company signed a three-year, non-cancellable agreement with the related party in December 2015 for the purchase of services and renewed in December 2018 for an additional two years. Total payments to the related party for these services recorded to expenses were $0.3 million and $0.3 million for the three months ended July 31, 2019 and 2020, respectively, and $0.5 million and $0.6 million for the six months ended July 31, 2019 and 2020, respectively and $1.1 million and $0.5 million were in prepaid expenses and other current assets as of January 31, 2020 and July 31, 2020, respectively. Accounts payable to the related party were $3.3 million and $4.0 million at January 31, 2020 and July 31, 2020, respectively, included in accounts payable, related parties.</w:t>
      </w:r>
    </w:p>
    <w:p>
      <w:pPr>
        <w:spacing w:after="0" w:line="187" w:lineRule="exact"/>
        <w:rPr>
          <w:sz w:val="20"/>
          <w:szCs w:val="20"/>
          <w:color w:val="auto"/>
        </w:rPr>
      </w:pPr>
    </w:p>
    <w:p>
      <w:pPr>
        <w:ind w:left="160" w:right="60" w:firstLine="873"/>
        <w:spacing w:after="0" w:line="254" w:lineRule="auto"/>
        <w:rPr>
          <w:sz w:val="20"/>
          <w:szCs w:val="20"/>
          <w:color w:val="auto"/>
        </w:rPr>
      </w:pPr>
      <w:r>
        <w:rPr>
          <w:rFonts w:ascii="Times New Roman" w:cs="Times New Roman" w:eastAsia="Times New Roman" w:hAnsi="Times New Roman"/>
          <w:sz w:val="18"/>
          <w:szCs w:val="18"/>
          <w:color w:val="auto"/>
        </w:rPr>
        <w:t>In the quarter ended July 31, 2020 certain equity holders no longer qualified as a related party of the Company and the amounts disclosed related to them are presented through April 30, 2020 only. Included in revenues from three equity holders, who are also customers of the Company, are $2.1 million and $0.0 million for the three months ended July 31, 2019 and 2020, respectively, and $4.3 million and $2.8 million for the six months ended July 31, 2019 and 2020, respectively. Deferred revenue, current portion, related parties was $8.0 million and $0.0 million as of January 31, 2020 and July 31, 2020, respectively. Accounts receivable, related parties was $9.2 million and $0.0 million as of January 31, 2020 and July 31, 2020, respectively.</w:t>
      </w:r>
    </w:p>
    <w:p>
      <w:pPr>
        <w:spacing w:after="0" w:line="184" w:lineRule="exact"/>
        <w:rPr>
          <w:sz w:val="20"/>
          <w:szCs w:val="20"/>
          <w:color w:val="auto"/>
        </w:rPr>
      </w:pPr>
    </w:p>
    <w:p>
      <w:pPr>
        <w:ind w:left="160" w:right="180" w:firstLine="873"/>
        <w:spacing w:after="0" w:line="277" w:lineRule="auto"/>
        <w:rPr>
          <w:sz w:val="20"/>
          <w:szCs w:val="20"/>
          <w:color w:val="auto"/>
        </w:rPr>
      </w:pPr>
      <w:r>
        <w:rPr>
          <w:rFonts w:ascii="Times New Roman" w:cs="Times New Roman" w:eastAsia="Times New Roman" w:hAnsi="Times New Roman"/>
          <w:sz w:val="17"/>
          <w:szCs w:val="17"/>
          <w:color w:val="auto"/>
        </w:rPr>
        <w:t>The Company has a banking relationship with one of its equity holders who was formerly considered a related party. In the quarter ended July 31, 2020, the equity holder no longer qualifies as a related party of the Company and the amounts disclosed related to such equity holder are presented as a related party through April 30, 2020, only. Included in interest income is $0.2 million and $0.0 million for the three months ended July 31, 2019 and 2020, respectively, and $0.4 million and $0.1 million for the six months ended July 31, 2019 and 2020, respectively.</w:t>
      </w:r>
    </w:p>
    <w:p>
      <w:pPr>
        <w:spacing w:after="0" w:line="167" w:lineRule="exact"/>
        <w:rPr>
          <w:sz w:val="20"/>
          <w:szCs w:val="20"/>
          <w:color w:val="auto"/>
        </w:rPr>
      </w:pPr>
    </w:p>
    <w:p>
      <w:pPr>
        <w:jc w:val="both"/>
        <w:ind w:left="160" w:right="120" w:firstLine="873"/>
        <w:spacing w:after="0" w:line="263" w:lineRule="auto"/>
        <w:rPr>
          <w:sz w:val="20"/>
          <w:szCs w:val="20"/>
          <w:color w:val="auto"/>
        </w:rPr>
      </w:pPr>
      <w:r>
        <w:rPr>
          <w:rFonts w:ascii="Times New Roman" w:cs="Times New Roman" w:eastAsia="Times New Roman" w:hAnsi="Times New Roman"/>
          <w:sz w:val="18"/>
          <w:szCs w:val="18"/>
          <w:color w:val="auto"/>
        </w:rPr>
        <w:t>The Company made an agreement with one of its equity holders in May 2016 to spend an agreed-upon amount of funds over a three-year period to further the alliance between the two companies. In July 2019, the agreement was extended for an additional three years. As of July 31, 2020, the Company was in compliance with</w:t>
      </w:r>
    </w:p>
    <w:p>
      <w:pPr>
        <w:spacing w:after="0" w:line="1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000"/>
          </w:cols>
          <w:pgMar w:left="320" w:top="454" w:right="57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12. Related-Party Transactions (Continued)</w:t>
      </w:r>
    </w:p>
    <w:p>
      <w:pPr>
        <w:spacing w:after="0" w:line="131" w:lineRule="exact"/>
        <w:rPr>
          <w:sz w:val="20"/>
          <w:szCs w:val="20"/>
          <w:color w:val="auto"/>
        </w:rPr>
      </w:pPr>
    </w:p>
    <w:p>
      <w:pPr>
        <w:ind w:left="160" w:right="140"/>
        <w:spacing w:after="0" w:line="258" w:lineRule="auto"/>
        <w:rPr>
          <w:sz w:val="20"/>
          <w:szCs w:val="20"/>
          <w:color w:val="auto"/>
        </w:rPr>
      </w:pPr>
      <w:r>
        <w:rPr>
          <w:rFonts w:ascii="Times New Roman" w:cs="Times New Roman" w:eastAsia="Times New Roman" w:hAnsi="Times New Roman"/>
          <w:sz w:val="18"/>
          <w:szCs w:val="18"/>
          <w:color w:val="auto"/>
        </w:rPr>
        <w:t>the terms of the agreement. In the quarter ended July 31, 2020, the equity holder no longer qualifies as a related party of the Company and the amounts disclosed related to such equity holder are presented as a related party through April 30, 2020, only. There were no amounts spent for the three months ended July 31, 2019 and 2020 and $0.02 million and $0.0 million for the six months ended July 31, 2019 and 2020, respectively. As of July 31, 2020, there was a $0.2 million obligation remaining which is expected to be fulfilled within one year.</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13. Basic and Diluted Loss per Share</w:t>
      </w:r>
    </w:p>
    <w:p>
      <w:pPr>
        <w:spacing w:after="0" w:line="118" w:lineRule="exact"/>
        <w:rPr>
          <w:sz w:val="20"/>
          <w:szCs w:val="20"/>
          <w:color w:val="auto"/>
        </w:rPr>
      </w:pPr>
    </w:p>
    <w:p>
      <w:pPr>
        <w:ind w:left="160" w:right="100" w:firstLine="873"/>
        <w:spacing w:after="0" w:line="255"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options. The dilutive effect of outstanding awards is reflected in diluted earnings per share by application of the treasury stock method. Diluted loss per share for the three months ended July 31, 2019 and 2020 and for the six months ended July 31, 2019 and 2020 is the same as the basic loss per share as there was a net loss for those periods, and inclusion of potentially issuable shares was anti-dilutive.</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components of basic and diluted loss per share for periods presented are as follows (in thousands, except share and per share data):</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3"/>
                <w:szCs w:val="13"/>
                <w:color w:val="auto"/>
              </w:rPr>
            </w:pPr>
          </w:p>
        </w:tc>
        <w:tc>
          <w:tcPr>
            <w:tcW w:w="228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70"/>
        </w:trPr>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July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July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5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194"/>
        </w:trPr>
        <w:tc>
          <w:tcPr>
            <w:tcW w:w="57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Basic loss per share:</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(14,646)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8"/>
                <w:szCs w:val="18"/>
                <w:color w:val="auto"/>
              </w:rPr>
              <w:t>(11,921)</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(19,415)</w:t>
            </w:r>
          </w:p>
        </w:tc>
      </w:tr>
      <w:tr>
        <w:trPr>
          <w:trHeight w:val="214"/>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8"/>
                <w:szCs w:val="18"/>
                <w:color w:val="auto"/>
                <w:w w:val="96"/>
              </w:rPr>
              <w:t>76,420,098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84,629,777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9"/>
              <w:spacing w:after="0"/>
              <w:rPr>
                <w:sz w:val="20"/>
                <w:szCs w:val="20"/>
                <w:color w:val="auto"/>
              </w:rPr>
            </w:pPr>
            <w:r>
              <w:rPr>
                <w:rFonts w:ascii="Times New Roman" w:cs="Times New Roman" w:eastAsia="Times New Roman" w:hAnsi="Times New Roman"/>
                <w:sz w:val="18"/>
                <w:szCs w:val="18"/>
                <w:color w:val="auto"/>
                <w:w w:val="96"/>
              </w:rPr>
              <w:t>76,206,900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83,112,132</w:t>
            </w:r>
          </w:p>
        </w:tc>
      </w:tr>
      <w:tr>
        <w:trPr>
          <w:trHeight w:val="214"/>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loss per share attributable to nCino, Inc.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49"/>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9"/>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r>
      <w:tr>
        <w:trPr>
          <w:trHeight w:val="21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loss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(14,646)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8"/>
                <w:szCs w:val="18"/>
                <w:color w:val="auto"/>
              </w:rPr>
              <w:t>(11,921)</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(19,415)</w:t>
            </w:r>
          </w:p>
        </w:tc>
      </w:tr>
      <w:tr>
        <w:trPr>
          <w:trHeight w:val="214"/>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8"/>
                <w:szCs w:val="18"/>
                <w:color w:val="auto"/>
                <w:w w:val="96"/>
              </w:rPr>
              <w:t>76,420,098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84,629,777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9"/>
              <w:spacing w:after="0"/>
              <w:rPr>
                <w:sz w:val="20"/>
                <w:szCs w:val="20"/>
                <w:color w:val="auto"/>
              </w:rPr>
            </w:pPr>
            <w:r>
              <w:rPr>
                <w:rFonts w:ascii="Times New Roman" w:cs="Times New Roman" w:eastAsia="Times New Roman" w:hAnsi="Times New Roman"/>
                <w:sz w:val="18"/>
                <w:szCs w:val="18"/>
                <w:color w:val="auto"/>
                <w:w w:val="96"/>
              </w:rPr>
              <w:t>76,206,900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83,112,132</w:t>
            </w:r>
          </w:p>
        </w:tc>
      </w:tr>
      <w:tr>
        <w:trPr>
          <w:trHeight w:val="233"/>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Dilutive loss per share attributable to nCino, Inc.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49"/>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9"/>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r>
    </w:tbl>
    <w:p>
      <w:pPr>
        <w:spacing w:after="0" w:line="177" w:lineRule="exact"/>
        <w:rPr>
          <w:sz w:val="20"/>
          <w:szCs w:val="20"/>
          <w:color w:val="auto"/>
        </w:rPr>
      </w:pPr>
    </w:p>
    <w:p>
      <w:pPr>
        <w:ind w:left="160" w:right="560"/>
        <w:spacing w:after="0" w:line="278" w:lineRule="auto"/>
        <w:rPr>
          <w:sz w:val="20"/>
          <w:szCs w:val="20"/>
          <w:color w:val="auto"/>
        </w:rPr>
      </w:pPr>
      <w:r>
        <w:rPr>
          <w:rFonts w:ascii="Times New Roman" w:cs="Times New Roman" w:eastAsia="Times New Roman" w:hAnsi="Times New Roman"/>
          <w:sz w:val="18"/>
          <w:szCs w:val="18"/>
          <w:color w:val="auto"/>
        </w:rPr>
        <w:t>The weighted-average number of shares outstanding used in the computation of diluted loss per share does not include the effect of the following potential outstanding common stock because the effect would have been anti-dilutive:</w:t>
      </w:r>
    </w:p>
    <w:p>
      <w:pPr>
        <w:spacing w:after="0" w:line="185"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color w:val="auto"/>
              </w:rPr>
              <w:t>July 31,</w:t>
            </w: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0"/>
        </w:trPr>
        <w:tc>
          <w:tcPr>
            <w:tcW w:w="344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2019</w:t>
            </w: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7"/>
              <w:spacing w:after="0" w:line="141" w:lineRule="exact"/>
              <w:rPr>
                <w:sz w:val="20"/>
                <w:szCs w:val="20"/>
                <w:color w:val="auto"/>
              </w:rPr>
            </w:pPr>
            <w:r>
              <w:rPr>
                <w:rFonts w:ascii="Times New Roman" w:cs="Times New Roman" w:eastAsia="Times New Roman" w:hAnsi="Times New Roman"/>
                <w:sz w:val="14"/>
                <w:szCs w:val="14"/>
                <w:color w:val="auto"/>
              </w:rPr>
              <w:t>2020</w:t>
            </w:r>
          </w:p>
        </w:tc>
        <w:tc>
          <w:tcPr>
            <w:tcW w:w="40" w:type="dxa"/>
            <w:vAlign w:val="bottom"/>
            <w:tcBorders>
              <w:bottom w:val="single" w:sz="8" w:color="CCEEFF"/>
            </w:tcBorders>
          </w:tcPr>
          <w:p>
            <w:pPr>
              <w:spacing w:after="0"/>
              <w:rPr>
                <w:sz w:val="12"/>
                <w:szCs w:val="12"/>
                <w:color w:val="auto"/>
              </w:rPr>
            </w:pPr>
          </w:p>
        </w:tc>
      </w:tr>
      <w:tr>
        <w:trPr>
          <w:trHeight w:val="20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2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8,008,329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7,464,094</w:t>
            </w:r>
          </w:p>
        </w:tc>
        <w:tc>
          <w:tcPr>
            <w:tcW w:w="40" w:type="dxa"/>
            <w:vAlign w:val="bottom"/>
            <w:shd w:val="clear" w:color="auto" w:fill="CCEEFF"/>
          </w:tcPr>
          <w:p>
            <w:pPr>
              <w:spacing w:after="0"/>
              <w:rPr>
                <w:sz w:val="18"/>
                <w:szCs w:val="18"/>
                <w:color w:val="auto"/>
              </w:rPr>
            </w:pPr>
          </w:p>
        </w:tc>
      </w:tr>
      <w:tr>
        <w:trPr>
          <w:trHeight w:val="23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Nonvested RSUs issued and outstanding</w:t>
            </w:r>
          </w:p>
        </w:tc>
        <w:tc>
          <w:tcPr>
            <w:tcW w:w="2500" w:type="dxa"/>
            <w:vAlign w:val="bottom"/>
          </w:tcPr>
          <w:p>
            <w:pPr>
              <w:spacing w:after="0"/>
              <w:rPr>
                <w:sz w:val="20"/>
                <w:szCs w:val="20"/>
                <w:color w:val="auto"/>
              </w:rPr>
            </w:pPr>
          </w:p>
        </w:tc>
        <w:tc>
          <w:tcPr>
            <w:tcW w:w="14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2,041,093</w:t>
            </w:r>
          </w:p>
        </w:tc>
      </w:tr>
      <w:tr>
        <w:trPr>
          <w:trHeight w:val="343"/>
        </w:trPr>
        <w:tc>
          <w:tcPr>
            <w:tcW w:w="3440" w:type="dxa"/>
            <w:vAlign w:val="bottom"/>
          </w:tcPr>
          <w:p>
            <w:pPr>
              <w:spacing w:after="0"/>
              <w:rPr>
                <w:sz w:val="24"/>
                <w:szCs w:val="24"/>
                <w:color w:val="auto"/>
              </w:rPr>
            </w:pPr>
          </w:p>
        </w:tc>
        <w:tc>
          <w:tcPr>
            <w:tcW w:w="39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F-64</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54" w:right="49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CONFIDENTIAL TREATMENT REQUESTED</w:t>
      </w:r>
    </w:p>
    <w:p>
      <w:pPr>
        <w:spacing w:after="0" w:line="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64045" cy="9069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64045" cy="906970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CONFIDENTIAL TREATMENT REQUESTED</w:t>
      </w:r>
    </w:p>
    <w:p>
      <w:pPr>
        <w:spacing w:after="0" w:line="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64045" cy="90697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64045" cy="906970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5" w:lineRule="exact"/>
        <w:rPr>
          <w:sz w:val="20"/>
          <w:szCs w:val="20"/>
          <w:color w:val="auto"/>
        </w:rPr>
      </w:pPr>
    </w:p>
    <w:p>
      <w:pPr>
        <w:ind w:left="160" w:right="200" w:firstLine="873"/>
        <w:spacing w:after="0" w:line="263" w:lineRule="auto"/>
        <w:rPr>
          <w:sz w:val="20"/>
          <w:szCs w:val="20"/>
          <w:color w:val="auto"/>
        </w:rPr>
      </w:pPr>
      <w:r>
        <w:rPr>
          <w:rFonts w:ascii="Times New Roman" w:cs="Times New Roman" w:eastAsia="Times New Roman" w:hAnsi="Times New Roman"/>
          <w:sz w:val="18"/>
          <w:szCs w:val="18"/>
          <w:color w:val="auto"/>
        </w:rPr>
        <w:t>The following table sets forth all expenses to be paid by the registrant, other than estimated underwriting discounts and commissions, in connection with this offering. All amounts shown are estimates except for the Securities and Exchange Commission registration fee, the FINRA filing fee and the exchange listing fee:</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2"/>
        </w:trPr>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 be Paid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7"/>
        </w:trPr>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660" w:type="dxa"/>
            <w:vAlign w:val="bottom"/>
            <w:gridSpan w:val="2"/>
            <w:shd w:val="clear" w:color="auto" w:fill="CCEEFF"/>
          </w:tcPr>
          <w:p>
            <w:pPr>
              <w:jc w:val="right"/>
              <w:ind w:right="489"/>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r>
      <w:tr>
        <w:trPr>
          <w:trHeight w:val="214"/>
        </w:trPr>
        <w:tc>
          <w:tcPr>
            <w:tcW w:w="240" w:type="dxa"/>
            <w:vAlign w:val="bottom"/>
            <w:shd w:val="clear" w:color="auto" w:fill="CCEEFF"/>
          </w:tcPr>
          <w:p>
            <w:pPr>
              <w:spacing w:after="0"/>
              <w:rPr>
                <w:sz w:val="18"/>
                <w:szCs w:val="18"/>
                <w:color w:val="auto"/>
              </w:rPr>
            </w:pPr>
          </w:p>
        </w:tc>
        <w:tc>
          <w:tcPr>
            <w:tcW w:w="9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gridSpan w:val="2"/>
            <w:shd w:val="clear" w:color="auto" w:fill="CCEEFF"/>
          </w:tcPr>
          <w:p>
            <w:pPr>
              <w:jc w:val="right"/>
              <w:ind w:right="489"/>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7"/>
        </w:trPr>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48"/>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 be completed by amendment</w:t>
            </w: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1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nCino, Inc. is incorporated under the laws of the State of Delaware. Reference is made to Section 102(b)(7) of the General Corporation Law of the State of Delaware, as amended (the “DGCL”), which enables a corporation in its original certificate of incorporation or an amendment thereto to eliminate or limit the personal liability of a director for violations of the director’s fiduciary duty, except (1) for any breach of the director’s duty of loyalty to the corporation or its stockholders, (2) for acts or omissions not in good faith or which involve intentional misconduct or a knowing violation of law, (3) pursuant to Section 174 of the DGCL, which provides for liability of directors for unlawful payments of dividends or unlawful stock purchase or redemptions or (4) for any transaction from which the director derived an improper personal benefit.</w:t>
      </w:r>
    </w:p>
    <w:p>
      <w:pPr>
        <w:spacing w:after="0" w:line="184" w:lineRule="exact"/>
        <w:rPr>
          <w:sz w:val="20"/>
          <w:szCs w:val="20"/>
          <w:color w:val="auto"/>
        </w:rPr>
      </w:pPr>
    </w:p>
    <w:p>
      <w:pPr>
        <w:ind w:left="160" w:right="20" w:firstLine="873"/>
        <w:spacing w:after="0" w:line="270" w:lineRule="auto"/>
        <w:rPr>
          <w:sz w:val="20"/>
          <w:szCs w:val="20"/>
          <w:color w:val="auto"/>
        </w:rPr>
      </w:pPr>
      <w:r>
        <w:rPr>
          <w:rFonts w:ascii="Times New Roman" w:cs="Times New Roman" w:eastAsia="Times New Roman" w:hAnsi="Times New Roman"/>
          <w:sz w:val="17"/>
          <w:szCs w:val="17"/>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72" w:lineRule="exact"/>
        <w:rPr>
          <w:sz w:val="20"/>
          <w:szCs w:val="20"/>
          <w:color w:val="auto"/>
        </w:rPr>
      </w:pPr>
    </w:p>
    <w:p>
      <w:pPr>
        <w:ind w:left="160" w:right="140" w:firstLine="873"/>
        <w:spacing w:after="0" w:line="258"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80"/>
          </w:cols>
          <w:pgMar w:left="320" w:top="454" w:right="49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20"/>
        <w:spacing w:after="0" w:line="255" w:lineRule="auto"/>
        <w:rPr>
          <w:sz w:val="20"/>
          <w:szCs w:val="20"/>
          <w:color w:val="auto"/>
        </w:rPr>
      </w:pPr>
      <w:r>
        <w:rPr>
          <w:rFonts w:ascii="Times New Roman" w:cs="Times New Roman" w:eastAsia="Times New Roman" w:hAnsi="Times New Roman"/>
          <w:sz w:val="18"/>
          <w:szCs w:val="18"/>
          <w:color w:val="auto"/>
        </w:rPr>
        <w:t>(including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adjudicating court determines that, despite the adjudication of liability but in view of all of the circumstances of the case, he or she is fairly and reasonably entitled to indemnity for such expenses which the adjudicating court shall deem proper.</w:t>
      </w:r>
    </w:p>
    <w:p>
      <w:pPr>
        <w:spacing w:after="0" w:line="184"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4" w:lineRule="exact"/>
        <w:rPr>
          <w:sz w:val="20"/>
          <w:szCs w:val="20"/>
          <w:color w:val="auto"/>
        </w:rPr>
      </w:pPr>
    </w:p>
    <w:p>
      <w:pPr>
        <w:ind w:left="160" w:right="60" w:firstLine="873"/>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other distributions pursuant to Section 174 of the DGCL, or (4) for any transaction from which the director derived an improper personal benefit. In addition, our charter provides that if the DGCL is amended to authorize the further elimination or limitation of the liability of directors, then the liability of a director of our company shall be eliminated or limited to the fullest extent permitted by the DGCL, as so amended.</w:t>
      </w:r>
    </w:p>
    <w:p>
      <w:pPr>
        <w:spacing w:after="0" w:line="184" w:lineRule="exact"/>
        <w:rPr>
          <w:sz w:val="20"/>
          <w:szCs w:val="20"/>
          <w:color w:val="auto"/>
        </w:rPr>
      </w:pPr>
    </w:p>
    <w:p>
      <w:pPr>
        <w:ind w:left="160" w:right="100" w:firstLine="873"/>
        <w:spacing w:after="0" w:line="263" w:lineRule="auto"/>
        <w:rPr>
          <w:sz w:val="20"/>
          <w:szCs w:val="20"/>
          <w:color w:val="auto"/>
        </w:rPr>
      </w:pPr>
      <w:r>
        <w:rPr>
          <w:rFonts w:ascii="Times New Roman" w:cs="Times New Roman" w:eastAsia="Times New Roman" w:hAnsi="Times New Roman"/>
          <w:sz w:val="18"/>
          <w:szCs w:val="18"/>
          <w:color w:val="auto"/>
        </w:rPr>
        <w:t>Our charter further provides that any amendment, repeal or modification of such article unless otherwise required by law will not adversely affect any right or protection existing at the time of such repeal or modification with respect to any acts or omissions occurring before such repeal or amendment of a director serving at the time of such repeal or modification.</w:t>
      </w:r>
    </w:p>
    <w:p>
      <w:pPr>
        <w:spacing w:after="0" w:line="175" w:lineRule="exact"/>
        <w:rPr>
          <w:sz w:val="20"/>
          <w:szCs w:val="20"/>
          <w:color w:val="auto"/>
        </w:rPr>
      </w:pPr>
    </w:p>
    <w:p>
      <w:pPr>
        <w:ind w:left="160" w:firstLine="873"/>
        <w:spacing w:after="0" w:line="266"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we shall indemnify each of our directors and executive officers, and shall have power to indemnify our other officers, employees and agents, to the fullest extent permitted by the DGCL as the same may be amended (except that in the case of an amendment, only to the extent that the amendment permits us to provide broader indemnification rights than the DGCL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We expect the amended and restated certificate of incorporation will further provide for the advancement of expenses to each of our directors and, in the discretion of the board of directors, to certain officers and employees, in advance of the final disposition of such action, suit or proceeding only upon receipt of an undertaking by such person to repay all amounts advanced if it shall ultimately be determined by final judicial decision from which there is no further right to appeal that such person is not entitled to be indemnified for such expenses.</w:t>
      </w:r>
    </w:p>
    <w:p>
      <w:pPr>
        <w:spacing w:after="0" w:line="179" w:lineRule="exact"/>
        <w:rPr>
          <w:sz w:val="20"/>
          <w:szCs w:val="20"/>
          <w:color w:val="auto"/>
        </w:rPr>
      </w:pPr>
    </w:p>
    <w:p>
      <w:pPr>
        <w:ind w:left="160" w:right="100" w:firstLine="873"/>
        <w:spacing w:after="0" w:line="263"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the right of each of our directors and officers to indemnification and advancement of expenses shall not be exclusive of any other right now possessed or hereafter acquired under any statute, provision of the charter or bylaws, agreement, vote of</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80"/>
          </w:cols>
          <w:pgMar w:left="320" w:top="454" w:right="49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180"/>
        <w:spacing w:after="0" w:line="263" w:lineRule="auto"/>
        <w:rPr>
          <w:sz w:val="20"/>
          <w:szCs w:val="20"/>
          <w:color w:val="auto"/>
        </w:rPr>
      </w:pPr>
      <w:r>
        <w:rPr>
          <w:rFonts w:ascii="Times New Roman" w:cs="Times New Roman" w:eastAsia="Times New Roman" w:hAnsi="Times New Roman"/>
          <w:sz w:val="18"/>
          <w:szCs w:val="18"/>
          <w:color w:val="auto"/>
        </w:rPr>
        <w:t>stockholders or otherwise. Furthermore, our amended and restated certificate of incorporation authorizes us to provide insurance for our directors, officers, employees and agents against any liability, whether or not we would have the power to indemnify such person against such liability under the DGCL or the bylaws.</w:t>
      </w:r>
    </w:p>
    <w:p>
      <w:pPr>
        <w:spacing w:after="0" w:line="175" w:lineRule="exact"/>
        <w:rPr>
          <w:sz w:val="20"/>
          <w:szCs w:val="20"/>
          <w:color w:val="auto"/>
        </w:rPr>
      </w:pPr>
    </w:p>
    <w:p>
      <w:pPr>
        <w:jc w:val="both"/>
        <w:ind w:left="160" w:right="180" w:firstLine="873"/>
        <w:spacing w:after="0" w:line="308" w:lineRule="auto"/>
        <w:rPr>
          <w:sz w:val="20"/>
          <w:szCs w:val="20"/>
          <w:color w:val="auto"/>
        </w:rPr>
      </w:pPr>
      <w:r>
        <w:rPr>
          <w:rFonts w:ascii="Times New Roman" w:cs="Times New Roman" w:eastAsia="Times New Roman" w:hAnsi="Times New Roman"/>
          <w:sz w:val="17"/>
          <w:szCs w:val="17"/>
          <w:color w:val="auto"/>
        </w:rPr>
        <w:t>We have entered into indemnification agreements with each of our directors and our executive officers. These agreements provide that we will indemnify each of our directors and such officers to the fullest extent permitted by law and our amended and restated certificate of incorporation.</w:t>
      </w:r>
    </w:p>
    <w:p>
      <w:pPr>
        <w:spacing w:after="0" w:line="140" w:lineRule="exact"/>
        <w:rPr>
          <w:sz w:val="20"/>
          <w:szCs w:val="20"/>
          <w:color w:val="auto"/>
        </w:rPr>
      </w:pPr>
    </w:p>
    <w:p>
      <w:pPr>
        <w:ind w:left="160" w:right="140" w:firstLine="873"/>
        <w:spacing w:after="0" w:line="278" w:lineRule="auto"/>
        <w:rPr>
          <w:sz w:val="20"/>
          <w:szCs w:val="20"/>
          <w:color w:val="auto"/>
        </w:rPr>
      </w:pPr>
      <w:r>
        <w:rPr>
          <w:rFonts w:ascii="Times New Roman" w:cs="Times New Roman" w:eastAsia="Times New Roman" w:hAnsi="Times New Roman"/>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62" w:lineRule="exact"/>
        <w:rPr>
          <w:sz w:val="20"/>
          <w:szCs w:val="20"/>
          <w:color w:val="auto"/>
        </w:rPr>
      </w:pPr>
    </w:p>
    <w:p>
      <w:pPr>
        <w:ind w:left="160" w:right="60" w:firstLine="873"/>
        <w:spacing w:after="0" w:line="263" w:lineRule="auto"/>
        <w:rPr>
          <w:sz w:val="20"/>
          <w:szCs w:val="20"/>
          <w:color w:val="auto"/>
        </w:rPr>
      </w:pPr>
      <w:r>
        <w:rPr>
          <w:rFonts w:ascii="Times New Roman" w:cs="Times New Roman" w:eastAsia="Times New Roman" w:hAnsi="Times New Roman"/>
          <w:sz w:val="18"/>
          <w:szCs w:val="18"/>
          <w:color w:val="auto"/>
        </w:rPr>
        <w:t>In any underwriting agreement we will enter into in connection with the sale of the common stock being registered hereby, the underwriters will agree to indemnify, under certain conditions, us, our directors, our officers and persons who control us within the meaning of the Securities Act, against certain liabilities.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Common Stock Issuances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 the three years preceding the filing of this registration statement, the registrant has sold and issued the following unregistered securities:</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Issuances</w:t>
      </w:r>
    </w:p>
    <w:p>
      <w:pPr>
        <w:spacing w:after="0" w:line="225" w:lineRule="exact"/>
        <w:rPr>
          <w:sz w:val="20"/>
          <w:szCs w:val="20"/>
          <w:color w:val="auto"/>
        </w:rPr>
      </w:pPr>
    </w:p>
    <w:p>
      <w:pPr>
        <w:ind w:left="160" w:right="340" w:firstLine="873"/>
        <w:spacing w:after="0" w:line="278" w:lineRule="auto"/>
        <w:rPr>
          <w:sz w:val="20"/>
          <w:szCs w:val="20"/>
          <w:color w:val="auto"/>
        </w:rPr>
      </w:pPr>
      <w:r>
        <w:rPr>
          <w:rFonts w:ascii="Times New Roman" w:cs="Times New Roman" w:eastAsia="Times New Roman" w:hAnsi="Times New Roman"/>
          <w:sz w:val="18"/>
          <w:szCs w:val="18"/>
          <w:color w:val="auto"/>
        </w:rPr>
        <w:t>In May 2016, we sold an aggregate of 3,482,399 shares of our common stock to 12 accredited investors at a purchase price of $4.50 per share for an aggregate purchase price of $15.7 million.</w:t>
      </w:r>
    </w:p>
    <w:p>
      <w:pPr>
        <w:spacing w:after="0" w:line="162" w:lineRule="exact"/>
        <w:rPr>
          <w:sz w:val="20"/>
          <w:szCs w:val="20"/>
          <w:color w:val="auto"/>
        </w:rPr>
      </w:pPr>
    </w:p>
    <w:p>
      <w:pPr>
        <w:ind w:left="160" w:right="100" w:firstLine="873"/>
        <w:spacing w:after="0" w:line="278" w:lineRule="auto"/>
        <w:rPr>
          <w:sz w:val="20"/>
          <w:szCs w:val="20"/>
          <w:color w:val="auto"/>
        </w:rPr>
      </w:pPr>
      <w:r>
        <w:rPr>
          <w:rFonts w:ascii="Times New Roman" w:cs="Times New Roman" w:eastAsia="Times New Roman" w:hAnsi="Times New Roman"/>
          <w:sz w:val="18"/>
          <w:szCs w:val="18"/>
          <w:color w:val="auto"/>
        </w:rPr>
        <w:t>In July 2017, we sold an aggregate of 1,784,700 shares of our common stock to three accredited investors at a purchase price of $10.00 per share for an aggregate purchase price of $17.8 million.</w:t>
      </w:r>
    </w:p>
    <w:p>
      <w:pPr>
        <w:spacing w:after="0" w:line="162" w:lineRule="exact"/>
        <w:rPr>
          <w:sz w:val="20"/>
          <w:szCs w:val="20"/>
          <w:color w:val="auto"/>
        </w:rPr>
      </w:pPr>
    </w:p>
    <w:p>
      <w:pPr>
        <w:ind w:left="160" w:right="220" w:firstLine="873"/>
        <w:spacing w:after="0" w:line="278" w:lineRule="auto"/>
        <w:rPr>
          <w:sz w:val="20"/>
          <w:szCs w:val="20"/>
          <w:color w:val="auto"/>
        </w:rPr>
      </w:pPr>
      <w:r>
        <w:rPr>
          <w:rFonts w:ascii="Times New Roman" w:cs="Times New Roman" w:eastAsia="Times New Roman" w:hAnsi="Times New Roman"/>
          <w:sz w:val="18"/>
          <w:szCs w:val="18"/>
          <w:color w:val="auto"/>
        </w:rPr>
        <w:t>In January 2018, we sold an aggregate of 3,958,354 shares of our common stock to two accredited investors at a purchase price of $13.00 per share for an aggregate purchase price of $51.5 million.</w:t>
      </w:r>
    </w:p>
    <w:p>
      <w:pPr>
        <w:spacing w:after="0" w:line="162"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In September 2019, we sold an aggregate of 3,678,161 shares of our common stock to two accredited investors at a purchase price of $21.75 per share for an aggregate purchase price of $80.0 million.</w:t>
      </w:r>
    </w:p>
    <w:p>
      <w:pPr>
        <w:spacing w:after="0" w:line="162" w:lineRule="exact"/>
        <w:rPr>
          <w:sz w:val="20"/>
          <w:szCs w:val="20"/>
          <w:color w:val="auto"/>
        </w:rPr>
      </w:pPr>
    </w:p>
    <w:p>
      <w:pPr>
        <w:ind w:left="160" w:right="120" w:firstLine="873"/>
        <w:spacing w:after="0" w:line="255" w:lineRule="auto"/>
        <w:rPr>
          <w:sz w:val="20"/>
          <w:szCs w:val="20"/>
          <w:color w:val="auto"/>
        </w:rPr>
      </w:pPr>
      <w:r>
        <w:rPr>
          <w:rFonts w:ascii="Times New Roman" w:cs="Times New Roman" w:eastAsia="Times New Roman" w:hAnsi="Times New Roman"/>
          <w:sz w:val="18"/>
          <w:szCs w:val="18"/>
          <w:color w:val="auto"/>
        </w:rPr>
        <w:t>The issuances described above were exempt from registration under the Securities Act (or Regulation D promulgated thereunder) by virtue of Section 4(a)(2) of the Securities Act as transactions by an issuer not involving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Option and RSU Issuances</w:t>
      </w:r>
    </w:p>
    <w:p>
      <w:pPr>
        <w:spacing w:after="0" w:line="225" w:lineRule="exact"/>
        <w:rPr>
          <w:sz w:val="20"/>
          <w:szCs w:val="20"/>
          <w:color w:val="auto"/>
        </w:rPr>
      </w:pPr>
    </w:p>
    <w:p>
      <w:pPr>
        <w:ind w:left="160" w:right="60" w:firstLine="873"/>
        <w:spacing w:after="0" w:line="263" w:lineRule="auto"/>
        <w:rPr>
          <w:sz w:val="20"/>
          <w:szCs w:val="20"/>
          <w:color w:val="auto"/>
        </w:rPr>
      </w:pPr>
      <w:r>
        <w:rPr>
          <w:rFonts w:ascii="Times New Roman" w:cs="Times New Roman" w:eastAsia="Times New Roman" w:hAnsi="Times New Roman"/>
          <w:sz w:val="18"/>
          <w:szCs w:val="18"/>
          <w:color w:val="auto"/>
        </w:rPr>
        <w:t>From January 1, 2017 through the filing date of this registration statement, we granted to our directors, officers, employees, consultants and other service providers options to purchase an aggregate of 7,658,986 shares of our common stock under our equity compensation plans at exercise prices ranging from approximately $4.98 to $21.75 per share.</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60"/>
          </w:cols>
          <w:pgMar w:left="320" w:top="454" w:right="51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60" w:right="80" w:firstLine="873"/>
        <w:spacing w:after="0" w:line="254" w:lineRule="auto"/>
        <w:rPr>
          <w:sz w:val="20"/>
          <w:szCs w:val="20"/>
          <w:color w:val="auto"/>
        </w:rPr>
      </w:pPr>
      <w:r>
        <w:rPr>
          <w:rFonts w:ascii="Times New Roman" w:cs="Times New Roman" w:eastAsia="Times New Roman" w:hAnsi="Times New Roman"/>
          <w:sz w:val="18"/>
          <w:szCs w:val="18"/>
          <w:color w:val="auto"/>
        </w:rPr>
        <w:t>The option and RSU issuances described above were exempt from registration under the Securities Act under either (1) Rule 701 in that the transactions were under compensatory benefit plans and contracts relating to compensation as provided under Rule 701 or (2) Section 4(a)(2) of the Securities Act as transactions by an issuer not involving any public offering. The recipients of such securities were the registrant’s employees, consultants or directors and received the securities under the registrant’s equity compensation plans.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 Exhibits</w:t>
      </w:r>
    </w:p>
    <w:p>
      <w:pPr>
        <w:spacing w:after="0" w:line="221" w:lineRule="exact"/>
        <w:rPr>
          <w:sz w:val="20"/>
          <w:szCs w:val="20"/>
          <w:color w:val="auto"/>
        </w:rPr>
      </w:pPr>
    </w:p>
    <w:p>
      <w:pPr>
        <w:ind w:left="160" w:right="360" w:firstLine="873"/>
        <w:spacing w:after="0" w:line="278" w:lineRule="auto"/>
        <w:rPr>
          <w:sz w:val="20"/>
          <w:szCs w:val="20"/>
          <w:color w:val="auto"/>
        </w:rPr>
      </w:pPr>
      <w:r>
        <w:rPr>
          <w:rFonts w:ascii="Times New Roman" w:cs="Times New Roman" w:eastAsia="Times New Roman" w:hAnsi="Times New Roman"/>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221" w:lineRule="exact"/>
        <w:rPr>
          <w:sz w:val="20"/>
          <w:szCs w:val="20"/>
          <w:color w:val="auto"/>
        </w:rPr>
      </w:pPr>
    </w:p>
    <w:p>
      <w:pPr>
        <w:ind w:left="160" w:right="100" w:firstLine="873"/>
        <w:spacing w:after="0" w:line="278" w:lineRule="auto"/>
        <w:rPr>
          <w:sz w:val="20"/>
          <w:szCs w:val="20"/>
          <w:color w:val="auto"/>
        </w:rPr>
      </w:pPr>
      <w:r>
        <w:rPr>
          <w:rFonts w:ascii="Times New Roman" w:cs="Times New Roman" w:eastAsia="Times New Roman" w:hAnsi="Times New Roman"/>
          <w:sz w:val="18"/>
          <w:szCs w:val="18"/>
          <w:color w:val="auto"/>
        </w:rPr>
        <w:t>Schedules not listed have been omitted because the information required to be set forth therein is not applicable, not material or is shown in the financial statements or notes thereto.</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5" w:lineRule="exact"/>
        <w:rPr>
          <w:sz w:val="20"/>
          <w:szCs w:val="20"/>
          <w:color w:val="auto"/>
        </w:rPr>
      </w:pPr>
    </w:p>
    <w:p>
      <w:pPr>
        <w:ind w:left="160" w:right="740" w:firstLine="873"/>
        <w:spacing w:after="0" w:line="308" w:lineRule="auto"/>
        <w:rPr>
          <w:sz w:val="20"/>
          <w:szCs w:val="20"/>
          <w:color w:val="auto"/>
        </w:rPr>
      </w:pPr>
      <w:r>
        <w:rPr>
          <w:rFonts w:ascii="Times New Roman" w:cs="Times New Roman" w:eastAsia="Times New Roman" w:hAnsi="Times New Roman"/>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0"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48" w:lineRule="exact"/>
        <w:rPr>
          <w:sz w:val="20"/>
          <w:szCs w:val="20"/>
          <w:color w:val="auto"/>
        </w:rPr>
      </w:pPr>
    </w:p>
    <w:p>
      <w:pPr>
        <w:ind w:left="1460" w:hanging="423"/>
        <w:spacing w:after="0" w:line="274" w:lineRule="auto"/>
        <w:tabs>
          <w:tab w:leader="none" w:pos="14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w:t>
      </w:r>
    </w:p>
    <w:p>
      <w:pPr>
        <w:ind w:left="1460" w:right="38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or (4) or 497(h) under the Securities Act shall be deemed to be part of this registration statement as of the time it was declared effective.</w:t>
      </w:r>
    </w:p>
    <w:p>
      <w:pPr>
        <w:spacing w:after="0" w:line="208" w:lineRule="exact"/>
        <w:rPr>
          <w:rFonts w:ascii="Times New Roman" w:cs="Times New Roman" w:eastAsia="Times New Roman" w:hAnsi="Times New Roman"/>
          <w:sz w:val="17"/>
          <w:szCs w:val="17"/>
          <w:color w:val="auto"/>
        </w:rPr>
      </w:pPr>
    </w:p>
    <w:p>
      <w:pPr>
        <w:ind w:left="1460" w:right="40" w:hanging="423"/>
        <w:spacing w:after="0" w:line="263" w:lineRule="auto"/>
        <w:tabs>
          <w:tab w:leader="none" w:pos="1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80"/>
          </w:cols>
          <w:pgMar w:left="320" w:top="454" w:right="49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CONFIDENTIAL TREATMENT REQUESTED</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PURSUANT TO 17 C.F.R. SECTION 200.83</w:t>
            </w: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2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Pr>
          <w:p>
            <w:pPr>
              <w:spacing w:after="0"/>
              <w:rPr>
                <w:sz w:val="24"/>
                <w:szCs w:val="24"/>
                <w:color w:val="auto"/>
              </w:rPr>
            </w:pPr>
          </w:p>
        </w:tc>
        <w:tc>
          <w:tcPr>
            <w:tcW w:w="6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520" w:type="dxa"/>
            <w:vAlign w:val="bottom"/>
          </w:tcPr>
          <w:p>
            <w:pPr>
              <w:spacing w:after="0"/>
              <w:rPr>
                <w:sz w:val="24"/>
                <w:szCs w:val="24"/>
                <w:color w:val="auto"/>
              </w:rPr>
            </w:pPr>
          </w:p>
        </w:tc>
        <w:tc>
          <w:tcPr>
            <w:tcW w:w="6520" w:type="dxa"/>
            <w:vAlign w:val="bottom"/>
            <w:gridSpan w:val="7"/>
          </w:tcPr>
          <w:p>
            <w:pPr>
              <w:spacing w:after="0"/>
              <w:rPr>
                <w:rFonts w:ascii="Times New Roman" w:cs="Times New Roman" w:eastAsia="Times New Roman" w:hAnsi="Times New Roman"/>
                <w:sz w:val="18"/>
                <w:szCs w:val="18"/>
                <w:u w:val="single" w:color="auto"/>
                <w:color w:val="0000EE"/>
              </w:rPr>
            </w:pPr>
            <w:hyperlink r:id="rId245">
              <w:r>
                <w:rPr>
                  <w:rFonts w:ascii="Times New Roman" w:cs="Times New Roman" w:eastAsia="Times New Roman" w:hAnsi="Times New Roman"/>
                  <w:sz w:val="18"/>
                  <w:szCs w:val="18"/>
                  <w:u w:val="single" w:color="auto"/>
                  <w:color w:val="0000EE"/>
                </w:rPr>
                <w:t>Form of Amended and Restated Certificate of Incorporation of nCino, Inc.</w:t>
              </w:r>
            </w:hyperlink>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520" w:type="dxa"/>
            <w:vAlign w:val="bottom"/>
          </w:tcPr>
          <w:p>
            <w:pPr>
              <w:spacing w:after="0"/>
              <w:rPr>
                <w:sz w:val="24"/>
                <w:szCs w:val="24"/>
                <w:color w:val="auto"/>
              </w:rPr>
            </w:pPr>
          </w:p>
        </w:tc>
        <w:tc>
          <w:tcPr>
            <w:tcW w:w="6520" w:type="dxa"/>
            <w:vAlign w:val="bottom"/>
            <w:gridSpan w:val="7"/>
          </w:tcPr>
          <w:p>
            <w:pPr>
              <w:spacing w:after="0"/>
              <w:rPr>
                <w:rFonts w:ascii="Times New Roman" w:cs="Times New Roman" w:eastAsia="Times New Roman" w:hAnsi="Times New Roman"/>
                <w:sz w:val="18"/>
                <w:szCs w:val="18"/>
                <w:u w:val="single" w:color="auto"/>
                <w:color w:val="0000EE"/>
              </w:rPr>
            </w:pPr>
            <w:hyperlink r:id="rId246">
              <w:r>
                <w:rPr>
                  <w:rFonts w:ascii="Times New Roman" w:cs="Times New Roman" w:eastAsia="Times New Roman" w:hAnsi="Times New Roman"/>
                  <w:sz w:val="18"/>
                  <w:szCs w:val="18"/>
                  <w:u w:val="single" w:color="auto"/>
                  <w:color w:val="0000EE"/>
                </w:rPr>
                <w:t>Form of Amended and Restated Bylaws of nCino, Inc.</w:t>
              </w:r>
            </w:hyperlink>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4.1(2)</w:t>
            </w:r>
          </w:p>
        </w:tc>
        <w:tc>
          <w:tcPr>
            <w:tcW w:w="520" w:type="dxa"/>
            <w:vAlign w:val="bottom"/>
          </w:tcPr>
          <w:p>
            <w:pPr>
              <w:spacing w:after="0"/>
              <w:rPr>
                <w:sz w:val="24"/>
                <w:szCs w:val="24"/>
                <w:color w:val="auto"/>
              </w:rPr>
            </w:pPr>
          </w:p>
        </w:tc>
        <w:tc>
          <w:tcPr>
            <w:tcW w:w="6520" w:type="dxa"/>
            <w:vAlign w:val="bottom"/>
            <w:gridSpan w:val="7"/>
          </w:tcPr>
          <w:p>
            <w:pPr>
              <w:spacing w:after="0"/>
              <w:rPr>
                <w:rFonts w:ascii="Times New Roman" w:cs="Times New Roman" w:eastAsia="Times New Roman" w:hAnsi="Times New Roman"/>
                <w:sz w:val="18"/>
                <w:szCs w:val="18"/>
                <w:u w:val="single" w:color="auto"/>
                <w:color w:val="0000EE"/>
              </w:rPr>
            </w:pPr>
            <w:hyperlink r:id="rId247">
              <w:r>
                <w:rPr>
                  <w:rFonts w:ascii="Times New Roman" w:cs="Times New Roman" w:eastAsia="Times New Roman" w:hAnsi="Times New Roman"/>
                  <w:sz w:val="18"/>
                  <w:szCs w:val="18"/>
                  <w:u w:val="single" w:color="auto"/>
                  <w:color w:val="0000EE"/>
                </w:rPr>
                <w:t>Form of Common Stock Certificate.</w:t>
              </w:r>
            </w:hyperlink>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4.2(1)</w:t>
            </w:r>
          </w:p>
        </w:tc>
        <w:tc>
          <w:tcPr>
            <w:tcW w:w="520" w:type="dxa"/>
            <w:vAlign w:val="bottom"/>
          </w:tcPr>
          <w:p>
            <w:pPr>
              <w:spacing w:after="0"/>
              <w:rPr>
                <w:sz w:val="24"/>
                <w:szCs w:val="24"/>
                <w:color w:val="auto"/>
              </w:rPr>
            </w:pPr>
          </w:p>
        </w:tc>
        <w:tc>
          <w:tcPr>
            <w:tcW w:w="97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48">
              <w:r>
                <w:rPr>
                  <w:rFonts w:ascii="Times New Roman" w:cs="Times New Roman" w:eastAsia="Times New Roman" w:hAnsi="Times New Roman"/>
                  <w:sz w:val="18"/>
                  <w:szCs w:val="18"/>
                  <w:color w:val="0000EE"/>
                  <w:w w:val="99"/>
                </w:rPr>
                <w:t>First Amended and Restated Investors’ Rights Agreement, dated February 12, 2015, among nCino, Inc. and certain holders of its capital</w:t>
              </w:r>
            </w:hyperlink>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520" w:type="dxa"/>
            <w:vAlign w:val="bottom"/>
            <w:gridSpan w:val="7"/>
          </w:tcPr>
          <w:p>
            <w:pPr>
              <w:spacing w:after="0" w:line="194"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stock.</w:t>
              </w:r>
            </w:hyperlink>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4.3(2)</w:t>
            </w:r>
          </w:p>
        </w:tc>
        <w:tc>
          <w:tcPr>
            <w:tcW w:w="520" w:type="dxa"/>
            <w:vAlign w:val="bottom"/>
          </w:tcPr>
          <w:p>
            <w:pPr>
              <w:spacing w:after="0"/>
              <w:rPr>
                <w:sz w:val="24"/>
                <w:szCs w:val="24"/>
                <w:color w:val="auto"/>
              </w:rPr>
            </w:pPr>
          </w:p>
        </w:tc>
        <w:tc>
          <w:tcPr>
            <w:tcW w:w="6520" w:type="dxa"/>
            <w:vAlign w:val="bottom"/>
            <w:gridSpan w:val="7"/>
          </w:tcPr>
          <w:p>
            <w:pPr>
              <w:spacing w:after="0"/>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First Amendment to First Amended and Restated Investors’ Rights Agreement, dated May</w:t>
              </w:r>
            </w:hyperlink>
          </w:p>
        </w:tc>
        <w:tc>
          <w:tcPr>
            <w:tcW w:w="3240" w:type="dxa"/>
            <w:vAlign w:val="bottom"/>
            <w:gridSpan w:val="7"/>
          </w:tcPr>
          <w:p>
            <w:pPr>
              <w:ind w:left="20"/>
              <w:spacing w:after="0"/>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25, 2016, among nCino, Inc. and certain</w:t>
              </w:r>
            </w:hyperlink>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2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249">
              <w:r>
                <w:rPr>
                  <w:rFonts w:ascii="Times New Roman" w:cs="Times New Roman" w:eastAsia="Times New Roman" w:hAnsi="Times New Roman"/>
                  <w:sz w:val="18"/>
                  <w:szCs w:val="18"/>
                  <w:color w:val="0000EE"/>
                  <w:w w:val="98"/>
                </w:rPr>
                <w:t>holders of its capital stock.</w:t>
              </w:r>
            </w:hyperlink>
          </w:p>
        </w:tc>
        <w:tc>
          <w:tcPr>
            <w:tcW w:w="4600" w:type="dxa"/>
            <w:vAlign w:val="bottom"/>
            <w:tcBorders>
              <w:top w:val="single" w:sz="8" w:color="0000EE"/>
            </w:tcBorders>
            <w:gridSpan w:val="5"/>
          </w:tcPr>
          <w:p>
            <w:pPr>
              <w:spacing w:after="0"/>
              <w:rPr>
                <w:sz w:val="16"/>
                <w:szCs w:val="16"/>
                <w:color w:val="auto"/>
              </w:rPr>
            </w:pPr>
          </w:p>
        </w:tc>
        <w:tc>
          <w:tcPr>
            <w:tcW w:w="27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4.4(2)</w:t>
            </w:r>
          </w:p>
        </w:tc>
        <w:tc>
          <w:tcPr>
            <w:tcW w:w="520" w:type="dxa"/>
            <w:vAlign w:val="bottom"/>
          </w:tcPr>
          <w:p>
            <w:pPr>
              <w:spacing w:after="0"/>
              <w:rPr>
                <w:sz w:val="24"/>
                <w:szCs w:val="24"/>
                <w:color w:val="auto"/>
              </w:rPr>
            </w:pPr>
          </w:p>
        </w:tc>
        <w:tc>
          <w:tcPr>
            <w:tcW w:w="9760" w:type="dxa"/>
            <w:vAlign w:val="bottom"/>
            <w:gridSpan w:val="14"/>
          </w:tcPr>
          <w:p>
            <w:pPr>
              <w:spacing w:after="0"/>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Second Amendment to First Amended and Restated Investors’ Rights Agreement, dated November 23, 2016, among nCino, Inc. and</w:t>
              </w:r>
            </w:hyperlink>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60" w:type="dxa"/>
            <w:vAlign w:val="bottom"/>
            <w:tcBorders>
              <w:top w:val="single" w:sz="8" w:color="0000EE"/>
              <w:bottom w:val="single" w:sz="8" w:color="0000EE"/>
            </w:tcBorders>
            <w:gridSpan w:val="4"/>
          </w:tcPr>
          <w:p>
            <w:pPr>
              <w:spacing w:after="0" w:line="194" w:lineRule="exact"/>
              <w:rPr>
                <w:rFonts w:ascii="Times New Roman" w:cs="Times New Roman" w:eastAsia="Times New Roman" w:hAnsi="Times New Roman"/>
                <w:sz w:val="18"/>
                <w:szCs w:val="18"/>
                <w:color w:val="0000EE"/>
                <w:w w:val="98"/>
              </w:rPr>
            </w:pPr>
            <w:hyperlink r:id="rId250">
              <w:r>
                <w:rPr>
                  <w:rFonts w:ascii="Times New Roman" w:cs="Times New Roman" w:eastAsia="Times New Roman" w:hAnsi="Times New Roman"/>
                  <w:sz w:val="18"/>
                  <w:szCs w:val="18"/>
                  <w:color w:val="0000EE"/>
                  <w:w w:val="98"/>
                </w:rPr>
                <w:t>certain holders of its capital stock.</w:t>
              </w:r>
            </w:hyperlink>
          </w:p>
        </w:tc>
        <w:tc>
          <w:tcPr>
            <w:tcW w:w="4060" w:type="dxa"/>
            <w:vAlign w:val="bottom"/>
            <w:tcBorders>
              <w:top w:val="single" w:sz="8" w:color="0000EE"/>
            </w:tcBorders>
            <w:gridSpan w:val="3"/>
          </w:tcPr>
          <w:p>
            <w:pPr>
              <w:spacing w:after="0"/>
              <w:rPr>
                <w:sz w:val="16"/>
                <w:szCs w:val="16"/>
                <w:color w:val="auto"/>
              </w:rPr>
            </w:pPr>
          </w:p>
        </w:tc>
        <w:tc>
          <w:tcPr>
            <w:tcW w:w="27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4.5(2)</w:t>
            </w:r>
          </w:p>
        </w:tc>
        <w:tc>
          <w:tcPr>
            <w:tcW w:w="520" w:type="dxa"/>
            <w:vAlign w:val="bottom"/>
          </w:tcPr>
          <w:p>
            <w:pPr>
              <w:spacing w:after="0"/>
              <w:rPr>
                <w:sz w:val="24"/>
                <w:szCs w:val="24"/>
                <w:color w:val="auto"/>
              </w:rPr>
            </w:pPr>
          </w:p>
        </w:tc>
        <w:tc>
          <w:tcPr>
            <w:tcW w:w="6520" w:type="dxa"/>
            <w:vAlign w:val="bottom"/>
            <w:gridSpan w:val="7"/>
          </w:tcPr>
          <w:p>
            <w:pPr>
              <w:spacing w:after="0"/>
              <w:rPr>
                <w:rFonts w:ascii="Times New Roman" w:cs="Times New Roman" w:eastAsia="Times New Roman" w:hAnsi="Times New Roman"/>
                <w:sz w:val="18"/>
                <w:szCs w:val="18"/>
                <w:color w:val="0000EE"/>
                <w:w w:val="99"/>
              </w:rPr>
            </w:pPr>
            <w:hyperlink r:id="rId251">
              <w:r>
                <w:rPr>
                  <w:rFonts w:ascii="Times New Roman" w:cs="Times New Roman" w:eastAsia="Times New Roman" w:hAnsi="Times New Roman"/>
                  <w:sz w:val="18"/>
                  <w:szCs w:val="18"/>
                  <w:color w:val="0000EE"/>
                  <w:w w:val="99"/>
                </w:rPr>
                <w:t>Third Amendment to First Amended and Restated Investors’ Rights Agreement, dated July</w:t>
              </w:r>
            </w:hyperlink>
          </w:p>
        </w:tc>
        <w:tc>
          <w:tcPr>
            <w:tcW w:w="3240" w:type="dxa"/>
            <w:vAlign w:val="bottom"/>
            <w:gridSpan w:val="7"/>
          </w:tcPr>
          <w:p>
            <w:pPr>
              <w:ind w:left="60"/>
              <w:spacing w:after="0"/>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31, 2017, among nCino, Inc. and certain</w:t>
              </w:r>
            </w:hyperlink>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2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251">
              <w:r>
                <w:rPr>
                  <w:rFonts w:ascii="Times New Roman" w:cs="Times New Roman" w:eastAsia="Times New Roman" w:hAnsi="Times New Roman"/>
                  <w:sz w:val="18"/>
                  <w:szCs w:val="18"/>
                  <w:color w:val="0000EE"/>
                  <w:w w:val="98"/>
                </w:rPr>
                <w:t>holders of its capital stock.</w:t>
              </w:r>
            </w:hyperlink>
          </w:p>
        </w:tc>
        <w:tc>
          <w:tcPr>
            <w:tcW w:w="4600" w:type="dxa"/>
            <w:vAlign w:val="bottom"/>
            <w:tcBorders>
              <w:top w:val="single" w:sz="8" w:color="0000EE"/>
            </w:tcBorders>
            <w:gridSpan w:val="5"/>
          </w:tcPr>
          <w:p>
            <w:pPr>
              <w:spacing w:after="0"/>
              <w:rPr>
                <w:sz w:val="16"/>
                <w:szCs w:val="16"/>
                <w:color w:val="auto"/>
              </w:rPr>
            </w:pPr>
          </w:p>
        </w:tc>
        <w:tc>
          <w:tcPr>
            <w:tcW w:w="27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4.6(2)</w:t>
            </w:r>
          </w:p>
        </w:tc>
        <w:tc>
          <w:tcPr>
            <w:tcW w:w="520" w:type="dxa"/>
            <w:vAlign w:val="bottom"/>
          </w:tcPr>
          <w:p>
            <w:pPr>
              <w:spacing w:after="0"/>
              <w:rPr>
                <w:sz w:val="24"/>
                <w:szCs w:val="24"/>
                <w:color w:val="auto"/>
              </w:rPr>
            </w:pPr>
          </w:p>
        </w:tc>
        <w:tc>
          <w:tcPr>
            <w:tcW w:w="9760" w:type="dxa"/>
            <w:vAlign w:val="bottom"/>
            <w:gridSpan w:val="14"/>
          </w:tcPr>
          <w:p>
            <w:pPr>
              <w:spacing w:after="0"/>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Fourth Amendment to First Amended and Restated Investors’ Rights Agreement, dated January 16, 2018, among nCino, Inc. and</w:t>
              </w:r>
            </w:hyperlink>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60" w:type="dxa"/>
            <w:vAlign w:val="bottom"/>
            <w:tcBorders>
              <w:top w:val="single" w:sz="8" w:color="0000EE"/>
              <w:bottom w:val="single" w:sz="8" w:color="0000EE"/>
            </w:tcBorders>
            <w:gridSpan w:val="4"/>
          </w:tcPr>
          <w:p>
            <w:pPr>
              <w:spacing w:after="0" w:line="194" w:lineRule="exact"/>
              <w:rPr>
                <w:rFonts w:ascii="Times New Roman" w:cs="Times New Roman" w:eastAsia="Times New Roman" w:hAnsi="Times New Roman"/>
                <w:sz w:val="18"/>
                <w:szCs w:val="18"/>
                <w:color w:val="0000EE"/>
                <w:w w:val="98"/>
              </w:rPr>
            </w:pPr>
            <w:hyperlink r:id="rId252">
              <w:r>
                <w:rPr>
                  <w:rFonts w:ascii="Times New Roman" w:cs="Times New Roman" w:eastAsia="Times New Roman" w:hAnsi="Times New Roman"/>
                  <w:sz w:val="18"/>
                  <w:szCs w:val="18"/>
                  <w:color w:val="0000EE"/>
                  <w:w w:val="98"/>
                </w:rPr>
                <w:t>certain holders of its capital stock.</w:t>
              </w:r>
            </w:hyperlink>
          </w:p>
        </w:tc>
        <w:tc>
          <w:tcPr>
            <w:tcW w:w="4060" w:type="dxa"/>
            <w:vAlign w:val="bottom"/>
            <w:tcBorders>
              <w:top w:val="single" w:sz="8" w:color="0000EE"/>
            </w:tcBorders>
            <w:gridSpan w:val="3"/>
          </w:tcPr>
          <w:p>
            <w:pPr>
              <w:spacing w:after="0"/>
              <w:rPr>
                <w:sz w:val="16"/>
                <w:szCs w:val="16"/>
                <w:color w:val="auto"/>
              </w:rPr>
            </w:pPr>
          </w:p>
        </w:tc>
        <w:tc>
          <w:tcPr>
            <w:tcW w:w="2740" w:type="dxa"/>
            <w:vAlign w:val="bottom"/>
            <w:tcBorders>
              <w:top w:val="single" w:sz="8" w:color="0000EE"/>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4.7(2)</w:t>
            </w:r>
          </w:p>
        </w:tc>
        <w:tc>
          <w:tcPr>
            <w:tcW w:w="520" w:type="dxa"/>
            <w:vAlign w:val="bottom"/>
          </w:tcPr>
          <w:p>
            <w:pPr>
              <w:spacing w:after="0"/>
              <w:rPr>
                <w:sz w:val="24"/>
                <w:szCs w:val="24"/>
                <w:color w:val="auto"/>
              </w:rPr>
            </w:pPr>
          </w:p>
        </w:tc>
        <w:tc>
          <w:tcPr>
            <w:tcW w:w="6520" w:type="dxa"/>
            <w:vAlign w:val="bottom"/>
            <w:gridSpan w:val="7"/>
          </w:tcPr>
          <w:p>
            <w:pPr>
              <w:spacing w:after="0"/>
              <w:rPr>
                <w:rFonts w:ascii="Times New Roman" w:cs="Times New Roman" w:eastAsia="Times New Roman" w:hAnsi="Times New Roman"/>
                <w:sz w:val="18"/>
                <w:szCs w:val="18"/>
                <w:color w:val="0000EE"/>
                <w:w w:val="99"/>
              </w:rPr>
            </w:pPr>
            <w:hyperlink r:id="rId253">
              <w:r>
                <w:rPr>
                  <w:rFonts w:ascii="Times New Roman" w:cs="Times New Roman" w:eastAsia="Times New Roman" w:hAnsi="Times New Roman"/>
                  <w:sz w:val="18"/>
                  <w:szCs w:val="18"/>
                  <w:color w:val="0000EE"/>
                  <w:w w:val="99"/>
                </w:rPr>
                <w:t>Fifth Amendment to First Amended and Restated Investors’ Rights Agreement, dated July</w:t>
              </w:r>
            </w:hyperlink>
          </w:p>
        </w:tc>
        <w:tc>
          <w:tcPr>
            <w:tcW w:w="3240" w:type="dxa"/>
            <w:vAlign w:val="bottom"/>
            <w:gridSpan w:val="7"/>
          </w:tcPr>
          <w:p>
            <w:pPr>
              <w:ind w:left="20"/>
              <w:spacing w:after="0"/>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12, 2018, among nCino, Inc. and certain</w:t>
              </w:r>
            </w:hyperlink>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2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253">
              <w:r>
                <w:rPr>
                  <w:rFonts w:ascii="Times New Roman" w:cs="Times New Roman" w:eastAsia="Times New Roman" w:hAnsi="Times New Roman"/>
                  <w:sz w:val="18"/>
                  <w:szCs w:val="18"/>
                  <w:color w:val="0000EE"/>
                  <w:w w:val="98"/>
                </w:rPr>
                <w:t>holders of its capital stock.</w:t>
              </w:r>
            </w:hyperlink>
          </w:p>
        </w:tc>
        <w:tc>
          <w:tcPr>
            <w:tcW w:w="4600" w:type="dxa"/>
            <w:vAlign w:val="bottom"/>
            <w:tcBorders>
              <w:top w:val="single" w:sz="8" w:color="0000EE"/>
            </w:tcBorders>
            <w:gridSpan w:val="5"/>
          </w:tcPr>
          <w:p>
            <w:pPr>
              <w:spacing w:after="0"/>
              <w:rPr>
                <w:sz w:val="16"/>
                <w:szCs w:val="16"/>
                <w:color w:val="auto"/>
              </w:rPr>
            </w:pPr>
          </w:p>
        </w:tc>
        <w:tc>
          <w:tcPr>
            <w:tcW w:w="27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4.8(2)</w:t>
            </w:r>
          </w:p>
        </w:tc>
        <w:tc>
          <w:tcPr>
            <w:tcW w:w="520" w:type="dxa"/>
            <w:vAlign w:val="bottom"/>
          </w:tcPr>
          <w:p>
            <w:pPr>
              <w:spacing w:after="0"/>
              <w:rPr>
                <w:sz w:val="24"/>
                <w:szCs w:val="24"/>
                <w:color w:val="auto"/>
              </w:rPr>
            </w:pPr>
          </w:p>
        </w:tc>
        <w:tc>
          <w:tcPr>
            <w:tcW w:w="9760" w:type="dxa"/>
            <w:vAlign w:val="bottom"/>
            <w:gridSpan w:val="14"/>
          </w:tcPr>
          <w:p>
            <w:pPr>
              <w:spacing w:after="0"/>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Sixth Amendment to First Amended and Restated Investors’ Rights Agreement, dated September 16, 2019, among nCino, Inc. and</w:t>
              </w:r>
            </w:hyperlink>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60" w:type="dxa"/>
            <w:vAlign w:val="bottom"/>
            <w:tcBorders>
              <w:top w:val="single" w:sz="8" w:color="0000EE"/>
              <w:bottom w:val="single" w:sz="8" w:color="0000EE"/>
            </w:tcBorders>
            <w:gridSpan w:val="4"/>
          </w:tcPr>
          <w:p>
            <w:pPr>
              <w:spacing w:after="0" w:line="194" w:lineRule="exact"/>
              <w:rPr>
                <w:rFonts w:ascii="Times New Roman" w:cs="Times New Roman" w:eastAsia="Times New Roman" w:hAnsi="Times New Roman"/>
                <w:sz w:val="18"/>
                <w:szCs w:val="18"/>
                <w:color w:val="0000EE"/>
                <w:w w:val="98"/>
              </w:rPr>
            </w:pPr>
            <w:hyperlink r:id="rId254">
              <w:r>
                <w:rPr>
                  <w:rFonts w:ascii="Times New Roman" w:cs="Times New Roman" w:eastAsia="Times New Roman" w:hAnsi="Times New Roman"/>
                  <w:sz w:val="18"/>
                  <w:szCs w:val="18"/>
                  <w:color w:val="0000EE"/>
                  <w:w w:val="98"/>
                </w:rPr>
                <w:t>certain holders of its capital stock.</w:t>
              </w:r>
            </w:hyperlink>
          </w:p>
        </w:tc>
        <w:tc>
          <w:tcPr>
            <w:tcW w:w="4060" w:type="dxa"/>
            <w:vAlign w:val="bottom"/>
            <w:tcBorders>
              <w:top w:val="single" w:sz="8" w:color="0000EE"/>
            </w:tcBorders>
            <w:gridSpan w:val="3"/>
          </w:tcPr>
          <w:p>
            <w:pPr>
              <w:spacing w:after="0"/>
              <w:rPr>
                <w:sz w:val="16"/>
                <w:szCs w:val="16"/>
                <w:color w:val="auto"/>
              </w:rPr>
            </w:pPr>
          </w:p>
        </w:tc>
        <w:tc>
          <w:tcPr>
            <w:tcW w:w="27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4.9(2)</w:t>
            </w:r>
          </w:p>
        </w:tc>
        <w:tc>
          <w:tcPr>
            <w:tcW w:w="520" w:type="dxa"/>
            <w:vAlign w:val="bottom"/>
          </w:tcPr>
          <w:p>
            <w:pPr>
              <w:spacing w:after="0"/>
              <w:rPr>
                <w:sz w:val="24"/>
                <w:szCs w:val="24"/>
                <w:color w:val="auto"/>
              </w:rPr>
            </w:pPr>
          </w:p>
        </w:tc>
        <w:tc>
          <w:tcPr>
            <w:tcW w:w="9760" w:type="dxa"/>
            <w:vAlign w:val="bottom"/>
            <w:gridSpan w:val="14"/>
          </w:tcPr>
          <w:p>
            <w:pPr>
              <w:spacing w:after="0"/>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Seventh Amendment to First Amended and Restated Investors’ Rights Agreement, dated September 30, 2019, among nCino, Inc. and</w:t>
              </w:r>
            </w:hyperlink>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520" w:type="dxa"/>
            <w:vAlign w:val="bottom"/>
            <w:tcBorders>
              <w:top w:val="single" w:sz="8" w:color="0000EE"/>
            </w:tcBorders>
            <w:gridSpan w:val="7"/>
          </w:tcPr>
          <w:p>
            <w:pPr>
              <w:spacing w:after="0" w:line="194"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certain holders of its capital stock.</w:t>
              </w:r>
            </w:hyperlink>
          </w:p>
        </w:tc>
        <w:tc>
          <w:tcPr>
            <w:tcW w:w="27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tcPr>
          <w:p>
            <w:pPr>
              <w:spacing w:after="0"/>
              <w:rPr>
                <w:sz w:val="24"/>
                <w:szCs w:val="24"/>
                <w:color w:val="auto"/>
              </w:rPr>
            </w:pPr>
          </w:p>
        </w:tc>
        <w:tc>
          <w:tcPr>
            <w:tcW w:w="24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Opinion of Sidley Austin LLP.</w:t>
            </w:r>
          </w:p>
        </w:tc>
        <w:tc>
          <w:tcPr>
            <w:tcW w:w="4080" w:type="dxa"/>
            <w:vAlign w:val="bottom"/>
            <w:gridSpan w:val="4"/>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w:t>
            </w:r>
          </w:p>
        </w:tc>
        <w:tc>
          <w:tcPr>
            <w:tcW w:w="9760" w:type="dxa"/>
            <w:vAlign w:val="bottom"/>
            <w:gridSpan w:val="14"/>
          </w:tcPr>
          <w:p>
            <w:pPr>
              <w:spacing w:after="0"/>
              <w:rPr>
                <w:rFonts w:ascii="Times New Roman" w:cs="Times New Roman" w:eastAsia="Times New Roman" w:hAnsi="Times New Roman"/>
                <w:sz w:val="18"/>
                <w:szCs w:val="18"/>
                <w:u w:val="single" w:color="auto"/>
                <w:color w:val="0000EE"/>
              </w:rPr>
            </w:pPr>
            <w:hyperlink r:id="rId256">
              <w:r>
                <w:rPr>
                  <w:rFonts w:ascii="Times New Roman" w:cs="Times New Roman" w:eastAsia="Times New Roman" w:hAnsi="Times New Roman"/>
                  <w:sz w:val="18"/>
                  <w:szCs w:val="18"/>
                  <w:u w:val="single" w:color="auto"/>
                  <w:color w:val="0000EE"/>
                </w:rPr>
                <w:t>nCino, Inc. 2014 Omnibus Stock Ownership and Long Term Incentive Plan and related form agreements.</w:t>
              </w:r>
            </w:hyperlink>
          </w:p>
        </w:tc>
        <w:tc>
          <w:tcPr>
            <w:tcW w:w="0" w:type="dxa"/>
            <w:vAlign w:val="bottom"/>
          </w:tcPr>
          <w:p>
            <w:pPr>
              <w:spacing w:after="0"/>
              <w:rPr>
                <w:sz w:val="1"/>
                <w:szCs w:val="1"/>
                <w:color w:val="auto"/>
              </w:rPr>
            </w:pPr>
          </w:p>
        </w:tc>
      </w:tr>
      <w:tr>
        <w:trPr>
          <w:trHeight w:val="321"/>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10.2+(2)</w:t>
            </w:r>
          </w:p>
        </w:tc>
        <w:tc>
          <w:tcPr>
            <w:tcW w:w="9760" w:type="dxa"/>
            <w:vAlign w:val="bottom"/>
            <w:gridSpan w:val="14"/>
          </w:tcPr>
          <w:p>
            <w:pPr>
              <w:spacing w:after="0"/>
              <w:rPr>
                <w:rFonts w:ascii="Times New Roman" w:cs="Times New Roman" w:eastAsia="Times New Roman" w:hAnsi="Times New Roman"/>
                <w:sz w:val="18"/>
                <w:szCs w:val="18"/>
                <w:u w:val="single" w:color="auto"/>
                <w:color w:val="0000EE"/>
              </w:rPr>
            </w:pPr>
            <w:hyperlink r:id="rId257">
              <w:r>
                <w:rPr>
                  <w:rFonts w:ascii="Times New Roman" w:cs="Times New Roman" w:eastAsia="Times New Roman" w:hAnsi="Times New Roman"/>
                  <w:sz w:val="18"/>
                  <w:szCs w:val="18"/>
                  <w:u w:val="single" w:color="auto"/>
                  <w:color w:val="0000EE"/>
                </w:rPr>
                <w:t>nCino, Inc. 2019 Amended and Restated Equity Incentive Plan and related form agreements.</w:t>
              </w:r>
            </w:hyperlink>
          </w:p>
        </w:tc>
        <w:tc>
          <w:tcPr>
            <w:tcW w:w="0" w:type="dxa"/>
            <w:vAlign w:val="bottom"/>
          </w:tcPr>
          <w:p>
            <w:pPr>
              <w:spacing w:after="0"/>
              <w:rPr>
                <w:sz w:val="1"/>
                <w:szCs w:val="1"/>
                <w:color w:val="auto"/>
              </w:rPr>
            </w:pPr>
          </w:p>
        </w:tc>
      </w:tr>
      <w:tr>
        <w:trPr>
          <w:trHeight w:val="321"/>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10.3+(2)</w:t>
            </w:r>
          </w:p>
        </w:tc>
        <w:tc>
          <w:tcPr>
            <w:tcW w:w="6520" w:type="dxa"/>
            <w:vAlign w:val="bottom"/>
            <w:gridSpan w:val="7"/>
          </w:tcPr>
          <w:p>
            <w:pPr>
              <w:spacing w:after="0"/>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u w:val="single" w:color="auto"/>
                  <w:color w:val="0000EE"/>
                </w:rPr>
                <w:t>nCino, Inc. Employee Stock Purchase Plan</w:t>
              </w:r>
              <w:r>
                <w:rPr>
                  <w:rFonts w:ascii="Times New Roman" w:cs="Times New Roman" w:eastAsia="Times New Roman" w:hAnsi="Times New Roman"/>
                  <w:sz w:val="18"/>
                  <w:szCs w:val="18"/>
                  <w:color w:val="0000EE"/>
                </w:rPr>
                <w:t>.</w:t>
              </w:r>
            </w:hyperlink>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10.4+(2)</w:t>
            </w:r>
          </w:p>
        </w:tc>
        <w:tc>
          <w:tcPr>
            <w:tcW w:w="6520" w:type="dxa"/>
            <w:vAlign w:val="bottom"/>
            <w:gridSpan w:val="7"/>
          </w:tcPr>
          <w:p>
            <w:pPr>
              <w:spacing w:after="0"/>
              <w:rPr>
                <w:rFonts w:ascii="Times New Roman" w:cs="Times New Roman" w:eastAsia="Times New Roman" w:hAnsi="Times New Roman"/>
                <w:sz w:val="18"/>
                <w:szCs w:val="18"/>
                <w:u w:val="single" w:color="auto"/>
                <w:color w:val="0000EE"/>
              </w:rPr>
            </w:pPr>
            <w:hyperlink r:id="rId259">
              <w:r>
                <w:rPr>
                  <w:rFonts w:ascii="Times New Roman" w:cs="Times New Roman" w:eastAsia="Times New Roman" w:hAnsi="Times New Roman"/>
                  <w:sz w:val="18"/>
                  <w:szCs w:val="18"/>
                  <w:u w:val="single" w:color="auto"/>
                  <w:color w:val="0000EE"/>
                </w:rPr>
                <w:t>Amended and Restated Employment Agreement with Pierre Naudé.</w:t>
              </w:r>
            </w:hyperlink>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10.5+(2)</w:t>
            </w:r>
          </w:p>
        </w:tc>
        <w:tc>
          <w:tcPr>
            <w:tcW w:w="6520" w:type="dxa"/>
            <w:vAlign w:val="bottom"/>
            <w:gridSpan w:val="7"/>
          </w:tcPr>
          <w:p>
            <w:pPr>
              <w:spacing w:after="0"/>
              <w:rPr>
                <w:rFonts w:ascii="Times New Roman" w:cs="Times New Roman" w:eastAsia="Times New Roman" w:hAnsi="Times New Roman"/>
                <w:sz w:val="18"/>
                <w:szCs w:val="18"/>
                <w:u w:val="single" w:color="auto"/>
                <w:color w:val="0000EE"/>
              </w:rPr>
            </w:pPr>
            <w:hyperlink r:id="rId260">
              <w:r>
                <w:rPr>
                  <w:rFonts w:ascii="Times New Roman" w:cs="Times New Roman" w:eastAsia="Times New Roman" w:hAnsi="Times New Roman"/>
                  <w:sz w:val="18"/>
                  <w:szCs w:val="18"/>
                  <w:u w:val="single" w:color="auto"/>
                  <w:color w:val="0000EE"/>
                </w:rPr>
                <w:t>Amended and Restated Employment Agreement with David Rudow.</w:t>
              </w:r>
            </w:hyperlink>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10.6+(2)</w:t>
            </w:r>
          </w:p>
        </w:tc>
        <w:tc>
          <w:tcPr>
            <w:tcW w:w="6520" w:type="dxa"/>
            <w:vAlign w:val="bottom"/>
            <w:gridSpan w:val="7"/>
          </w:tcPr>
          <w:p>
            <w:pPr>
              <w:spacing w:after="0"/>
              <w:rPr>
                <w:rFonts w:ascii="Times New Roman" w:cs="Times New Roman" w:eastAsia="Times New Roman" w:hAnsi="Times New Roman"/>
                <w:sz w:val="18"/>
                <w:szCs w:val="18"/>
                <w:u w:val="single" w:color="auto"/>
                <w:color w:val="0000EE"/>
              </w:rPr>
            </w:pPr>
            <w:hyperlink r:id="rId261">
              <w:r>
                <w:rPr>
                  <w:rFonts w:ascii="Times New Roman" w:cs="Times New Roman" w:eastAsia="Times New Roman" w:hAnsi="Times New Roman"/>
                  <w:sz w:val="18"/>
                  <w:szCs w:val="18"/>
                  <w:u w:val="single" w:color="auto"/>
                  <w:color w:val="0000EE"/>
                </w:rPr>
                <w:t>Amended and Restated Employment Agreement with Joshua Glover.</w:t>
              </w:r>
            </w:hyperlink>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10.7++(1)</w:t>
            </w:r>
          </w:p>
        </w:tc>
        <w:tc>
          <w:tcPr>
            <w:tcW w:w="9760" w:type="dxa"/>
            <w:vAlign w:val="bottom"/>
            <w:gridSpan w:val="14"/>
          </w:tcPr>
          <w:p>
            <w:pPr>
              <w:spacing w:after="0"/>
              <w:rPr>
                <w:rFonts w:ascii="Times New Roman" w:cs="Times New Roman" w:eastAsia="Times New Roman" w:hAnsi="Times New Roman"/>
                <w:sz w:val="18"/>
                <w:szCs w:val="18"/>
                <w:u w:val="single" w:color="auto"/>
                <w:color w:val="0000EE"/>
              </w:rPr>
            </w:pPr>
            <w:hyperlink r:id="rId262">
              <w:r>
                <w:rPr>
                  <w:rFonts w:ascii="Times New Roman" w:cs="Times New Roman" w:eastAsia="Times New Roman" w:hAnsi="Times New Roman"/>
                  <w:sz w:val="18"/>
                  <w:szCs w:val="18"/>
                  <w:u w:val="single" w:color="auto"/>
                  <w:color w:val="0000EE"/>
                </w:rPr>
                <w:t>Partner Application Distribution Agreement by and between Salesforce and the Company, dated June 19, 2020.</w:t>
              </w:r>
            </w:hyperlink>
          </w:p>
        </w:tc>
        <w:tc>
          <w:tcPr>
            <w:tcW w:w="0" w:type="dxa"/>
            <w:vAlign w:val="bottom"/>
          </w:tcPr>
          <w:p>
            <w:pPr>
              <w:spacing w:after="0"/>
              <w:rPr>
                <w:sz w:val="1"/>
                <w:szCs w:val="1"/>
                <w:color w:val="auto"/>
              </w:rPr>
            </w:pPr>
          </w:p>
        </w:tc>
      </w:tr>
      <w:tr>
        <w:trPr>
          <w:trHeight w:val="321"/>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10.8+(2)</w:t>
            </w:r>
          </w:p>
        </w:tc>
        <w:tc>
          <w:tcPr>
            <w:tcW w:w="9760" w:type="dxa"/>
            <w:vAlign w:val="bottom"/>
            <w:gridSpan w:val="14"/>
          </w:tcPr>
          <w:p>
            <w:pPr>
              <w:spacing w:after="0"/>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u w:val="single" w:color="auto"/>
                  <w:color w:val="0000EE"/>
                </w:rPr>
                <w:t>Form of Indemnification Agreement entered into by and between nCino, Inc. and its directors and executive officers</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1"/>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tcPr>
          <w:p>
            <w:pPr>
              <w:spacing w:after="0"/>
              <w:rPr>
                <w:sz w:val="24"/>
                <w:szCs w:val="24"/>
                <w:color w:val="auto"/>
              </w:rPr>
            </w:pPr>
          </w:p>
        </w:tc>
        <w:tc>
          <w:tcPr>
            <w:tcW w:w="6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w:t>
            </w: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520" w:type="dxa"/>
            <w:vAlign w:val="bottom"/>
          </w:tcPr>
          <w:p>
            <w:pPr>
              <w:spacing w:after="0"/>
              <w:rPr>
                <w:sz w:val="24"/>
                <w:szCs w:val="24"/>
                <w:color w:val="auto"/>
              </w:rPr>
            </w:pPr>
          </w:p>
        </w:tc>
        <w:tc>
          <w:tcPr>
            <w:tcW w:w="6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Consent of Sidley Austin LLP (included in Exhibit 5.1).</w:t>
            </w: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520" w:type="dxa"/>
            <w:vAlign w:val="bottom"/>
          </w:tcPr>
          <w:p>
            <w:pPr>
              <w:spacing w:after="0"/>
              <w:rPr>
                <w:sz w:val="24"/>
                <w:szCs w:val="24"/>
                <w:color w:val="auto"/>
              </w:rPr>
            </w:pPr>
          </w:p>
        </w:tc>
        <w:tc>
          <w:tcPr>
            <w:tcW w:w="6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Powers of Attorney (included on the signature page to this Registration Statement).</w:t>
            </w: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7645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8" w:lineRule="exact"/>
        <w:rPr>
          <w:sz w:val="20"/>
          <w:szCs w:val="20"/>
          <w:color w:val="auto"/>
        </w:rPr>
      </w:pPr>
    </w:p>
    <w:p>
      <w:pPr>
        <w:ind w:left="600" w:hanging="433"/>
        <w:spacing w:after="0"/>
        <w:tabs>
          <w:tab w:leader="none" w:pos="6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on June 22, 2020 with Registration Statement on Form S-1 (No. 333-239335)</w:t>
      </w:r>
    </w:p>
    <w:p>
      <w:pPr>
        <w:spacing w:after="0" w:line="25"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on July 6, 2020 with Amendment No. 1 to Registration Statement on Form S-1 (No. 333-239335)</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on July 10, 2020 with Amendment No. 2 to Registration Statement on Form S-1 (No. 333-239335)</w:t>
      </w:r>
    </w:p>
    <w:p>
      <w:pPr>
        <w:spacing w:after="0" w:line="6"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To be filed by amendment.</w:t>
      </w:r>
    </w:p>
    <w:p>
      <w:pPr>
        <w:spacing w:after="0" w:line="6"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Indicates management contract or compensatory plan.</w:t>
      </w:r>
    </w:p>
    <w:p>
      <w:pPr>
        <w:spacing w:after="0" w:line="6"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have been redacted in accordance with Item 601(b)(10)(iv) of Regulation S-K.</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60"/>
          </w:cols>
          <w:pgMar w:left="320" w:top="454" w:right="51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w:t>
      </w:r>
    </w:p>
    <w:p>
      <w:pPr>
        <w:spacing w:after="0" w:line="26" w:lineRule="exact"/>
        <w:rPr>
          <w:sz w:val="20"/>
          <w:szCs w:val="20"/>
          <w:color w:val="auto"/>
        </w:rPr>
      </w:pPr>
    </w:p>
    <w:tbl>
      <w:tblPr>
        <w:tblLayout w:type="fixed"/>
        <w:tblInd w:w="160" w:type="dxa"/>
        <w:tblCellMar>
          <w:top w:w="0" w:type="dxa"/>
          <w:left w:w="0" w:type="dxa"/>
          <w:bottom w:w="0" w:type="dxa"/>
          <w:right w:w="0" w:type="dxa"/>
        </w:tblCellMar>
      </w:tblPr>
      <w:tr>
        <w:trPr>
          <w:trHeight w:val="23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behalf by the undersigned, thereunto duly authorized, in Wilmington, North Carolina, on the   day of</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2020.</w:t>
            </w:r>
          </w:p>
        </w:tc>
      </w:tr>
    </w:tbl>
    <w:p>
      <w:pPr>
        <w:spacing w:after="0" w:line="19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2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4607560</wp:posOffset>
            </wp:positionH>
            <wp:positionV relativeFrom="paragraph">
              <wp:posOffset>15875</wp:posOffset>
            </wp:positionV>
            <wp:extent cx="24288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Pierre Naudé</w:t>
      </w:r>
    </w:p>
    <w:p>
      <w:pPr>
        <w:spacing w:after="0" w:line="26"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2" w:lineRule="exact"/>
        <w:rPr>
          <w:sz w:val="20"/>
          <w:szCs w:val="20"/>
          <w:color w:val="auto"/>
        </w:rPr>
      </w:pPr>
    </w:p>
    <w:p>
      <w:pPr>
        <w:ind w:left="160" w:firstLine="873"/>
        <w:spacing w:after="0" w:line="270" w:lineRule="auto"/>
        <w:rPr>
          <w:sz w:val="20"/>
          <w:szCs w:val="20"/>
          <w:color w:val="auto"/>
        </w:rPr>
      </w:pPr>
      <w:r>
        <w:rPr>
          <w:rFonts w:ascii="Times New Roman" w:cs="Times New Roman" w:eastAsia="Times New Roman" w:hAnsi="Times New Roman"/>
          <w:sz w:val="17"/>
          <w:szCs w:val="17"/>
          <w:color w:val="auto"/>
        </w:rPr>
        <w:t>KNOW ALL MEN BY THESE PRESENTS, that each person whose signature appears below constitutes and appoints Pierre Naudé, David Rudow and Greg Orenstein,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72" w:lineRule="exact"/>
        <w:rPr>
          <w:sz w:val="20"/>
          <w:szCs w:val="20"/>
          <w:color w:val="auto"/>
        </w:rPr>
      </w:pPr>
    </w:p>
    <w:p>
      <w:pPr>
        <w:ind w:left="160" w:right="380" w:firstLine="873"/>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020"/>
          </w:cols>
          <w:pgMar w:left="320" w:top="454" w:right="559" w:bottom="1440" w:gutter="0" w:footer="0" w:header="0"/>
        </w:sectPr>
      </w:pPr>
    </w:p>
    <w:p>
      <w:pPr>
        <w:spacing w:after="0" w:line="183"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00" w:lineRule="exact"/>
        <w:rPr>
          <w:sz w:val="20"/>
          <w:szCs w:val="20"/>
          <w:color w:val="auto"/>
        </w:rPr>
      </w:pPr>
    </w:p>
    <w:p>
      <w:pPr>
        <w:spacing w:after="0" w:line="247"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22847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335"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David Rudow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22847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Jeanette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228473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Steven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22847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Jon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228473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Jeffrey Horing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228473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Pam Kilday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22847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Spencer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22847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7"/>
          <w:szCs w:val="17"/>
          <w:color w:val="auto"/>
        </w:rPr>
        <w:t>Jeffrey Lunsford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-120650</wp:posOffset>
            </wp:positionV>
            <wp:extent cx="22847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William Ruh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22847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 Director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Accounting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200" w:lineRule="exact"/>
        <w:rPr>
          <w:sz w:val="20"/>
          <w:szCs w:val="20"/>
          <w:color w:val="auto"/>
        </w:rPr>
      </w:pPr>
    </w:p>
    <w:p>
      <w:pPr>
        <w:spacing w:after="0" w:line="261" w:lineRule="exact"/>
        <w:rPr>
          <w:sz w:val="20"/>
          <w:szCs w:val="20"/>
          <w:color w:val="auto"/>
        </w:rPr>
      </w:pPr>
    </w:p>
    <w:p>
      <w:pPr>
        <w:ind w:left="240" w:hanging="97"/>
        <w:spacing w:after="0"/>
        <w:tabs>
          <w:tab w:leader="none" w:pos="2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2020</w:t>
      </w:r>
    </w:p>
    <w:p>
      <w:pPr>
        <w:spacing w:after="0" w:line="366" w:lineRule="exact"/>
        <w:rPr>
          <w:rFonts w:ascii="Times New Roman" w:cs="Times New Roman" w:eastAsia="Times New Roman" w:hAnsi="Times New Roman"/>
          <w:sz w:val="17"/>
          <w:szCs w:val="17"/>
          <w:color w:val="auto"/>
        </w:rPr>
      </w:pPr>
    </w:p>
    <w:p>
      <w:pPr>
        <w:ind w:left="240" w:hanging="97"/>
        <w:spacing w:after="0"/>
        <w:tabs>
          <w:tab w:leader="none" w:pos="2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2020</w:t>
      </w:r>
    </w:p>
    <w:p>
      <w:pPr>
        <w:spacing w:after="0" w:line="200" w:lineRule="exact"/>
        <w:rPr>
          <w:rFonts w:ascii="Times New Roman" w:cs="Times New Roman" w:eastAsia="Times New Roman" w:hAnsi="Times New Roman"/>
          <w:sz w:val="17"/>
          <w:szCs w:val="17"/>
          <w:color w:val="auto"/>
        </w:rPr>
      </w:pPr>
    </w:p>
    <w:p>
      <w:pPr>
        <w:spacing w:after="0" w:line="273" w:lineRule="exact"/>
        <w:rPr>
          <w:rFonts w:ascii="Times New Roman" w:cs="Times New Roman" w:eastAsia="Times New Roman" w:hAnsi="Times New Roman"/>
          <w:sz w:val="17"/>
          <w:szCs w:val="17"/>
          <w:color w:val="auto"/>
        </w:rPr>
      </w:pPr>
    </w:p>
    <w:p>
      <w:pPr>
        <w:ind w:left="240" w:hanging="97"/>
        <w:spacing w:after="0"/>
        <w:tabs>
          <w:tab w:leader="none" w:pos="2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2020</w:t>
      </w:r>
    </w:p>
    <w:p>
      <w:pPr>
        <w:spacing w:after="0" w:line="200" w:lineRule="exact"/>
        <w:rPr>
          <w:rFonts w:ascii="Times New Roman" w:cs="Times New Roman" w:eastAsia="Times New Roman" w:hAnsi="Times New Roman"/>
          <w:sz w:val="17"/>
          <w:szCs w:val="17"/>
          <w:color w:val="auto"/>
        </w:rPr>
      </w:pPr>
    </w:p>
    <w:p>
      <w:pPr>
        <w:spacing w:after="0" w:line="273" w:lineRule="exact"/>
        <w:rPr>
          <w:rFonts w:ascii="Times New Roman" w:cs="Times New Roman" w:eastAsia="Times New Roman" w:hAnsi="Times New Roman"/>
          <w:sz w:val="17"/>
          <w:szCs w:val="17"/>
          <w:color w:val="auto"/>
        </w:rPr>
      </w:pPr>
    </w:p>
    <w:p>
      <w:pPr>
        <w:ind w:left="240" w:hanging="97"/>
        <w:spacing w:after="0"/>
        <w:tabs>
          <w:tab w:leader="none" w:pos="2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2020</w:t>
      </w:r>
    </w:p>
    <w:p>
      <w:pPr>
        <w:spacing w:after="0" w:line="200" w:lineRule="exact"/>
        <w:rPr>
          <w:rFonts w:ascii="Times New Roman" w:cs="Times New Roman" w:eastAsia="Times New Roman" w:hAnsi="Times New Roman"/>
          <w:sz w:val="17"/>
          <w:szCs w:val="17"/>
          <w:color w:val="auto"/>
        </w:rPr>
      </w:pPr>
    </w:p>
    <w:p>
      <w:pPr>
        <w:spacing w:after="0" w:line="273" w:lineRule="exact"/>
        <w:rPr>
          <w:rFonts w:ascii="Times New Roman" w:cs="Times New Roman" w:eastAsia="Times New Roman" w:hAnsi="Times New Roman"/>
          <w:sz w:val="17"/>
          <w:szCs w:val="17"/>
          <w:color w:val="auto"/>
        </w:rPr>
      </w:pPr>
    </w:p>
    <w:p>
      <w:pPr>
        <w:ind w:left="240" w:hanging="97"/>
        <w:spacing w:after="0"/>
        <w:tabs>
          <w:tab w:leader="none" w:pos="2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2020</w:t>
      </w:r>
    </w:p>
    <w:p>
      <w:pPr>
        <w:spacing w:after="0" w:line="200" w:lineRule="exact"/>
        <w:rPr>
          <w:rFonts w:ascii="Times New Roman" w:cs="Times New Roman" w:eastAsia="Times New Roman" w:hAnsi="Times New Roman"/>
          <w:sz w:val="17"/>
          <w:szCs w:val="17"/>
          <w:color w:val="auto"/>
        </w:rPr>
      </w:pPr>
    </w:p>
    <w:p>
      <w:pPr>
        <w:spacing w:after="0" w:line="273" w:lineRule="exact"/>
        <w:rPr>
          <w:rFonts w:ascii="Times New Roman" w:cs="Times New Roman" w:eastAsia="Times New Roman" w:hAnsi="Times New Roman"/>
          <w:sz w:val="17"/>
          <w:szCs w:val="17"/>
          <w:color w:val="auto"/>
        </w:rPr>
      </w:pPr>
    </w:p>
    <w:p>
      <w:pPr>
        <w:ind w:left="240" w:hanging="97"/>
        <w:spacing w:after="0"/>
        <w:tabs>
          <w:tab w:leader="none" w:pos="2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2020</w:t>
      </w:r>
    </w:p>
    <w:p>
      <w:pPr>
        <w:spacing w:after="0" w:line="200" w:lineRule="exact"/>
        <w:rPr>
          <w:rFonts w:ascii="Times New Roman" w:cs="Times New Roman" w:eastAsia="Times New Roman" w:hAnsi="Times New Roman"/>
          <w:sz w:val="17"/>
          <w:szCs w:val="17"/>
          <w:color w:val="auto"/>
        </w:rPr>
      </w:pPr>
    </w:p>
    <w:p>
      <w:pPr>
        <w:spacing w:after="0" w:line="273" w:lineRule="exact"/>
        <w:rPr>
          <w:rFonts w:ascii="Times New Roman" w:cs="Times New Roman" w:eastAsia="Times New Roman" w:hAnsi="Times New Roman"/>
          <w:sz w:val="17"/>
          <w:szCs w:val="17"/>
          <w:color w:val="auto"/>
        </w:rPr>
      </w:pPr>
    </w:p>
    <w:p>
      <w:pPr>
        <w:ind w:left="240" w:hanging="97"/>
        <w:spacing w:after="0"/>
        <w:tabs>
          <w:tab w:leader="none" w:pos="2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2020</w:t>
      </w:r>
    </w:p>
    <w:p>
      <w:pPr>
        <w:spacing w:after="0" w:line="200" w:lineRule="exact"/>
        <w:rPr>
          <w:rFonts w:ascii="Times New Roman" w:cs="Times New Roman" w:eastAsia="Times New Roman" w:hAnsi="Times New Roman"/>
          <w:sz w:val="17"/>
          <w:szCs w:val="17"/>
          <w:color w:val="auto"/>
        </w:rPr>
      </w:pPr>
    </w:p>
    <w:p>
      <w:pPr>
        <w:spacing w:after="0" w:line="273" w:lineRule="exact"/>
        <w:rPr>
          <w:rFonts w:ascii="Times New Roman" w:cs="Times New Roman" w:eastAsia="Times New Roman" w:hAnsi="Times New Roman"/>
          <w:sz w:val="17"/>
          <w:szCs w:val="17"/>
          <w:color w:val="auto"/>
        </w:rPr>
      </w:pPr>
    </w:p>
    <w:p>
      <w:pPr>
        <w:ind w:left="240" w:hanging="97"/>
        <w:spacing w:after="0"/>
        <w:tabs>
          <w:tab w:leader="none" w:pos="2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2020</w:t>
      </w:r>
    </w:p>
    <w:p>
      <w:pPr>
        <w:spacing w:after="0" w:line="200" w:lineRule="exact"/>
        <w:rPr>
          <w:rFonts w:ascii="Times New Roman" w:cs="Times New Roman" w:eastAsia="Times New Roman" w:hAnsi="Times New Roman"/>
          <w:sz w:val="17"/>
          <w:szCs w:val="17"/>
          <w:color w:val="auto"/>
        </w:rPr>
      </w:pPr>
    </w:p>
    <w:p>
      <w:pPr>
        <w:spacing w:after="0" w:line="273" w:lineRule="exact"/>
        <w:rPr>
          <w:rFonts w:ascii="Times New Roman" w:cs="Times New Roman" w:eastAsia="Times New Roman" w:hAnsi="Times New Roman"/>
          <w:sz w:val="17"/>
          <w:szCs w:val="17"/>
          <w:color w:val="auto"/>
        </w:rPr>
      </w:pPr>
    </w:p>
    <w:p>
      <w:pPr>
        <w:ind w:left="240" w:hanging="97"/>
        <w:spacing w:after="0"/>
        <w:tabs>
          <w:tab w:leader="none" w:pos="2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2020</w:t>
      </w:r>
    </w:p>
    <w:p>
      <w:pPr>
        <w:spacing w:after="0" w:line="200" w:lineRule="exact"/>
        <w:rPr>
          <w:rFonts w:ascii="Times New Roman" w:cs="Times New Roman" w:eastAsia="Times New Roman" w:hAnsi="Times New Roman"/>
          <w:sz w:val="17"/>
          <w:szCs w:val="17"/>
          <w:color w:val="auto"/>
        </w:rPr>
      </w:pPr>
    </w:p>
    <w:p>
      <w:pPr>
        <w:spacing w:after="0" w:line="273" w:lineRule="exact"/>
        <w:rPr>
          <w:rFonts w:ascii="Times New Roman" w:cs="Times New Roman" w:eastAsia="Times New Roman" w:hAnsi="Times New Roman"/>
          <w:sz w:val="17"/>
          <w:szCs w:val="17"/>
          <w:color w:val="auto"/>
        </w:rPr>
      </w:pPr>
    </w:p>
    <w:p>
      <w:pPr>
        <w:ind w:left="240" w:hanging="97"/>
        <w:spacing w:after="0"/>
        <w:tabs>
          <w:tab w:leader="none" w:pos="2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2020</w:t>
      </w:r>
    </w:p>
    <w:sectPr>
      <w:pgSz w:w="11900" w:h="16838" w:orient="portrait"/>
      <w:cols w:equalWidth="0" w:num="3">
        <w:col w:w="3160" w:space="720"/>
        <w:col w:w="5620" w:space="720"/>
        <w:col w:w="800"/>
      </w:cols>
      <w:pgMar w:left="320" w:top="45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3"/>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1)"/>
      <w:numFmt w:val="decimal"/>
      <w:start w:val="1"/>
    </w:lvl>
  </w:abstractNum>
  <w:abstractNum w:abstractNumId="11">
    <w:nsid w:val="4F4EF005"/>
    <w:multiLevelType w:val="hybridMultilevel"/>
    <w:lvl w:ilvl="0">
      <w:lvlJc w:val="left"/>
      <w:lvlText w:val="(%1)"/>
      <w:numFmt w:val="decimal"/>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1)"/>
      <w:numFmt w:val="decimal"/>
      <w:start w:val="2"/>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1)"/>
      <w:numFmt w:val="decimal"/>
      <w:start w:val="2"/>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1)"/>
      <w:numFmt w:val="decimal"/>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1)"/>
      <w:numFmt w:val="decimal"/>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lvl w:ilvl="1">
      <w:lvlJc w:val="left"/>
      <w:lvlText w:val=" "/>
      <w:numFmt w:val="bullet"/>
      <w:start w:val="1"/>
    </w:lvl>
  </w:abstractNum>
  <w:abstractNum w:abstractNumId="61">
    <w:nsid w:val="3B0FD379"/>
    <w:multiLevelType w:val="hybridMultilevel"/>
    <w:lvl w:ilvl="0">
      <w:lvlJc w:val="left"/>
      <w:lvlText w:val="(%1)"/>
      <w:numFmt w:val="decimal"/>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1)"/>
      <w:numFmt w:val="decimal"/>
      <w:start w:val="1"/>
    </w:lvl>
  </w:abstractNum>
  <w:abstractNum w:abstractNumId="65">
    <w:nsid w:val="6A5EE64"/>
    <w:multiLevelType w:val="hybridMultilevel"/>
    <w:lvl w:ilvl="0">
      <w:lvlJc w:val="left"/>
      <w:lvlText w:val="(%1)"/>
      <w:numFmt w:val="decimal"/>
      <w:start w:val="3"/>
    </w:lvl>
  </w:abstractNum>
  <w:abstractNum w:abstractNumId="66">
    <w:nsid w:val="14330624"/>
    <w:multiLevelType w:val="hybridMultilevel"/>
    <w:lvl w:ilvl="0">
      <w:lvlJc w:val="left"/>
      <w:lvlText w:val="(%1)"/>
      <w:numFmt w:val="decimal"/>
      <w:start w:val="4"/>
    </w:lvl>
  </w:abstractNum>
  <w:abstractNum w:abstractNumId="67">
    <w:nsid w:val="7FFFCA11"/>
    <w:multiLevelType w:val="hybridMultilevel"/>
    <w:lvl w:ilvl="0">
      <w:lvlJc w:val="left"/>
      <w:lvlText w:val="(%1)"/>
      <w:numFmt w:val="decimal"/>
      <w:start w:val="1"/>
    </w:lvl>
  </w:abstractNum>
  <w:abstractNum w:abstractNumId="68">
    <w:nsid w:val="1A27709E"/>
    <w:multiLevelType w:val="hybridMultilevel"/>
    <w:lvl w:ilvl="0">
      <w:lvlJc w:val="left"/>
      <w:lvlText w:val="(%1)"/>
      <w:numFmt w:val="lowerRoman"/>
      <w:start w:val="1"/>
    </w:lvl>
  </w:abstractNum>
  <w:abstractNum w:abstractNumId="69">
    <w:nsid w:val="71EA1109"/>
    <w:multiLevelType w:val="hybridMultilevel"/>
    <w:lvl w:ilvl="0">
      <w:lvlJc w:val="left"/>
      <w:lvlText w:val="(%1)"/>
      <w:numFmt w:val="lowerRoman"/>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1)"/>
      <w:numFmt w:val="decimal"/>
      <w:start w:val="1"/>
    </w:lvl>
  </w:abstractNum>
  <w:abstractNum w:abstractNumId="73">
    <w:nsid w:val="6F6DD9AC"/>
    <w:multiLevelType w:val="hybridMultilevel"/>
    <w:lvl w:ilvl="0">
      <w:lvlJc w:val="left"/>
      <w:lvlText w:val="(%1)"/>
      <w:numFmt w:val="decimal"/>
      <w:start w:val="12"/>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
      <w:numFmt w:val="bullet"/>
      <w:start w:val="1"/>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1)"/>
      <w:numFmt w:val="lowerLetter"/>
      <w:start w:val="1"/>
    </w:lvl>
  </w:abstractNum>
  <w:abstractNum w:abstractNumId="83">
    <w:nsid w:val="2DF6D648"/>
    <w:multiLevelType w:val="hybridMultilevel"/>
    <w:lvl w:ilvl="0">
      <w:lvlJc w:val="left"/>
      <w:lvlText w:val="(%1)"/>
      <w:numFmt w:val="lowerLetter"/>
      <w:start w:val="1"/>
    </w:lvl>
  </w:abstractNum>
  <w:abstractNum w:abstractNumId="84">
    <w:nsid w:val="46B7D447"/>
    <w:multiLevelType w:val="hybridMultilevel"/>
    <w:lvl w:ilvl="0">
      <w:lvlJc w:val="left"/>
      <w:lvlText w:val="(%1)"/>
      <w:numFmt w:val="lowerLetter"/>
      <w:start w:val="1"/>
    </w:lvl>
  </w:abstractNum>
  <w:abstractNum w:abstractNumId="85">
    <w:nsid w:val="4A2AC315"/>
    <w:multiLevelType w:val="hybridMultilevel"/>
    <w:lvl w:ilvl="0">
      <w:lvlJc w:val="left"/>
      <w:lvlText w:val="K.%1."/>
      <w:numFmt w:val="upperLetter"/>
      <w:start w:val="11"/>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1)"/>
      <w:numFmt w:val="decimal"/>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K.%1."/>
      <w:numFmt w:val="upperLetter"/>
      <w:start w:val="1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1)"/>
      <w:numFmt w:val="decimal"/>
      <w:start w:val="1"/>
    </w:lvl>
  </w:abstractNum>
  <w:abstractNum w:abstractNumId="93">
    <w:nsid w:val="49DA307D"/>
    <w:multiLevelType w:val="hybridMultilevel"/>
    <w:lvl w:ilvl="0">
      <w:lvlJc w:val="left"/>
      <w:lvlText w:val="1"/>
      <w:numFmt w:val="bullet"/>
      <w:start w:val="1"/>
    </w:lvl>
  </w:abstractNum>
  <w:abstractNum w:abstractNumId="94">
    <w:nsid w:val="7055A5F5"/>
    <w:multiLevelType w:val="hybridMultilevel"/>
    <w:lvl w:ilvl="0">
      <w:lvlJc w:val="left"/>
      <w:lvlText w:val="(%1)"/>
      <w:numFmt w:val="decimal"/>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45" Type="http://schemas.openxmlformats.org/officeDocument/2006/relationships/hyperlink" Target="http://www.sec.gov/Archives/edgar/data/1566895/000119312520187868/d828449dex31.htm" TargetMode="External"/><Relationship Id="rId246" Type="http://schemas.openxmlformats.org/officeDocument/2006/relationships/hyperlink" Target="http://www.sec.gov/Archives/edgar/data/1566895/000119312520187868/d828449dex32.htm" TargetMode="External"/><Relationship Id="rId247" Type="http://schemas.openxmlformats.org/officeDocument/2006/relationships/hyperlink" Target="http://www.sec.gov/Archives/edgar/data/1566895/000119312520187868/d828449dex41.htm" TargetMode="External"/><Relationship Id="rId248" Type="http://schemas.openxmlformats.org/officeDocument/2006/relationships/hyperlink" Target="http://www.sec.gov/Archives/edgar/data/1566895/000119312520174870/d828449dex42.htm" TargetMode="External"/><Relationship Id="rId249" Type="http://schemas.openxmlformats.org/officeDocument/2006/relationships/hyperlink" Target="http://www.sec.gov/Archives/edgar/data/1566895/000119312520187868/d828449dex43.htm" TargetMode="External"/><Relationship Id="rId250" Type="http://schemas.openxmlformats.org/officeDocument/2006/relationships/hyperlink" Target="http://www.sec.gov/Archives/edgar/data/1566895/000119312520187868/d828449dex44.htm" TargetMode="External"/><Relationship Id="rId251" Type="http://schemas.openxmlformats.org/officeDocument/2006/relationships/hyperlink" Target="http://www.sec.gov/Archives/edgar/data/1566895/000119312520187868/d828449dex45.htm" TargetMode="External"/><Relationship Id="rId252" Type="http://schemas.openxmlformats.org/officeDocument/2006/relationships/hyperlink" Target="http://www.sec.gov/Archives/edgar/data/1566895/000119312520187868/d828449dex46.htm" TargetMode="External"/><Relationship Id="rId253" Type="http://schemas.openxmlformats.org/officeDocument/2006/relationships/hyperlink" Target="http://www.sec.gov/Archives/edgar/data/1566895/000119312520187868/d828449dex47.htm" TargetMode="External"/><Relationship Id="rId254" Type="http://schemas.openxmlformats.org/officeDocument/2006/relationships/hyperlink" Target="http://www.sec.gov/Archives/edgar/data/1566895/000119312520187868/d828449dex48.htm" TargetMode="External"/><Relationship Id="rId255" Type="http://schemas.openxmlformats.org/officeDocument/2006/relationships/hyperlink" Target="http://www.sec.gov/Archives/edgar/data/1566895/000119312520187868/d828449dex49.htm" TargetMode="External"/><Relationship Id="rId256" Type="http://schemas.openxmlformats.org/officeDocument/2006/relationships/hyperlink" Target="http://www.sec.gov/Archives/edgar/data/1566895/000119312520174870/d828449dex101.htm" TargetMode="External"/><Relationship Id="rId257" Type="http://schemas.openxmlformats.org/officeDocument/2006/relationships/hyperlink" Target="http://www.sec.gov/Archives/edgar/data/1566895/000119312520187868/d828449dex102.htm" TargetMode="External"/><Relationship Id="rId258" Type="http://schemas.openxmlformats.org/officeDocument/2006/relationships/hyperlink" Target="http://www.sec.gov/Archives/edgar/data/1566895/000119312520187868/d828449dex103.htm" TargetMode="External"/><Relationship Id="rId259" Type="http://schemas.openxmlformats.org/officeDocument/2006/relationships/hyperlink" Target="http://www.sec.gov/Archives/edgar/data/1566895/000119312520187868/d828449dex104.htm" TargetMode="External"/><Relationship Id="rId260" Type="http://schemas.openxmlformats.org/officeDocument/2006/relationships/hyperlink" Target="http://www.sec.gov/Archives/edgar/data/1566895/000119312520187868/d828449dex105.htm" TargetMode="External"/><Relationship Id="rId261" Type="http://schemas.openxmlformats.org/officeDocument/2006/relationships/hyperlink" Target="http://www.sec.gov/Archives/edgar/data/1566895/000119312520187868/d828449dex106.htm" TargetMode="External"/><Relationship Id="rId262" Type="http://schemas.openxmlformats.org/officeDocument/2006/relationships/hyperlink" Target="http://www.sec.gov/Archives/edgar/data/1566895/000119312520174870/d828449dex107.htm" TargetMode="External"/><Relationship Id="rId263" Type="http://schemas.openxmlformats.org/officeDocument/2006/relationships/hyperlink" Target="http://www.sec.gov/Archives/edgar/data/1566895/000119312520187868/d828449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2020-10-13T23:11:34Z</dcterms:created>
  <dcterms:modified xsi:type="dcterms:W3CDTF">2020-10-13T23:11:34Z</dcterms:modified>
</cp:coreProperties>
</file>