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FORM 10-Q</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(Mark One)</w:t>
      </w:r>
    </w:p>
    <w:p>
      <w:pPr>
        <w:pStyle w:val="TextBody"/>
        <w:bidi w:val="0"/>
        <w:spacing w:lineRule="auto" w:line="288" w:before="120" w:after="283"/>
        <w:jc w:val="center"/>
        <w:rPr/>
      </w:pPr>
      <w:r>
        <w:rPr>
          <w:color w:val="000000"/>
        </w:rPr>
        <w:t>☒    </w:t>
      </w:r>
      <w:r>
        <w:rPr>
          <w:rFonts w:ascii="Times New Roman;serif" w:hAnsi="Times New Roman;serif"/>
          <w:b/>
          <w:color w:val="000000"/>
          <w:sz w:val="16"/>
        </w:rPr>
        <w:t xml:space="preserve">QUARTERLY REPORT PURSUANT TO SECTION 13 OR 15(d) OF THE SECURITIES EXCHANGE ACT OF 1934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July 31,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0" w:after="0"/>
        <w:jc w:val="center"/>
        <w:rPr/>
      </w:pPr>
      <w:r>
        <w:rPr>
          <w:rFonts w:ascii="Times New Roman;serif" w:hAnsi="Times New Roman;serif"/>
          <w:b/>
          <w:color w:val="000000"/>
          <w:sz w:val="16"/>
        </w:rPr>
        <w:t>For the transition period from __to __</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001-41211</w:t>
      </w:r>
    </w:p>
    <w:p>
      <w:pPr>
        <w:pStyle w:val="TextBody"/>
        <w:bidi w:val="0"/>
        <w:spacing w:before="0" w:after="0"/>
        <w:jc w:val="center"/>
        <w:rPr/>
      </w:pPr>
      <w:r>
        <w:rPr/>
      </w:r>
    </w:p>
    <w:p>
      <w:pPr>
        <w:pStyle w:val="TextBody"/>
        <w:bidi w:val="0"/>
        <w:spacing w:lineRule="auto" w:line="288" w:before="40" w:after="283"/>
        <w:jc w:val="center"/>
        <w:rPr>
          <w:rFonts w:ascii="Times New Roman;serif" w:hAnsi="Times New Roman;serif"/>
          <w:b/>
          <w:color w:val="000000"/>
          <w:sz w:val="34"/>
        </w:rPr>
      </w:pPr>
      <w:r>
        <w:rPr>
          <w:rFonts w:ascii="Times New Roman;serif" w:hAnsi="Times New Roman;serif"/>
          <w:b/>
          <w:color w:val="000000"/>
          <w:sz w:val="34"/>
        </w:rPr>
        <w:t>nCino, Inc.</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4105" w:type="dxa"/>
        <w:jc w:val="center"/>
        <w:tblInd w:w="0" w:type="dxa"/>
        <w:tblLayout w:type="fixed"/>
        <w:tblCellMar>
          <w:top w:w="28" w:type="dxa"/>
          <w:left w:w="28" w:type="dxa"/>
          <w:bottom w:w="28" w:type="dxa"/>
          <w:right w:w="28" w:type="dxa"/>
        </w:tblCellMar>
      </w:tblPr>
      <w:tblGrid>
        <w:gridCol w:w="844"/>
        <w:gridCol w:w="745"/>
        <w:gridCol w:w="750"/>
        <w:gridCol w:w="109"/>
        <w:gridCol w:w="109"/>
        <w:gridCol w:w="109"/>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87-4154342</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6770 Parker Farm Drive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Wilmington, North Carolina 28405</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including zip code)</w:t>
      </w:r>
    </w:p>
    <w:p>
      <w:pPr>
        <w:pStyle w:val="TextBody"/>
        <w:bidi w:val="0"/>
        <w:spacing w:before="40" w:after="283"/>
        <w:jc w:val="center"/>
        <w:rPr/>
      </w:pPr>
      <w:r>
        <w:rPr/>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(888) 676-2466</w:t>
      </w:r>
    </w:p>
    <w:p>
      <w:pPr>
        <w:pStyle w:val="TextBody"/>
        <w:bidi w:val="0"/>
        <w:spacing w:lineRule="auto" w:line="288" w:before="0" w:after="0"/>
        <w:jc w:val="center"/>
        <w:rPr/>
      </w:pPr>
      <w:r>
        <w:rPr>
          <w:rFonts w:ascii="Times New Roman;serif" w:hAnsi="Times New Roman;serif"/>
          <w:b w:val="false"/>
          <w:i/>
          <w:color w:val="000000"/>
          <w:sz w:val="16"/>
        </w:rPr>
        <w:t>(Registrant</w:t>
      </w:r>
      <w:r>
        <w:rPr>
          <w:color w:val="000000"/>
        </w:rPr>
        <w:t>’</w:t>
      </w:r>
      <w:r>
        <w:rPr>
          <w:rFonts w:ascii="Times New Roman;serif" w:hAnsi="Times New Roman;serif"/>
          <w:b w:val="false"/>
          <w:i/>
          <w:color w:val="000000"/>
          <w:sz w:val="16"/>
        </w:rPr>
        <w:t>s telephone number, including area code)</w:t>
      </w:r>
    </w:p>
    <w:p>
      <w:pPr>
        <w:pStyle w:val="TextBody"/>
        <w:bidi w:val="0"/>
        <w:spacing w:before="40" w:after="283"/>
        <w:jc w:val="center"/>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979" w:type="dxa"/>
        <w:jc w:val="center"/>
        <w:tblInd w:w="0" w:type="dxa"/>
        <w:tblLayout w:type="fixed"/>
        <w:tblCellMar>
          <w:top w:w="28" w:type="dxa"/>
          <w:left w:w="28" w:type="dxa"/>
          <w:bottom w:w="28" w:type="dxa"/>
          <w:right w:w="28" w:type="dxa"/>
        </w:tblCellMar>
      </w:tblPr>
      <w:tblGrid>
        <w:gridCol w:w="1207"/>
        <w:gridCol w:w="1054"/>
        <w:gridCol w:w="1069"/>
        <w:gridCol w:w="474"/>
        <w:gridCol w:w="474"/>
        <w:gridCol w:w="476"/>
        <w:gridCol w:w="945"/>
        <w:gridCol w:w="945"/>
        <w:gridCol w:w="1335"/>
      </w:tblGrid>
      <w:tr>
        <w:trPr/>
        <w:tc>
          <w:tcPr>
            <w:tcW w:w="1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$0.0005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NCNO</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before="0" w:after="0"/>
        <w:ind w:left="0" w:right="0" w:firstLine="990"/>
        <w:jc w:val="left"/>
        <w:rPr/>
      </w:pPr>
      <w:r>
        <w:rPr/>
      </w:r>
    </w:p>
    <w:p>
      <w:pPr>
        <w:pStyle w:val="TextBody"/>
        <w:bidi w:val="0"/>
        <w:spacing w:lineRule="auto" w:line="264" w:before="4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before="40" w:after="283"/>
        <w:ind w:left="0" w:right="0" w:firstLine="990"/>
        <w:jc w:val="left"/>
        <w:rPr/>
      </w:pPr>
      <w:r>
        <w:rPr/>
      </w:r>
    </w:p>
    <w:p>
      <w:pPr>
        <w:pStyle w:val="TextBody"/>
        <w:bidi w:val="0"/>
        <w:spacing w:lineRule="auto" w:line="264" w:before="4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40" w:after="283"/>
        <w:jc w:val="left"/>
        <w:rPr/>
      </w:pPr>
      <w:r>
        <w:rPr/>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lineRule="auto" w:line="288" w:before="4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40" w:after="283"/>
        <w:ind w:left="0" w:right="0" w:firstLine="990"/>
        <w:jc w:val="left"/>
        <w:rPr/>
      </w:pPr>
      <w:r>
        <w:rPr/>
      </w:r>
    </w:p>
    <w:p>
      <w:pPr>
        <w:pStyle w:val="TextBody"/>
        <w:bidi w:val="0"/>
        <w:spacing w:lineRule="auto" w:line="288" w:before="40" w:after="283"/>
        <w:jc w:val="left"/>
        <w:rPr/>
      </w:pPr>
      <w:r>
        <w:rPr>
          <w:rFonts w:ascii="Times New Roman;serif" w:hAnsi="Times New Roman;serif"/>
          <w:b w:val="false"/>
          <w:color w:val="000000"/>
          <w:sz w:val="16"/>
        </w:rPr>
        <w:t>Indicate by check mark whether the registrant is a shell company (as defined in Rule 12b-2 of the Exchange Act).</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before="40" w:after="283"/>
        <w:jc w:val="left"/>
        <w:rPr/>
      </w:pPr>
      <w:r>
        <w:rPr/>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 105,736,174 shares of common stock, net of treasury stock, $0.0005 par value per share, as of August 20, 2026.</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before="200" w:after="283"/>
        <w:jc w:val="center"/>
        <w:rPr/>
      </w:pPr>
      <w:r>
        <w:rPr/>
      </w:r>
    </w:p>
    <w:tbl>
      <w:tblPr>
        <w:tblW w:w="10205" w:type="dxa"/>
        <w:jc w:val="center"/>
        <w:tblInd w:w="0" w:type="dxa"/>
        <w:tblLayout w:type="fixed"/>
        <w:tblCellMar>
          <w:top w:w="28" w:type="dxa"/>
          <w:left w:w="28" w:type="dxa"/>
          <w:bottom w:w="28" w:type="dxa"/>
          <w:right w:w="28" w:type="dxa"/>
        </w:tblCellMar>
      </w:tblPr>
      <w:tblGrid>
        <w:gridCol w:w="277"/>
        <w:gridCol w:w="227"/>
        <w:gridCol w:w="219"/>
        <w:gridCol w:w="3023"/>
        <w:gridCol w:w="2968"/>
        <w:gridCol w:w="2977"/>
        <w:gridCol w:w="149"/>
        <w:gridCol w:w="149"/>
        <w:gridCol w:w="216"/>
      </w:tblGrid>
      <w:tr>
        <w:trPr/>
        <w:tc>
          <w:tcPr>
            <w:tcW w:w="2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0">
              <w:r>
                <w:rPr>
                  <w:rStyle w:val="InternetLink"/>
                  <w:rFonts w:ascii="Times New Roman;serif" w:hAnsi="Times New Roman;serif"/>
                  <w:b w:val="false"/>
                  <w:color w:val="0000FF"/>
                  <w:sz w:val="20"/>
                  <w:u w:val="single"/>
                </w:rPr>
                <w:t>Cautionary Note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0">
              <w:r>
                <w:rPr>
                  <w:rStyle w:val="InternetLink"/>
                  <w:rFonts w:ascii="Times New Roman;serif" w:hAnsi="Times New Roman;serif"/>
                  <w:b w:val="false"/>
                  <w:strike w:val="false"/>
                  <w:dstrike w:val="false"/>
                  <w:color w:val="000000"/>
                  <w:sz w:val="20"/>
                  <w:u w:val="none"/>
                  <w:effect w:val="none"/>
                </w:rPr>
                <w:t>i</w:t>
              </w:r>
            </w:hyperlink>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d42c4c39c8483aa6b2246e0288bd97_13">
              <w:r>
                <w:rPr>
                  <w:rStyle w:val="InternetLink"/>
                  <w:rFonts w:ascii="Times New Roman;serif" w:hAnsi="Times New Roman;serif"/>
                  <w:b/>
                  <w:color w:val="0000FF"/>
                  <w:sz w:val="20"/>
                  <w:u w:val="single"/>
                </w:rPr>
                <w:t>Part I. 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6">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6">
              <w:r>
                <w:rPr>
                  <w:rStyle w:val="InternetLink"/>
                  <w:rFonts w:ascii="Times New Roman;serif" w:hAnsi="Times New Roman;serif"/>
                  <w:b w:val="false"/>
                  <w:strike w:val="false"/>
                  <w:dstrike w:val="false"/>
                  <w:color w:val="000000"/>
                  <w:sz w:val="20"/>
                  <w:u w:val="none"/>
                  <w:effect w:val="none"/>
                </w:rPr>
                <w:t>1</w:t>
              </w:r>
            </w:hyperlink>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9">
              <w:r>
                <w:rPr>
                  <w:rStyle w:val="InternetLink"/>
                  <w:rFonts w:ascii="Times New Roman;serif" w:hAnsi="Times New Roman;serif"/>
                  <w:b w:val="false"/>
                  <w:color w:val="000080"/>
                  <w:sz w:val="20"/>
                  <w:u w:val="single"/>
                </w:rPr>
                <w:t xml:space="preserve">Condensed Consolidated Balance Sheets as of January 31, 2026 and </w:t>
              </w:r>
            </w:hyperlink>
            <w:hyperlink w:anchor="i1dd42c4c39c8483aa6b2246e0288bd97_19">
              <w:r>
                <w:rPr>
                  <w:rStyle w:val="InternetLink"/>
                  <w:rFonts w:ascii="Times New Roman;serif" w:hAnsi="Times New Roman;serif"/>
                  <w:b w:val="false"/>
                  <w:color w:val="000080"/>
                  <w:sz w:val="20"/>
                  <w:u w:val="single"/>
                </w:rPr>
                <w:t>July 31</w:t>
              </w:r>
            </w:hyperlink>
            <w:hyperlink w:anchor="i1dd42c4c39c8483aa6b2246e0288bd97_19">
              <w:r>
                <w:rPr>
                  <w:rStyle w:val="InternetLink"/>
                  <w:rFonts w:ascii="Times New Roman;serif" w:hAnsi="Times New Roman;serif"/>
                  <w:b w:val="false"/>
                  <w:color w:val="000080"/>
                  <w:sz w:val="20"/>
                  <w:u w:val="single"/>
                </w:rPr>
                <w:t>, 2026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9">
              <w:r>
                <w:rPr>
                  <w:rStyle w:val="InternetLink"/>
                  <w:rFonts w:ascii="Times New Roman;serif" w:hAnsi="Times New Roman;serif"/>
                  <w:b w:val="false"/>
                  <w:strike w:val="false"/>
                  <w:dstrike w:val="false"/>
                  <w:color w:val="000000"/>
                  <w:sz w:val="20"/>
                  <w:u w:val="none"/>
                  <w:effect w:val="none"/>
                </w:rPr>
                <w:t>1</w:t>
              </w:r>
            </w:hyperlink>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22">
              <w:r>
                <w:rPr>
                  <w:rStyle w:val="InternetLink"/>
                  <w:rFonts w:ascii="Times New Roman;serif" w:hAnsi="Times New Roman;serif"/>
                  <w:b w:val="false"/>
                  <w:color w:val="000080"/>
                  <w:sz w:val="20"/>
                  <w:u w:val="single"/>
                </w:rPr>
                <w:t xml:space="preserve">Unaudited Condensed Consolidated Statements of Operations for the Three </w:t>
              </w:r>
            </w:hyperlink>
            <w:hyperlink w:anchor="i1dd42c4c39c8483aa6b2246e0288bd97_22">
              <w:r>
                <w:rPr>
                  <w:rStyle w:val="InternetLink"/>
                  <w:rFonts w:ascii="Times New Roman;serif" w:hAnsi="Times New Roman;serif"/>
                  <w:b w:val="false"/>
                  <w:color w:val="000080"/>
                  <w:sz w:val="20"/>
                  <w:u w:val="single"/>
                </w:rPr>
                <w:t xml:space="preserve">and Six </w:t>
              </w:r>
            </w:hyperlink>
            <w:hyperlink w:anchor="i1dd42c4c39c8483aa6b2246e0288bd97_22">
              <w:r>
                <w:rPr>
                  <w:rStyle w:val="InternetLink"/>
                  <w:rFonts w:ascii="Times New Roman;serif" w:hAnsi="Times New Roman;serif"/>
                  <w:b w:val="false"/>
                  <w:color w:val="000080"/>
                  <w:sz w:val="20"/>
                  <w:u w:val="single"/>
                </w:rPr>
                <w:t xml:space="preserve">Months Ended </w:t>
              </w:r>
            </w:hyperlink>
            <w:hyperlink w:anchor="i1dd42c4c39c8483aa6b2246e0288bd97_22">
              <w:r>
                <w:rPr>
                  <w:rStyle w:val="InternetLink"/>
                  <w:rFonts w:ascii="Times New Roman;serif" w:hAnsi="Times New Roman;serif"/>
                  <w:b w:val="false"/>
                  <w:color w:val="000080"/>
                  <w:sz w:val="20"/>
                  <w:u w:val="single"/>
                </w:rPr>
                <w:t>July 31</w:t>
              </w:r>
            </w:hyperlink>
            <w:hyperlink w:anchor="i1dd42c4c39c8483aa6b2246e0288bd97_22">
              <w:r>
                <w:rPr>
                  <w:rStyle w:val="InternetLink"/>
                  <w:rFonts w:ascii="Times New Roman;serif" w:hAnsi="Times New Roman;serif"/>
                  <w:b w:val="false"/>
                  <w:color w:val="000080"/>
                  <w:sz w:val="20"/>
                  <w:u w:val="single"/>
                </w:rPr>
                <w:t>, 2025 and 2026</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22">
              <w:r>
                <w:rPr>
                  <w:rStyle w:val="InternetLink"/>
                  <w:rFonts w:ascii="Times New Roman;serif" w:hAnsi="Times New Roman;serif"/>
                  <w:b w:val="false"/>
                  <w:strike w:val="false"/>
                  <w:dstrike w:val="false"/>
                  <w:color w:val="000000"/>
                  <w:sz w:val="20"/>
                  <w:u w:val="none"/>
                  <w:effect w:val="none"/>
                </w:rPr>
                <w:t>2</w:t>
              </w:r>
            </w:hyperlink>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25">
              <w:r>
                <w:rPr>
                  <w:rStyle w:val="InternetLink"/>
                  <w:rFonts w:ascii="Times New Roman;serif" w:hAnsi="Times New Roman;serif"/>
                  <w:b w:val="false"/>
                  <w:color w:val="0000FF"/>
                  <w:sz w:val="20"/>
                  <w:u w:val="single"/>
                </w:rPr>
                <w:t>Unaudited Condensed Consolidated Statements of Comprehensive Income (Loss) for the Three and Six Months Ended July 31, 2025 and 2026</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25">
              <w:r>
                <w:rPr>
                  <w:rStyle w:val="InternetLink"/>
                  <w:rFonts w:ascii="Times New Roman;serif" w:hAnsi="Times New Roman;serif"/>
                  <w:b w:val="false"/>
                  <w:strike w:val="false"/>
                  <w:dstrike w:val="false"/>
                  <w:color w:val="000000"/>
                  <w:sz w:val="20"/>
                  <w:u w:val="none"/>
                  <w:effect w:val="none"/>
                </w:rPr>
                <w:t>3</w:t>
              </w:r>
            </w:hyperlink>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28">
              <w:r>
                <w:rPr>
                  <w:rStyle w:val="InternetLink"/>
                  <w:rFonts w:ascii="Times New Roman;serif" w:hAnsi="Times New Roman;serif"/>
                  <w:b w:val="false"/>
                  <w:color w:val="000080"/>
                  <w:sz w:val="20"/>
                  <w:u w:val="single"/>
                </w:rPr>
                <w:t>Unaudited Condensed Consolidated Statements of Stockholders</w:t>
              </w:r>
            </w:hyperlink>
            <w:r>
              <w:rPr>
                <w:rFonts w:ascii="Times New Roman;serif" w:hAnsi="Times New Roman;serif"/>
                <w:b w:val="false"/>
                <w:color w:val="0000FF"/>
                <w:sz w:val="20"/>
                <w:u w:val="single"/>
              </w:rPr>
              <w:t>’</w:t>
            </w:r>
            <w:hyperlink w:anchor="i1dd42c4c39c8483aa6b2246e0288bd97_28">
              <w:r>
                <w:rPr>
                  <w:rStyle w:val="InternetLink"/>
                  <w:rFonts w:ascii="Times New Roman;serif" w:hAnsi="Times New Roman;serif"/>
                  <w:b w:val="false"/>
                  <w:color w:val="000080"/>
                  <w:sz w:val="20"/>
                  <w:u w:val="single"/>
                </w:rPr>
                <w:t xml:space="preserve"> Equity for the Three</w:t>
              </w:r>
            </w:hyperlink>
            <w:hyperlink w:anchor="i1dd42c4c39c8483aa6b2246e0288bd97_28">
              <w:r>
                <w:rPr>
                  <w:rStyle w:val="InternetLink"/>
                  <w:rFonts w:ascii="Times New Roman;serif" w:hAnsi="Times New Roman;serif"/>
                  <w:b w:val="false"/>
                  <w:color w:val="000080"/>
                  <w:sz w:val="20"/>
                  <w:u w:val="single"/>
                </w:rPr>
                <w:t xml:space="preserve"> and </w:t>
              </w:r>
            </w:hyperlink>
            <w:hyperlink w:anchor="i1dd42c4c39c8483aa6b2246e0288bd97_28">
              <w:r>
                <w:rPr>
                  <w:rStyle w:val="InternetLink"/>
                  <w:rFonts w:ascii="Times New Roman;serif" w:hAnsi="Times New Roman;serif"/>
                  <w:b w:val="false"/>
                  <w:color w:val="000080"/>
                  <w:sz w:val="20"/>
                  <w:u w:val="single"/>
                </w:rPr>
                <w:t>Six</w:t>
              </w:r>
            </w:hyperlink>
            <w:hyperlink w:anchor="i1dd42c4c39c8483aa6b2246e0288bd97_28">
              <w:r>
                <w:rPr>
                  <w:rStyle w:val="InternetLink"/>
                  <w:rFonts w:ascii="Times New Roman;serif" w:hAnsi="Times New Roman;serif"/>
                  <w:b w:val="false"/>
                  <w:color w:val="000080"/>
                  <w:sz w:val="20"/>
                  <w:u w:val="single"/>
                </w:rPr>
                <w:t xml:space="preserve"> Months Ended </w:t>
              </w:r>
            </w:hyperlink>
            <w:hyperlink w:anchor="i1dd42c4c39c8483aa6b2246e0288bd97_28">
              <w:r>
                <w:rPr>
                  <w:rStyle w:val="InternetLink"/>
                  <w:rFonts w:ascii="Times New Roman;serif" w:hAnsi="Times New Roman;serif"/>
                  <w:b w:val="false"/>
                  <w:color w:val="000080"/>
                  <w:sz w:val="20"/>
                  <w:u w:val="single"/>
                </w:rPr>
                <w:t>July 31</w:t>
              </w:r>
            </w:hyperlink>
            <w:hyperlink w:anchor="i1dd42c4c39c8483aa6b2246e0288bd97_28">
              <w:r>
                <w:rPr>
                  <w:rStyle w:val="InternetLink"/>
                  <w:rFonts w:ascii="Times New Roman;serif" w:hAnsi="Times New Roman;serif"/>
                  <w:b w:val="false"/>
                  <w:color w:val="000080"/>
                  <w:sz w:val="20"/>
                  <w:u w:val="single"/>
                </w:rPr>
                <w:t>, 2025 and 2026</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28">
              <w:r>
                <w:rPr>
                  <w:rStyle w:val="InternetLink"/>
                  <w:rFonts w:ascii="Times New Roman;serif" w:hAnsi="Times New Roman;serif"/>
                  <w:b w:val="false"/>
                  <w:strike w:val="false"/>
                  <w:dstrike w:val="false"/>
                  <w:color w:val="000000"/>
                  <w:sz w:val="20"/>
                  <w:u w:val="none"/>
                  <w:effect w:val="none"/>
                </w:rPr>
                <w:t>4</w:t>
              </w:r>
            </w:hyperlink>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34">
              <w:r>
                <w:rPr>
                  <w:rStyle w:val="InternetLink"/>
                  <w:rFonts w:ascii="Times New Roman;serif" w:hAnsi="Times New Roman;serif"/>
                  <w:b w:val="false"/>
                  <w:color w:val="0000FF"/>
                  <w:sz w:val="20"/>
                  <w:u w:val="single"/>
                </w:rPr>
                <w:t>Unaudited Condensed Consolidated Statements of Cash Flows for the Six Months Ended July 31, 2025 and 2026</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34">
              <w:r>
                <w:rPr>
                  <w:rStyle w:val="InternetLink"/>
                  <w:rFonts w:ascii="Times New Roman;serif" w:hAnsi="Times New Roman;serif"/>
                  <w:b w:val="false"/>
                  <w:strike w:val="false"/>
                  <w:dstrike w:val="false"/>
                  <w:color w:val="000000"/>
                  <w:sz w:val="20"/>
                  <w:u w:val="none"/>
                  <w:effect w:val="none"/>
                </w:rPr>
                <w:t>6</w:t>
              </w:r>
            </w:hyperlink>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37">
              <w:r>
                <w:rPr>
                  <w:rStyle w:val="InternetLink"/>
                  <w:rFonts w:ascii="Times New Roman;serif" w:hAnsi="Times New Roman;serif"/>
                  <w:b w:val="false"/>
                  <w:color w:val="0000FF"/>
                  <w:sz w:val="20"/>
                  <w:u w:val="single"/>
                </w:rPr>
                <w:t>Notes to Unaudited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37">
              <w:r>
                <w:rPr>
                  <w:rStyle w:val="InternetLink"/>
                  <w:rFonts w:ascii="Times New Roman;serif" w:hAnsi="Times New Roman;serif"/>
                  <w:b w:val="false"/>
                  <w:strike w:val="false"/>
                  <w:dstrike w:val="false"/>
                  <w:color w:val="000000"/>
                  <w:sz w:val="20"/>
                  <w:u w:val="none"/>
                  <w:effect w:val="none"/>
                </w:rPr>
                <w:t>8</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24">
              <w:r>
                <w:rPr>
                  <w:rStyle w:val="InternetLink"/>
                  <w:rFonts w:ascii="Times New Roman;serif" w:hAnsi="Times New Roman;serif"/>
                  <w:b w:val="false"/>
                  <w:strike w:val="false"/>
                  <w:dstrike w:val="false"/>
                  <w:color w:val="000000"/>
                  <w:sz w:val="20"/>
                  <w:u w:val="none"/>
                  <w:effect w:val="none"/>
                </w:rPr>
                <w:t>28</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60">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60">
              <w:r>
                <w:rPr>
                  <w:rStyle w:val="InternetLink"/>
                  <w:rFonts w:ascii="Times New Roman;serif" w:hAnsi="Times New Roman;serif"/>
                  <w:b w:val="false"/>
                  <w:strike w:val="false"/>
                  <w:dstrike w:val="false"/>
                  <w:color w:val="000000"/>
                  <w:sz w:val="20"/>
                  <w:u w:val="none"/>
                  <w:effect w:val="none"/>
                </w:rPr>
                <w:t>43</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63">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63">
              <w:r>
                <w:rPr>
                  <w:rStyle w:val="InternetLink"/>
                  <w:rFonts w:ascii="Times New Roman;serif" w:hAnsi="Times New Roman;serif"/>
                  <w:b w:val="false"/>
                  <w:strike w:val="false"/>
                  <w:dstrike w:val="false"/>
                  <w:color w:val="000000"/>
                  <w:sz w:val="20"/>
                  <w:u w:val="none"/>
                  <w:effect w:val="none"/>
                </w:rPr>
                <w:t>43</w:t>
              </w:r>
            </w:hyperlink>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d42c4c39c8483aa6b2246e0288bd97_166">
              <w:r>
                <w:rPr>
                  <w:rStyle w:val="InternetLink"/>
                  <w:rFonts w:ascii="Times New Roman;serif" w:hAnsi="Times New Roman;serif"/>
                  <w:b/>
                  <w:color w:val="0000FF"/>
                  <w:sz w:val="20"/>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69">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69">
              <w:r>
                <w:rPr>
                  <w:rStyle w:val="InternetLink"/>
                  <w:rFonts w:ascii="Times New Roman;serif" w:hAnsi="Times New Roman;serif"/>
                  <w:b w:val="false"/>
                  <w:strike w:val="false"/>
                  <w:dstrike w:val="false"/>
                  <w:color w:val="000000"/>
                  <w:sz w:val="20"/>
                  <w:u w:val="none"/>
                  <w:effect w:val="none"/>
                </w:rPr>
                <w:t>44</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72">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69">
              <w:r>
                <w:rPr>
                  <w:rStyle w:val="InternetLink"/>
                  <w:rFonts w:ascii="Times New Roman;serif" w:hAnsi="Times New Roman;serif"/>
                  <w:b w:val="false"/>
                  <w:strike w:val="false"/>
                  <w:dstrike w:val="false"/>
                  <w:color w:val="000000"/>
                  <w:sz w:val="20"/>
                  <w:u w:val="none"/>
                  <w:effect w:val="none"/>
                </w:rPr>
                <w:t>44</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75">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75">
              <w:r>
                <w:rPr>
                  <w:rStyle w:val="InternetLink"/>
                  <w:rFonts w:ascii="Times New Roman;serif" w:hAnsi="Times New Roman;serif"/>
                  <w:b w:val="false"/>
                  <w:strike w:val="false"/>
                  <w:dstrike w:val="false"/>
                  <w:color w:val="000000"/>
                  <w:sz w:val="20"/>
                  <w:u w:val="none"/>
                  <w:effect w:val="none"/>
                </w:rPr>
                <w:t>44</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78">
              <w:r>
                <w:rPr>
                  <w:rStyle w:val="InternetLink"/>
                  <w:rFonts w:ascii="Times New Roman;serif" w:hAnsi="Times New Roman;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78">
              <w:r>
                <w:rPr>
                  <w:rStyle w:val="InternetLink"/>
                  <w:rFonts w:ascii="Times New Roman;serif" w:hAnsi="Times New Roman;serif"/>
                  <w:b w:val="false"/>
                  <w:strike w:val="false"/>
                  <w:dstrike w:val="false"/>
                  <w:color w:val="000000"/>
                  <w:sz w:val="20"/>
                  <w:u w:val="none"/>
                  <w:effect w:val="none"/>
                </w:rPr>
                <w:t>45</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81">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81">
              <w:r>
                <w:rPr>
                  <w:rStyle w:val="InternetLink"/>
                  <w:rFonts w:ascii="Times New Roman;serif" w:hAnsi="Times New Roman;serif"/>
                  <w:b w:val="false"/>
                  <w:strike w:val="false"/>
                  <w:dstrike w:val="false"/>
                  <w:color w:val="000000"/>
                  <w:sz w:val="20"/>
                  <w:u w:val="none"/>
                  <w:effect w:val="none"/>
                </w:rPr>
                <w:t>45</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84">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84">
              <w:r>
                <w:rPr>
                  <w:rStyle w:val="InternetLink"/>
                  <w:rFonts w:ascii="Times New Roman;serif" w:hAnsi="Times New Roman;serif"/>
                  <w:b w:val="false"/>
                  <w:strike w:val="false"/>
                  <w:dstrike w:val="false"/>
                  <w:color w:val="000000"/>
                  <w:sz w:val="20"/>
                  <w:u w:val="none"/>
                  <w:effect w:val="none"/>
                </w:rPr>
                <w:t>45</w:t>
              </w:r>
            </w:hyperlink>
          </w:p>
        </w:tc>
      </w:tr>
      <w:tr>
        <w:trPr/>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90">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90">
              <w:r>
                <w:rPr>
                  <w:rStyle w:val="InternetLink"/>
                  <w:rFonts w:ascii="Times New Roman;serif" w:hAnsi="Times New Roman;serif"/>
                  <w:b w:val="false"/>
                  <w:strike w:val="false"/>
                  <w:dstrike w:val="false"/>
                  <w:color w:val="000000"/>
                  <w:sz w:val="20"/>
                  <w:u w:val="none"/>
                  <w:effect w:val="none"/>
                </w:rPr>
                <w:t>47</w:t>
              </w:r>
            </w:hyperlink>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d42c4c39c8483aa6b2246e0288bd97_193">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d42c4c39c8483aa6b2246e0288bd97_193">
              <w:r>
                <w:rPr>
                  <w:rStyle w:val="InternetLink"/>
                  <w:rFonts w:ascii="Times New Roman;serif" w:hAnsi="Times New Roman;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99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used in this report, the terms “nCino,” the “Company,” “we,” “us,” and “our” mean nCino,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nCino,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CONDENSED CONSOLIDATED BALANCE SHEETS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06"/>
        <w:gridCol w:w="2138"/>
        <w:gridCol w:w="2165"/>
        <w:gridCol w:w="215"/>
        <w:gridCol w:w="999"/>
        <w:gridCol w:w="111"/>
        <w:gridCol w:w="109"/>
        <w:gridCol w:w="109"/>
        <w:gridCol w:w="109"/>
        <w:gridCol w:w="211"/>
        <w:gridCol w:w="976"/>
        <w:gridCol w:w="157"/>
      </w:tblGrid>
      <w:tr>
        <w:trPr/>
        <w:tc>
          <w:tcPr>
            <w:tcW w:w="290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(VIE: $3,421 and $6,232 at January 31, 2026 and July 31, 2026, respectively)</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$2,825 and $1,922 at January 31, 2026 and July 31, 2026, respectively</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revenue contracts, current portion, net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 to obtain revenue contracts, noncurrent, net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prepaid expenses and other assets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1,571,753 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 and stockholders’ equity</w:t>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 portion</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current portion, net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 current portion</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noncurrent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noncurrent, net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 noncurrent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 (Note 2)</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and none issued and outstanding at January 31, 2026 and July 31, 2026</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$0.0005 par value; 500,000,000 shares authorized at January 31, 2026 and July 31, 2026; 118,868,921 and 120,921,732 shares issued; 113,904,867 and 105,129,104 outstanding at January 31, 2026 and July 31, 2026, respectively</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Treasury stock, at cost; 4,964,054 and 15,792,628 shares at January 31, 2026 and July 31, 2026, respectively</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1,055,915 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 and stockholders’ equity</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1,648,106 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1,571,753 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20"/>
        </w:rPr>
        <w:t>The accompanying notes are an integral part of these unaudited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24"/>
        <w:gridCol w:w="1230"/>
        <w:gridCol w:w="1243"/>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6"/>
      </w:tblGrid>
      <w:tr>
        <w:trPr/>
        <w:tc>
          <w:tcPr>
            <w:tcW w:w="152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redeemable non-controlling interest (Note 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 attributable to redeemable non-controlling interest (Note 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nCino, Inc.</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nCino, Inc.:</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104,885,480 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104,350,762 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115,256,497 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105,361,192 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114,657,339 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105,066,581 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i/>
          <w:color w:val="000000"/>
          <w:sz w:val="20"/>
        </w:rPr>
        <w:t>The accompanying notes are an integral part of these unaudited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82"/>
        <w:gridCol w:w="1639"/>
        <w:gridCol w:w="1597"/>
        <w:gridCol w:w="211"/>
        <w:gridCol w:w="773"/>
        <w:gridCol w:w="109"/>
        <w:gridCol w:w="109"/>
        <w:gridCol w:w="109"/>
        <w:gridCol w:w="109"/>
        <w:gridCol w:w="211"/>
        <w:gridCol w:w="616"/>
        <w:gridCol w:w="109"/>
        <w:gridCol w:w="109"/>
        <w:gridCol w:w="109"/>
        <w:gridCol w:w="109"/>
        <w:gridCol w:w="211"/>
        <w:gridCol w:w="668"/>
        <w:gridCol w:w="109"/>
        <w:gridCol w:w="109"/>
        <w:gridCol w:w="109"/>
        <w:gridCol w:w="109"/>
        <w:gridCol w:w="211"/>
        <w:gridCol w:w="721"/>
        <w:gridCol w:w="157"/>
      </w:tblGrid>
      <w:tr>
        <w:trPr/>
        <w:tc>
          <w:tcPr>
            <w:tcW w:w="1882"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comprehensive income (loss) attributable to redeemable non-controlling interest:</w:t>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redeemable non-controlling interest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attributable to redeemable non-controlling interest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redeemable non-controlling interest</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nCino,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i/>
          <w:color w:val="000000"/>
          <w:sz w:val="20"/>
        </w:rPr>
        <w:t>The accompanying notes are an integral part of these unaudited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955" w:type="dxa"/>
        <w:jc w:val="left"/>
        <w:tblInd w:w="0" w:type="dxa"/>
        <w:tblLayout w:type="fixed"/>
        <w:tblCellMar>
          <w:top w:w="28" w:type="dxa"/>
          <w:left w:w="28" w:type="dxa"/>
          <w:bottom w:w="28" w:type="dxa"/>
          <w:right w:w="28" w:type="dxa"/>
        </w:tblCellMar>
      </w:tblPr>
      <w:tblGrid>
        <w:gridCol w:w="884"/>
        <w:gridCol w:w="263"/>
        <w:gridCol w:w="264"/>
        <w:gridCol w:w="593"/>
        <w:gridCol w:w="593"/>
        <w:gridCol w:w="186"/>
        <w:gridCol w:w="109"/>
        <w:gridCol w:w="109"/>
        <w:gridCol w:w="109"/>
        <w:gridCol w:w="211"/>
        <w:gridCol w:w="361"/>
        <w:gridCol w:w="109"/>
        <w:gridCol w:w="109"/>
        <w:gridCol w:w="109"/>
        <w:gridCol w:w="109"/>
        <w:gridCol w:w="488"/>
        <w:gridCol w:w="488"/>
        <w:gridCol w:w="186"/>
        <w:gridCol w:w="109"/>
        <w:gridCol w:w="109"/>
        <w:gridCol w:w="109"/>
        <w:gridCol w:w="211"/>
        <w:gridCol w:w="736"/>
        <w:gridCol w:w="109"/>
        <w:gridCol w:w="109"/>
        <w:gridCol w:w="109"/>
        <w:gridCol w:w="109"/>
        <w:gridCol w:w="211"/>
        <w:gridCol w:w="976"/>
        <w:gridCol w:w="109"/>
        <w:gridCol w:w="109"/>
        <w:gridCol w:w="109"/>
        <w:gridCol w:w="109"/>
        <w:gridCol w:w="267"/>
        <w:gridCol w:w="780"/>
        <w:gridCol w:w="139"/>
        <w:gridCol w:w="109"/>
        <w:gridCol w:w="109"/>
        <w:gridCol w:w="109"/>
        <w:gridCol w:w="211"/>
        <w:gridCol w:w="841"/>
        <w:gridCol w:w="109"/>
        <w:gridCol w:w="109"/>
        <w:gridCol w:w="109"/>
        <w:gridCol w:w="109"/>
        <w:gridCol w:w="211"/>
        <w:gridCol w:w="97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2025</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Accumulated Other </w:t>
              <w:br/>
              <w:t xml:space="preserve">Comprehensive </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April 30,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117,069,731 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under the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 under share repurchase program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743,669 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July 31,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118,017,701 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2,572,782 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015" w:type="dxa"/>
        <w:jc w:val="left"/>
        <w:tblInd w:w="0" w:type="dxa"/>
        <w:tblLayout w:type="fixed"/>
        <w:tblCellMar>
          <w:top w:w="28" w:type="dxa"/>
          <w:left w:w="28" w:type="dxa"/>
          <w:bottom w:w="28" w:type="dxa"/>
          <w:right w:w="28" w:type="dxa"/>
        </w:tblCellMar>
      </w:tblPr>
      <w:tblGrid>
        <w:gridCol w:w="884"/>
        <w:gridCol w:w="263"/>
        <w:gridCol w:w="264"/>
        <w:gridCol w:w="593"/>
        <w:gridCol w:w="593"/>
        <w:gridCol w:w="186"/>
        <w:gridCol w:w="109"/>
        <w:gridCol w:w="109"/>
        <w:gridCol w:w="109"/>
        <w:gridCol w:w="211"/>
        <w:gridCol w:w="361"/>
        <w:gridCol w:w="109"/>
        <w:gridCol w:w="109"/>
        <w:gridCol w:w="109"/>
        <w:gridCol w:w="109"/>
        <w:gridCol w:w="540"/>
        <w:gridCol w:w="541"/>
        <w:gridCol w:w="186"/>
        <w:gridCol w:w="109"/>
        <w:gridCol w:w="109"/>
        <w:gridCol w:w="109"/>
        <w:gridCol w:w="211"/>
        <w:gridCol w:w="841"/>
        <w:gridCol w:w="109"/>
        <w:gridCol w:w="109"/>
        <w:gridCol w:w="109"/>
        <w:gridCol w:w="109"/>
        <w:gridCol w:w="211"/>
        <w:gridCol w:w="976"/>
        <w:gridCol w:w="109"/>
        <w:gridCol w:w="109"/>
        <w:gridCol w:w="109"/>
        <w:gridCol w:w="109"/>
        <w:gridCol w:w="267"/>
        <w:gridCol w:w="780"/>
        <w:gridCol w:w="139"/>
        <w:gridCol w:w="109"/>
        <w:gridCol w:w="109"/>
        <w:gridCol w:w="109"/>
        <w:gridCol w:w="211"/>
        <w:gridCol w:w="841"/>
        <w:gridCol w:w="109"/>
        <w:gridCol w:w="109"/>
        <w:gridCol w:w="109"/>
        <w:gridCol w:w="109"/>
        <w:gridCol w:w="211"/>
        <w:gridCol w:w="82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2026</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Accumulated Other </w:t>
              <w:br/>
              <w:t xml:space="preserve">Comprehensive </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April 30, 2026</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119,882,698 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11,088,100 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under the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 under stock repurchase programs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4,704,528 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July 31, 2026</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120,921,732 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15,792,628 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i/>
          <w:color w:val="000000"/>
          <w:sz w:val="20"/>
        </w:rPr>
        <w:t>The accompanying notes are an integral part of these unaudited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955" w:type="dxa"/>
        <w:jc w:val="left"/>
        <w:tblInd w:w="0" w:type="dxa"/>
        <w:tblLayout w:type="fixed"/>
        <w:tblCellMar>
          <w:top w:w="28" w:type="dxa"/>
          <w:left w:w="28" w:type="dxa"/>
          <w:bottom w:w="28" w:type="dxa"/>
          <w:right w:w="28" w:type="dxa"/>
        </w:tblCellMar>
      </w:tblPr>
      <w:tblGrid>
        <w:gridCol w:w="884"/>
        <w:gridCol w:w="263"/>
        <w:gridCol w:w="264"/>
        <w:gridCol w:w="593"/>
        <w:gridCol w:w="593"/>
        <w:gridCol w:w="186"/>
        <w:gridCol w:w="109"/>
        <w:gridCol w:w="109"/>
        <w:gridCol w:w="109"/>
        <w:gridCol w:w="211"/>
        <w:gridCol w:w="361"/>
        <w:gridCol w:w="109"/>
        <w:gridCol w:w="109"/>
        <w:gridCol w:w="109"/>
        <w:gridCol w:w="109"/>
        <w:gridCol w:w="488"/>
        <w:gridCol w:w="488"/>
        <w:gridCol w:w="186"/>
        <w:gridCol w:w="109"/>
        <w:gridCol w:w="109"/>
        <w:gridCol w:w="109"/>
        <w:gridCol w:w="211"/>
        <w:gridCol w:w="736"/>
        <w:gridCol w:w="109"/>
        <w:gridCol w:w="109"/>
        <w:gridCol w:w="109"/>
        <w:gridCol w:w="109"/>
        <w:gridCol w:w="211"/>
        <w:gridCol w:w="976"/>
        <w:gridCol w:w="109"/>
        <w:gridCol w:w="109"/>
        <w:gridCol w:w="109"/>
        <w:gridCol w:w="109"/>
        <w:gridCol w:w="312"/>
        <w:gridCol w:w="712"/>
        <w:gridCol w:w="162"/>
        <w:gridCol w:w="109"/>
        <w:gridCol w:w="109"/>
        <w:gridCol w:w="109"/>
        <w:gridCol w:w="211"/>
        <w:gridCol w:w="841"/>
        <w:gridCol w:w="109"/>
        <w:gridCol w:w="109"/>
        <w:gridCol w:w="109"/>
        <w:gridCol w:w="109"/>
        <w:gridCol w:w="211"/>
        <w:gridCol w:w="97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2025</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w:t>
              <w:br/>
              <w:t>Comprehensive</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115,996,852 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1,670,647 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under the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 under share repurchase program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2,572,782 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July 31,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118,017,701 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2,572,782 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165" w:type="dxa"/>
        <w:jc w:val="left"/>
        <w:tblInd w:w="0" w:type="dxa"/>
        <w:tblLayout w:type="fixed"/>
        <w:tblCellMar>
          <w:top w:w="28" w:type="dxa"/>
          <w:left w:w="28" w:type="dxa"/>
          <w:bottom w:w="28" w:type="dxa"/>
          <w:right w:w="28" w:type="dxa"/>
        </w:tblCellMar>
      </w:tblPr>
      <w:tblGrid>
        <w:gridCol w:w="884"/>
        <w:gridCol w:w="263"/>
        <w:gridCol w:w="264"/>
        <w:gridCol w:w="593"/>
        <w:gridCol w:w="593"/>
        <w:gridCol w:w="186"/>
        <w:gridCol w:w="109"/>
        <w:gridCol w:w="109"/>
        <w:gridCol w:w="109"/>
        <w:gridCol w:w="211"/>
        <w:gridCol w:w="361"/>
        <w:gridCol w:w="109"/>
        <w:gridCol w:w="109"/>
        <w:gridCol w:w="109"/>
        <w:gridCol w:w="109"/>
        <w:gridCol w:w="540"/>
        <w:gridCol w:w="541"/>
        <w:gridCol w:w="186"/>
        <w:gridCol w:w="109"/>
        <w:gridCol w:w="109"/>
        <w:gridCol w:w="109"/>
        <w:gridCol w:w="211"/>
        <w:gridCol w:w="841"/>
        <w:gridCol w:w="109"/>
        <w:gridCol w:w="109"/>
        <w:gridCol w:w="109"/>
        <w:gridCol w:w="109"/>
        <w:gridCol w:w="211"/>
        <w:gridCol w:w="976"/>
        <w:gridCol w:w="109"/>
        <w:gridCol w:w="109"/>
        <w:gridCol w:w="109"/>
        <w:gridCol w:w="109"/>
        <w:gridCol w:w="267"/>
        <w:gridCol w:w="780"/>
        <w:gridCol w:w="139"/>
        <w:gridCol w:w="109"/>
        <w:gridCol w:w="109"/>
        <w:gridCol w:w="109"/>
        <w:gridCol w:w="211"/>
        <w:gridCol w:w="841"/>
        <w:gridCol w:w="109"/>
        <w:gridCol w:w="109"/>
        <w:gridCol w:w="109"/>
        <w:gridCol w:w="109"/>
        <w:gridCol w:w="211"/>
        <w:gridCol w:w="97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2026</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Accumulated Other </w:t>
              <w:br/>
              <w:t xml:space="preserve">Comprehensive </w:t>
              <w:br/>
              <w:t xml:space="preserve">Income </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31, 2026</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118,868,921 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4,964,054 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under the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 under stock repurchase programs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10,828,574 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July 31, 2026</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120,921,732 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15,792,628 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i/>
          <w:color w:val="000000"/>
          <w:sz w:val="20"/>
        </w:rPr>
        <w:t>The accompanying notes are an integral part of these unaudited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176" w:type="dxa"/>
        <w:jc w:val="center"/>
        <w:tblInd w:w="0" w:type="dxa"/>
        <w:tblLayout w:type="fixed"/>
        <w:tblCellMar>
          <w:top w:w="28" w:type="dxa"/>
          <w:left w:w="28" w:type="dxa"/>
          <w:bottom w:w="28" w:type="dxa"/>
          <w:right w:w="28" w:type="dxa"/>
        </w:tblCellMar>
      </w:tblPr>
      <w:tblGrid>
        <w:gridCol w:w="2469"/>
        <w:gridCol w:w="2162"/>
        <w:gridCol w:w="2179"/>
        <w:gridCol w:w="196"/>
        <w:gridCol w:w="737"/>
        <w:gridCol w:w="109"/>
        <w:gridCol w:w="109"/>
        <w:gridCol w:w="109"/>
        <w:gridCol w:w="109"/>
        <w:gridCol w:w="196"/>
        <w:gridCol w:w="647"/>
        <w:gridCol w:w="154"/>
      </w:tblGrid>
      <w:tr>
        <w:trPr/>
        <w:tc>
          <w:tcPr>
            <w:tcW w:w="246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nCino,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and adjustment attributable to redeemable non-controlling interest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costs capitalized to obtain revenue contracts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foreign currency losses (gains)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investments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long-lived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capitalized to obtain revenue contracts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 term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 of investment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facility</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facility</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net of debt issuance costs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Payments on term loan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issuance under the employee stock purchase plan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financing obligations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 changes on cash, cash equivalents, and restricted cash</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76"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2366" w:type="dxa"/>
            <w:gridSpan w:val="9"/>
            <w:tcBorders/>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1dd42c4c39c8483aa6b2246e0288bd9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0"/>
        <w:gridCol w:w="2494"/>
        <w:gridCol w:w="2506"/>
        <w:gridCol w:w="196"/>
        <w:gridCol w:w="736"/>
        <w:gridCol w:w="109"/>
        <w:gridCol w:w="109"/>
        <w:gridCol w:w="109"/>
        <w:gridCol w:w="109"/>
        <w:gridCol w:w="196"/>
        <w:gridCol w:w="646"/>
        <w:gridCol w:w="155"/>
      </w:tblGrid>
      <w:tr>
        <w:trPr/>
        <w:tc>
          <w:tcPr>
            <w:tcW w:w="2840"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end of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long-term 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 net of refunds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contingent consideration in connection with business acquisition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period adjustments relating to business 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consideration in connection with business acquisition for settlement of a preexisting contract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on 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i/>
          <w:color w:val="000000"/>
          <w:sz w:val="20"/>
        </w:rPr>
        <w:t>The accompanying notes are an integral part of these unaudited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Summary of Business and Significant Accounting Policies</w:t>
      </w:r>
    </w:p>
    <w:p>
      <w:pPr>
        <w:pStyle w:val="TextBody"/>
        <w:bidi w:val="0"/>
        <w:spacing w:lineRule="auto" w:line="288" w:before="240" w:after="283"/>
        <w:ind w:left="0" w:right="0" w:firstLine="990"/>
        <w:jc w:val="left"/>
        <w:rPr/>
      </w:pPr>
      <w:r>
        <w:rPr>
          <w:rFonts w:ascii="Times New Roman;serif" w:hAnsi="Times New Roman;serif"/>
          <w:b/>
          <w:color w:val="000000"/>
          <w:sz w:val="20"/>
        </w:rPr>
        <w:t xml:space="preserve">Description of Business: </w:t>
      </w:r>
      <w:r>
        <w:rPr>
          <w:rFonts w:ascii="Times New Roman;serif" w:hAnsi="Times New Roman;serif"/>
          <w:b w:val="false"/>
          <w:color w:val="000000"/>
          <w:sz w:val="20"/>
        </w:rPr>
        <w:t>nCino, Inc., together with its subsidiaries (collectively the “Company”), is a cloud banking company that provides software solutions to financial institutions (“FIs”) to streamline employee and client interactions. The Company is headquartered in Wilmington, North Carolina, and has various locations in the U.S., North America, Europe, Asia-Pacific and South Africa.</w:t>
      </w:r>
    </w:p>
    <w:p>
      <w:pPr>
        <w:pStyle w:val="TextBody"/>
        <w:bidi w:val="0"/>
        <w:spacing w:lineRule="auto" w:line="288" w:before="240" w:after="283"/>
        <w:ind w:left="0" w:right="0" w:firstLine="990"/>
        <w:jc w:val="left"/>
        <w:rPr/>
      </w:pPr>
      <w:r>
        <w:rPr>
          <w:rFonts w:ascii="Times New Roman;serif" w:hAnsi="Times New Roman;serif"/>
          <w:b/>
          <w:color w:val="000000"/>
          <w:sz w:val="20"/>
        </w:rPr>
        <w:t>Fiscal Year End:</w:t>
      </w:r>
      <w:r>
        <w:rPr>
          <w:color w:val="000000"/>
        </w:rPr>
        <w:t xml:space="preserve"> </w:t>
      </w:r>
      <w:r>
        <w:rPr>
          <w:rFonts w:ascii="Times New Roman;serif" w:hAnsi="Times New Roman;serif"/>
          <w:b w:val="false"/>
          <w:color w:val="000000"/>
          <w:sz w:val="20"/>
        </w:rPr>
        <w:t>The Company’s fiscal year ends on January 31. References to fiscal year 2027, for example, refer to the fiscal year ending January 31, 2027.</w:t>
      </w:r>
    </w:p>
    <w:p>
      <w:pPr>
        <w:pStyle w:val="TextBody"/>
        <w:bidi w:val="0"/>
        <w:spacing w:lineRule="auto" w:line="288" w:before="240" w:after="283"/>
        <w:ind w:left="0" w:right="0" w:firstLine="990"/>
        <w:jc w:val="left"/>
        <w:rPr/>
      </w:pPr>
      <w:r>
        <w:rPr>
          <w:rFonts w:ascii="Times New Roman;serif" w:hAnsi="Times New Roman;serif"/>
          <w:b/>
          <w:color w:val="000000"/>
          <w:sz w:val="20"/>
        </w:rPr>
        <w:t>Principles of Consolidation and Basis of Presentation:</w:t>
      </w:r>
      <w:r>
        <w:rPr>
          <w:color w:val="000000"/>
        </w:rPr>
        <w:t xml:space="preserve"> </w:t>
      </w:r>
      <w:r>
        <w:rPr>
          <w:rFonts w:ascii="Times New Roman;serif" w:hAnsi="Times New Roman;serif"/>
          <w:b w:val="false"/>
          <w:color w:val="000000"/>
          <w:sz w:val="20"/>
        </w:rPr>
        <w:t>The financial information presented in the accompanying unaudited condensed consolidated financial statements has been prepared in accordance with generally accepted accounting principles in the United States of America (“GAAP”) as set forth in the Financial Accounting Standards Board (“FASB”) Accounting Standards Codification (“ASC”) and in accordance with applicable rules and regulations of the Securities and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2026, filed with the SEC on March 31, 2026. The unaudited condensed consolidated financial statements include accounts of the Company’s wholly-owned subsidiaries, as well as a variable interest entity (“VIE”) in which the Company is the primary beneficiary. All intercompany balances and transactions have been eliminated in consolidation.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income, and cash flows for the interim periods but are not necessarily indicative of the results of operations to be anticipated for the full fiscal year 2027 or any future period.</w:t>
      </w:r>
    </w:p>
    <w:p>
      <w:pPr>
        <w:pStyle w:val="TextBody"/>
        <w:bidi w:val="0"/>
        <w:spacing w:lineRule="auto" w:line="288" w:before="240" w:after="283"/>
        <w:ind w:left="0" w:right="0" w:firstLine="990"/>
        <w:jc w:val="left"/>
        <w:rPr/>
      </w:pPr>
      <w:r>
        <w:rPr>
          <w:rFonts w:ascii="Times New Roman;serif" w:hAnsi="Times New Roman;serif"/>
          <w:b/>
          <w:color w:val="000000"/>
          <w:sz w:val="20"/>
        </w:rPr>
        <w:t>Variable Interest Entity:</w:t>
      </w:r>
      <w:r>
        <w:rPr>
          <w:color w:val="000000"/>
        </w:rPr>
        <w:t xml:space="preserve"> </w:t>
      </w:r>
      <w:r>
        <w:rPr>
          <w:rFonts w:ascii="Times New Roman;serif" w:hAnsi="Times New Roman;serif"/>
          <w:b w:val="false"/>
          <w:color w:val="000000"/>
          <w:sz w:val="20"/>
        </w:rPr>
        <w:t>The Company holds an interest in a Japanese company (“nCino K.K.”) that is considered a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which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2 “Variable Interest Entity and Redeemable Non-Controlling Interest” for additional information regarding the Company’s variable interest.</w:t>
      </w:r>
    </w:p>
    <w:p>
      <w:pPr>
        <w:pStyle w:val="TextBody"/>
        <w:bidi w:val="0"/>
        <w:spacing w:lineRule="auto" w:line="288" w:before="240" w:after="283"/>
        <w:ind w:left="0" w:right="0" w:firstLine="990"/>
        <w:jc w:val="left"/>
        <w:rPr/>
      </w:pPr>
      <w:r>
        <w:rPr>
          <w:rFonts w:ascii="Times New Roman;serif" w:hAnsi="Times New Roman;serif"/>
          <w:b/>
          <w:color w:val="000000"/>
          <w:sz w:val="20"/>
        </w:rPr>
        <w:t>Redeemable Non-Controlling Interest:</w:t>
      </w:r>
      <w:r>
        <w:rPr>
          <w:color w:val="000000"/>
        </w:rPr>
        <w:t xml:space="preserve"> </w:t>
      </w:r>
      <w:r>
        <w:rPr>
          <w:rFonts w:ascii="Times New Roman;serif" w:hAnsi="Times New Roman;serif"/>
          <w:b w:val="false"/>
          <w:color w:val="000000"/>
          <w:sz w:val="20"/>
        </w:rPr>
        <w:t>Redeemable non-controlling interest relates to minority investors of nCino K.K. An agreement with the minority investors of nCino K.K. contains redemption features whereby the interest held by the minority investors is redeemable either at the option of (i) the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 capital. These interests are presented on the unaudited condensed consolidated balance sheets outside of equity under the caption “Redeemable non-controlling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pPr>
      <w:r>
        <w:rPr>
          <w:rFonts w:ascii="Times New Roman;serif" w:hAnsi="Times New Roman;serif"/>
          <w:b/>
          <w:color w:val="000000"/>
          <w:sz w:val="20"/>
        </w:rPr>
        <w:t>Use of Estimates:</w:t>
      </w:r>
      <w:r>
        <w:rPr>
          <w:color w:val="000000"/>
        </w:rPr>
        <w:t xml:space="preserve"> </w:t>
      </w:r>
      <w:r>
        <w:rPr>
          <w:rFonts w:ascii="Times New Roman;serif" w:hAnsi="Times New Roman;serif"/>
          <w:b w:val="false"/>
          <w:color w:val="000000"/>
          <w:sz w:val="20"/>
        </w:rPr>
        <w:t>The preparation of unaudited condensed consolidated financial statements in conformity with GAAP requires management 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fair value of contingent consideration;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pStyle w:val="TextBody"/>
        <w:bidi w:val="0"/>
        <w:spacing w:lineRule="auto" w:line="288" w:before="240" w:after="283"/>
        <w:ind w:left="0" w:right="0" w:firstLine="990"/>
        <w:jc w:val="left"/>
        <w:rPr/>
      </w:pPr>
      <w:r>
        <w:rPr>
          <w:rFonts w:ascii="Times New Roman;serif" w:hAnsi="Times New Roman;serif"/>
          <w:b/>
          <w:color w:val="000000"/>
          <w:sz w:val="20"/>
        </w:rPr>
        <w:t>Concentration of Credit Risk and Significant Customers:</w:t>
      </w:r>
      <w:r>
        <w:rPr>
          <w:color w:val="000000"/>
        </w:rPr>
        <w:t xml:space="preserve"> </w:t>
      </w:r>
      <w:r>
        <w:rPr>
          <w:rFonts w:ascii="Times New Roman;serif" w:hAnsi="Times New Roman;serif"/>
          <w:b w:val="false"/>
          <w:color w:val="000000"/>
          <w:sz w:val="20"/>
        </w:rPr>
        <w:t>The Company’s financial instruments that are exposed to concentration of credit risk consist primarily of cash, cash equivalents, restricted cash, and accounts receivable. The Company’s cash and cash equivalents exceeded federally insured limits at January 31, 2026 and July 31, 2026. The Company maintains its cash, cash equivalents, and restricted cash with high-credit-quality financial institutions.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both January 31, 2026 and July 31, 2026, no individual customer represented more than 10% of accounts receivable. For the three and six months ended July 31, 2025 and 2026, no individual customer represented more than 10% of the Company’s total revenues.</w:t>
      </w:r>
    </w:p>
    <w:p>
      <w:pPr>
        <w:pStyle w:val="TextBody"/>
        <w:bidi w:val="0"/>
        <w:spacing w:lineRule="auto" w:line="288" w:before="240" w:after="283"/>
        <w:ind w:left="0" w:right="0" w:firstLine="990"/>
        <w:jc w:val="left"/>
        <w:rPr/>
      </w:pPr>
      <w:r>
        <w:rPr>
          <w:rFonts w:ascii="Times New Roman;serif" w:hAnsi="Times New Roman;serif"/>
          <w:b/>
          <w:color w:val="000000"/>
          <w:sz w:val="20"/>
        </w:rPr>
        <w:t>Restricted Cash:</w:t>
      </w:r>
      <w:r>
        <w:rPr>
          <w:color w:val="000000"/>
        </w:rPr>
        <w:t xml:space="preserve"> </w:t>
      </w:r>
      <w:r>
        <w:rPr>
          <w:rFonts w:ascii="Times New Roman;serif" w:hAnsi="Times New Roman;serif"/>
          <w:b w:val="false"/>
          <w:color w:val="000000"/>
          <w:sz w:val="20"/>
        </w:rPr>
        <w:t>Restricted cash consists of deposits held as collateral for the Company’s bank guarantees issued in place of security deposits for certain property leases at January 31, 2026 and July 31, 2026. Restricted cash is included in prepaid expenses and other current assets and long-term prepaid expenses and other assets in the unaudited condensed consolidated balance sheets at January 31, 2026 and in prepaid expenses and other current assets at July 31, 2026.</w:t>
      </w:r>
    </w:p>
    <w:p>
      <w:pPr>
        <w:pStyle w:val="TextBody"/>
        <w:bidi w:val="0"/>
        <w:spacing w:lineRule="auto" w:line="288" w:before="240" w:after="283"/>
        <w:ind w:left="0" w:right="0" w:firstLine="990"/>
        <w:jc w:val="left"/>
        <w:rPr/>
      </w:pPr>
      <w:r>
        <w:rPr>
          <w:rFonts w:ascii="Times New Roman;serif" w:hAnsi="Times New Roman;serif"/>
          <w:b/>
          <w:color w:val="000000"/>
          <w:sz w:val="20"/>
        </w:rPr>
        <w:t>Allowances:</w:t>
      </w:r>
      <w:r>
        <w:rPr>
          <w:color w:val="000000"/>
        </w:rPr>
        <w:t xml:space="preserve"> </w:t>
      </w:r>
      <w:r>
        <w:rPr>
          <w:rFonts w:ascii="Times New Roman;serif" w:hAnsi="Times New Roman;serif"/>
          <w:b w:val="false"/>
          <w:color w:val="000000"/>
          <w:sz w:val="20"/>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unaudited condensed consolidated statements of operations, included in general and administrative expenses, up to the amount of revenues recognized to date. Any incremental allowance is recorded as an offset to deferred revenue on the unaudited condensed consolidated balance sheets. Receivables are written off and charged against the recorded allowance when the Company has exhausted collection efforts without success.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summary of activity in the allowance for doubtful accounts and reserve for expected credit losses is as follows:</w:t>
      </w:r>
    </w:p>
    <w:tbl>
      <w:tblPr>
        <w:tblW w:w="8355" w:type="dxa"/>
        <w:jc w:val="left"/>
        <w:tblInd w:w="0" w:type="dxa"/>
        <w:tblLayout w:type="fixed"/>
        <w:tblCellMar>
          <w:top w:w="28" w:type="dxa"/>
          <w:left w:w="28" w:type="dxa"/>
          <w:bottom w:w="28" w:type="dxa"/>
          <w:right w:w="28" w:type="dxa"/>
        </w:tblCellMar>
      </w:tblPr>
      <w:tblGrid>
        <w:gridCol w:w="1286"/>
        <w:gridCol w:w="1132"/>
        <w:gridCol w:w="1136"/>
        <w:gridCol w:w="214"/>
        <w:gridCol w:w="626"/>
        <w:gridCol w:w="110"/>
        <w:gridCol w:w="110"/>
        <w:gridCol w:w="110"/>
        <w:gridCol w:w="110"/>
        <w:gridCol w:w="214"/>
        <w:gridCol w:w="626"/>
        <w:gridCol w:w="110"/>
        <w:gridCol w:w="109"/>
        <w:gridCol w:w="109"/>
        <w:gridCol w:w="109"/>
        <w:gridCol w:w="211"/>
        <w:gridCol w:w="616"/>
        <w:gridCol w:w="109"/>
        <w:gridCol w:w="109"/>
        <w:gridCol w:w="109"/>
        <w:gridCol w:w="109"/>
        <w:gridCol w:w="211"/>
        <w:gridCol w:w="61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Charged to (recovery of) bad debt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Charged to deferred revenue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other</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color w:val="000000"/>
          <w:sz w:val="20"/>
        </w:rPr>
        <w:t>Investments</w:t>
      </w:r>
      <w:r>
        <w:rPr>
          <w:rFonts w:ascii="Times New Roman;serif" w:hAnsi="Times New Roman;serif"/>
          <w:b w:val="false"/>
          <w:color w:val="000000"/>
          <w:sz w:val="20"/>
        </w:rPr>
        <w:t>: The Company’s investments are non-marketable equity investments without readily determinable fair value and for which the 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Other income (expense), net on the Company’s unaudited condensed consolidated statements of operations. The Company assesses the investments whenever events or changes in circumstances indicate that the carrying value of the investments may not be recoverable.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pPr>
      <w:r>
        <w:rPr>
          <w:rFonts w:ascii="Times New Roman;serif" w:hAnsi="Times New Roman;serif"/>
          <w:b/>
          <w:color w:val="000000"/>
          <w:sz w:val="20"/>
        </w:rPr>
        <w:t xml:space="preserve">Foreign Currency: </w:t>
      </w:r>
      <w:r>
        <w:rPr>
          <w:rFonts w:ascii="Times New Roman;serif" w:hAnsi="Times New Roman;serif"/>
          <w:b w:val="false"/>
          <w:color w:val="000000"/>
          <w:sz w:val="20"/>
        </w:rPr>
        <w:t>The functional currency of the Company’s foreign subsidiaries is generally the local currency. Adjustments resulting from translating foreign functional currency financial statements into United States (“U.S.”) dollars are recorded as a separate component on the unaudited condensed consolidated statements of comprehensive income recorded in the foreign currency translation line item.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 and losses due to transactions denominated in a currency other than the functional currency are included in Other income (expense), net in the unaudited condensed consolidated statements of operations and were $0.7 million and $(0.8) million for the three months ended July 31, 2025 and 2026, respectively, and $15.1 million and $(1.1) million for the six months ended July 31, 2025 and 2026, respectively, primarily related to intercompany loans and transactions.</w:t>
      </w:r>
    </w:p>
    <w:p>
      <w:pPr>
        <w:pStyle w:val="TextBody"/>
        <w:bidi w:val="0"/>
        <w:spacing w:lineRule="auto" w:line="288" w:before="240" w:after="283"/>
        <w:ind w:left="0" w:right="0" w:firstLine="990"/>
        <w:jc w:val="left"/>
        <w:rPr/>
      </w:pPr>
      <w:r>
        <w:rPr>
          <w:rFonts w:ascii="Times New Roman;serif" w:hAnsi="Times New Roman;serif"/>
          <w:b/>
          <w:color w:val="000000"/>
          <w:sz w:val="20"/>
        </w:rPr>
        <w:t>Recently Adopted Accounting Pronouncements:</w:t>
      </w:r>
      <w:r>
        <w:rPr>
          <w:color w:val="000000"/>
        </w:rPr>
        <w:t xml:space="preserve"> </w:t>
      </w: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The guidance includes amendments that provide a practical expedient for measuring credit losses on current accounts receivable and current contract assets under ASC 606 - Revenue from Contracts with Customers. The ASU is effective for annual periods beginning after December 15, 2025, and interim periods within those annual periods, on a prospective basis. The Company adopted the new guidance effective February 1, 2026 on a prospective basis and elected the practical expedient to estimate expected credit losses based on actual uncollected amounts. There was no material impact to the Company's consolidated financial statements as of the adoption date.</w:t>
      </w:r>
    </w:p>
    <w:p>
      <w:pPr>
        <w:pStyle w:val="TextBody"/>
        <w:bidi w:val="0"/>
        <w:spacing w:lineRule="auto" w:line="288" w:before="240" w:after="283"/>
        <w:ind w:left="0" w:right="0" w:firstLine="990"/>
        <w:jc w:val="left"/>
        <w:rPr/>
      </w:pPr>
      <w:r>
        <w:rPr>
          <w:rFonts w:ascii="Times New Roman;serif" w:hAnsi="Times New Roman;serif"/>
          <w:b/>
          <w:color w:val="000000"/>
          <w:sz w:val="20"/>
        </w:rPr>
        <w:t xml:space="preserve">Recent Accounting Pronouncements Not Yet Adopted: </w:t>
      </w:r>
      <w:r>
        <w:rPr>
          <w:rFonts w:ascii="Times New Roman;serif" w:hAnsi="Times New Roman;serif"/>
          <w:b w:val="false"/>
          <w:color w:val="000000"/>
          <w:sz w:val="20"/>
        </w:rPr>
        <w:t>In November 2024, the FASB issued ASU 2024-03, Income Statement - Reporting Comprehensive Income - Expense Disaggregation Disclosures (Subtopic 220-40). The guidance includes amendments to require public companies to provide additional disclosure about certain costs and expenses. The ASU is effective for annual periods beginning after December 15, 2026, and interim periods beginning after December 15, 2027. Early adoption is permitted. The Company is currently evaluating the impact that the adoption of this standard will have on the Company’s consolidated financial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 Use Software (Subtopic 350-40):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is intended to improve the navigability of the required interim disclosures and clarify when it applies. The amendments also provide additional guidance on what disclosures should be provided in interim reporting periods. ASU 2025-11 does not intend to change the fundamental nature of interim reporting or expand or reduce current interim disclosure requirements. The ASU is effective for interim reporting periods within annual reporting periods beginning after December 15, 2027 with the option to apply the guidance prospectively or retrospectively. Early adoption is permitted. The Company is currently evaluating the impact that the adoption of this standard will have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Variable Interest Entity and Redeemable Non-Controlling Interest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October 2019, the Company entered into an agreement with Japan Cloud Computing, L.P. and M30 LLC (collectively, the “Investors”) to engage in the investment, organization, management, and operation of nCino K.K., which is focused on the distribution of the Company’s products in Japan. In October 2019, the Company initially contributed $4.7 million in cash in exchange for 51% of the outstanding common stock of nCino K.K. In October 2023, the Company made a further investment in nCino K.K. of $1.0 million that, including additional investments in nCino K.K. of $1.0 million by existing third-party investors in October 2023, maintained the Company’s ownership of 51%. As of July 31, 2026, the Company controls a majority of the outstanding common stock in nCino K.K.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the redeemable non-controlling interests for the periods indicated below:</w:t>
      </w:r>
    </w:p>
    <w:tbl>
      <w:tblPr>
        <w:tblW w:w="10205" w:type="dxa"/>
        <w:jc w:val="left"/>
        <w:tblInd w:w="0" w:type="dxa"/>
        <w:tblLayout w:type="fixed"/>
        <w:tblCellMar>
          <w:top w:w="28" w:type="dxa"/>
          <w:left w:w="28" w:type="dxa"/>
          <w:bottom w:w="28" w:type="dxa"/>
          <w:right w:w="28" w:type="dxa"/>
        </w:tblCellMar>
      </w:tblPr>
      <w:tblGrid>
        <w:gridCol w:w="2027"/>
        <w:gridCol w:w="1490"/>
        <w:gridCol w:w="149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02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redeemable non-controlling interest (excluding adjustment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nCino K.K. stock options granted in accordance with nCino K.K.’s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Fair Value Measurements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Financial Assets and Liabilities Measured at Fair Value on a Recurring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uses a three-tier fair value hierarchy, which prioritizes the inputs used in the valuation methodologies in measuring fair value:</w:t>
      </w:r>
    </w:p>
    <w:p>
      <w:pPr>
        <w:pStyle w:val="TextBody"/>
        <w:bidi w:val="0"/>
        <w:spacing w:lineRule="auto" w:line="288" w:before="240" w:after="283"/>
        <w:ind w:left="0" w:right="0" w:firstLine="990"/>
        <w:jc w:val="left"/>
        <w:rPr/>
      </w:pPr>
      <w:r>
        <w:rPr>
          <w:rFonts w:ascii="Times New Roman;serif" w:hAnsi="Times New Roman;serif"/>
          <w:b/>
          <w:color w:val="000000"/>
          <w:sz w:val="20"/>
        </w:rPr>
        <w:t>Level 1.</w:t>
      </w:r>
      <w:r>
        <w:rPr>
          <w:color w:val="000000"/>
        </w:rPr>
        <w:t xml:space="preserve"> </w:t>
      </w:r>
      <w:r>
        <w:rPr>
          <w:rFonts w:ascii="Times New Roman;serif" w:hAnsi="Times New Roman;serif"/>
          <w:b w:val="false"/>
          <w:color w:val="000000"/>
          <w:sz w:val="20"/>
        </w:rPr>
        <w:t>Quoted prices (unadjusted) in active markets for identical assets or liabilities.</w:t>
      </w:r>
    </w:p>
    <w:p>
      <w:pPr>
        <w:pStyle w:val="TextBody"/>
        <w:bidi w:val="0"/>
        <w:spacing w:lineRule="auto" w:line="288" w:before="240" w:after="283"/>
        <w:ind w:left="0" w:right="0" w:firstLine="990"/>
        <w:jc w:val="left"/>
        <w:rPr/>
      </w:pPr>
      <w:r>
        <w:rPr>
          <w:rFonts w:ascii="Times New Roman;serif" w:hAnsi="Times New Roman;serif"/>
          <w:b/>
          <w:color w:val="000000"/>
          <w:sz w:val="20"/>
        </w:rPr>
        <w:t>Level 2.</w:t>
      </w:r>
      <w:r>
        <w:rPr>
          <w:color w:val="000000"/>
        </w:rPr>
        <w:t xml:space="preserve"> </w:t>
      </w:r>
      <w:r>
        <w:rPr>
          <w:rFonts w:ascii="Times New Roman;serif" w:hAnsi="Times New Roman;serif"/>
          <w:b w:val="false"/>
          <w:color w:val="000000"/>
          <w:sz w:val="20"/>
        </w:rPr>
        <w:t>Significant other inputs that are directly or indirectly observable in the marketplace.</w:t>
      </w:r>
    </w:p>
    <w:p>
      <w:pPr>
        <w:pStyle w:val="TextBody"/>
        <w:bidi w:val="0"/>
        <w:spacing w:lineRule="auto" w:line="288" w:before="240" w:after="283"/>
        <w:ind w:left="0" w:right="0" w:firstLine="990"/>
        <w:jc w:val="left"/>
        <w:rPr/>
      </w:pPr>
      <w:r>
        <w:rPr>
          <w:rFonts w:ascii="Times New Roman;serif" w:hAnsi="Times New Roman;serif"/>
          <w:b/>
          <w:color w:val="000000"/>
          <w:sz w:val="20"/>
        </w:rPr>
        <w:t>Level 3.</w:t>
      </w:r>
      <w:r>
        <w:rPr>
          <w:color w:val="000000"/>
        </w:rPr>
        <w:t xml:space="preserve"> </w:t>
      </w:r>
      <w:r>
        <w:rPr>
          <w:rFonts w:ascii="Times New Roman;serif" w:hAnsi="Times New Roman;serif"/>
          <w:b w:val="false"/>
          <w:color w:val="000000"/>
          <w:sz w:val="20"/>
        </w:rPr>
        <w:t>Significant unobservable inputs that are supported by little or no market activity.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equivalents, accounts receivable, accounts payable, and accrued expenses approximate fair value as of January 31, 2026 and July 31, 2026 because of the relatively short duration of these instruments.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carrying amount of our term loan and any outstanding borrowings on the Company’s revolving credit facility approximates fair value due to the variable interest rates of the debt.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evaluates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2026 and July 31, 2026 and indicates the fair value hierarchy of the 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tbl>
      <w:tblPr>
        <w:tblW w:w="10205" w:type="dxa"/>
        <w:jc w:val="left"/>
        <w:tblInd w:w="0" w:type="dxa"/>
        <w:tblLayout w:type="fixed"/>
        <w:tblCellMar>
          <w:top w:w="28" w:type="dxa"/>
          <w:left w:w="28" w:type="dxa"/>
          <w:bottom w:w="28" w:type="dxa"/>
          <w:right w:w="28" w:type="dxa"/>
        </w:tblCellMar>
      </w:tblPr>
      <w:tblGrid>
        <w:gridCol w:w="2011"/>
        <w:gridCol w:w="1731"/>
        <w:gridCol w:w="1747"/>
        <w:gridCol w:w="292"/>
        <w:gridCol w:w="1000"/>
        <w:gridCol w:w="149"/>
        <w:gridCol w:w="149"/>
        <w:gridCol w:w="149"/>
        <w:gridCol w:w="149"/>
        <w:gridCol w:w="292"/>
        <w:gridCol w:w="562"/>
        <w:gridCol w:w="149"/>
        <w:gridCol w:w="149"/>
        <w:gridCol w:w="149"/>
        <w:gridCol w:w="149"/>
        <w:gridCol w:w="292"/>
        <w:gridCol w:w="853"/>
        <w:gridCol w:w="233"/>
      </w:tblGrid>
      <w:tr>
        <w:trPr/>
        <w:tc>
          <w:tcPr>
            <w:tcW w:w="2011"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on a recurring basis as of January 31, 2026</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 (included in cash and cash equivalents)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(included in prepaid expenses and other current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(included in long-term prepaid expenses and 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(included in accrued expenses and other current liabilities)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0"/>
        <w:gridCol w:w="1725"/>
        <w:gridCol w:w="1740"/>
        <w:gridCol w:w="315"/>
        <w:gridCol w:w="1079"/>
        <w:gridCol w:w="161"/>
        <w:gridCol w:w="161"/>
        <w:gridCol w:w="161"/>
        <w:gridCol w:w="161"/>
        <w:gridCol w:w="315"/>
        <w:gridCol w:w="606"/>
        <w:gridCol w:w="161"/>
        <w:gridCol w:w="161"/>
        <w:gridCol w:w="161"/>
        <w:gridCol w:w="161"/>
        <w:gridCol w:w="315"/>
        <w:gridCol w:w="606"/>
        <w:gridCol w:w="256"/>
      </w:tblGrid>
      <w:tr>
        <w:trPr/>
        <w:tc>
          <w:tcPr>
            <w:tcW w:w="196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on a recurring basis as of July 31, 2026</w:t>
            </w:r>
          </w:p>
        </w:tc>
      </w:tr>
      <w:tr>
        <w:trPr/>
        <w:tc>
          <w:tcPr>
            <w:tcW w:w="5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 (included in cash and cash equivalents)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(included in prepaid expenses and other current assets)</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2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42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5425"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All of the Company’s money market accounts are classified within Level 1 because the Company’s money market accounts are valued using quoted market prices in active exchange markets for identical assets.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fair value of the contingent consideration with significant unobservable inputs:</w:t>
      </w:r>
    </w:p>
    <w:tbl>
      <w:tblPr>
        <w:tblW w:w="7718" w:type="dxa"/>
        <w:jc w:val="left"/>
        <w:tblInd w:w="0" w:type="dxa"/>
        <w:tblLayout w:type="fixed"/>
        <w:tblCellMar>
          <w:top w:w="28" w:type="dxa"/>
          <w:left w:w="28" w:type="dxa"/>
          <w:bottom w:w="28" w:type="dxa"/>
          <w:right w:w="28" w:type="dxa"/>
        </w:tblCellMar>
      </w:tblPr>
      <w:tblGrid>
        <w:gridCol w:w="1981"/>
        <w:gridCol w:w="1743"/>
        <w:gridCol w:w="1750"/>
        <w:gridCol w:w="211"/>
        <w:gridCol w:w="616"/>
        <w:gridCol w:w="109"/>
        <w:gridCol w:w="109"/>
        <w:gridCol w:w="109"/>
        <w:gridCol w:w="109"/>
        <w:gridCol w:w="211"/>
        <w:gridCol w:w="616"/>
        <w:gridCol w:w="154"/>
      </w:tblGrid>
      <w:tr>
        <w:trPr/>
        <w:tc>
          <w:tcPr>
            <w:tcW w:w="198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in connection with business acquisition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fair value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contingent consideration consists of the potential earn-out payment related to the Company’s acquisition of Alphapack, Co. dba Sandbox Banking (“Sandbox Banking”) on February 7, 2025, and has a maximum potential payment of $10.0 million. The fair value of the contingent consideration was determined using a probability-weighted discounted cash flow model. Changes in the fair value of the contingent consideration can result from changes in assumed discount periods and rates, and from changes pertaining to the estimated or actual achievement of the defined milestones. This contingent liability was classified as Level 3 within the fair value hierarchy. Changes in fair values of contingent consideration are recognized in general and administrative expenses on the Company’s unaudited condensed consolidated statements of operations. Payments based on the achievement of the performance targets were made during the first half of fiscal 2027.</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levels of the fair value hierarchy during the three and six months ended July 31, 2025 and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Financial Assets and Liabilities Measured at Fair Value on a Non-Recurring Basis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assets measured at fair value on a non-recurring basis include the investments accounted for under the measurement alternative. Unrealized gains as a result of an observable price change were $0.5 million and $0.0 million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six months ended July 31, 2025 and 2026, respectively. Cumulative unrealized gains were $0.7 million for investments accounted for under the measurement alternative as of July 31, 2026. There was no impairment recognized for the three and six months ended July 31, 2025 and 2026. Realized gains from the sale of an investment reflect the difference between the sales proceeds and the carrying value of the investment at the beginning of the period or the purchase date, if later. Realized gains were $1.2 million and $0.0 million for the six months ended July 31, 2025 and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Revenues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Disaggregation of Revenue</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Disaggregated revenues by source and geographic region were as follows:</w:t>
      </w:r>
    </w:p>
    <w:tbl>
      <w:tblPr>
        <w:tblW w:w="8220" w:type="dxa"/>
        <w:jc w:val="left"/>
        <w:tblInd w:w="0" w:type="dxa"/>
        <w:tblLayout w:type="fixed"/>
        <w:tblCellMar>
          <w:top w:w="28" w:type="dxa"/>
          <w:left w:w="28" w:type="dxa"/>
          <w:bottom w:w="28" w:type="dxa"/>
          <w:right w:w="28" w:type="dxa"/>
        </w:tblCellMar>
      </w:tblPr>
      <w:tblGrid>
        <w:gridCol w:w="946"/>
        <w:gridCol w:w="829"/>
        <w:gridCol w:w="83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 non-mortgage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 mortgage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Revenues by geography are determined based on the region of the Company’s contracting entity, which may be different from the region of the customer.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Contract Amounts</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doubtful accounts, are as follows as of January 31, 2026 and July 31, 2026:</w:t>
      </w:r>
    </w:p>
    <w:tbl>
      <w:tblPr>
        <w:tblW w:w="6474" w:type="dxa"/>
        <w:jc w:val="left"/>
        <w:tblInd w:w="0" w:type="dxa"/>
        <w:tblLayout w:type="fixed"/>
        <w:tblCellMar>
          <w:top w:w="28" w:type="dxa"/>
          <w:left w:w="28" w:type="dxa"/>
          <w:bottom w:w="28" w:type="dxa"/>
          <w:right w:w="28" w:type="dxa"/>
        </w:tblCellMar>
      </w:tblPr>
      <w:tblGrid>
        <w:gridCol w:w="1005"/>
        <w:gridCol w:w="882"/>
        <w:gridCol w:w="887"/>
        <w:gridCol w:w="334"/>
        <w:gridCol w:w="1308"/>
        <w:gridCol w:w="172"/>
        <w:gridCol w:w="109"/>
        <w:gridCol w:w="109"/>
        <w:gridCol w:w="109"/>
        <w:gridCol w:w="276"/>
        <w:gridCol w:w="1082"/>
        <w:gridCol w:w="201"/>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accounts receivable</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Deferred Revenue and Remaining Performance Obligations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six months ended July 31, 2026, $170.2 million of revenues were recognized out of the deferred revenue balance as of January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were $1.4 billion as of July 31, 2026. The Company expects to recognize approximately 65% of its remaining performance obligations as revenues in the next 24 months, approximately 29% more in the following 25 to 48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Balance Sheet Components</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6340" w:type="dxa"/>
        <w:jc w:val="left"/>
        <w:tblInd w:w="0" w:type="dxa"/>
        <w:tblLayout w:type="fixed"/>
        <w:tblCellMar>
          <w:top w:w="28" w:type="dxa"/>
          <w:left w:w="28" w:type="dxa"/>
          <w:bottom w:w="28" w:type="dxa"/>
          <w:right w:w="28" w:type="dxa"/>
        </w:tblCellMar>
      </w:tblPr>
      <w:tblGrid>
        <w:gridCol w:w="1250"/>
        <w:gridCol w:w="1096"/>
        <w:gridCol w:w="1104"/>
        <w:gridCol w:w="285"/>
        <w:gridCol w:w="977"/>
        <w:gridCol w:w="147"/>
        <w:gridCol w:w="109"/>
        <w:gridCol w:w="109"/>
        <w:gridCol w:w="109"/>
        <w:gridCol w:w="224"/>
        <w:gridCol w:w="767"/>
        <w:gridCol w:w="163"/>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br/>
              <w:t>2026</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762" w:type="dxa"/>
        <w:jc w:val="left"/>
        <w:tblInd w:w="0" w:type="dxa"/>
        <w:tblLayout w:type="fixed"/>
        <w:tblCellMar>
          <w:top w:w="28" w:type="dxa"/>
          <w:left w:w="28" w:type="dxa"/>
          <w:bottom w:w="28" w:type="dxa"/>
          <w:right w:w="28" w:type="dxa"/>
        </w:tblCellMar>
      </w:tblPr>
      <w:tblGrid>
        <w:gridCol w:w="1107"/>
        <w:gridCol w:w="973"/>
        <w:gridCol w:w="980"/>
        <w:gridCol w:w="368"/>
        <w:gridCol w:w="1257"/>
        <w:gridCol w:w="190"/>
        <w:gridCol w:w="109"/>
        <w:gridCol w:w="109"/>
        <w:gridCol w:w="109"/>
        <w:gridCol w:w="303"/>
        <w:gridCol w:w="1036"/>
        <w:gridCol w:w="221"/>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equipment</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Buildings and land</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1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105,423 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recognized depreciation expense as follows:</w:t>
      </w:r>
    </w:p>
    <w:tbl>
      <w:tblPr>
        <w:tblW w:w="8806" w:type="dxa"/>
        <w:jc w:val="left"/>
        <w:tblInd w:w="0" w:type="dxa"/>
        <w:tblLayout w:type="fixed"/>
        <w:tblCellMar>
          <w:top w:w="28" w:type="dxa"/>
          <w:left w:w="28" w:type="dxa"/>
          <w:bottom w:w="28" w:type="dxa"/>
          <w:right w:w="28" w:type="dxa"/>
        </w:tblCellMar>
      </w:tblPr>
      <w:tblGrid>
        <w:gridCol w:w="1451"/>
        <w:gridCol w:w="1273"/>
        <w:gridCol w:w="1281"/>
        <w:gridCol w:w="214"/>
        <w:gridCol w:w="626"/>
        <w:gridCol w:w="110"/>
        <w:gridCol w:w="110"/>
        <w:gridCol w:w="110"/>
        <w:gridCol w:w="110"/>
        <w:gridCol w:w="214"/>
        <w:gridCol w:w="626"/>
        <w:gridCol w:w="110"/>
        <w:gridCol w:w="109"/>
        <w:gridCol w:w="109"/>
        <w:gridCol w:w="109"/>
        <w:gridCol w:w="211"/>
        <w:gridCol w:w="616"/>
        <w:gridCol w:w="109"/>
        <w:gridCol w:w="109"/>
        <w:gridCol w:w="109"/>
        <w:gridCol w:w="109"/>
        <w:gridCol w:w="211"/>
        <w:gridCol w:w="61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 and other revenues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expense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715" w:type="dxa"/>
        <w:jc w:val="left"/>
        <w:tblInd w:w="0" w:type="dxa"/>
        <w:tblLayout w:type="fixed"/>
        <w:tblCellMar>
          <w:top w:w="28" w:type="dxa"/>
          <w:left w:w="28" w:type="dxa"/>
          <w:bottom w:w="28" w:type="dxa"/>
          <w:right w:w="28" w:type="dxa"/>
        </w:tblCellMar>
      </w:tblPr>
      <w:tblGrid>
        <w:gridCol w:w="1387"/>
        <w:gridCol w:w="1216"/>
        <w:gridCol w:w="1222"/>
        <w:gridCol w:w="285"/>
        <w:gridCol w:w="977"/>
        <w:gridCol w:w="147"/>
        <w:gridCol w:w="109"/>
        <w:gridCol w:w="109"/>
        <w:gridCol w:w="109"/>
        <w:gridCol w:w="224"/>
        <w:gridCol w:w="767"/>
        <w:gridCol w:w="163"/>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br/>
              <w:t>2026</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consideration deferred payment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Business Combinations</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Sandbox Banking</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February 7, 2025 (the “Sandbox Acquisition Date”), the Company acquired the outstanding equity interests of Sandbox Banking, a digital transformation leader serving the financial services industry. The Company acquired Sandbox Banking to strengthen the Company’s ability to enhance data connectivity. The Company has included the financial results of Sandbox Banking in the unaudited condensed consolidated statements of operations from the Sandbox Acquisition Date. Transaction costs associated with the Sandbox Banking acquisition were approximately $1.4 million and were recorded in general and administrative expenses on the Company’s unaudited condensed consolidated statements of operations.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Sandbox Acquisition Date fair value of the consideration transferred is as follows:</w:t>
      </w:r>
    </w:p>
    <w:tbl>
      <w:tblPr>
        <w:tblW w:w="6422" w:type="dxa"/>
        <w:jc w:val="left"/>
        <w:tblInd w:w="0" w:type="dxa"/>
        <w:tblLayout w:type="fixed"/>
        <w:tblCellMar>
          <w:top w:w="28" w:type="dxa"/>
          <w:left w:w="28" w:type="dxa"/>
          <w:bottom w:w="28" w:type="dxa"/>
          <w:right w:w="28" w:type="dxa"/>
        </w:tblCellMar>
      </w:tblPr>
      <w:tblGrid>
        <w:gridCol w:w="1815"/>
        <w:gridCol w:w="1595"/>
        <w:gridCol w:w="1599"/>
        <w:gridCol w:w="109"/>
        <w:gridCol w:w="109"/>
        <w:gridCol w:w="109"/>
        <w:gridCol w:w="211"/>
        <w:gridCol w:w="721"/>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(net of working capital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for settlement of preexisting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April 30, 2025, the cash consideration and working capital adjustments were finalized, resulting in final net cash consideration of $53.5 million after working capital adjustments of $0.5 million.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purchase price also included $8.1 million of contingent consideration whereby the Company may be required to pay up to $10.0 million subject to the achievement of certain targets over 18 months. Three earn-outs were payable based on achieving a certain increase in annual contract value, establishing connectivity between defined systems for certain customers, and completing defined development work. During the six months ended July 31, 2026, all applicable targets were achieved and the Company paid $10.0 million of contingent consideration. See Note 3 “Fair Value Measurements” for additional information on the fair value of the contingent consideration.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the Company issued 91,160 RSUs in May 2025 with an approximate fair value of $2.1 million to certain employees of Sandbox Banking, which will vest over four years subject to such employees’ continued employment. The RSUs will be recorded as stock-based compensation expense post-acquisition as the RSUs vest and have been excluded from the purchase consideration.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transaction was accounted for using the acquisition method and, as a result, tangible and intangible assets acquired and liabilities assumed were recorded at their estimated fair values at the Sandbox Acquisition Date. Any excess consideration over the fair value of the assets acquired and liabilities assumed was recognized as goodwill. The Company determined the acquisition date contract assets and liabilities in accordance with ASC 606.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of assets acquired and liabilities assumed as of the Sandbox Acquisition Date:</w:t>
      </w:r>
    </w:p>
    <w:tbl>
      <w:tblPr>
        <w:tblW w:w="7776" w:type="dxa"/>
        <w:jc w:val="left"/>
        <w:tblInd w:w="0" w:type="dxa"/>
        <w:tblLayout w:type="fixed"/>
        <w:tblCellMar>
          <w:top w:w="28" w:type="dxa"/>
          <w:left w:w="28" w:type="dxa"/>
          <w:bottom w:w="28" w:type="dxa"/>
          <w:right w:w="28" w:type="dxa"/>
        </w:tblCellMar>
      </w:tblPr>
      <w:tblGrid>
        <w:gridCol w:w="2424"/>
        <w:gridCol w:w="2126"/>
        <w:gridCol w:w="2140"/>
        <w:gridCol w:w="211"/>
        <w:gridCol w:w="721"/>
        <w:gridCol w:w="154"/>
      </w:tblGrid>
      <w:tr>
        <w:trPr/>
        <w:tc>
          <w:tcPr>
            <w:tcW w:w="2424"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 current and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 and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year ending January 31, 2027, within the one-year measurement period, we finalized the fair value of the assets acquired and liabilities assumed in the acquisition, and the amounts presented above are final. The Company recorded measurement period adjustments that included a $0.1 million adjustment to increase goodwill for a $0.1 million deferred income tax adjustment.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Sandbox Acquisition Date:</w:t>
      </w:r>
    </w:p>
    <w:tbl>
      <w:tblPr>
        <w:tblW w:w="6166" w:type="dxa"/>
        <w:jc w:val="left"/>
        <w:tblInd w:w="0" w:type="dxa"/>
        <w:tblLayout w:type="fixed"/>
        <w:tblCellMar>
          <w:top w:w="28" w:type="dxa"/>
          <w:left w:w="28" w:type="dxa"/>
          <w:bottom w:w="28" w:type="dxa"/>
          <w:right w:w="28" w:type="dxa"/>
        </w:tblCellMar>
      </w:tblPr>
      <w:tblGrid>
        <w:gridCol w:w="1398"/>
        <w:gridCol w:w="1226"/>
        <w:gridCol w:w="1245"/>
        <w:gridCol w:w="211"/>
        <w:gridCol w:w="721"/>
        <w:gridCol w:w="109"/>
        <w:gridCol w:w="109"/>
        <w:gridCol w:w="109"/>
        <w:gridCol w:w="109"/>
        <w:gridCol w:w="272"/>
        <w:gridCol w:w="272"/>
        <w:gridCol w:w="385"/>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year</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subject to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Developed technology represents the fair value of Sandbox Banking’s technology, customer relationships represent the fair value of the underlying relationships with Sandbox Banking’s customers, and trade name represents the fair value of Sandbox Banking’s company name.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Goodwill is primarily attributable to expanded market opportunities, synergies expected from the acquisition, and assembled workforce. The goodwill is not deductible for tax purposes.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has not disclosed pro-forma revenue and earnings attributable to Sandbox Banking as they did not have a material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Goodwill and Intangible Assets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change in the carrying amounts of goodwill was as follows:</w:t>
      </w:r>
    </w:p>
    <w:tbl>
      <w:tblPr>
        <w:tblW w:w="4145" w:type="dxa"/>
        <w:jc w:val="left"/>
        <w:tblInd w:w="0" w:type="dxa"/>
        <w:tblLayout w:type="fixed"/>
        <w:tblCellMar>
          <w:top w:w="28" w:type="dxa"/>
          <w:left w:w="28" w:type="dxa"/>
          <w:bottom w:w="28" w:type="dxa"/>
          <w:right w:w="28" w:type="dxa"/>
        </w:tblCellMar>
      </w:tblPr>
      <w:tblGrid>
        <w:gridCol w:w="1015"/>
        <w:gridCol w:w="893"/>
        <w:gridCol w:w="896"/>
        <w:gridCol w:w="211"/>
        <w:gridCol w:w="97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July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9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Intangible assets, net are as follows:</w:t>
      </w:r>
    </w:p>
    <w:tbl>
      <w:tblPr>
        <w:tblW w:w="10582" w:type="dxa"/>
        <w:jc w:val="left"/>
        <w:tblInd w:w="0" w:type="dxa"/>
        <w:tblLayout w:type="fixed"/>
        <w:tblCellMar>
          <w:top w:w="28" w:type="dxa"/>
          <w:left w:w="28" w:type="dxa"/>
          <w:bottom w:w="28" w:type="dxa"/>
          <w:right w:w="28" w:type="dxa"/>
        </w:tblCellMar>
      </w:tblPr>
      <w:tblGrid>
        <w:gridCol w:w="723"/>
        <w:gridCol w:w="635"/>
        <w:gridCol w:w="638"/>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July 31, 2026, the Company wrote off approximately $2.5 million of fully amortized intangible assets and the corresponding accumulated amortization.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recognized amortization expense for intangible assets as follows:</w:t>
      </w:r>
    </w:p>
    <w:tbl>
      <w:tblPr>
        <w:tblW w:w="9016" w:type="dxa"/>
        <w:jc w:val="left"/>
        <w:tblInd w:w="0" w:type="dxa"/>
        <w:tblLayout w:type="fixed"/>
        <w:tblCellMar>
          <w:top w:w="28" w:type="dxa"/>
          <w:left w:w="28" w:type="dxa"/>
          <w:bottom w:w="28" w:type="dxa"/>
          <w:right w:w="28" w:type="dxa"/>
        </w:tblCellMar>
      </w:tblPr>
      <w:tblGrid>
        <w:gridCol w:w="1451"/>
        <w:gridCol w:w="1273"/>
        <w:gridCol w:w="1281"/>
        <w:gridCol w:w="214"/>
        <w:gridCol w:w="626"/>
        <w:gridCol w:w="110"/>
        <w:gridCol w:w="110"/>
        <w:gridCol w:w="110"/>
        <w:gridCol w:w="110"/>
        <w:gridCol w:w="214"/>
        <w:gridCol w:w="626"/>
        <w:gridCol w:w="110"/>
        <w:gridCol w:w="109"/>
        <w:gridCol w:w="109"/>
        <w:gridCol w:w="109"/>
        <w:gridCol w:w="211"/>
        <w:gridCol w:w="721"/>
        <w:gridCol w:w="109"/>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 and other revenues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expected future amortization expense for intangible assets as of July 31, 2026 is as follows:</w:t>
      </w:r>
    </w:p>
    <w:tbl>
      <w:tblPr>
        <w:tblW w:w="4175" w:type="dxa"/>
        <w:jc w:val="left"/>
        <w:tblInd w:w="0" w:type="dxa"/>
        <w:tblLayout w:type="fixed"/>
        <w:tblCellMar>
          <w:top w:w="28" w:type="dxa"/>
          <w:left w:w="28" w:type="dxa"/>
          <w:bottom w:w="28" w:type="dxa"/>
          <w:right w:w="28" w:type="dxa"/>
        </w:tblCellMar>
      </w:tblPr>
      <w:tblGrid>
        <w:gridCol w:w="1080"/>
        <w:gridCol w:w="949"/>
        <w:gridCol w:w="955"/>
        <w:gridCol w:w="211"/>
        <w:gridCol w:w="82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 (remaining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Stockholders’ Equity and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Repurchase Programs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our Board of Directors authorized a stock repurchase program of up to $100.0 million of our outstanding common stock (the “March 2025 Stock Repurchase Program”) which was completed in the third quarter of fiscal 2026. In December 2025, our Board of Directors authorized another stock repurchase program of up to $100.0 million of our outstanding common stock (the “December 2025 Stock Repurchase Program”).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make repurchases, from time to time, through open market purchases, block trades, in privately negotiated transactions, accelerated stock repurchase transactions, or by other means. Open market repurchases will be structured to occur in accordance with applicable federal securities laws. The Company may also, from time to time,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programs do not obligate the Company to repurchase any specific amount of common stock, have no time limit, and may be modified, suspended, or discontinued at any time without notice at the discretion of our Board of Directors.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2026, the Company entered into an Accelerated Share Repurchase (“ASR”) agreement with Wells Fargo Bank, N.A., authorized by our Board of Directors, for $100.0 million of our outstanding common stock. Upon payment of the aggregate purchase price of $100.0 million, the Company received an initial delivery of 5,547,850 shares of its common stock representing approximately 80% of the aggregate purchase price. The Company funded the repurchase with available cash on hand and proceeds from its term loan. The ASR is accounted for as a treasury stock transaction and forward stock purchase agreement indexed to the Company’s stock. The forward stock purchase agreement is classified as an equity instrument under ASC 815-40, Contracts in Entity’s Own Equity (“ASC 815-40”) and deemed to have a fair value of zero at the effective date. $16.9 million, of the $100.0 million, was initially recorded in additional paid-in capital, which reflected the pending settlement of the ASR. Under the terms of the ASR, the ultimate number of shares of common stock that the Company repurchased was based on the average of the daily volume-weighted average price of the common stock during the term of the ASR, less a discount and subject to adjustments pursuant to the terms and conditions of the ASR.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ASR was finalized on June 2, 2026, at which time the Company received 487,675 additional shares of its common stock based on a daily volume-weighted average price of $16.57 per share during the term of the ASR, which were recorded as treasury stock.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repurchase activity under the Company’s stock repurchase programs (in thousands, except share and per share data):</w:t>
      </w:r>
    </w:p>
    <w:tbl>
      <w:tblPr>
        <w:tblW w:w="8084" w:type="dxa"/>
        <w:jc w:val="left"/>
        <w:tblInd w:w="0" w:type="dxa"/>
        <w:tblLayout w:type="fixed"/>
        <w:tblCellMar>
          <w:top w:w="28" w:type="dxa"/>
          <w:left w:w="28" w:type="dxa"/>
          <w:bottom w:w="28" w:type="dxa"/>
          <w:right w:w="28" w:type="dxa"/>
        </w:tblCellMar>
      </w:tblPr>
      <w:tblGrid>
        <w:gridCol w:w="1081"/>
        <w:gridCol w:w="950"/>
        <w:gridCol w:w="953"/>
        <w:gridCol w:w="211"/>
        <w:gridCol w:w="721"/>
        <w:gridCol w:w="109"/>
        <w:gridCol w:w="109"/>
        <w:gridCol w:w="109"/>
        <w:gridCol w:w="109"/>
        <w:gridCol w:w="220"/>
        <w:gridCol w:w="756"/>
        <w:gridCol w:w="109"/>
        <w:gridCol w:w="220"/>
        <w:gridCol w:w="756"/>
        <w:gridCol w:w="109"/>
        <w:gridCol w:w="109"/>
        <w:gridCol w:w="109"/>
        <w:gridCol w:w="109"/>
        <w:gridCol w:w="219"/>
        <w:gridCol w:w="862"/>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shares repurchased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price per share</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Aggregate purchase price</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Excludes transaction costs and excise tax associated with the repurchases.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Repurchases under the March and December 2025 Stock Repurchase Programs were made in open market transactions and the Company is authorized to repurchase $0.02 million of its common stock remaining available under the December 2025 Stock Repurchase Program as of July 31,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Stock option activity for the six months ended July 31, 2026 was as follows:</w:t>
      </w:r>
    </w:p>
    <w:tbl>
      <w:tblPr>
        <w:tblW w:w="6593" w:type="dxa"/>
        <w:jc w:val="left"/>
        <w:tblInd w:w="0" w:type="dxa"/>
        <w:tblLayout w:type="fixed"/>
        <w:tblCellMar>
          <w:top w:w="28" w:type="dxa"/>
          <w:left w:w="28" w:type="dxa"/>
          <w:bottom w:w="28" w:type="dxa"/>
          <w:right w:w="28" w:type="dxa"/>
        </w:tblCellMar>
      </w:tblPr>
      <w:tblGrid>
        <w:gridCol w:w="1412"/>
        <w:gridCol w:w="1242"/>
        <w:gridCol w:w="1245"/>
        <w:gridCol w:w="449"/>
        <w:gridCol w:w="451"/>
        <w:gridCol w:w="296"/>
        <w:gridCol w:w="109"/>
        <w:gridCol w:w="109"/>
        <w:gridCol w:w="109"/>
        <w:gridCol w:w="282"/>
        <w:gridCol w:w="683"/>
        <w:gridCol w:w="206"/>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January 31, 2026</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480,641 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 or 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(147,225)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July 31, 2026</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328,291 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July 31, 2026</w:t>
            </w:r>
          </w:p>
        </w:tc>
        <w:tc>
          <w:tcPr>
            <w:tcW w:w="9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328,291 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Fully vested or expected to vest, July 31, 2026</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328,291 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RSU activity during the six months ended July 31, 2026 was as follows:</w:t>
      </w:r>
    </w:p>
    <w:tbl>
      <w:tblPr>
        <w:tblW w:w="5708" w:type="dxa"/>
        <w:jc w:val="left"/>
        <w:tblInd w:w="0" w:type="dxa"/>
        <w:tblLayout w:type="fixed"/>
        <w:tblCellMar>
          <w:top w:w="28" w:type="dxa"/>
          <w:left w:w="28" w:type="dxa"/>
          <w:bottom w:w="28" w:type="dxa"/>
          <w:right w:w="28" w:type="dxa"/>
        </w:tblCellMar>
      </w:tblPr>
      <w:tblGrid>
        <w:gridCol w:w="918"/>
        <w:gridCol w:w="807"/>
        <w:gridCol w:w="809"/>
        <w:gridCol w:w="524"/>
        <w:gridCol w:w="526"/>
        <w:gridCol w:w="296"/>
        <w:gridCol w:w="109"/>
        <w:gridCol w:w="109"/>
        <w:gridCol w:w="109"/>
        <w:gridCol w:w="322"/>
        <w:gridCol w:w="942"/>
        <w:gridCol w:w="237"/>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w:t>
              <w:br/>
              <w:t>Value</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January 31, 2026</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6,425,128 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4,801,785 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(1,751,258)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(529,320)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July 31, 2026</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8,946,335 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July 31, 2026, total unrecognized compensation expense related to non-vested RSUs was $169.1 million, adjusted for estimated forfeitures, based on the estimated fair value of the Company’s common stock at the time of grant. That cost is expected to be recognized over a weighted average period of 2.96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first offering period for the Employee Stock Purchase Plan (“ESPP”) began on July 1, 2021 and ended on December 31, 2021. Thereafter, offering periods begin each year on January 1 and July 1.</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ESPP shares during the six months ended July 31, 2025 and 2026 was estimated at the date of grant using the Black-Scholes option valuation model based on assumptions as follows for ESPP awards: </w:t>
      </w:r>
    </w:p>
    <w:tbl>
      <w:tblPr>
        <w:tblW w:w="5731" w:type="dxa"/>
        <w:jc w:val="left"/>
        <w:tblInd w:w="0" w:type="dxa"/>
        <w:tblLayout w:type="fixed"/>
        <w:tblCellMar>
          <w:top w:w="28" w:type="dxa"/>
          <w:left w:w="28" w:type="dxa"/>
          <w:bottom w:w="28" w:type="dxa"/>
          <w:right w:w="28" w:type="dxa"/>
        </w:tblCellMar>
      </w:tblPr>
      <w:tblGrid>
        <w:gridCol w:w="723"/>
        <w:gridCol w:w="635"/>
        <w:gridCol w:w="637"/>
        <w:gridCol w:w="668"/>
        <w:gridCol w:w="423"/>
        <w:gridCol w:w="423"/>
        <w:gridCol w:w="221"/>
        <w:gridCol w:w="221"/>
        <w:gridCol w:w="221"/>
        <w:gridCol w:w="603"/>
        <w:gridCol w:w="396"/>
        <w:gridCol w:w="560"/>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40.74% - 46.91%</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39.41% - 55.89%</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4.25% - 4.29%</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3.58% - 4.00%</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included in our unaudited condensed consolidated statements of operations was as follows:</w:t>
      </w:r>
    </w:p>
    <w:tbl>
      <w:tblPr>
        <w:tblW w:w="9195" w:type="dxa"/>
        <w:jc w:val="left"/>
        <w:tblInd w:w="0" w:type="dxa"/>
        <w:tblLayout w:type="fixed"/>
        <w:tblCellMar>
          <w:top w:w="28" w:type="dxa"/>
          <w:left w:w="28" w:type="dxa"/>
          <w:bottom w:w="28" w:type="dxa"/>
          <w:right w:w="28" w:type="dxa"/>
        </w:tblCellMar>
      </w:tblPr>
      <w:tblGrid>
        <w:gridCol w:w="1451"/>
        <w:gridCol w:w="1273"/>
        <w:gridCol w:w="128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leases its facilities and a portion of its equipment under various non-cancelable agreements, which expire at various times through December 2034, some of which include options to extend for up to one year.</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6930" w:type="dxa"/>
        <w:jc w:val="left"/>
        <w:tblInd w:w="0" w:type="dxa"/>
        <w:tblLayout w:type="fixed"/>
        <w:tblCellMar>
          <w:top w:w="28" w:type="dxa"/>
          <w:left w:w="28" w:type="dxa"/>
          <w:bottom w:w="28" w:type="dxa"/>
          <w:right w:w="28" w:type="dxa"/>
        </w:tblCellMar>
      </w:tblPr>
      <w:tblGrid>
        <w:gridCol w:w="771"/>
        <w:gridCol w:w="677"/>
        <w:gridCol w:w="681"/>
        <w:gridCol w:w="214"/>
        <w:gridCol w:w="626"/>
        <w:gridCol w:w="110"/>
        <w:gridCol w:w="110"/>
        <w:gridCol w:w="110"/>
        <w:gridCol w:w="110"/>
        <w:gridCol w:w="214"/>
        <w:gridCol w:w="626"/>
        <w:gridCol w:w="110"/>
        <w:gridCol w:w="109"/>
        <w:gridCol w:w="109"/>
        <w:gridCol w:w="109"/>
        <w:gridCol w:w="211"/>
        <w:gridCol w:w="616"/>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was as follows:</w:t>
      </w:r>
    </w:p>
    <w:tbl>
      <w:tblPr>
        <w:tblW w:w="10205" w:type="dxa"/>
        <w:jc w:val="left"/>
        <w:tblInd w:w="0" w:type="dxa"/>
        <w:tblLayout w:type="fixed"/>
        <w:tblCellMar>
          <w:top w:w="28" w:type="dxa"/>
          <w:left w:w="28" w:type="dxa"/>
          <w:bottom w:w="28" w:type="dxa"/>
          <w:right w:w="28" w:type="dxa"/>
        </w:tblCellMar>
      </w:tblPr>
      <w:tblGrid>
        <w:gridCol w:w="2896"/>
        <w:gridCol w:w="2524"/>
        <w:gridCol w:w="2539"/>
        <w:gridCol w:w="211"/>
        <w:gridCol w:w="616"/>
        <w:gridCol w:w="109"/>
        <w:gridCol w:w="109"/>
        <w:gridCol w:w="109"/>
        <w:gridCol w:w="109"/>
        <w:gridCol w:w="211"/>
        <w:gridCol w:w="616"/>
        <w:gridCol w:w="156"/>
      </w:tblGrid>
      <w:tr>
        <w:trPr/>
        <w:tc>
          <w:tcPr>
            <w:tcW w:w="2896"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 and operating lease liabilities reductions related to operating lease terminations or modifications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and weighted-average discount rate for the Company’s operating lease liabilities as of July 31, 2026 were 6.89 years and 6.7%, respectively.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as of July 31, 2026 were as follows:</w:t>
      </w:r>
    </w:p>
    <w:tbl>
      <w:tblPr>
        <w:tblW w:w="4394" w:type="dxa"/>
        <w:jc w:val="left"/>
        <w:tblInd w:w="0" w:type="dxa"/>
        <w:tblLayout w:type="fixed"/>
        <w:tblCellMar>
          <w:top w:w="28" w:type="dxa"/>
          <w:left w:w="28" w:type="dxa"/>
          <w:bottom w:w="28" w:type="dxa"/>
          <w:right w:w="28" w:type="dxa"/>
        </w:tblCellMar>
      </w:tblPr>
      <w:tblGrid>
        <w:gridCol w:w="1080"/>
        <w:gridCol w:w="949"/>
        <w:gridCol w:w="955"/>
        <w:gridCol w:w="303"/>
        <w:gridCol w:w="886"/>
        <w:gridCol w:w="221"/>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 (remaining six months)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obligations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Debt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2024 Credit Agreement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28, 2024, the Company entered into a new Credit Agreement (as amended by the First Amendment (as defined below) the “2024 Credit Agreement”), by and among the Company, nCino OpCo, Inc. (the “Borrower”), certain subsidiaries of the Company as guarantors, the lenders party thereto (the “Lenders”) and Bank of America, N.A. as administrative agent (the “Agent”).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2024 Credit Agreement includes a senior secured revolving credit facility of up to $250.0 million (the “2024 Credit Facility”) with a maturity date of October 28, 2029. The 2024 Credit Facility includes borrowing capacity available for letters of credit subject to a sublimit of $45.0 million. Any issuances of letters of credit will reduce the amount available under the 2024 Credit Facility. The Company may repay amounts borrowed under the 2024 Credit Facility at any time without penalty. Borrowings under the 2024 Credit Facility may be reborrowed.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30, 2026, the Company entered into an Incremental Facility Amendment (the “First Amendment”) to the 2024 Credit Agreement. Pursuant to the First Amendment, the Lenders have provided a senior secured incremental term loan of $200.0 million (the “Term Loan”) to the Borrower, which matures on October 28, 2029. The Term Loan requires scheduled quarterly principal payments of $2.5 million, with the remaining balance due at maturity. The Term Loan may be voluntarily prepaid at any time without penalty; however, any repaid amounts may not be reborrowed. The Term Loan is subject to the same interest rate terms, guarantee structure, collateral provisions, and financial covenants as the 2024 Credit Facility, as described below.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Borrowings under the 2024 Credit Facility and Term Loan bear interest, at the Borrower’s option, at: (i) a base rate equal to the greatest of (a) the Agent’s “prime rate,” (b) the federal funds rate plus 0.50%, and (c) the Term SOFR rate plus 1.00% (provided that the base rate shall not be less than 0.00%), plus a margin of 1.00%; or (ii) the Term SOFR rate (provided that the Term SOFR shall not be less than 0.00%), plus a margin of 2.00%, in each case with such margin subject to step-ups based on certain leverage ratios. The Company is also required to pay an unused commitment fee to the Lenders of 0.25% of the average daily unutilized commitments (with step-ups based on certain leverage ratios) for the 2024 Credit Facility. The Company must also pay customary letter of credit fees.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2024 Credit Agreement contains representations and warranties, affirmative, negative, and financial covenants, and events of default that are customary for loans of this type. The financial covenants require the Company and its subsidiaries on a consolidated basis to maintain (i) a Consolidated Total Leverage Ratio not in excess of 4.00:1.00 as of the end of any fiscal quarter, and (ii) a Consolidated Interest Coverage Ratio not less than 3.00:1.00 as of the end of any fiscal quarter, in each case, commencing with the fiscal quarter ended January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2024 Credit Facility and Term Loan are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outstanding debt balances:</w:t>
      </w:r>
    </w:p>
    <w:tbl>
      <w:tblPr>
        <w:tblW w:w="6886" w:type="dxa"/>
        <w:jc w:val="left"/>
        <w:tblInd w:w="0" w:type="dxa"/>
        <w:tblLayout w:type="fixed"/>
        <w:tblCellMar>
          <w:top w:w="28" w:type="dxa"/>
          <w:left w:w="28" w:type="dxa"/>
          <w:bottom w:w="28" w:type="dxa"/>
          <w:right w:w="28" w:type="dxa"/>
        </w:tblCellMar>
      </w:tblPr>
      <w:tblGrid>
        <w:gridCol w:w="1287"/>
        <w:gridCol w:w="1130"/>
        <w:gridCol w:w="1137"/>
        <w:gridCol w:w="334"/>
        <w:gridCol w:w="1308"/>
        <w:gridCol w:w="172"/>
        <w:gridCol w:w="109"/>
        <w:gridCol w:w="109"/>
        <w:gridCol w:w="109"/>
        <w:gridCol w:w="211"/>
        <w:gridCol w:w="82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br/>
              <w:t>2026</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facility</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Debt issuance costs</w:t>
            </w:r>
            <w:r>
              <w:rPr>
                <w:rFonts w:ascii="Times New Roman;serif" w:hAnsi="Times New Roman;serif"/>
                <w:b w:val="false"/>
                <w:color w:val="000000"/>
                <w:sz w:val="13"/>
              </w:rPr>
              <w:t>(1)</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net of debt issuance costs</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current portion, net</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noncurrent, net</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Debt issuance costs associated with the term loan facility are recorded net of the debt obligation, and debt issuance costs for the revolving credit facility are recorded in long-term prepaid expenses and other assets. As of January 31, 2026 and July 31, 2026, unamortized debt issuance costs for the revolving credit facility were $1.1 million and $0.9 million, respectively, and are included in long-term prepaid expenses and other assets.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future maturities of the principal amount of total debt due as of July 31, 2026:</w:t>
      </w:r>
    </w:p>
    <w:tbl>
      <w:tblPr>
        <w:tblW w:w="4502" w:type="dxa"/>
        <w:jc w:val="left"/>
        <w:tblInd w:w="0" w:type="dxa"/>
        <w:tblLayout w:type="fixed"/>
        <w:tblCellMar>
          <w:top w:w="28" w:type="dxa"/>
          <w:left w:w="28" w:type="dxa"/>
          <w:bottom w:w="28" w:type="dxa"/>
          <w:right w:w="28" w:type="dxa"/>
        </w:tblCellMar>
      </w:tblPr>
      <w:tblGrid>
        <w:gridCol w:w="1080"/>
        <w:gridCol w:w="948"/>
        <w:gridCol w:w="956"/>
        <w:gridCol w:w="109"/>
        <w:gridCol w:w="109"/>
        <w:gridCol w:w="109"/>
        <w:gridCol w:w="211"/>
        <w:gridCol w:w="82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br/>
              <w:t>2026</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sz w:val="20"/>
              </w:rPr>
            </w:pPr>
            <w:r>
              <w:rPr>
                <w:rFonts w:ascii="Times New Roman;serif" w:hAnsi="Times New Roman;serif"/>
                <w:b w:val="false"/>
                <w:sz w:val="20"/>
              </w:rPr>
              <w:t xml:space="preserve">Fiscal Year Ending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erif" w:hAnsi="Times New Roman;serif"/>
          <w:b w:val="false"/>
          <w:color w:val="000000"/>
          <w:sz w:val="20"/>
        </w:rPr>
        <w:t>As of January 31, 2026 and July 31, 2026, the Company had outstanding letters of credit of $0.0 million and $0.1 million, respectively, issued under the 2024 Credit Facility to secure leased office space. The Company was in compliance with all covenants as of January 31, 2026 and July 31, 2026. As of July 31, 2026, the applicable interest rate was 5.64%. The available borrowing capacity under the 2024 Credit Facility was $171.4 million</w:t>
      </w:r>
      <w:r>
        <w:rPr>
          <w:color w:val="000000"/>
        </w:rPr>
        <w:t xml:space="preserve"> </w:t>
      </w:r>
      <w:r>
        <w:rPr>
          <w:rFonts w:ascii="Times New Roman;serif" w:hAnsi="Times New Roman;serif"/>
          <w:b w:val="false"/>
          <w:color w:val="000000"/>
          <w:sz w:val="20"/>
        </w:rPr>
        <w:t>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to the operating lease commitments described in Note 9 “Leases,” the Company has additional contractual commitments as described further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purchase commitments consist of non-cancelable agreements to purchase goods and services, primarily licenses and hosting services, entered into in the ordinary course of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Financing Obligations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financing obligations consist of leases for the Company’s headquarters and parking deck for which the Company is deemed the owner of for accounting purposes.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leases will be analyzed for applicable lease accounting upon expiration of the purchase option, if not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Purchase commitments and future minimum lease payments required under financing obligations as of July 31, 2026 are as follows:</w:t>
      </w:r>
    </w:p>
    <w:tbl>
      <w:tblPr>
        <w:tblW w:w="8440" w:type="dxa"/>
        <w:jc w:val="left"/>
        <w:tblInd w:w="0" w:type="dxa"/>
        <w:tblLayout w:type="fixed"/>
        <w:tblCellMar>
          <w:top w:w="28" w:type="dxa"/>
          <w:left w:w="28" w:type="dxa"/>
          <w:bottom w:w="28" w:type="dxa"/>
          <w:right w:w="28" w:type="dxa"/>
        </w:tblCellMar>
      </w:tblPr>
      <w:tblGrid>
        <w:gridCol w:w="1265"/>
        <w:gridCol w:w="1111"/>
        <w:gridCol w:w="1118"/>
        <w:gridCol w:w="326"/>
        <w:gridCol w:w="1276"/>
        <w:gridCol w:w="168"/>
        <w:gridCol w:w="109"/>
        <w:gridCol w:w="109"/>
        <w:gridCol w:w="109"/>
        <w:gridCol w:w="553"/>
        <w:gridCol w:w="1892"/>
        <w:gridCol w:w="404"/>
      </w:tblGrid>
      <w:tr>
        <w:trPr/>
        <w:tc>
          <w:tcPr>
            <w:tcW w:w="1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obligations - leased facility</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 (remaining six months)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 financing obligations and assets</w:t>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50,571 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portion of the associated lease payments is recognized as interest expense and the remainder reduces the financing obligations. The weighted-average discount rate for the Company’s financing obligations as of July 31, 2026 was 6.8%.</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The Company has not accrued any material liabilities related to such obligations in the accompanying unaudited condensed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legal proceedings or is subject to claims arising in the ordinary course of business. In the opinion of management, however, there are no proceedings or claims pending against the Company that management believes are likely to have a material adverse effect on the Company.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Commitments and Contingencies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12. Basic and Diluted Net Income (Loss) per Share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is computed by dividing net income (loss) attributable to nCino, Inc. by the weighted-average number of common shares outstanding for the fiscal period, net of treasury stock. Diluted net income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There is no difference between the basic and diluted net income (loss) per share when there is a net loss because inclusion of potentially issuable shares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components of basic and diluted net income (loss) per share for periods presented are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602"/>
        <w:gridCol w:w="1193"/>
        <w:gridCol w:w="1202"/>
        <w:gridCol w:w="264"/>
        <w:gridCol w:w="922"/>
        <w:gridCol w:w="109"/>
        <w:gridCol w:w="109"/>
        <w:gridCol w:w="109"/>
        <w:gridCol w:w="109"/>
        <w:gridCol w:w="302"/>
        <w:gridCol w:w="884"/>
        <w:gridCol w:w="109"/>
        <w:gridCol w:w="109"/>
        <w:gridCol w:w="109"/>
        <w:gridCol w:w="109"/>
        <w:gridCol w:w="297"/>
        <w:gridCol w:w="889"/>
        <w:gridCol w:w="109"/>
        <w:gridCol w:w="109"/>
        <w:gridCol w:w="109"/>
        <w:gridCol w:w="109"/>
        <w:gridCol w:w="268"/>
        <w:gridCol w:w="918"/>
        <w:gridCol w:w="156"/>
      </w:tblGrid>
      <w:tr>
        <w:trPr/>
        <w:tc>
          <w:tcPr>
            <w:tcW w:w="160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nCino, Inc.</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104,885,480 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104,350,762 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nCino, Inc.</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05"/>
        <w:gridCol w:w="1091"/>
        <w:gridCol w:w="1101"/>
        <w:gridCol w:w="264"/>
        <w:gridCol w:w="922"/>
        <w:gridCol w:w="109"/>
        <w:gridCol w:w="109"/>
        <w:gridCol w:w="109"/>
        <w:gridCol w:w="109"/>
        <w:gridCol w:w="302"/>
        <w:gridCol w:w="884"/>
        <w:gridCol w:w="109"/>
        <w:gridCol w:w="109"/>
        <w:gridCol w:w="109"/>
        <w:gridCol w:w="109"/>
        <w:gridCol w:w="297"/>
        <w:gridCol w:w="889"/>
        <w:gridCol w:w="109"/>
        <w:gridCol w:w="109"/>
        <w:gridCol w:w="109"/>
        <w:gridCol w:w="109"/>
        <w:gridCol w:w="268"/>
        <w:gridCol w:w="918"/>
        <w:gridCol w:w="156"/>
      </w:tblGrid>
      <w:tr>
        <w:trPr/>
        <w:tc>
          <w:tcPr>
            <w:tcW w:w="180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nCino, Inc.</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104,885,480 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104,350,762 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diluted stock options, non-vested RSUs, and shares of common stock issuable under the ESPP</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115,256,497 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114,657,339 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105,066,581 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attributable to nCino, Inc.</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potential outstanding common stock were excluded from the diluted net income (loss) per share computation because the effect would have been anti-dilutive:</w:t>
      </w:r>
    </w:p>
    <w:tbl>
      <w:tblPr>
        <w:tblW w:w="6613" w:type="dxa"/>
        <w:jc w:val="left"/>
        <w:tblInd w:w="0" w:type="dxa"/>
        <w:tblLayout w:type="fixed"/>
        <w:tblCellMar>
          <w:top w:w="28" w:type="dxa"/>
          <w:left w:w="28" w:type="dxa"/>
          <w:bottom w:w="28" w:type="dxa"/>
          <w:right w:w="28" w:type="dxa"/>
        </w:tblCellMar>
      </w:tblPr>
      <w:tblGrid>
        <w:gridCol w:w="1254"/>
        <w:gridCol w:w="1103"/>
        <w:gridCol w:w="1107"/>
        <w:gridCol w:w="603"/>
        <w:gridCol w:w="373"/>
        <w:gridCol w:w="221"/>
        <w:gridCol w:w="221"/>
        <w:gridCol w:w="221"/>
        <w:gridCol w:w="221"/>
        <w:gridCol w:w="603"/>
        <w:gridCol w:w="373"/>
        <w:gridCol w:w="313"/>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562,629 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RSUs issued and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6,951,460 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8,156,784 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94,022 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Segment Information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Company’s Chief Executive Officer, who reviews financial information on a consolidated basis. The Company brings together people and data to enable financial institutions to enhance strategic decision-making, risk management, and customer satisfaction through the selection of intelligent solutions provided by the nCino Platform. As such, the Company has one operating and reportable segment. The CODM uses consolidated net income (loss) in deciding how to make operating decisions, allocate resources, and assess performance, including whether to reinvest profits into the segment or other parts of the entity, such as for acquisitions.</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that is provided to our CODM:</w:t>
      </w:r>
    </w:p>
    <w:p>
      <w:pPr>
        <w:pStyle w:val="TextBody"/>
        <w:bidi w:val="0"/>
        <w:spacing w:before="0" w:after="0"/>
        <w:ind w:left="0" w:right="0" w:firstLine="990"/>
        <w:jc w:val="left"/>
        <w:rPr/>
      </w:pPr>
      <w:r>
        <w:rPr/>
      </w:r>
    </w:p>
    <w:tbl>
      <w:tblPr>
        <w:tblW w:w="9540" w:type="dxa"/>
        <w:jc w:val="left"/>
        <w:tblInd w:w="0" w:type="dxa"/>
        <w:tblLayout w:type="fixed"/>
        <w:tblCellMar>
          <w:top w:w="28" w:type="dxa"/>
          <w:left w:w="28" w:type="dxa"/>
          <w:bottom w:w="28" w:type="dxa"/>
          <w:right w:w="28" w:type="dxa"/>
        </w:tblCellMar>
      </w:tblPr>
      <w:tblGrid>
        <w:gridCol w:w="1425"/>
        <w:gridCol w:w="1248"/>
        <w:gridCol w:w="12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revenues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sales and marketing expense</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 expense</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 expense</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expense, net</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Cost of revenue, net in the consolidated statements of operations, adjusted to exclude amortization of intangible assets, stock-based compensation expense, and restructuring and related charges, if any.</w:t>
      </w:r>
    </w:p>
    <w:p>
      <w:pPr>
        <w:pStyle w:val="TextBody"/>
        <w:bidi w:val="0"/>
        <w:spacing w:lineRule="auto" w:line="288" w:before="24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Sales and marketing expense, net in the consolidated statements of operations, adjusted to exclude amortization of intangible assets, stock-based compensation expense, transaction-related expenses, and restructuring and related charges, if any.</w:t>
      </w:r>
    </w:p>
    <w:p>
      <w:pPr>
        <w:pStyle w:val="TextBody"/>
        <w:bidi w:val="0"/>
        <w:spacing w:lineRule="auto" w:line="288" w:before="240" w:after="283"/>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Research and development expense, net in the consolidated statements of operations, adjusted to exclude stock-based compensation expense, transaction-related expenses, and restructuring and related charges, if any.</w:t>
      </w:r>
    </w:p>
    <w:p>
      <w:pPr>
        <w:pStyle w:val="TextBody"/>
        <w:bidi w:val="0"/>
        <w:spacing w:lineRule="auto" w:line="288" w:before="240" w:after="283"/>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General and administrative expense, net in the consolidated statements of operations, adjusted to exclude stock-based compensation expense, transaction-related expenses, certain litigation expenses, and restructuring and related charges, if any.</w:t>
      </w:r>
    </w:p>
    <w:p>
      <w:pPr>
        <w:pStyle w:val="TextBody"/>
        <w:bidi w:val="0"/>
        <w:spacing w:lineRule="auto" w:line="288" w:before="240" w:after="283"/>
        <w:jc w:val="left"/>
        <w:rPr/>
      </w:pPr>
      <w:r>
        <w:rPr>
          <w:rFonts w:ascii="Times New Roman;serif" w:hAnsi="Times New Roman;serif"/>
          <w:b w:val="false"/>
          <w:color w:val="000000"/>
          <w:sz w:val="13"/>
        </w:rPr>
        <w:t xml:space="preserve">(5) </w:t>
      </w:r>
      <w:r>
        <w:rPr>
          <w:rFonts w:ascii="Times New Roman;serif" w:hAnsi="Times New Roman;serif"/>
          <w:b w:val="false"/>
          <w:color w:val="000000"/>
          <w:sz w:val="20"/>
        </w:rPr>
        <w:t>Beginning in the first quarter of fiscal 2027, other (income) expense, net in the consolidated statements of operations, adjusted to not exclude intercompany foreign currency exchange gains or losses from the remeasurement of intercompany loans and transactions that are denominated in currencies other than the underlying functional currency of the applicable entity. Prior period amounts were recast to conform to the current presentation.</w:t>
      </w:r>
    </w:p>
    <w:p>
      <w:pPr>
        <w:pStyle w:val="TextBody"/>
        <w:bidi w:val="0"/>
        <w:spacing w:lineRule="auto" w:line="288" w:before="240" w:after="283"/>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Other segment items are the adjustments described in the notes above.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Revenues by geographic region were as follows:</w:t>
      </w:r>
    </w:p>
    <w:tbl>
      <w:tblPr>
        <w:tblW w:w="7095" w:type="dxa"/>
        <w:jc w:val="left"/>
        <w:tblInd w:w="0" w:type="dxa"/>
        <w:tblLayout w:type="fixed"/>
        <w:tblCellMar>
          <w:top w:w="28" w:type="dxa"/>
          <w:left w:w="28" w:type="dxa"/>
          <w:bottom w:w="28" w:type="dxa"/>
          <w:right w:w="28" w:type="dxa"/>
        </w:tblCellMar>
      </w:tblPr>
      <w:tblGrid>
        <w:gridCol w:w="539"/>
        <w:gridCol w:w="472"/>
        <w:gridCol w:w="47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Revenues by geography are determined based on the region of the Company’s contracting entity, which may be different from the region of the customer. For the three and six months ended July 31, 2025 and 2026, only the United Kingdom, in addition to the United States, represented 10% or more of total revenues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Long-lived assets, consisting of property and equipment, net, and operating lease right-of-use assets, net, by geographic region were as follows:</w:t>
      </w:r>
    </w:p>
    <w:tbl>
      <w:tblPr>
        <w:tblW w:w="4781" w:type="dxa"/>
        <w:jc w:val="left"/>
        <w:tblInd w:w="0" w:type="dxa"/>
        <w:tblLayout w:type="fixed"/>
        <w:tblCellMar>
          <w:top w:w="28" w:type="dxa"/>
          <w:left w:w="28" w:type="dxa"/>
          <w:bottom w:w="28" w:type="dxa"/>
          <w:right w:w="28" w:type="dxa"/>
        </w:tblCellMar>
      </w:tblPr>
      <w:tblGrid>
        <w:gridCol w:w="539"/>
        <w:gridCol w:w="472"/>
        <w:gridCol w:w="474"/>
        <w:gridCol w:w="368"/>
        <w:gridCol w:w="1257"/>
        <w:gridCol w:w="190"/>
        <w:gridCol w:w="109"/>
        <w:gridCol w:w="109"/>
        <w:gridCol w:w="109"/>
        <w:gridCol w:w="224"/>
        <w:gridCol w:w="767"/>
        <w:gridCol w:w="163"/>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w:t>
              <w:br/>
              <w:t>2026</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88,294 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85,263 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Restructuring</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the second quarter of fiscal 2026, the Company announced a workforce reduction of approximately 7%, and office space reductions in certain markets (collectively, the “2026 Restructuring Plan”) in furtherance of its efforts to improve operational efficiencies. The Company substantially completed the 2026 Restructuring Plan during the second quarter of fiscal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restructuring costs consisted primarily of severance and termination benefits, exit costs and asset write-offs. Severance costs generally included severance payments, outplacement services, health insurance coverage and employer tax liabilities. Exit costs primarily consisted of lease exit and contract termination costs.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Company’s restructuring charges for the six months ended July 31, 2025 were as follows:</w:t>
      </w:r>
    </w:p>
    <w:tbl>
      <w:tblPr>
        <w:tblW w:w="10205" w:type="dxa"/>
        <w:jc w:val="left"/>
        <w:tblInd w:w="0" w:type="dxa"/>
        <w:tblLayout w:type="fixed"/>
        <w:tblCellMar>
          <w:top w:w="28" w:type="dxa"/>
          <w:left w:w="28" w:type="dxa"/>
          <w:bottom w:w="28" w:type="dxa"/>
          <w:right w:w="28" w:type="dxa"/>
        </w:tblCellMar>
      </w:tblPr>
      <w:tblGrid>
        <w:gridCol w:w="1449"/>
        <w:gridCol w:w="1271"/>
        <w:gridCol w:w="1279"/>
        <w:gridCol w:w="286"/>
        <w:gridCol w:w="838"/>
        <w:gridCol w:w="147"/>
        <w:gridCol w:w="109"/>
        <w:gridCol w:w="109"/>
        <w:gridCol w:w="109"/>
        <w:gridCol w:w="211"/>
        <w:gridCol w:w="616"/>
        <w:gridCol w:w="109"/>
        <w:gridCol w:w="109"/>
        <w:gridCol w:w="109"/>
        <w:gridCol w:w="109"/>
        <w:gridCol w:w="286"/>
        <w:gridCol w:w="838"/>
        <w:gridCol w:w="147"/>
        <w:gridCol w:w="109"/>
        <w:gridCol w:w="109"/>
        <w:gridCol w:w="109"/>
        <w:gridCol w:w="211"/>
        <w:gridCol w:w="721"/>
        <w:gridCol w:w="109"/>
        <w:gridCol w:w="109"/>
        <w:gridCol w:w="109"/>
        <w:gridCol w:w="109"/>
        <w:gridCol w:w="109"/>
        <w:gridCol w:w="109"/>
        <w:gridCol w:w="161"/>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999"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706" w:type="dxa"/>
            <w:gridSpan w:val="6"/>
            <w:tcBorders/>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 and other revenues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July 31, 2026, there were no restructuring charges.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activity of the 2026 Restructuring Plan liabilities was as follows:</w:t>
      </w:r>
    </w:p>
    <w:tbl>
      <w:tblPr>
        <w:tblW w:w="3246" w:type="dxa"/>
        <w:jc w:val="left"/>
        <w:tblInd w:w="0" w:type="dxa"/>
        <w:tblLayout w:type="fixed"/>
        <w:tblCellMar>
          <w:top w:w="28" w:type="dxa"/>
          <w:left w:w="28" w:type="dxa"/>
          <w:bottom w:w="28" w:type="dxa"/>
          <w:right w:w="28" w:type="dxa"/>
        </w:tblCellMar>
      </w:tblPr>
      <w:tblGrid>
        <w:gridCol w:w="875"/>
        <w:gridCol w:w="767"/>
        <w:gridCol w:w="773"/>
        <w:gridCol w:w="211"/>
        <w:gridCol w:w="46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January 31,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2026 Restructuring Plan liabilities are included in accrued expenses and other current liabilities on our unaudited condensed consolidated balance sheets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15. Subsequent Event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2026, our Board of Directors authorized a stock repurchase program to acquire up to $100.0 million of the Company's common stock. Under the stock repurchase program, the Company may make repurchases, from time to time, through open market purchases, block trades, in privately negotiated transactions, accelerated stock repurchase transactions, or by other means. The Company may also, from time to time, enter into 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 and unless otherwise indicated)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investment opportunities, regulatory requirements and other factors. The repurchase program does not obligate the Company to repurchase any specific amount of common stock, has no time limit, and may be modified, suspended, or discontinued at any time without notice at the discretion of nCino’s Board of Directors. The stock repurchase program will be funded using existing cash and cash equivalents, credit facility capacity and/or future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of our financial condition and results of operations should be read in conjunction with our unaudited condensed consolidated financial statements and related notes and other financial information included in this Quarterly Report on Form 10-Q and our Annual Report on Form 10-K for the fiscal year ended January 31, 2026 filed with the SEC on March 31, 2026.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2027” refer to the fiscal year ending January 31,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employees at financial institutions do their daily work and serve their clients, they often face inefficiencies from disparate systems, broken workflows, manual processes, and the inability to utilize their data effectively. This negatively impacts risk management, decision making, and the experiences of bankers and their clients. Financial Institutions (“FIs”) need a unified platform that helps them reengineer every experience, from managing complex credit portfolios to streamlining account onboarding and loan origination.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nCino helps FIs of all sizes optimize their operations by embedding banking intelligence directly into the tools FI employees already use. nCino’s data foundation, which was developed from the workflows, decisions, and outcomes of FIs, enables the nCino Platform to deliver AI-driven capabilities across our solutions. With the nCino Platform, FIs can: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operate more intelligently,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improve efficiency,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elevate employee and client experiences,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manage risk and compliance continuously rather than reactively.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nCino was originally founded in a bank to improve that institution’s operations and client service. Its founders quickly realized that virtually all banks and credit unions faced the same core problems—cumbersome legacy technology, fragmented data, disconnected business functions, and a disengaged workforce. nCino was spun out as a separate company in late 2011 to help more institutions solve these challenges using cloud-based technology.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initially focused on developing the nCino Platform to transform commercial and small business lending for community and regional banks in the U.S. We scaled the platform to enterprise banks in the U.S. in 2014, and then internationally in 2017. We have subsequently expanded across North America, Europe, the Middle East, Japan and Asia-Pacific (“APAC”).</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Over the years, we’ve built and enhanced our products to ensure innovation and seamless integration across key solution lines of commercial, small business, and consumer banking, including mortgage. We have strategically built and acquired technology, including SimpleNexus, DocFox, FullCircl, ILT, Visible Equity, FinSuite, and Sandbox Banking, to significantly augment the capabilities of the nCino Platform for mortgage lending, onboarding, account opening, indirect auto lending, and advanced analytics and AI. This approach has allowed us to create a unified platform of best-in-class intelligent solutions, underpinned by our rich data foundation, enabling FIs to replace multiple legacy systems, connect their operations, and streamline workflows and processes across various business lines to achieve desired impacts and process improvements.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generally offer the nCino Platform on a subscription basis pursuant to non-cancelable multi-year contracts that are typically three to five years in duration. nCino has evolved from a single product workflow solution to a platform of best-in-class, intelligent solutions. Our Intelligent Solution Framework pricing model helps ensure the value-based positioning and pricing of our products and creates an opportunity to embed intelligence into all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July 31, 2026, we had 184 sales and sales support personnel in the U.S. and 132 sales and support personnel in offices outside the U.S.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Platform. For regional FIs, we work with SIs such as West Monroe Partners, and for community banks, we work with SIs or perform configuration and implementation ourselves. We expect enterprise FIs to make up a greater proportion of our nCino Platform sales.</w:t>
      </w:r>
    </w:p>
    <w:p>
      <w:pPr>
        <w:pStyle w:val="TextBody"/>
        <w:bidi w:val="0"/>
        <w:spacing w:lineRule="auto" w:line="288" w:before="240" w:after="283"/>
        <w:ind w:left="0" w:right="0" w:firstLine="990"/>
        <w:jc w:val="left"/>
        <w:rPr>
          <w:rFonts w:ascii="Times New Roman;serif" w:hAnsi="Times New Roman;serif"/>
          <w:b/>
          <w:i/>
          <w:color w:val="000000"/>
          <w:sz w:val="20"/>
        </w:rPr>
      </w:pPr>
      <w:r>
        <w:rPr>
          <w:rFonts w:ascii="Times New Roman;serif" w:hAnsi="Times New Roman;serif"/>
          <w:b/>
          <w:i/>
          <w:color w:val="000000"/>
          <w:sz w:val="20"/>
        </w:rPr>
        <w:t>Current Events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March 30, 2026, the Company entered into an Incremental Facility Amendment (the “First Amendment”) to the 2024 Credit Agreement. Pursuant to the First Amendment, the Lenders provided to nCino OpCo, Inc. (the “Borrower”) a senior secured incremental term loan of $200.0 million (the “Term Loan”), which matures on October 28, 2029. The Term Loan requires scheduled quarterly principal payments of $2.5 million, with the remaining balance due at maturity. The Term Loan may be voluntarily prepaid at any time without penalty; however, any repaid amounts may not be reborrowed. The interest rate terms, guarantee structure, collateral provisions, and financial covenants applicable to the Term Loan are consistent with those governing the 2024 Credit Facility. The proceeds were used to reduce a portion of the outstanding balance on our revolving credit facility and to finance an accelerated share repurchase program discussed below. See Note 10 “Debt” of the notes to our unaudited condensed consolidated financial statements included in Part I, Item 1 of this Quarterly Report on Form 10-Q for additional information.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On March 31, 2026, the Company entered into an Accelerated Share Repurchase (“ASR”) agreement with Wells Fargo Bank, N.A., authorized by the Board of Directors, for $100.0 million. The initial delivery of shares for the full purchase price of $100.0 million represented approximately 80% of the aggregate purchase price, based on an initial price of $14.98 per share. On June 2, 2026, upon final settlement of the ASR agreement we received additional shares of our common stock based on a price of $16.57 per share. See Note 8 “Stockholders’ Equity and Stock-Based Compensation” of the notes to our unaudited condensed consolidated financial statements included in Part I, Item 1 of this Quarterly Report on Form 10-Q for more information.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July 31, 2025 and 2026, our total revenues were $148.8 million and $161.0 million, respectively, representing an 8.2% increase. For the three months ended July 31, 2025 and 2026, our subscription revenues were $130.8 million and $143.5 million, respectively, representing a 9.7% increase. We recorded net income attributable to nCino, Inc. of $5.1 million for the three months ended July 31, 2026, compared to a net loss attributable to nCino, Inc. of $15.3 million for the three months ended July 31, 2025. For the six months ended July 31, 2025 and 2026, our total revenues were $293.0 million and $320.4 million, respectively, representing a 9.4% increase. For the six months ended July 31, 2025 and 2026, our subscription revenues were $256.3 million and $284.4 million, respectively, representing a 10.9% increase. We recorded net income attributable to nCino, Inc. of $18.7 million for the six months ended July 31, 2026, compared to a net loss attributable to nCino, Inc. of $9.7 million for the six months ended July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Operating Results</w:t>
      </w:r>
    </w:p>
    <w:p>
      <w:pPr>
        <w:pStyle w:val="TextBody"/>
        <w:bidi w:val="0"/>
        <w:spacing w:lineRule="auto" w:line="288" w:before="240" w:after="283"/>
        <w:ind w:left="0" w:right="0" w:firstLine="990"/>
        <w:jc w:val="left"/>
        <w:rPr/>
      </w:pPr>
      <w:r>
        <w:rPr>
          <w:rFonts w:ascii="Times New Roman;serif" w:hAnsi="Times New Roman;serif"/>
          <w:b/>
          <w:i/>
          <w:color w:val="000000"/>
          <w:sz w:val="20"/>
        </w:rPr>
        <w:t>Market Adoption of Our Solution</w:t>
      </w:r>
      <w:r>
        <w:rPr>
          <w:rFonts w:ascii="Times New Roman;serif" w:hAnsi="Times New Roman;serif"/>
          <w:b w:val="false"/>
          <w:color w:val="000000"/>
          <w:sz w:val="20"/>
        </w:rPr>
        <w:t>. Our future growth depends on our ability to expand our reach to new FI customers and increase adoption 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Our ability to successfully implement our asset-based pricing model, which we began implementing in fiscal 2025, and our success in implementing AI capabilities in ways that our customers perceive as adding value, will also be key drivers. In addition, growing our customer base will require us to increasingly penetrate markets outside the U.S., which accounted for 22.6% of total revenues for the three months ended July 31, 2026 and 22.7% for the six months ended July 31, 2026.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sustain profitability will be adversely affected, which may in turn reduce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erif" w:hAnsi="Times New Roman;serif"/>
          <w:b/>
          <w:i/>
          <w:color w:val="000000"/>
          <w:sz w:val="20"/>
        </w:rPr>
        <w:t>Mix of Subscription and Professional Services Revenues.</w:t>
      </w:r>
      <w:r>
        <w:rPr>
          <w:color w:val="000000"/>
        </w:rPr>
        <w:t xml:space="preserve"> </w:t>
      </w:r>
      <w:r>
        <w:rPr>
          <w:rFonts w:ascii="Times New Roman;serif" w:hAnsi="Times New Roman;serif"/>
          <w:b w:val="false"/>
          <w:color w:val="000000"/>
          <w:sz w:val="20"/>
        </w:rPr>
        <w:t>The initial deployment of our solutions by our customers requires a period of implementation and configuration services that typically average less than six months, but may extend beyond twelve months, depending on scope. As a result,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we expect subscription revenues will continue to make up an increasing proportion of our total revenues.</w:t>
      </w:r>
    </w:p>
    <w:p>
      <w:pPr>
        <w:pStyle w:val="TextBody"/>
        <w:bidi w:val="0"/>
        <w:spacing w:lineRule="auto" w:line="288" w:before="240" w:after="283"/>
        <w:ind w:left="0" w:right="0" w:firstLine="990"/>
        <w:jc w:val="left"/>
        <w:rPr/>
      </w:pPr>
      <w:r>
        <w:rPr>
          <w:rFonts w:ascii="Times New Roman;serif" w:hAnsi="Times New Roman;serif"/>
          <w:b/>
          <w:i/>
          <w:color w:val="000000"/>
          <w:sz w:val="20"/>
        </w:rPr>
        <w:t xml:space="preserve">Macroeconomic Environment. </w:t>
      </w:r>
      <w:r>
        <w:rPr>
          <w:rFonts w:ascii="Times New Roman;serif" w:hAnsi="Times New Roman;serif"/>
          <w:b w:val="false"/>
          <w:color w:val="000000"/>
          <w:sz w:val="20"/>
        </w:rPr>
        <w:t>We are currently operating in a fluctuating interest rate environment with inflationary pressures. These fluctuations have had an impact on the real estate market in the U.S. and specifically, the demand for mortgages and mortgage-related products and services, which has had a negative impact on our U.S. mortgage business.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will continue to monitor the impact the macroeconomic environment may have on our business.</w:t>
      </w:r>
    </w:p>
    <w:p>
      <w:pPr>
        <w:pStyle w:val="TextBody"/>
        <w:bidi w:val="0"/>
        <w:spacing w:lineRule="auto" w:line="288" w:before="240" w:after="283"/>
        <w:ind w:left="0" w:right="0" w:firstLine="990"/>
        <w:jc w:val="left"/>
        <w:rPr/>
      </w:pPr>
      <w:r>
        <w:rPr>
          <w:rFonts w:ascii="Times New Roman;serif" w:hAnsi="Times New Roman;serif"/>
          <w:b/>
          <w:i/>
          <w:color w:val="000000"/>
          <w:sz w:val="20"/>
        </w:rPr>
        <w:t>Continued Investment in Innovation and Growth</w:t>
      </w:r>
      <w:r>
        <w:rPr>
          <w:rFonts w:ascii="Times New Roman;serif" w:hAnsi="Times New Roman;serif"/>
          <w:b w:val="false"/>
          <w:color w:val="000000"/>
          <w:sz w:val="20"/>
        </w:rPr>
        <w:t>. We have made substantial investments in product development, sales and marketing, and 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derive our revenues from subscription and professional services and other revenues.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Subscription Revenues</w:t>
      </w:r>
      <w:r>
        <w:rPr>
          <w:rFonts w:ascii="Times New Roman;serif" w:hAnsi="Times New Roman;serif"/>
          <w:b w:val="false"/>
          <w:color w:val="000000"/>
          <w:sz w:val="20"/>
        </w:rPr>
        <w:t>. Our subscription revenues consist principally of fees from customers for accessing our solutions and maintenance and support services that we generally offer under non-cancelable multi-year contracts, which are typically three to five years in length. Specifically, we offer: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Client onboarding, loan origination, and deposit account opening solutions targeted at a FI’s commercial, small business, and retail lines of business, as well as Banking Advisor and other ancillary products, for which we generally charge on a per seat basis or based upon the asset size of the customer. As we continue transitioning to our asset-based pricing model, we expect the number of customers we charge based on asset size will increase considerably.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Through our U.S. mortgage business, a digital homeownership solution uniting people, systems, and stages of the mortgage process into a seamless end-to-end journey for which we generally charge on a per seat or anticipated lending volume basis.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Maintenance and support services as well as internal-use or “sandbox” development licenses, for which we generally charge as a percentage of the related subscription fees.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subscription revenues are generally recognized ratably over the term of the contract beginning upon activation. For new customers, we typically activate all seats at inception of the agreement with stated price increases at specified intervals over the contract term. In these arrangements, the aggregate license fees over the contract term are recognized as revenue in equal amounts annually over the term. We may also activate a portion of seats at inception of the agreement, with the balance of seats activated at contractually specified points in time thereafter. Both approaches pattern the amount of our invoicing to customers after their expected rate of implementation and adoption. Where seats are activated in stages, we charge subscription fees from the date of activation through the anniversary of the initial activation date, and annually thereafter. Subscription fees are generally billed annually in advance while subscription fees for U.S. mortgage are generally billed monthly.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Platform. When we resell such access, we charge a higher subscription price and remit a higher subscription fee to Salesforce for these subscriptions.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erif" w:hAnsi="Times New Roman;serif"/>
          <w:b w:val="false"/>
          <w:i/>
          <w:color w:val="000000"/>
          <w:sz w:val="20"/>
        </w:rPr>
        <w:t>Professional Services and Other Revenues</w:t>
      </w:r>
      <w:r>
        <w:rPr>
          <w:rFonts w:ascii="Times New Roman;serif" w:hAnsi="Times New Roman;serif"/>
          <w:b w:val="false"/>
          <w:color w:val="000000"/>
          <w:sz w:val="20"/>
        </w:rPr>
        <w:t>. Professional services and other revenues consist of fees for implementation and configuration assistance, training, and advisory services. For enterprise and larger regional FIs, we generally work with SI partners to provide the majority of implementation services for the nCino Platform, for which these SI partners bill our customers directly. We have historically delivered professional services ourselves for community banks, smaller credit unions, and our U.S. mortgage business.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Revenues and Gross Margin</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Cost of Subscription Revenues</w:t>
      </w:r>
      <w:r>
        <w:rPr>
          <w:rFonts w:ascii="Times New Roman;serif" w:hAnsi="Times New Roman;serif"/>
          <w:b w:val="false"/>
          <w:color w:val="000000"/>
          <w:sz w:val="20"/>
        </w:rPr>
        <w:t>. Cost of subscription revenues consists of fees paid to Salesforce for access to the Salesforce Platform, 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based on the relative mix of revenues from our solutions, including the resale of Salesforce’s CRM solution, and the utilization of support personnel. We expect the cost of subscription revenues will continue to increase in absolute dollars as we grow our business.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Cost of Professional Services and Other Revenues</w:t>
      </w:r>
      <w:r>
        <w:rPr>
          <w:rFonts w:ascii="Times New Roman;serif" w:hAnsi="Times New Roman;serif"/>
          <w:b w:val="false"/>
          <w:color w:val="000000"/>
          <w:sz w:val="20"/>
        </w:rPr>
        <w:t>. Cost of professional services and other revenues consists primarily of personnel-related 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 out our international professional services capabilities. Realized effective billing and utilization rates drive fluctuations in our professional services and other gross margin on a period-to-period basis.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Sales and marketing expenses consist primarily of personnel costs of our sales and marketing employees, including salaries, sales commissions and incentives, benefits, and stock-based compensation expense, travel and related costs. We capitalize incremental costs incurred to obtain revenue contracts, primarily consisting of sales commissions, and subsequently amortize these costs over the expected period of benefit, which we have determined to be approximately four to five years. Sales and marketing expenses also include outside consulting fees, marketing programs, including lead generation, costs of our annual user conference, advertising, trade shows and other event expenses, amortization of intangible assets, and allocated overhead. We expect sales and marketing expenses to decrease as a percentage of revenues as we leverage investments made to date.</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expenses consist primarily of salaries, benefits, and stock-based compensation 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consist primarily of salaries, benefits, and stock-based compensation associated with our executive, finance, legal, human resources, information technology, compliance and other administrative personnel. General and administrative expenses also include accounting, auditing and legal professional services fees, travel and other corporate-related expenses, changes in fair value of contingent consideration, and allocated overhead, as well as transaction-related expenses, such as legal and other professional services fees. We expect general and administrative expenses will decrease as a percentage of revenues as we leverage the investments we have made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Non-Operating Income (Expense)</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Interest income consists primarily of interest earned on our cash and cash equivalents.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Interest expense consists primarily of interest related to our financing obligations along with interest expense on our debt, commitment fees, and amortization of debt issuance costs. Also included is interest expense accretion for a deferred payment on the acquisition of FullCircl.</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(expense), net consists primarily of foreign currency gains and losses, the majority of which is due to intercompany loans and transactions that are denominated in currencies other than the underlying functional currency of the applicable entity.</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 xml:space="preserve">Income Tax Provision. </w:t>
      </w:r>
      <w:r>
        <w:rPr>
          <w:rFonts w:ascii="Times New Roman;serif" w:hAnsi="Times New Roman;serif"/>
          <w:b w:val="false"/>
          <w:color w:val="000000"/>
          <w:sz w:val="20"/>
        </w:rPr>
        <w:t xml:space="preserve">Income tax provision consists of federal and state income taxes in the U.S. and income taxes in foreign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results of operations presented below should be reviewed in conjunction with the financial statements and notes included elsewhere in this Quarterly Report on Form 10-Q. The following tables present our selected unaudited condensed consolidated statements of operations data for the three and six months ended July 31, 2025 and 2026 in both dollars and as a percentage of total revenues, except as noted.</w:t>
      </w:r>
    </w:p>
    <w:tbl>
      <w:tblPr>
        <w:tblW w:w="10205" w:type="dxa"/>
        <w:jc w:val="left"/>
        <w:tblInd w:w="0" w:type="dxa"/>
        <w:tblLayout w:type="fixed"/>
        <w:tblCellMar>
          <w:top w:w="28" w:type="dxa"/>
          <w:left w:w="28" w:type="dxa"/>
          <w:bottom w:w="28" w:type="dxa"/>
          <w:right w:w="28" w:type="dxa"/>
        </w:tblCellMar>
      </w:tblPr>
      <w:tblGrid>
        <w:gridCol w:w="1731"/>
        <w:gridCol w:w="1431"/>
        <w:gridCol w:w="143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2026</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redeemable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attributable to redeemable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nCino,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as follows:</w:t>
      </w:r>
    </w:p>
    <w:tbl>
      <w:tblPr>
        <w:tblW w:w="9194" w:type="dxa"/>
        <w:jc w:val="left"/>
        <w:tblInd w:w="0" w:type="dxa"/>
        <w:tblLayout w:type="fixed"/>
        <w:tblCellMar>
          <w:top w:w="28" w:type="dxa"/>
          <w:left w:w="28" w:type="dxa"/>
          <w:bottom w:w="28" w:type="dxa"/>
          <w:right w:w="28" w:type="dxa"/>
        </w:tblCellMar>
      </w:tblPr>
      <w:tblGrid>
        <w:gridCol w:w="1448"/>
        <w:gridCol w:w="1275"/>
        <w:gridCol w:w="128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Company recognized amortization expense for intangible assets as follows:</w:t>
      </w:r>
    </w:p>
    <w:tbl>
      <w:tblPr>
        <w:tblW w:w="9015" w:type="dxa"/>
        <w:jc w:val="left"/>
        <w:tblInd w:w="0" w:type="dxa"/>
        <w:tblLayout w:type="fixed"/>
        <w:tblCellMar>
          <w:top w:w="28" w:type="dxa"/>
          <w:left w:w="28" w:type="dxa"/>
          <w:bottom w:w="28" w:type="dxa"/>
          <w:right w:w="28" w:type="dxa"/>
        </w:tblCellMar>
      </w:tblPr>
      <w:tblGrid>
        <w:gridCol w:w="1448"/>
        <w:gridCol w:w="1275"/>
        <w:gridCol w:w="1281"/>
        <w:gridCol w:w="214"/>
        <w:gridCol w:w="626"/>
        <w:gridCol w:w="110"/>
        <w:gridCol w:w="110"/>
        <w:gridCol w:w="110"/>
        <w:gridCol w:w="110"/>
        <w:gridCol w:w="214"/>
        <w:gridCol w:w="626"/>
        <w:gridCol w:w="110"/>
        <w:gridCol w:w="109"/>
        <w:gridCol w:w="109"/>
        <w:gridCol w:w="109"/>
        <w:gridCol w:w="211"/>
        <w:gridCol w:w="721"/>
        <w:gridCol w:w="109"/>
        <w:gridCol w:w="109"/>
        <w:gridCol w:w="109"/>
        <w:gridCol w:w="109"/>
        <w:gridCol w:w="211"/>
        <w:gridCol w:w="721"/>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 and other revenues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55"/>
        <w:gridCol w:w="1509"/>
        <w:gridCol w:w="1526"/>
        <w:gridCol w:w="307"/>
        <w:gridCol w:w="309"/>
        <w:gridCol w:w="416"/>
        <w:gridCol w:w="167"/>
        <w:gridCol w:w="167"/>
        <w:gridCol w:w="167"/>
        <w:gridCol w:w="307"/>
        <w:gridCol w:w="309"/>
        <w:gridCol w:w="416"/>
        <w:gridCol w:w="109"/>
        <w:gridCol w:w="109"/>
        <w:gridCol w:w="109"/>
        <w:gridCol w:w="307"/>
        <w:gridCol w:w="309"/>
        <w:gridCol w:w="381"/>
        <w:gridCol w:w="153"/>
        <w:gridCol w:w="153"/>
        <w:gridCol w:w="153"/>
        <w:gridCol w:w="307"/>
        <w:gridCol w:w="309"/>
        <w:gridCol w:w="451"/>
      </w:tblGrid>
      <w:tr>
        <w:trPr/>
        <w:tc>
          <w:tcPr>
            <w:tcW w:w="175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(percentage shown in comparison to related revenues):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w:t>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and Six Months Ended July 31, 2025 and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tbl>
      <w:tblPr>
        <w:tblW w:w="11622" w:type="dxa"/>
        <w:jc w:val="left"/>
        <w:tblInd w:w="0" w:type="dxa"/>
        <w:tblLayout w:type="fixed"/>
        <w:tblCellMar>
          <w:top w:w="28" w:type="dxa"/>
          <w:left w:w="28" w:type="dxa"/>
          <w:bottom w:w="28" w:type="dxa"/>
          <w:right w:w="28" w:type="dxa"/>
        </w:tblCellMar>
      </w:tblPr>
      <w:tblGrid>
        <w:gridCol w:w="461"/>
        <w:gridCol w:w="406"/>
        <w:gridCol w:w="28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6"/>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Subscription Revenues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Subscription revenues increased $12.7 million for the three months ended July 31, 2026 compared to the three months ended July 31, 2025, primarily attributable to growth from existing customers within and across lines of business, and revenues from customers that began contributing to subscription revenues after July 31, 2025. Of the increase, 65.9% was attributable to increased revenues from existing customers as customers expanded their use and adoption of our solutions, and 34.1% was attributable to revenues from customers that began contributing to subscription revenues after July 31, 2025. Subscription revenues were 89.1% of total revenues for the three months ended July 31, 2026 compared to 87.9% of total revenues for the three months ended July 31, 2025, primarily due to growth in our installed base.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Subscription revenues increased $28.1 million for the six months ended July 31, 2026 compared to the six months ended July 31, 2025, primarily attributable to growth from existing customers within and across lines of business, and revenues from customers that began contributing to subscription revenues after July 31, 2025. Of the increase, 71.0% was attributable to increased revenues from existing customers as customers expanded their use and adoption of our solutions, and 29.0% was attributable to revenues from customers that began contributing to subscription revenues after July 31, 2025. Subscription revenues were 88.8% of total revenues for the six months ended July 31, 2026 compared to 87.5% of total revenues for the six months ended July 31, 2025, primarily due to growth in our installed base.</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Professional Services and Other Revenues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 revenues decreased $0.5 million and $0.6 million for the three and six months ended July 31, 2026 compared to the three and six months ended July 31, 2025, respectively, primarily attributable to the mix of solutions being implemented.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Revenues and Gross Margin</w:t>
      </w:r>
    </w:p>
    <w:tbl>
      <w:tblPr>
        <w:tblW w:w="11487" w:type="dxa"/>
        <w:jc w:val="left"/>
        <w:tblInd w:w="0" w:type="dxa"/>
        <w:tblLayout w:type="fixed"/>
        <w:tblCellMar>
          <w:top w:w="28" w:type="dxa"/>
          <w:left w:w="28" w:type="dxa"/>
          <w:bottom w:w="28" w:type="dxa"/>
          <w:right w:w="28" w:type="dxa"/>
        </w:tblCellMar>
      </w:tblPr>
      <w:tblGrid>
        <w:gridCol w:w="521"/>
        <w:gridCol w:w="336"/>
        <w:gridCol w:w="269"/>
        <w:gridCol w:w="211"/>
        <w:gridCol w:w="721"/>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6"/>
      </w:tblGrid>
      <w:tr>
        <w:trPr/>
        <w:tc>
          <w:tcPr>
            <w:tcW w:w="5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(percentage shown in comparison to related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 and 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Cost of Subscription Revenues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Cost of subscription revenues increased $1.9 million for the three months ended July 31, 2026 compared to the three months ended July 31, 2025, generating a gross margin for subscription revenues of 70.9% and 72.2% for the three months ended July 31, 2025 and 2026, respectively. Cost of subscription revenues increased $5.1 million for the six months ended July 31, 2026 compared to the six months ended July 31, 2025, generating a gross margin for subscription revenues of 71.1% and 72.2% for the six months ended July 31, 2025 and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increase for the three months ended July 31, 2026 primarily consisted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$2.1 million increase in costs related to Salesforce user fees as we continued to add new customers and sell additional functionality to existing customers;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$1.4 million increase in third-party data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partially offset by a $1.5 million decrease in personnel costs primarily attributable to lower headcount following our second quarter fiscal 2026 workforce reduction and the non-recurrence of the associated restructuring costs.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increase for the six months ended July 31, 2026 primarily consisted of:</w:t>
      </w:r>
    </w:p>
    <w:p>
      <w:pPr>
        <w:pStyle w:val="TextBody"/>
        <w:bidi w:val="0"/>
        <w:spacing w:lineRule="auto" w:line="288" w:before="240" w:after="283"/>
        <w:ind w:left="0" w:right="0" w:hanging="360"/>
        <w:jc w:val="left"/>
        <w:rPr/>
      </w:pPr>
      <w:r>
        <w:rPr>
          <w:color w:val="000000"/>
        </w:rPr>
        <w:t xml:space="preserve">• </w:t>
      </w:r>
      <w:r>
        <w:rPr>
          <w:rFonts w:ascii="Times New Roman;serif" w:hAnsi="Times New Roman;serif"/>
          <w:b w:val="false"/>
          <w:color w:val="000000"/>
          <w:sz w:val="20"/>
        </w:rPr>
        <w:t>a $4.2 million increase in costs related to Salesforce user fees as we continued to add new customers and sell additional functionality to existing customers;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$2.5 million increase in third-party data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partially offset by a $1.7 million decrease in personnel costs primarily attributable to lower headcount following our second quarter fiscal 2026 workforce reduction and the non-recurrence of the associated restructuring costs.</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Cost of Professional Services and Other Revenues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professional services and other revenues decreased $2.4 million for the three months ended July 31, 2026 compared to the three months ended July 31, 2025, generating a gross margin for professional services and other revenues of (25.7)% and (15.8)% for the three months ended July 31, 2025 and 2026, respectively. Cost of professional services and other revenues decreased $4.7 million for the six months ended July 31, 2026 compared to the six months ended July 31, 2025, generating a gross margin for professional services and other revenues of (20.9)% and (9.7)% for the six months ended July 31, 2025 and 2026, respectively. The increase in our professional services and other gross margin for the three and six months ended July 31, 2026 was primarily attributable to a decrease in headcount, coupled with higher effective billing and utilization rates.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decrease for the three months ended July 31, 2026 primarily consisted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 $1.8 million decrease in personnel costs primarily attributable to lower headcount following our second quarter fiscal 2026 workforce reduction and the non-recurrence of the associated restructuring costs;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$0.4 million decrease for third-party costs of professional services;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$0.4 million decrease in allocated overhead.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decrease for the six months ended July 31, 2026 primarily consisted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 $3.7 million decrease in personnel costs primarily attributable to lower headcount following our second quarter fiscal 2026 workforce reduction and the non-recurrence of the associated restructuring costs;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$0.8 million decrease for third-party costs of professional services;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$0.3 million decrease in allocated overhead.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0932" w:type="dxa"/>
        <w:jc w:val="left"/>
        <w:tblInd w:w="0" w:type="dxa"/>
        <w:tblLayout w:type="fixed"/>
        <w:tblCellMar>
          <w:top w:w="28" w:type="dxa"/>
          <w:left w:w="28" w:type="dxa"/>
          <w:bottom w:w="28" w:type="dxa"/>
          <w:right w:w="28" w:type="dxa"/>
        </w:tblCellMar>
      </w:tblPr>
      <w:tblGrid>
        <w:gridCol w:w="745"/>
        <w:gridCol w:w="277"/>
        <w:gridCol w:w="269"/>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271"/>
        <w:gridCol w:w="109"/>
        <w:gridCol w:w="109"/>
        <w:gridCol w:w="109"/>
        <w:gridCol w:w="211"/>
        <w:gridCol w:w="736"/>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316"/>
      </w:tblGrid>
      <w:tr>
        <w:trPr/>
        <w:tc>
          <w:tcPr>
            <w:tcW w:w="7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decreased $0.3 million for the three months ended July 31, 2026 compared to the three months ended July 31, 2025, and increased $0.4 million for the six months ended July 31, 2026 compared to the six months ended July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decrease for the three months ended July 31, 2026 primarily consisted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$0.6 million decrease in amortization expense, primarily attributable to intangible assets that became fully amortized;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$0.5 million net decrease in personnel costs, consisting of a $1.5 million decrease primarily attributable to our second quarter fiscal 2026 workforce reduction and the non-recurrence of the associated restructuring costs, partially offset by a $1.0 million increase in capitalized commission amortization expense;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240" w:after="283"/>
        <w:ind w:left="0" w:right="0" w:hanging="360"/>
        <w:jc w:val="left"/>
        <w:rPr/>
      </w:pPr>
      <w:r>
        <w:rPr>
          <w:color w:val="000000"/>
        </w:rPr>
        <w:t xml:space="preserve">• </w:t>
      </w:r>
      <w:r>
        <w:rPr>
          <w:rFonts w:ascii="Times New Roman;serif" w:hAnsi="Times New Roman;serif"/>
          <w:b w:val="false"/>
          <w:color w:val="000000"/>
          <w:sz w:val="20"/>
        </w:rPr>
        <w:t>a $0.4 million increase in stock-based compensation expense;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$0.4 million increase in sales-related travel costs.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increase for the six months ended July 31, 2026 primarily consisted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 $0.6 million increase in stock-based compensation expense;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personnel costs were flat due to a $2.0 million decrease primarily attributable to our second quarter fiscal 2026 workforce reduction and the non-recurrence of the associated restructuring costs, offset by a $2.0 million increase in capitalized commission amortization expense,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$0.5 million increase in sales-related travel costs;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partially offset by a $0.7 million decrease in amortization expense, primarily attributable to intangible assets that became fully amortized.</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Sales and marketing headcount increased by 13 from July 31, 2025 to July 31, 2026.</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$3.6 million for the three months ended July 31, 2026 compared to the three months ended July 31, 2025, and decreased $8.1 million for the six months ended July 31, 2026 compared to the six months ended July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decrease for the three months ended July 31, 2026 primarily consisted 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 xml:space="preserve">• </w:t>
      </w:r>
      <w:r>
        <w:rPr>
          <w:rFonts w:ascii="Times New Roman;serif" w:hAnsi="Times New Roman;serif"/>
          <w:b w:val="false"/>
          <w:color w:val="000000"/>
          <w:sz w:val="20"/>
        </w:rPr>
        <w:t>a $4.4 million decrease in personnel costs primarily attributable to lower headcount following our second quarter fiscal 2026 workforce reduction and the non-recurrence of the associated restructuring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$0.6 million increase in stock-based compensation expense;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$0.4 million increase in allocated overhead primarily attributable to internal investments in AI technology.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decrease for the six months ended July 31, 2026 primarily consisted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 $8.4 million decrease in personnel costs primarily attributable to lower headcount following our second quarter fiscal 2026 workforce reduction and the non-recurrence of the associated restructuring costs;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 $0.5 million decrease in stock-based compensation expense;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partially offset by a $0.8 million increase in allocated overhead primarily attributable to internal investments in AI technology.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Research and development headcount decreased by 9 from July 31, 2025 to July 31, 2026.</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$6.3 million for the three months ended July 31, 2026 compared to the three months ended July 31, 2025, and decreased $10.7 million for the six months ended July 31, 2026 compared to the six months ended July 31, 2025.</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decrease for the three months ended July 31, 2026 primarily consisted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$2.4 million decrease in allocated overhead and other general and administrative costs, primarily attributable to a decrease in exit costs and asset write-offs from our restructuring in the second quarter of fiscal 2026;</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 $1.7 million decrease in personnel costs primarily attributable to lower headcount following our second quarter fiscal 2026 workforce reduction and the non-recurrence of the associated restructuring costs;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$1.4 million decrease in stock-based compensation expense;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$0.6 million decrease in third-party professional fees, mostly attributable to a decrease in transaction-related expenses and professional fees.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decrease for the six months ended July 31, 2026 primarily consisted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$3.5 million decrease in allocated overhead and other general and administrative costs, primarily attributable to a decrease in exit costs and asset write-offs from our restructuring in the second quarter of fiscal 2026;</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 $2.8 million decrease in personnel costs primarily attributable to lower headcount following our second quarter fiscal 2026 workforce reduction and the non-recurrence of the associated restructuring costs;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$2.3 million decrease in stock-based compensation expense;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$1.9 million decrease in third-party professional fees, mostly attributable to a decrease in transaction-related expenses and professional fees.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headcount decreased by 3 from July 31, 2025 to July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Non-Operating Income (Expense)</w:t>
      </w:r>
    </w:p>
    <w:tbl>
      <w:tblPr>
        <w:tblW w:w="10205" w:type="dxa"/>
        <w:jc w:val="left"/>
        <w:tblInd w:w="0" w:type="dxa"/>
        <w:tblLayout w:type="fixed"/>
        <w:tblCellMar>
          <w:top w:w="28" w:type="dxa"/>
          <w:left w:w="28" w:type="dxa"/>
          <w:bottom w:w="28" w:type="dxa"/>
          <w:right w:w="28" w:type="dxa"/>
        </w:tblCellMar>
      </w:tblPr>
      <w:tblGrid>
        <w:gridCol w:w="651"/>
        <w:gridCol w:w="551"/>
        <w:gridCol w:w="554"/>
        <w:gridCol w:w="213"/>
        <w:gridCol w:w="471"/>
        <w:gridCol w:w="109"/>
        <w:gridCol w:w="109"/>
        <w:gridCol w:w="109"/>
        <w:gridCol w:w="109"/>
        <w:gridCol w:w="226"/>
        <w:gridCol w:w="228"/>
        <w:gridCol w:w="271"/>
        <w:gridCol w:w="109"/>
        <w:gridCol w:w="109"/>
        <w:gridCol w:w="109"/>
        <w:gridCol w:w="213"/>
        <w:gridCol w:w="471"/>
        <w:gridCol w:w="109"/>
        <w:gridCol w:w="109"/>
        <w:gridCol w:w="109"/>
        <w:gridCol w:w="109"/>
        <w:gridCol w:w="226"/>
        <w:gridCol w:w="228"/>
        <w:gridCol w:w="271"/>
        <w:gridCol w:w="109"/>
        <w:gridCol w:w="109"/>
        <w:gridCol w:w="109"/>
        <w:gridCol w:w="224"/>
        <w:gridCol w:w="497"/>
        <w:gridCol w:w="109"/>
        <w:gridCol w:w="109"/>
        <w:gridCol w:w="109"/>
        <w:gridCol w:w="109"/>
        <w:gridCol w:w="226"/>
        <w:gridCol w:w="228"/>
        <w:gridCol w:w="271"/>
        <w:gridCol w:w="109"/>
        <w:gridCol w:w="109"/>
        <w:gridCol w:w="109"/>
        <w:gridCol w:w="213"/>
        <w:gridCol w:w="471"/>
        <w:gridCol w:w="109"/>
        <w:gridCol w:w="109"/>
        <w:gridCol w:w="109"/>
        <w:gridCol w:w="109"/>
        <w:gridCol w:w="226"/>
        <w:gridCol w:w="228"/>
        <w:gridCol w:w="322"/>
      </w:tblGrid>
      <w:tr>
        <w:trPr/>
        <w:tc>
          <w:tcPr>
            <w:tcW w:w="6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Interest income decreased $0.2 million for the three months ended July 31, 2026 compared to the three months ended July 31, 2025, primarily attributable to balance and rate fluctuations of our accounts earning interest. Interest expense increased $0.8 million for the three months ended July 31, 2026 compared to the three months ended July 31, 2025 due to our outstanding borrowings on our revolving credit facility and term loan. The decrease of $1.5 million in other income (expense), net for the three months ended July 31, 2026 compared to the three months ended July 31, 2025, was primarily attributable to certain intercompany loans and transactions in fiscal 2026 that were denominated in currencies other than the underlying functional currency of the applicable entity.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Interest income decreased $0.3 million for the six months ended July 31, 2026 compared to the six months ended July 31, 2025, primarily attributable to balance and rate fluctuations of our accounts earning interest. Interest expense increased $0.8 million for the six months ended July 31, 2026 compared to the six months ended July 31, 2025, due to our outstanding borrowings on our revolving credit facility and term loan. The decrease of $17.9 million in other income (expense), net for the six months ended July 31, 2026 compared to the six months ended July 31, 2025, was primarily attributable to intercompany loans and transactions that are denominated in currencies other than the underlying functional currency of the applicable entity.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 Provision</w:t>
      </w:r>
    </w:p>
    <w:tbl>
      <w:tblPr>
        <w:tblW w:w="10205" w:type="dxa"/>
        <w:jc w:val="left"/>
        <w:tblInd w:w="0" w:type="dxa"/>
        <w:tblLayout w:type="fixed"/>
        <w:tblCellMar>
          <w:top w:w="28" w:type="dxa"/>
          <w:left w:w="28" w:type="dxa"/>
          <w:bottom w:w="28" w:type="dxa"/>
          <w:right w:w="28" w:type="dxa"/>
        </w:tblCellMar>
      </w:tblPr>
      <w:tblGrid>
        <w:gridCol w:w="530"/>
        <w:gridCol w:w="443"/>
        <w:gridCol w:w="445"/>
        <w:gridCol w:w="211"/>
        <w:gridCol w:w="61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317"/>
      </w:tblGrid>
      <w:tr>
        <w:trPr/>
        <w:tc>
          <w:tcPr>
            <w:tcW w:w="53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Income tax provision was $1.2 million for the three months ended July 31, 2025, compared to a provision of $1.5 million for the three months ended July 31, 2026, and resulted in an effective tax rate of (9.7)% and 19.3%, respectively. Income tax provision was $5.7 million for the six months ended July 31, 2025 compared to an income tax provision of $3.2 million for the six months ended July 31, 2026, and resulted in an effective tax rate of (293.1)% and 13.0%, respectively. The change in the effective tax rate for the six months ended July 31, 2025 compared to the effective tax rate for the six months ended July 31, 2026 was primarily due to changes in our valuation allowance and profitability.</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maintain a valuation allowance against our deferred tax assets at both January 31, 2026 and July 31, 2026 in several jurisdictions, including the U.S. and U.K. We intend to maintain a valuation allowance on the deferred tax assets in these jurisdictions until, based on the weight of all available evidence, we conclude all or a portion thereof is more-likely-than-not to be realized. We believe it is reasonably possible within the next 12 months that there will be sufficient positive evidence to reach a conclusion that some or all of the U.S. valuation allowance will no longer be needed. Release of the valuation allowance would result in the recognition of certain deferred tax assets and a decrease to income tax expense for the period in which the release is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addition to providing financial measurements based on GAAP, we provide non-GAAP operating income as an additional financial metric that is not prepared in accordance with GAAP (“non-GAAP”). Our calculation of non-GAAP operating income is described below.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w:t>
      </w:r>
    </w:p>
    <w:p>
      <w:pPr>
        <w:pStyle w:val="TextBody"/>
        <w:bidi w:val="0"/>
        <w:spacing w:lineRule="auto" w:line="288" w:before="240" w:after="283"/>
        <w:ind w:left="0" w:right="0" w:firstLine="990"/>
        <w:jc w:val="left"/>
        <w:rPr/>
      </w:pPr>
      <w:r>
        <w:rPr>
          <w:rFonts w:ascii="Times New Roman;serif" w:hAnsi="Times New Roman;serif"/>
          <w:b/>
          <w:i/>
          <w:color w:val="000000"/>
          <w:sz w:val="20"/>
        </w:rPr>
        <w:t>Non-GAAP operating income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Non-GAAP operating income is defined as Income (loss) from operations as reported in our unaudited condensed consolidated statements of operations excluding the following items: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Amortization of Purchased Intangibles.</w:t>
      </w:r>
      <w:r>
        <w:rPr>
          <w:color w:val="000000"/>
        </w:rPr>
        <w:t xml:space="preserve"> </w:t>
      </w:r>
      <w:r>
        <w:rPr>
          <w:rFonts w:ascii="Times New Roman;serif" w:hAnsi="Times New Roman;serif"/>
          <w:b w:val="false"/>
          <w:color w:val="000000"/>
          <w:sz w:val="20"/>
        </w:rPr>
        <w:t>nCino incurs amortization expense for purchased intangible assets in connection with certain mergers and acquisitions. Because these costs have already been incurred, cannot be recovered, are non-cash, and are affected by the inherent subjective nature of purchase price allocations, nCino excludes these expenses for our internal management reporting processes. nCino’s management also finds it useful to exclude these charges when assessing the appropriate level of various operating expenses and resource allocations when budgeting, planning and forecasting future periods. Although nCino excludes amortization expense for purchased intangibles from these non-GAAP measures, management believes it is important for investors to understand that such intangible assets were recorded as part of purchase accounting and contribute to revenue generation.</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Stock-Based Compensation Expenses.</w:t>
      </w:r>
      <w:r>
        <w:rPr>
          <w:color w:val="000000"/>
        </w:rPr>
        <w:t xml:space="preserve"> </w:t>
      </w:r>
      <w:r>
        <w:rPr>
          <w:rFonts w:ascii="Times New Roman;serif" w:hAnsi="Times New Roman;serif"/>
          <w:b w:val="false"/>
          <w:color w:val="000000"/>
          <w:sz w:val="20"/>
        </w:rPr>
        <w:t>nCino excludes stock-based compensation expenses primarily because they are non-cash expenses that nCino excludes from our internal management reporting processes. nCino’s management also finds it useful to exclude these expenses when they assess the appropriate level of various operating expenses and resource allocations when budgeting, planning and forecasting future periods. Moreover, because of varying available valuation methodologies, subjective assumptions and the variety of award types that companies can use, nCino believes excluding stock-based compensation expenses allows investors to make meaningful comparisons between our recurring core business operating results and those of other companies.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Transaction-Related Expenses.</w:t>
      </w:r>
      <w:r>
        <w:rPr>
          <w:color w:val="000000"/>
        </w:rPr>
        <w:t xml:space="preserve"> </w:t>
      </w:r>
      <w:r>
        <w:rPr>
          <w:rFonts w:ascii="Times New Roman;serif" w:hAnsi="Times New Roman;serif"/>
          <w:b w:val="false"/>
          <w:color w:val="000000"/>
          <w:sz w:val="20"/>
          <w:shd w:fill="FFFFFF" w:val="clear"/>
        </w:rPr>
        <w:t>nCino excludes expenses related to mergers and acquisitions or divestitures as they limit comparability of operating results with prior periods. Transaction-related expenses include but are not limited to, costs incurred from third-party professional services firms, change in fair value of contingent consideration, and one-time integration activities. We believe these costs are non-recurring in nature and outside the ordinary course of business.</w:t>
      </w:r>
      <w:r>
        <w:rPr>
          <w:color w:val="000000"/>
        </w:rPr>
        <w:t xml:space="preserve"> </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Litigation Expenses</w:t>
      </w:r>
      <w:r>
        <w:rPr>
          <w:rFonts w:ascii="Times New Roman;serif" w:hAnsi="Times New Roman;serif"/>
          <w:b w:val="false"/>
          <w:color w:val="000000"/>
          <w:sz w:val="20"/>
        </w:rPr>
        <w:t>. nCino excludes fees and expenses related to certain litigation expenses incurred from legal matters outside the ordinary course of our business as we believe their exclusion from non-GAAP operating expenses will facilitate a more meaningful explanation of operating results and comparisons with prior period results.</w:t>
      </w:r>
    </w:p>
    <w:p>
      <w:pPr>
        <w:pStyle w:val="TextBody"/>
        <w:bidi w:val="0"/>
        <w:spacing w:lineRule="auto" w:line="288" w:before="240" w:after="283"/>
        <w:ind w:left="0" w:right="0" w:firstLine="990"/>
        <w:jc w:val="left"/>
        <w:rPr/>
      </w:pPr>
      <w:r>
        <w:rPr>
          <w:rFonts w:ascii="Times New Roman;serif" w:hAnsi="Times New Roman;serif"/>
          <w:b w:val="false"/>
          <w:i/>
          <w:color w:val="000000"/>
          <w:sz w:val="20"/>
        </w:rPr>
        <w:t>Restructuring Costs.</w:t>
      </w:r>
      <w:r>
        <w:rPr>
          <w:color w:val="000000"/>
        </w:rPr>
        <w:t xml:space="preserve"> </w:t>
      </w:r>
      <w:r>
        <w:rPr>
          <w:rFonts w:ascii="Times New Roman;serif" w:hAnsi="Times New Roman;serif"/>
          <w:b w:val="false"/>
          <w:color w:val="000000"/>
          <w:sz w:val="20"/>
          <w:shd w:fill="FFFFFF" w:val="clear"/>
        </w:rPr>
        <w:t>nCino excludes costs incurred related to bespoke restructuring plans and other one-time costs, if any, that are fundamentally different in strategic nature and frequency from ongoing initiatives. We believe excluding these costs facilitates a more consistent comparison of operating performance over time.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non-GAAP operating income to GAAP income (loss) from operations, the most directly comparable financial measure, calculated and presented in accordance with GAAP:</w:t>
      </w:r>
    </w:p>
    <w:tbl>
      <w:tblPr>
        <w:tblW w:w="8340" w:type="dxa"/>
        <w:jc w:val="left"/>
        <w:tblInd w:w="0" w:type="dxa"/>
        <w:tblLayout w:type="fixed"/>
        <w:tblCellMar>
          <w:top w:w="28" w:type="dxa"/>
          <w:left w:w="28" w:type="dxa"/>
          <w:bottom w:w="28" w:type="dxa"/>
          <w:right w:w="28" w:type="dxa"/>
        </w:tblCellMar>
      </w:tblPr>
      <w:tblGrid>
        <w:gridCol w:w="1112"/>
        <w:gridCol w:w="979"/>
        <w:gridCol w:w="984"/>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As of July 31, 2026, we had $83.3 million in cash and cash equivalents. We have a history of losses, and while we have achieved profitability in certain periods, our accumulated deficit is $355.7 million as of July 31, 2026. Our historical net losses have been driven by our investments in developing the nCino Platform and scaling our sales and marketing organization and finance and administrative functions to support our rapid growth.</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To date, we have funded our capital needs through operating cash flows, issuances of common stock including our initial public offering in July 2020, our revolving credit facility, and term loan. In March 2026, we entered into an amendment to the 2024 Credit Agreement for an incremental term loan of $200.0 million. The proceeds were used to reduce a portion of the outstanding balance on our revolving credit facility and to finance an accelerated share repurchase program discussed below.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2024 Credit Agreement matures on October 28, 2029. We are currently in compliance with all covenants, have used borrowing capacity of $78.5 million and have an outstanding letter of credit for $0.1 million to secure leased office space under our $250.0 million revolving credit facility. See Note 10 “Debt” of the notes to our unaudited condensed consolidated financial statements included in Part I, Item 1 of this Quarterly Report on Form 10-Q for more information.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believe that current cash and cash equivalents as well as borrowings available under the 2024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Platform and introduce new solutions, market acceptance of our solutions, the continued expansion of our sales and marketing activities, capital expenditure requirements, repurchases of our common stock, and any potential future acquisitions. We may from time to 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Repurchase Programs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2025, our Board of Directors authorized the March 2025 Stock Repurchase Program of up to $100.0 million of our outstanding common stock which was completed in the third quarter of fiscal 2026.</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our Board of Directors authorized the December 2025 Stock Repurchase Program of up to $100.0 million of our outstanding common stock. </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March 2026, our Board of Directors authorized the ASR of up to $100.0 million of our outstanding common stock which was finalized on June 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July 31, 2026, we repurchased 10.8 million shares of our outstanding common stock for $175.7 million including costs and excise taxes under the December 2025 Stock Repurchase Program and the ASR. As of July 31, 2026, $0.02 million remained available for future repurchases under the December 2025 Stock Repurchase Program. See Note 8 “Stockholders’ Equity and Stock-Based Compensation” of the notes to our unaudited condensed consolidated financial statements included in Part I, Item 1 of this Quarterly Report on Form 10-Q for more information.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August 2026, our Board of Directors authorized an additional stock repurchase program of up to $100.0 million of our outstanding common stock. See Note 15 “Subsequent Event” of the notes to our unaudited condensed consolidated financial statements included in Part I, Item 1 of this Quarterly Report on Form 10-Q for more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nCino K.K.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2026 and July 31, 2026, the redeemable non-controlling interest was $12.7 million and $15.4 million,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Summary Cash Flow information for the six months ended July 31, 2025 and 2026 is set forth below:</w:t>
      </w:r>
    </w:p>
    <w:tbl>
      <w:tblPr>
        <w:tblW w:w="6024" w:type="dxa"/>
        <w:jc w:val="left"/>
        <w:tblInd w:w="0" w:type="dxa"/>
        <w:tblLayout w:type="fixed"/>
        <w:tblCellMar>
          <w:top w:w="28" w:type="dxa"/>
          <w:left w:w="28" w:type="dxa"/>
          <w:bottom w:w="28" w:type="dxa"/>
          <w:right w:w="28" w:type="dxa"/>
        </w:tblCellMar>
      </w:tblPr>
      <w:tblGrid>
        <w:gridCol w:w="1253"/>
        <w:gridCol w:w="1103"/>
        <w:gridCol w:w="1109"/>
        <w:gridCol w:w="211"/>
        <w:gridCol w:w="721"/>
        <w:gridCol w:w="109"/>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$115.6 million provided by operating activities in the six months ended July 31, 2026 reflects our net income of $21.4 million, $65.5 million in net non-cash charges, and $28.7 million generated by changes in working capital accounts. Non-cash charges primarily consisted of stock-based compensation, depreciation and amortization, amortization of costs capitalized to obtain revenue contracts, non-cash operating lease costs, deferred income taxes, change in fair value of contingent consideration, foreign currency losses, amortization of debt issuance costs, provision for bad debt, and losses on the disposal of property and equipment. Cash generated by working capital accounts was principally a function of a $42.9 million decrease in accounts receivable due to the timing of billings and collections from customers, a $12.0 million increase in deferred revenue due to the timing of billings and revenue recognition, a $1.6 million decrease in prepaid expenses, and a $0.3 million increase in accounts payable. The cash generated by working capital accounts was partially offset by a $17.9 million decrease in accrued expenses and other liabilities primarily due to the payment of bonuses and commissions and contingent consideration, an increase of $8.4 million of capitalized costs to obtain revenue contracts which consisted primarily of sales commissions, and a $2.0 million decrease in operating lease liabilities.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 xml:space="preserve">The $72.1 million provided by operating activities in the six months ended July 31, 2025 reflects our net loss of $7.7 million, offset by $54.7 million in net non-cash charges and $25.0 million generated by changes in working capital accounts. Non-cash charges primarily consisted of stock-based compensation, depreciation and amortization, amortization of costs capitalized to obtain revenue contracts, deferred income taxes, non-cash operating lease costs, loss on disposal of long-lived assets, change in fair value of contingent consideration, provision for bad debt, and amortization of debt issuance costs, partially offset by foreign currency gains related to remeasurement of intercompany loans and transactions and gains on investments. Cash generated by working capital accounts was principally a function of a $51.8 million decrease in accounts receivable due to the timings of billings and collections from customers, a $1.6 million decrease in prepaid expenses and other assets, and a $0.7 million increase in accounts payable. The cash generated by working capital accounts was partially offset by a $16.4 million decrease in accrued expenses and other liabilities primarily due to the payout of bonuses and commission,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increase of $6.6 million of capitalized costs to obtain revenue contracts which consisted primarily of sales commissions, a $3.4 million decrease in deferred revenue, due to the timing of billings and revenue recognition, and a $2.6 million decrease in operating lease liabilities.</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$0.8 million used in investing activities in the six months ended July 31, 2026 was for the purchase of property and equipment and leasehold improvements. The $53.4 million used in investing activities in the six months ended July 31, 2025 was comprised of $50.3 million used for the acquisition of Sandbox Banking and $6.9 million for the purchase of property and equipment and leasehold improvements to support the expansion of our business primarily for one of our international offices. The cash used in investing activities was partially offset by proceeds from the sale of an investment of $3.7 million.</w:t>
      </w:r>
    </w:p>
    <w:p>
      <w:pPr>
        <w:pStyle w:val="TextBody"/>
        <w:bidi w:val="0"/>
        <w:spacing w:lineRule="auto" w:line="288" w:before="240" w:after="283"/>
        <w:ind w:left="0" w:right="0" w:firstLine="990"/>
        <w:jc w:val="left"/>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$119.3 million used in financing activities in the six months ended July 31, 2026 was comprised principally of repurchases of our common stock of $175.7 million, payments of $150.0 million on our credit facility, payment of contingent consideration of $8.1 million, payments of $2.5 million on our term loan, and principal payments of $0.6 million on financing obligations. The cash used in financing activities was offset by $199.3 million proceeds from borrowings on our term loan, net of debt issuance costs to pay down a portion of our revolving credit facility and make repurchases of our common stock under stock repurchase programs, $15.0 million of proceeds from borrowings on our credit facility, $2.1 million of proceeds from stock issuances under the employee stock purchase plan, and $1.2 million of proceeds from the exercise of stock options. The $20.2 million used in financing activities in the six months ended July 31, 2025 was comprised principally of payments of $65.0 million on our credit facility, repurchases of our common stock of $60.6 million, and principal payments of $0.8 million on financing obligations. The cash used in financing activities was offset by $102.5 million proceeds from borrowings on our credit facility to fund the acquisition of Sandbox Banking and to make repurchases of our common stock under a stock repurchase program, $2.4 million of proceeds from stock issuances under the employee stock purchase plan, and $1.3 million of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estimated future obligations principally consist of leases related to our facilities, purchase obligations related primarily to licenses and hosting services, financing obligations for leases for which we are considered the owners for accounting purposes, acquisition liabilities, the 2024 Credit Facility, and the Term Loan. See Note 5 “Balance Sheet Components,” Note 9 “Leases,” Note 10 “Debt,” and Note 11 “Commitments and Contingencies” of the notes to our unaudited condensed consolidated financial statements included in Part I, Item 1 of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or estimates as compared to those disclosed in the Annual Report on Form 10-K for the fiscal year ended January 31, 2026 filed with the SEC on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See Note 1 “Summary of Business and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At July 31, 2026, we had cash, cash equivalents, and restricted cash of $83.6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At July 31, 2026, we had outstanding principal debt of $276.0 million. Borrowings bear interest, at the Borrower’s option, at: (i) a base rate equal to the greatest of (a) the Agent’s “prime rate,” (b) the federal funds rate plus 0.50%, and (c) the Term SOFR rate plus 1.00% (provided that the base rate shall not be less than 0.00%), plus a margin of 1.00%; or (ii) the Term SOFR rate (provided that the Term SOFR shall not be less than 0.00%), plus a margin of 2.00%, in each case with such margin subject to step-ups based on certain leverage ratios. We are exposed to increased interest rate risk as we make draws on our revolving facility. A hypothetical 100 basis point change in interest rates would not have had a material impact on our financial results included in this Quarterly Report on Form 10-Q. See Note 10 “Debt” of the notes to our unaudited condensed consolidated financial statements included in Part I, Item 1 of this Quarterly Report on Form 10-Q for additional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within stockholders’ equity. Gains or losses due to transactions in foreign currencies, the majority of which is due to intercompany loans and transactions that are denominated in currencies other than the underlying functional currency of the applicable entity, are included in Other income (expense), net in our unaudited condensed consolidated statements of operations. To help mitigate the risk, we settled a majority of our intercompany loans during fiscal 2026.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At July 31, 2026, based on the balances of our cash, cash equivalents, and restricted cash denominated in foreign currencies, a hypothetical 10% increase or decrease in foreign currency exchange rates would have had an impact of approximately $4.4 million on our cash, cash equivalents, and restricted cash at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July 31, 2026, the last day of the period covered by this Quarterly Report on Form 10-Q. Based on this evaluation, our Chief Executive Officer and Chief Financial Officer have concluded that, at July 31, 2026, our disclosure controls and procedures were effective at the reasonable assurance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Inherent Limitations on the Effectiveness of Controls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various litigation matters and be subject to claims that arise in the ordinary course of business. For information regarding legal proceedings, see Note 11 “Commitments and Contingencies” of the notes to our unaudited condensed consolidated financial statements included in Part I, Item 1 of this Quarterly Report on Form 10-Q, which is incorporated by reference into this Part II,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There are no material changes to the risk factors in the Company’s Annual Report on Form 10-K for the fiscal year ended January 31, 2026 filed with the SEC on March 31, 2026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Sales of Unregistered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repurchase activity for the three months ended July 31, 2026 (in thousands, except share and per share data):</w:t>
      </w:r>
    </w:p>
    <w:tbl>
      <w:tblPr>
        <w:tblW w:w="10205" w:type="dxa"/>
        <w:jc w:val="left"/>
        <w:tblInd w:w="0" w:type="dxa"/>
        <w:tblLayout w:type="fixed"/>
        <w:tblCellMar>
          <w:top w:w="28" w:type="dxa"/>
          <w:left w:w="28" w:type="dxa"/>
          <w:bottom w:w="28" w:type="dxa"/>
          <w:right w:w="28" w:type="dxa"/>
        </w:tblCellMar>
      </w:tblPr>
      <w:tblGrid>
        <w:gridCol w:w="431"/>
        <w:gridCol w:w="321"/>
        <w:gridCol w:w="323"/>
        <w:gridCol w:w="109"/>
        <w:gridCol w:w="109"/>
        <w:gridCol w:w="109"/>
        <w:gridCol w:w="751"/>
        <w:gridCol w:w="446"/>
        <w:gridCol w:w="448"/>
        <w:gridCol w:w="109"/>
        <w:gridCol w:w="109"/>
        <w:gridCol w:w="109"/>
        <w:gridCol w:w="334"/>
        <w:gridCol w:w="643"/>
        <w:gridCol w:w="172"/>
        <w:gridCol w:w="109"/>
        <w:gridCol w:w="109"/>
        <w:gridCol w:w="109"/>
        <w:gridCol w:w="1040"/>
        <w:gridCol w:w="766"/>
        <w:gridCol w:w="768"/>
        <w:gridCol w:w="109"/>
        <w:gridCol w:w="109"/>
        <w:gridCol w:w="109"/>
        <w:gridCol w:w="473"/>
        <w:gridCol w:w="1623"/>
        <w:gridCol w:w="358"/>
      </w:tblGrid>
      <w:tr>
        <w:trPr/>
        <w:tc>
          <w:tcPr>
            <w:tcW w:w="43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that May Yet Be Purchased Under the Plans or Programs </w:t>
            </w:r>
            <w:r>
              <w:rPr>
                <w:rFonts w:ascii="Times New Roman;serif" w:hAnsi="Times New Roman;serif"/>
                <w:b/>
                <w:color w:val="000000"/>
                <w:sz w:val="10"/>
              </w:rPr>
              <w:t>(1)</w:t>
            </w:r>
          </w:p>
        </w:tc>
      </w:tr>
      <w:tr>
        <w:trPr/>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65,002 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4,704,528 </w:t>
            </w:r>
          </w:p>
        </w:tc>
        <w:tc>
          <w:tcPr>
            <w:tcW w:w="4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4,704,528 </w:t>
            </w:r>
          </w:p>
        </w:tc>
        <w:tc>
          <w:tcPr>
            <w:tcW w:w="7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2026 to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4,704,528 </w:t>
            </w:r>
          </w:p>
        </w:tc>
        <w:tc>
          <w:tcPr>
            <w:tcW w:w="4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4,704,528 </w:t>
            </w:r>
          </w:p>
        </w:tc>
        <w:tc>
          <w:tcPr>
            <w:tcW w:w="7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 December 2025, our Board of Directors authorized, and on December 8, 2025, the Company announced a stock repurchase program of up to $100.0 million of our outstanding common stock. In March 2026, our Board of Directors separately authorized, and on March 31, 2026, the Company entered into an ASR agreement with Wells Fargo Bank, N.A., for $100.0 million of our outstanding common stock. Upon payment of the aggregate purchase price of $100.0 million, we received initial delivery of 5,547,850 shares of our common stock, representing approximately 80% of the aggregate purchase price, based on an initial price of $14.98 per share. On June 2, 2026, upon final settlement of the ASR agreement, we received 487,675 additional shares (which are included in the table above) of our common stock based on a daily volume-weighted average price of $16.57 during the term of the ASR agreement. See Note 8 “Stockholders’ Equity and Stock-Based Compensation” of the notes to our unaudited condensed consolidated financial statements included in Part 1, Item 1 of this Quarterly Report on Form 10-Q for additional information. </w:t>
      </w:r>
    </w:p>
    <w:p>
      <w:pPr>
        <w:pStyle w:val="TextBody"/>
        <w:bidi w:val="0"/>
        <w:spacing w:lineRule="auto" w:line="288" w:before="240" w:after="283"/>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average price per share excludes transaction costs and excise tax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none of our officers or directors, as defined in Rule 16a-1(f), adopted, modified, or terminated a “Rule 10b5-1 trading arrangement” or a “non-Rule 10b5-1 trading arrangement,” as defined in Regulation S-K Item 408.</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Amended and Restated Bylaws</w:t>
      </w:r>
    </w:p>
    <w:p>
      <w:pPr>
        <w:pStyle w:val="TextBody"/>
        <w:bidi w:val="0"/>
        <w:spacing w:lineRule="auto" w:line="288" w:before="240" w:after="283"/>
        <w:ind w:left="0" w:right="0" w:firstLine="990"/>
        <w:jc w:val="left"/>
        <w:rPr/>
      </w:pPr>
      <w:r>
        <w:rPr>
          <w:rFonts w:ascii="Times New Roman;serif" w:hAnsi="Times New Roman;serif"/>
          <w:b w:val="false"/>
          <w:color w:val="000000"/>
          <w:sz w:val="20"/>
        </w:rPr>
        <w:t>On August 19, 2026, our Board of Directors approved an amendment and restatement (the “Amendment and Restatement”) of the Amended and Restated Bylaws of the Company, dated November 22, 2022 (the “Bylaws”).</w:t>
      </w:r>
      <w:r>
        <w:rPr>
          <w:color w:val="000000"/>
        </w:rPr>
        <w:t xml:space="preserve"> </w:t>
      </w:r>
      <w:r>
        <w:rPr>
          <w:rFonts w:ascii="Times New Roman;serif" w:hAnsi="Times New Roman;serif"/>
          <w:b w:val="false"/>
          <w:color w:val="000000"/>
          <w:sz w:val="20"/>
        </w:rPr>
        <w:t>The Amendment and Restatement, effective August 19, 2026, amends Section 1.17(d) to add a limited cure mechanism for certain defects in stockholder notices of director nominations (the “Right to Cure Provision”).</w:t>
      </w:r>
      <w:r>
        <w:rPr>
          <w:color w:val="000000"/>
        </w:rPr>
        <w:t xml:space="preserve"> </w:t>
      </w:r>
      <w:r>
        <w:rPr>
          <w:rFonts w:ascii="Times New Roman;serif" w:hAnsi="Times New Roman;serif"/>
          <w:b w:val="false"/>
          <w:color w:val="000000"/>
          <w:sz w:val="20"/>
        </w:rPr>
        <w:t>Under the Right to Cure Provision, if a good-faith nomination notice is received by the Company during the nomination window at least twenty (20) calendar days before the nomination deadline and, if upon good-faith facial review (without independent investigation or verification by the Company), it is determined to contain facially apparent defects, the Company must provide a written deficiency notice to the nominating stockholder within fourteen (14) calendar days of receipt.</w:t>
      </w:r>
      <w:r>
        <w:rPr>
          <w:color w:val="000000"/>
        </w:rPr>
        <w:t xml:space="preserve"> </w:t>
      </w:r>
      <w:r>
        <w:rPr>
          <w:rFonts w:ascii="Times New Roman;serif" w:hAnsi="Times New Roman;serif"/>
          <w:b w:val="false"/>
          <w:color w:val="000000"/>
          <w:sz w:val="20"/>
        </w:rPr>
        <w:t>The nominating stockholder may cure the identified defects on or before the nomination deadline.</w:t>
      </w:r>
      <w:r>
        <w:rPr>
          <w:color w:val="000000"/>
        </w:rPr>
        <w:t xml:space="preserve"> </w:t>
      </w:r>
      <w:r>
        <w:rPr>
          <w:rFonts w:ascii="Times New Roman;serif" w:hAnsi="Times New Roman;serif"/>
          <w:b w:val="false"/>
          <w:color w:val="000000"/>
          <w:sz w:val="20"/>
        </w:rPr>
        <w:t xml:space="preserve">If the identified defects are cured as of the nomination deadline, they will not serve as grounds to invalidate the nomination. The Right to Cure Provision applies only to facially apparent defects and does not obligate the Company to investigate, verify or assess materiality of the nomination notice and does not extend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nomination window.</w:t>
      </w:r>
      <w:r>
        <w:rPr>
          <w:color w:val="000000"/>
        </w:rPr>
        <w:t xml:space="preserve"> </w:t>
      </w:r>
      <w:r>
        <w:rPr>
          <w:rFonts w:ascii="Times New Roman;serif" w:hAnsi="Times New Roman;serif"/>
          <w:b w:val="false"/>
          <w:color w:val="000000"/>
          <w:sz w:val="20"/>
        </w:rPr>
        <w:t xml:space="preserve">Further, the Right to Cure Provision does not limit the Company’s authority to reject nominations on other grounds, including material misstatements, noncompliance with Rule 14a-19 under the Exchange Act, ineligibility of the nominating stockholder to submit a nomination notice, or deficiencies not reasonably apparent on the face of the original notice.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 and Restatement does not purport to be complete and is qualified in its entirety by reference to the full text of the Second Amended and Restated Bylaws which is filed as Exhibit 3.2 to this Quarterly Report on Form 10-Q and is incorporated herein by reference.</w:t>
      </w:r>
    </w:p>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8"/>
        <w:gridCol w:w="237"/>
        <w:gridCol w:w="238"/>
        <w:gridCol w:w="2121"/>
        <w:gridCol w:w="1825"/>
        <w:gridCol w:w="1808"/>
        <w:gridCol w:w="179"/>
        <w:gridCol w:w="179"/>
        <w:gridCol w:w="177"/>
        <w:gridCol w:w="267"/>
        <w:gridCol w:w="267"/>
        <w:gridCol w:w="233"/>
        <w:gridCol w:w="220"/>
        <w:gridCol w:w="220"/>
        <w:gridCol w:w="221"/>
        <w:gridCol w:w="251"/>
        <w:gridCol w:w="251"/>
        <w:gridCol w:w="253"/>
        <w:gridCol w:w="287"/>
        <w:gridCol w:w="287"/>
        <w:gridCol w:w="416"/>
      </w:tblGrid>
      <w:tr>
        <w:trPr/>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43" w:type="dxa"/>
            <w:gridSpan w:val="3"/>
            <w:tcBorders/>
            <w:vAlign w:val="center"/>
          </w:tcPr>
          <w:p>
            <w:pPr>
              <w:pStyle w:val="TableContents"/>
              <w:bidi w:val="0"/>
              <w:spacing w:before="0" w:after="283"/>
              <w:jc w:val="left"/>
              <w:rPr>
                <w:sz w:val="4"/>
                <w:szCs w:val="4"/>
              </w:rPr>
            </w:pPr>
            <w:r>
              <w:rPr>
                <w:sz w:val="4"/>
                <w:szCs w:val="4"/>
              </w:rPr>
            </w:r>
          </w:p>
        </w:tc>
        <w:tc>
          <w:tcPr>
            <w:tcW w:w="575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5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Fourth Amended and Restated Certificate of Incorporation</w:t>
              </w:r>
            </w:hyperlink>
          </w:p>
        </w:tc>
        <w:tc>
          <w:tcPr>
            <w:tcW w:w="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001-41211</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2026</w:t>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vAlign w:val="center"/>
          </w:tcPr>
          <w:p>
            <w:pPr>
              <w:pStyle w:val="TableContents"/>
              <w:bidi w:val="0"/>
              <w:spacing w:before="0" w:after="283"/>
              <w:jc w:val="left"/>
              <w:rPr>
                <w:sz w:val="4"/>
                <w:szCs w:val="4"/>
              </w:rPr>
            </w:pPr>
            <w:r>
              <w:rPr>
                <w:sz w:val="4"/>
                <w:szCs w:val="4"/>
              </w:rPr>
            </w:r>
          </w:p>
        </w:tc>
        <w:tc>
          <w:tcPr>
            <w:tcW w:w="575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secondamendedandr.htm">
              <w:r>
                <w:rPr>
                  <w:rStyle w:val="InternetLink"/>
                  <w:rFonts w:ascii="Times New Roman;serif" w:hAnsi="Times New Roman;serif"/>
                  <w:b w:val="false"/>
                  <w:color w:val="0000FF"/>
                  <w:sz w:val="20"/>
                  <w:u w:val="single"/>
                </w:rPr>
                <w:t>Second Amended and Restated Bylaws</w:t>
              </w:r>
            </w:hyperlink>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710q.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710q.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710q.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202710q.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vAlign w:val="center"/>
          </w:tcPr>
          <w:p>
            <w:pPr>
              <w:pStyle w:val="TableContents"/>
              <w:bidi w:val="0"/>
              <w:spacing w:before="0" w:after="283"/>
              <w:jc w:val="left"/>
              <w:rPr>
                <w:sz w:val="4"/>
                <w:szCs w:val="4"/>
              </w:rPr>
            </w:pPr>
            <w:r>
              <w:rPr>
                <w:sz w:val="4"/>
                <w:szCs w:val="4"/>
              </w:rPr>
            </w:r>
          </w:p>
        </w:tc>
        <w:tc>
          <w:tcPr>
            <w:tcW w:w="5754" w:type="dxa"/>
            <w:gridSpan w:val="3"/>
            <w:tcBorders/>
            <w:vAlign w:val="center"/>
          </w:tcPr>
          <w:p>
            <w:pPr>
              <w:pStyle w:val="TableContents"/>
              <w:bidi w:val="0"/>
              <w:spacing w:before="0" w:after="283"/>
              <w:jc w:val="left"/>
              <w:rPr>
                <w:sz w:val="4"/>
                <w:szCs w:val="4"/>
              </w:rPr>
            </w:pPr>
            <w:r>
              <w:rPr>
                <w:sz w:val="4"/>
                <w:szCs w:val="4"/>
              </w:rPr>
            </w:r>
          </w:p>
        </w:tc>
        <w:tc>
          <w:tcPr>
            <w:tcW w:w="3708" w:type="dxa"/>
            <w:gridSpan w:val="15"/>
            <w:tcBorders/>
          </w:tcPr>
          <w:p>
            <w:pPr>
              <w:pStyle w:val="TableContents"/>
              <w:bidi w:val="0"/>
              <w:spacing w:before="0" w:after="283"/>
              <w:jc w:val="left"/>
              <w:rPr>
                <w:sz w:val="4"/>
                <w:szCs w:val="4"/>
              </w:rPr>
            </w:pPr>
            <w:r>
              <w:rPr>
                <w:sz w:val="4"/>
                <w:szCs w:val="4"/>
              </w:rPr>
            </w:r>
          </w:p>
        </w:tc>
      </w:tr>
      <w:tr>
        <w:trPr/>
        <w:tc>
          <w:tcPr>
            <w:tcW w:w="743" w:type="dxa"/>
            <w:gridSpan w:val="3"/>
            <w:tcBorders/>
            <w:vAlign w:val="center"/>
          </w:tcPr>
          <w:p>
            <w:pPr>
              <w:pStyle w:val="TableContents"/>
              <w:bidi w:val="0"/>
              <w:spacing w:before="0" w:after="283"/>
              <w:jc w:val="left"/>
              <w:rPr>
                <w:sz w:val="4"/>
                <w:szCs w:val="4"/>
              </w:rPr>
            </w:pPr>
            <w:r>
              <w:rPr>
                <w:sz w:val="4"/>
                <w:szCs w:val="4"/>
              </w:rPr>
            </w:r>
          </w:p>
        </w:tc>
        <w:tc>
          <w:tcPr>
            <w:tcW w:w="5754" w:type="dxa"/>
            <w:gridSpan w:val="3"/>
            <w:tcBorders/>
            <w:vAlign w:val="center"/>
          </w:tcPr>
          <w:p>
            <w:pPr>
              <w:pStyle w:val="TableContents"/>
              <w:bidi w:val="0"/>
              <w:spacing w:before="0" w:after="283"/>
              <w:jc w:val="left"/>
              <w:rPr>
                <w:sz w:val="4"/>
                <w:szCs w:val="4"/>
              </w:rPr>
            </w:pPr>
            <w:r>
              <w:rPr>
                <w:sz w:val="4"/>
                <w:szCs w:val="4"/>
              </w:rPr>
            </w:r>
          </w:p>
        </w:tc>
        <w:tc>
          <w:tcPr>
            <w:tcW w:w="3708" w:type="dxa"/>
            <w:gridSpan w:val="15"/>
            <w:tcBorders/>
          </w:tcPr>
          <w:p>
            <w:pPr>
              <w:pStyle w:val="TableContents"/>
              <w:bidi w:val="0"/>
              <w:spacing w:before="0" w:after="283"/>
              <w:jc w:val="left"/>
              <w:rPr>
                <w:sz w:val="4"/>
                <w:szCs w:val="4"/>
              </w:rPr>
            </w:pPr>
            <w:r>
              <w:rPr>
                <w:sz w:val="4"/>
                <w:szCs w:val="4"/>
              </w:rPr>
            </w:r>
          </w:p>
        </w:tc>
      </w:tr>
      <w:tr>
        <w:trPr/>
        <w:tc>
          <w:tcPr>
            <w:tcW w:w="743" w:type="dxa"/>
            <w:gridSpan w:val="3"/>
            <w:tcBorders/>
            <w:vAlign w:val="center"/>
          </w:tcPr>
          <w:p>
            <w:pPr>
              <w:pStyle w:val="TableContents"/>
              <w:bidi w:val="0"/>
              <w:spacing w:before="0" w:after="283"/>
              <w:jc w:val="left"/>
              <w:rPr>
                <w:sz w:val="4"/>
                <w:szCs w:val="4"/>
              </w:rPr>
            </w:pPr>
            <w:r>
              <w:rPr>
                <w:sz w:val="4"/>
                <w:szCs w:val="4"/>
              </w:rPr>
            </w:r>
          </w:p>
        </w:tc>
        <w:tc>
          <w:tcPr>
            <w:tcW w:w="5754" w:type="dxa"/>
            <w:gridSpan w:val="3"/>
            <w:tcBorders/>
            <w:vAlign w:val="center"/>
          </w:tcPr>
          <w:p>
            <w:pPr>
              <w:pStyle w:val="TableContents"/>
              <w:bidi w:val="0"/>
              <w:spacing w:before="0" w:after="283"/>
              <w:jc w:val="left"/>
              <w:rPr>
                <w:sz w:val="4"/>
                <w:szCs w:val="4"/>
              </w:rPr>
            </w:pPr>
            <w:r>
              <w:rPr>
                <w:sz w:val="4"/>
                <w:szCs w:val="4"/>
              </w:rPr>
            </w:r>
          </w:p>
        </w:tc>
        <w:tc>
          <w:tcPr>
            <w:tcW w:w="3708" w:type="dxa"/>
            <w:gridSpan w:val="15"/>
            <w:tcBorders/>
          </w:tcPr>
          <w:p>
            <w:pPr>
              <w:pStyle w:val="TableContents"/>
              <w:bidi w:val="0"/>
              <w:spacing w:before="0" w:after="283"/>
              <w:jc w:val="left"/>
              <w:rPr>
                <w:sz w:val="4"/>
                <w:szCs w:val="4"/>
              </w:rPr>
            </w:pPr>
            <w:r>
              <w:rPr>
                <w:sz w:val="4"/>
                <w:szCs w:val="4"/>
              </w:rPr>
            </w:r>
          </w:p>
        </w:tc>
      </w:tr>
      <w:tr>
        <w:trPr/>
        <w:tc>
          <w:tcPr>
            <w:tcW w:w="743" w:type="dxa"/>
            <w:gridSpan w:val="3"/>
            <w:tcBorders/>
            <w:vAlign w:val="center"/>
          </w:tcPr>
          <w:p>
            <w:pPr>
              <w:pStyle w:val="TableContents"/>
              <w:bidi w:val="0"/>
              <w:spacing w:before="0" w:after="283"/>
              <w:jc w:val="left"/>
              <w:rPr>
                <w:sz w:val="4"/>
                <w:szCs w:val="4"/>
              </w:rPr>
            </w:pPr>
            <w:r>
              <w:rPr>
                <w:sz w:val="4"/>
                <w:szCs w:val="4"/>
              </w:rPr>
            </w:r>
          </w:p>
        </w:tc>
        <w:tc>
          <w:tcPr>
            <w:tcW w:w="5754" w:type="dxa"/>
            <w:gridSpan w:val="3"/>
            <w:tcBorders/>
            <w:vAlign w:val="center"/>
          </w:tcPr>
          <w:p>
            <w:pPr>
              <w:pStyle w:val="TableContents"/>
              <w:bidi w:val="0"/>
              <w:spacing w:before="0" w:after="283"/>
              <w:jc w:val="left"/>
              <w:rPr>
                <w:sz w:val="4"/>
                <w:szCs w:val="4"/>
              </w:rPr>
            </w:pPr>
            <w:r>
              <w:rPr>
                <w:sz w:val="4"/>
                <w:szCs w:val="4"/>
              </w:rPr>
            </w:r>
          </w:p>
        </w:tc>
        <w:tc>
          <w:tcPr>
            <w:tcW w:w="3708" w:type="dxa"/>
            <w:gridSpan w:val="15"/>
            <w:tcBorders/>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certifications furnished in Exhibits 32.1 and 32.2 hereto are deemed to accompany this Quarterly Report on Form 10-Q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dd42c4c39c8483aa6b2246e0288bd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0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13"/>
        <w:gridCol w:w="113"/>
        <w:gridCol w:w="113"/>
        <w:gridCol w:w="939"/>
        <w:gridCol w:w="939"/>
        <w:gridCol w:w="133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nCino,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Sean Desmond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Desmond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D. Orenstein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D. Orenstein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Treasurer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3.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SECOND AMENDED AND RESTATED BYLAWS</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 xml:space="preserve">OF </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NCINO, INC.</w:t>
      </w:r>
    </w:p>
    <w:p>
      <w:pPr>
        <w:pStyle w:val="TextBody"/>
        <w:bidi w:val="0"/>
        <w:spacing w:lineRule="auto" w:line="288" w:before="90" w:after="283"/>
        <w:jc w:val="center"/>
        <w:rPr/>
      </w:pPr>
      <w:r>
        <w:rPr>
          <w:rFonts w:ascii="Times New Roman;serif" w:hAnsi="Times New Roman;serif"/>
          <w:b w:val="false"/>
          <w:color w:val="000000"/>
          <w:sz w:val="20"/>
        </w:rPr>
        <w:t>(hereinafter called the “</w:t>
      </w:r>
      <w:r>
        <w:rPr>
          <w:rFonts w:ascii="Times New Roman;serif" w:hAnsi="Times New Roman;serif"/>
          <w:b/>
          <w:color w:val="000000"/>
          <w:sz w:val="20"/>
        </w:rPr>
        <w:t>Corporation</w:t>
      </w:r>
      <w:r>
        <w:rPr>
          <w:color w:val="000000"/>
        </w:rPr>
        <w:t>”</w:t>
      </w:r>
      <w:r>
        <w:rPr>
          <w:rFonts w:ascii="Times New Roman;serif" w:hAnsi="Times New Roman;serif"/>
          <w:b w:val="false"/>
          <w:color w:val="000000"/>
          <w:sz w:val="20"/>
        </w:rPr>
        <w:t>)</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ARTICLE I</w:t>
      </w:r>
    </w:p>
    <w:p>
      <w:pPr>
        <w:pStyle w:val="TextBody"/>
        <w:bidi w:val="0"/>
        <w:spacing w:lineRule="auto" w:line="288" w:before="9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MEETINGS OF STOCKHOLDERS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1.1. </w:t>
      </w:r>
      <w:r>
        <w:rPr>
          <w:rFonts w:ascii="Times New Roman;serif" w:hAnsi="Times New Roman;serif"/>
          <w:b w:val="false"/>
          <w:color w:val="000000"/>
          <w:sz w:val="20"/>
          <w:u w:val="single"/>
        </w:rPr>
        <w:t>Place of Meetings</w:t>
      </w:r>
      <w:r>
        <w:rPr>
          <w:rFonts w:ascii="Times New Roman;serif" w:hAnsi="Times New Roman;serif"/>
          <w:b w:val="false"/>
          <w:color w:val="000000"/>
          <w:sz w:val="20"/>
        </w:rPr>
        <w:t>. Meetings of the stockholders of the Corporation for the election of directors or for any other purpose shall be held at such time and place, either within or without the State of Delaware, as shall be designated from time to time by the board of directors of the Corporation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xml:space="preserv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1.2. </w:t>
      </w:r>
      <w:r>
        <w:rPr>
          <w:rFonts w:ascii="Times New Roman;serif" w:hAnsi="Times New Roman;serif"/>
          <w:b w:val="false"/>
          <w:color w:val="000000"/>
          <w:sz w:val="20"/>
          <w:u w:val="single"/>
        </w:rPr>
        <w:t>Annual Meetings</w:t>
      </w:r>
      <w:r>
        <w:rPr>
          <w:rFonts w:ascii="Times New Roman;serif" w:hAnsi="Times New Roman;serif"/>
          <w:b w:val="false"/>
          <w:color w:val="000000"/>
          <w:sz w:val="20"/>
        </w:rPr>
        <w:t>. The annual meeting of stockholders of the Corporation for the election of directors and for the transaction of such other business as may properly be brought before the meeting in accordance with these amended and restated bylaws of the Corporation (as amended from time to time in accordance with the provisions hereof, these “</w:t>
      </w:r>
      <w:r>
        <w:rPr>
          <w:rFonts w:ascii="Times New Roman;serif" w:hAnsi="Times New Roman;serif"/>
          <w:b/>
          <w:i/>
          <w:color w:val="000000"/>
          <w:sz w:val="20"/>
        </w:rPr>
        <w:t>Bylaws</w:t>
      </w:r>
      <w:r>
        <w:rPr>
          <w:color w:val="000000"/>
        </w:rPr>
        <w:t>”</w:t>
      </w:r>
      <w:r>
        <w:rPr>
          <w:rFonts w:ascii="Times New Roman;serif" w:hAnsi="Times New Roman;serif"/>
          <w:b w:val="false"/>
          <w:color w:val="000000"/>
          <w:sz w:val="20"/>
        </w:rPr>
        <w:t>) shall be held on such date and at such time as shall be designated from time to time by the Board. The Board may postpone, reschedule or cancel any annual meeting of stockholders previously scheduled by the Board.</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1.3. </w:t>
      </w:r>
      <w:r>
        <w:rPr>
          <w:rFonts w:ascii="Times New Roman;serif" w:hAnsi="Times New Roman;serif"/>
          <w:b w:val="false"/>
          <w:color w:val="000000"/>
          <w:sz w:val="20"/>
          <w:u w:val="single"/>
        </w:rPr>
        <w:t>Special Meetings</w:t>
      </w:r>
      <w:r>
        <w:rPr>
          <w:rFonts w:ascii="Times New Roman;serif" w:hAnsi="Times New Roman;serif"/>
          <w:b w:val="false"/>
          <w:color w:val="000000"/>
          <w:sz w:val="20"/>
        </w:rPr>
        <w:t>. Unless otherwise required by law or by the certificate of incorporation of the Corporation (including, without limitation, the terms of any certificate of designation with respect to any series of preferred stock), as amended and restated from time to time (the “</w:t>
      </w:r>
      <w:r>
        <w:rPr>
          <w:rFonts w:ascii="Times New Roman;serif" w:hAnsi="Times New Roman;serif"/>
          <w:b/>
          <w:i/>
          <w:color w:val="000000"/>
          <w:sz w:val="20"/>
        </w:rPr>
        <w:t>Certificate of Incorporation</w:t>
      </w:r>
      <w:r>
        <w:rPr>
          <w:color w:val="000000"/>
        </w:rPr>
        <w:t>”</w:t>
      </w:r>
      <w:r>
        <w:rPr>
          <w:rFonts w:ascii="Times New Roman;serif" w:hAnsi="Times New Roman;serif"/>
          <w:b w:val="false"/>
          <w:color w:val="000000"/>
          <w:sz w:val="20"/>
        </w:rPr>
        <w:t>), special meetings of the stockholders of the Corporation, for any purpose or purposes, may be called only by the Chairperson of the Board, the Chief Executive Officer or the Board. The ability of the stockholders of the Corporation to call a special meeting of stockholders is hereby specifically denied. At a special meeting of stockholders, only such business shall be conducted as shall be specified in the notice of meeting. The Chairperson of the Board, the Chief Executive Officer or the Board may postpone, reschedule or cancel any special meeting of stockholders previously called by any of them.</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1.4. </w:t>
      </w:r>
      <w:r>
        <w:rPr>
          <w:rFonts w:ascii="Times New Roman;serif" w:hAnsi="Times New Roman;serif"/>
          <w:b w:val="false"/>
          <w:color w:val="000000"/>
          <w:sz w:val="20"/>
          <w:u w:val="single"/>
        </w:rPr>
        <w:t>Notice</w:t>
      </w:r>
      <w:r>
        <w:rPr>
          <w:rFonts w:ascii="Times New Roman;serif" w:hAnsi="Times New Roman;serif"/>
          <w:b w:val="false"/>
          <w:color w:val="000000"/>
          <w:sz w:val="20"/>
        </w:rPr>
        <w:t>. Whenever stockholders of the Corporation are required or permitted to take any action at a meeting, a written notice of the meeting shall be given which shall state the place, date and time of the meeting, the record date for determining the stockholders entitled to vote at the meeting, if such date is different from the record date for determining stockholders entitled to notice of meeting, and, in the case of a special meeting, the purpose or purposes for which the meeting is called and the means of remote communications, if any, by which stockholders and proxy holders may be deemed present in person and vote at such meeting. Unless otherwise required by law or the Certificate of Incorporation, written notice of any meeting shall be given either personally, by mail or by electronic transmission (if permitted under the circumstances by the General Corporation Law of the State of Delaware, as amended (the “</w:t>
      </w:r>
      <w:r>
        <w:rPr>
          <w:rFonts w:ascii="Times New Roman;serif" w:hAnsi="Times New Roman;serif"/>
          <w:b/>
          <w:i/>
          <w:color w:val="000000"/>
          <w:sz w:val="20"/>
        </w:rPr>
        <w:t>DGCL</w:t>
      </w:r>
      <w:r>
        <w:rPr>
          <w:color w:val="000000"/>
        </w:rPr>
        <w:t>”</w:t>
      </w:r>
      <w:r>
        <w:rPr>
          <w:rFonts w:ascii="Times New Roman;serif" w:hAnsi="Times New Roman;serif"/>
          <w:b w:val="false"/>
          <w:color w:val="000000"/>
          <w:sz w:val="20"/>
        </w:rPr>
        <w:t xml:space="preserve">)) not less than ten (10) nor more than sixty (60) days before the date of the meeting, by or at the direction of the Chairperson of the Board, the Chief Executive Officer or the Board, to each stockholder entitled to vote at such meeting as of the record date for determining stockholders entitled to notice of the meeting. If mailed, such notice shall be deemed to be given when deposited in the United States mail with postage thereon prepaid, addressed to the stockholder at the stockholder’s address as it appears on the stock transfer books of the Corporation. If notice is given by means of electronic transmission, such notice shall be deemed to be given at the times provided in the DGCL. Any stockholder may waive notice of any meeting before or after the meeting. The attendance of a stockholder at any meeting shall constitute a waiver of notice at such meeting, except where the stockholder attends the meeting for the express purpose of objecting at the beginning of the meeting to the transaction of any business because the meeting is not lawfully called or convened.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1.5. </w:t>
      </w:r>
      <w:r>
        <w:rPr>
          <w:rFonts w:ascii="Times New Roman;serif" w:hAnsi="Times New Roman;serif"/>
          <w:b w:val="false"/>
          <w:color w:val="000000"/>
          <w:sz w:val="20"/>
          <w:u w:val="single"/>
        </w:rPr>
        <w:t>Adjournments</w:t>
      </w:r>
      <w:r>
        <w:rPr>
          <w:rFonts w:ascii="Times New Roman;serif" w:hAnsi="Times New Roman;serif"/>
          <w:b w:val="false"/>
          <w:color w:val="000000"/>
          <w:sz w:val="20"/>
        </w:rPr>
        <w:t xml:space="preserve">. Any meeting of stockholders of the Corporation may be adjourned from time to time to reconvene at the same or some other place by holders of a majority of the voting power of the Corporation’s capital stock issued and outstanding and entitled to vote thereat, present in person or represented by proxy, though less than a quorum, or by any officer entitled to preside at or to act as secretary of such meeting, and notice need not be given of any such adjourned meeting (including an adjournment taken to address a technical failure to convene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pPr>
      <w:r>
        <w:rPr>
          <w:rFonts w:ascii="Times New Roman;serif" w:hAnsi="Times New Roman;serif"/>
          <w:b w:val="false"/>
          <w:color w:val="000000"/>
          <w:sz w:val="20"/>
        </w:rPr>
        <w:t xml:space="preserve">continue a meeting using remote communications) if the time and place, if any, thereof, and the means of remote communication, if any, by which stockholders and proxy holders may be deemed to be present in person and vote at such adjourned meeting, are (a) announced at the meeting at which the adjournment is taken, (b) displayed during the time scheduled for the meeting, on the same electronic network used to enable stockholders and proxy holders to participate in the meeting by means of remote communications or (c) set forth in the notice of meeting given in accordance with these Bylaws. At such adjourned meeting at which a quorum shall be present or represented by proxy, the Corporation may transact any business that might have been transacted at the original meeting. If the adjournment is for more than thirty (30) days, notice of the adjourned meeting in accordance with the requirements of </w:t>
      </w:r>
      <w:r>
        <w:rPr>
          <w:rFonts w:ascii="Times New Roman;serif" w:hAnsi="Times New Roman;serif"/>
          <w:b w:val="false"/>
          <w:color w:val="000000"/>
          <w:sz w:val="20"/>
          <w:u w:val="single"/>
        </w:rPr>
        <w:t>Section 1.4</w:t>
      </w:r>
      <w:r>
        <w:rPr>
          <w:color w:val="000000"/>
        </w:rPr>
        <w:t xml:space="preserve"> </w:t>
      </w:r>
      <w:r>
        <w:rPr>
          <w:rFonts w:ascii="Times New Roman;serif" w:hAnsi="Times New Roman;serif"/>
          <w:b w:val="false"/>
          <w:color w:val="000000"/>
          <w:sz w:val="20"/>
        </w:rPr>
        <w:t>of these Bylaws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1.6. </w:t>
      </w:r>
      <w:r>
        <w:rPr>
          <w:rFonts w:ascii="Times New Roman;serif" w:hAnsi="Times New Roman;serif"/>
          <w:b w:val="false"/>
          <w:color w:val="000000"/>
          <w:sz w:val="20"/>
          <w:u w:val="single"/>
        </w:rPr>
        <w:t>Quorum</w:t>
      </w:r>
      <w:r>
        <w:rPr>
          <w:rFonts w:ascii="Times New Roman;serif" w:hAnsi="Times New Roman;serif"/>
          <w:b w:val="false"/>
          <w:color w:val="000000"/>
          <w:sz w:val="20"/>
        </w:rPr>
        <w:t xml:space="preserve">. Unless otherwise required by applicable law or the Certificate of Incorporation, the holders of a majority of the voting power of the Corporation’s capital stock issued and outstanding and entitled to vote thereat, present in person or represented by proxy, shall constitute a quorum at a meeting of stockholders. Where a separate vote by a class or classes or series is required, a majority of the voting power of the shares of such class or classes or series present in person or represented by proxy shall constitute a quorum entitled to take action with respect to such vote. If a quorum shall not be present or represented at any meeting of stockholders, either the chairperson of the meeting or the stockholders entitled to vote thereat, present in person or represented by proxy, shall have power to adjourn the meeting from time to time, in the manner provided in </w:t>
      </w:r>
      <w:r>
        <w:rPr>
          <w:rFonts w:ascii="Times New Roman;serif" w:hAnsi="Times New Roman;serif"/>
          <w:b w:val="false"/>
          <w:color w:val="000000"/>
          <w:sz w:val="20"/>
          <w:u w:val="single"/>
        </w:rPr>
        <w:t>Section 1.5</w:t>
      </w:r>
      <w:r>
        <w:rPr>
          <w:color w:val="000000"/>
        </w:rPr>
        <w:t xml:space="preserve"> </w:t>
      </w:r>
      <w:r>
        <w:rPr>
          <w:rFonts w:ascii="Times New Roman;serif" w:hAnsi="Times New Roman;serif"/>
          <w:b w:val="false"/>
          <w:color w:val="000000"/>
          <w:sz w:val="20"/>
        </w:rPr>
        <w:t xml:space="preserve">of these Bylaws, until a quorum shall be present or represented. A quorum, once established, shall not be broken by the withdrawal of enough votes to leave less than a quorum.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1.7. </w:t>
      </w:r>
      <w:r>
        <w:rPr>
          <w:rFonts w:ascii="Times New Roman;serif" w:hAnsi="Times New Roman;serif"/>
          <w:b w:val="false"/>
          <w:color w:val="000000"/>
          <w:sz w:val="20"/>
          <w:u w:val="single"/>
        </w:rPr>
        <w:t>Voting</w:t>
      </w:r>
      <w:r>
        <w:rPr>
          <w:rFonts w:ascii="Times New Roman;serif" w:hAnsi="Times New Roman;serif"/>
          <w:b w:val="false"/>
          <w:color w:val="000000"/>
          <w:sz w:val="20"/>
        </w:rPr>
        <w:t xml:space="preserv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Matters Other Than Election of Directors</w:t>
      </w:r>
      <w:r>
        <w:rPr>
          <w:rFonts w:ascii="Times New Roman;serif" w:hAnsi="Times New Roman;serif"/>
          <w:b w:val="false"/>
          <w:color w:val="000000"/>
          <w:sz w:val="20"/>
        </w:rPr>
        <w:t xml:space="preserve">. Any matter brought before any meeting of stockholders of the Corporation, other than the election of directors, shall be decided by the affirmative vote of the holders of a majority of the voting power of the Corporation’s capital stock present in person or represented by proxy at the meeting and entitled to vote on such matter, voting as a single class, unless the matter is one upon which, by express provision of law, the Certificate of Incorporation or these Bylaws, a different vote is required, in which case such express provision shall govern and control the decision of such matter. Except as provided in the Certificate of Incorporation, every stockholder having the right to vote shall have one vote for each share of stock having voting power registered in such stockholder’s name on the books of the Corporation. Such votes may be cast in person or by proxy as provided in </w:t>
      </w:r>
      <w:r>
        <w:rPr>
          <w:rFonts w:ascii="Times New Roman;serif" w:hAnsi="Times New Roman;serif"/>
          <w:b w:val="false"/>
          <w:color w:val="000000"/>
          <w:sz w:val="20"/>
          <w:u w:val="single"/>
        </w:rPr>
        <w:t>Section 1.10</w:t>
      </w:r>
      <w:r>
        <w:rPr>
          <w:color w:val="000000"/>
        </w:rPr>
        <w:t xml:space="preserve"> </w:t>
      </w:r>
      <w:r>
        <w:rPr>
          <w:rFonts w:ascii="Times New Roman;serif" w:hAnsi="Times New Roman;serif"/>
          <w:b w:val="false"/>
          <w:color w:val="000000"/>
          <w:sz w:val="20"/>
        </w:rPr>
        <w:t>of these Bylaws. The Board, in its discretion, or the officer of the Corporation presiding at a meeting of stockholders, in such officer’s discretion, may require that any votes cast at such meeting shall be cast by written ballot.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Election of Directors</w:t>
      </w:r>
      <w:r>
        <w:rPr>
          <w:rFonts w:ascii="Times New Roman;serif" w:hAnsi="Times New Roman;serif"/>
          <w:b w:val="false"/>
          <w:color w:val="000000"/>
          <w:sz w:val="20"/>
        </w:rPr>
        <w:t>. If, as of the record date for a meeting of stockholders for which directors are to be elected, the number of nominees for election of directors equals the number of directors to be elected (an “Uncontested Election”), each director shall be elected by the vote of the majority of the votes cast with respect to that director’s election at such meeting of stockholders, provided a quorum is present. For the purpose of an Uncontested Election, a majority of votes cast means that the number of votes “for” a director’s election must exceed fifty percent (50%) of the votes cast with respect to that director’s election. Votes “against” a director’s election will count as votes cast, but “abstentions” and “broker non-votes” will not count as votes cast with respect to that director’s election. If, as of the record date for a meeting of stockholders for which directors are to be elected, the number of nominees for election of directors exceeds the number of directors to be elected, the nominees receiving a plurality of the votes cast by holders of shares entitled to vote in the election at a meeting at which a quorum is present shall be elected.</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1.8. </w:t>
      </w:r>
      <w:r>
        <w:rPr>
          <w:rFonts w:ascii="Times New Roman;serif" w:hAnsi="Times New Roman;serif"/>
          <w:b w:val="false"/>
          <w:color w:val="000000"/>
          <w:sz w:val="20"/>
          <w:u w:val="single"/>
        </w:rPr>
        <w:t>Voting of Stock of Certain Holders</w:t>
      </w:r>
      <w:r>
        <w:rPr>
          <w:rFonts w:ascii="Times New Roman;serif" w:hAnsi="Times New Roman;serif"/>
          <w:b w:val="false"/>
          <w:color w:val="000000"/>
          <w:sz w:val="20"/>
        </w:rPr>
        <w:t xml:space="preserve">. Shares of stock of the Corporation standing in the name of another corporation or entity, domestic or foreign, and entitled to vote may be voted by such officer, agent or proxy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the bylaws or other internal regulations of such corporation or entity may prescribe or, in the absence of such provision, as the board of directors or comparable body of such corporation or entity may determine. Shares of stock of the Corporation standing in the name of a deceased person, a minor, an incompetent or a debtor in a case under Title 11, United States Code, and entitled to vote may be voted by an administrator, executor, guardian, conservator, debtor-in-possession or trustee, as the case may be, either in person or by proxy, without transfer of such shares into the name of the official or other person so voting. A stockholder whose shares of stock of the Corporation are pledged shall be entitled to vote such shares, unless on the transfer records of the Corporation such stockholder has expressly empowered the pledgee to vote such shares, in which case only the pledgee, or the pledgee’s proxy, may vote such shares.</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1.9. </w:t>
      </w:r>
      <w:r>
        <w:rPr>
          <w:rFonts w:ascii="Times New Roman;serif" w:hAnsi="Times New Roman;serif"/>
          <w:b w:val="false"/>
          <w:color w:val="000000"/>
          <w:sz w:val="20"/>
          <w:u w:val="single"/>
        </w:rPr>
        <w:t>Treasury Stock</w:t>
      </w:r>
      <w:r>
        <w:rPr>
          <w:rFonts w:ascii="Times New Roman;serif" w:hAnsi="Times New Roman;serif"/>
          <w:b w:val="false"/>
          <w:color w:val="000000"/>
          <w:sz w:val="20"/>
        </w:rPr>
        <w:t xml:space="preserve">. Shares of stock of the Corporation belonging to the Corporation, or to another corporation a majority of the shares entitled to vote in the election of directors of which are held by the Corporation, shall not be voted at any meeting of stockholders of the Corporation and shall not be counted in the total number of outstanding shares for the purpose of determining whether a quorum is present. Nothing in this </w:t>
      </w:r>
      <w:r>
        <w:rPr>
          <w:rFonts w:ascii="Times New Roman;serif" w:hAnsi="Times New Roman;serif"/>
          <w:b w:val="false"/>
          <w:color w:val="000000"/>
          <w:sz w:val="20"/>
          <w:u w:val="single"/>
        </w:rPr>
        <w:t>Section 1.9</w:t>
      </w:r>
      <w:r>
        <w:rPr>
          <w:color w:val="000000"/>
        </w:rPr>
        <w:t xml:space="preserve"> </w:t>
      </w:r>
      <w:r>
        <w:rPr>
          <w:rFonts w:ascii="Times New Roman;serif" w:hAnsi="Times New Roman;serif"/>
          <w:b w:val="false"/>
          <w:color w:val="000000"/>
          <w:sz w:val="20"/>
        </w:rPr>
        <w:t xml:space="preserve">shall limit the right of the Corporation to vote shares of stock of the Corporation held by it in a fiduciary capacity.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1.10. </w:t>
      </w:r>
      <w:r>
        <w:rPr>
          <w:rFonts w:ascii="Times New Roman;serif" w:hAnsi="Times New Roman;serif"/>
          <w:b w:val="false"/>
          <w:color w:val="000000"/>
          <w:sz w:val="20"/>
          <w:u w:val="single"/>
        </w:rPr>
        <w:t>Proxies</w:t>
      </w:r>
      <w:r>
        <w:rPr>
          <w:rFonts w:ascii="Times New Roman;serif" w:hAnsi="Times New Roman;serif"/>
          <w:b w:val="false"/>
          <w:color w:val="000000"/>
          <w:sz w:val="20"/>
        </w:rPr>
        <w:t>. Each stockholder entitled to vote at a meeting of stockholders of the Corporation may authorize another person or persons to act for such stockholder by proxy filed with the secretary of the Corporation (the “</w:t>
      </w:r>
      <w:r>
        <w:rPr>
          <w:rFonts w:ascii="Times New Roman;serif" w:hAnsi="Times New Roman;serif"/>
          <w:b/>
          <w:i/>
          <w:color w:val="000000"/>
          <w:sz w:val="20"/>
        </w:rPr>
        <w:t>Secretary</w:t>
      </w:r>
      <w:r>
        <w:rPr>
          <w:color w:val="000000"/>
        </w:rPr>
        <w:t>”</w:t>
      </w:r>
      <w:r>
        <w:rPr>
          <w:rFonts w:ascii="Times New Roman;serif" w:hAnsi="Times New Roman;serif"/>
          <w:b w:val="false"/>
          <w:color w:val="000000"/>
          <w:sz w:val="20"/>
        </w:rPr>
        <w:t>) before or at the time of the meeting.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with the Secretary an instrument in writing revoking the proxy or another duly executed proxy bearing a later date.</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1.11. </w:t>
      </w:r>
      <w:r>
        <w:rPr>
          <w:rFonts w:ascii="Times New Roman;serif" w:hAnsi="Times New Roman;serif"/>
          <w:b w:val="false"/>
          <w:color w:val="000000"/>
          <w:sz w:val="20"/>
          <w:u w:val="single"/>
        </w:rPr>
        <w:t>No Consent of Stockholders in Lieu of Meeting</w:t>
      </w:r>
      <w:r>
        <w:rPr>
          <w:rFonts w:ascii="Times New Roman;serif" w:hAnsi="Times New Roman;serif"/>
          <w:b w:val="false"/>
          <w:color w:val="000000"/>
          <w:sz w:val="20"/>
        </w:rPr>
        <w:t xml:space="preserve">.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stockholders of the Corporation, and, as specified by the Certificate of Incorporation, the ability of the stockholders to consent in writing to the taking of any action is specifically denied.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1.12. </w:t>
      </w:r>
      <w:r>
        <w:rPr>
          <w:rFonts w:ascii="Times New Roman;serif" w:hAnsi="Times New Roman;serif"/>
          <w:b w:val="false"/>
          <w:color w:val="000000"/>
          <w:sz w:val="20"/>
          <w:u w:val="single"/>
        </w:rPr>
        <w:t>List of Stockholders Entitled to Vote</w:t>
      </w:r>
      <w:r>
        <w:rPr>
          <w:rFonts w:ascii="Times New Roman;serif" w:hAnsi="Times New Roman;serif"/>
          <w:b w:val="false"/>
          <w:color w:val="000000"/>
          <w:sz w:val="20"/>
        </w:rPr>
        <w:t>. The officer of the Corporation who has charge of the stock ledger of the Corporation shall prepare and make or have prepared and made, at least ten (10) days before every meeting of stockholders of the Corporation, a complete list of the stockholders entitled to vote at the meeting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if the record date for determining the stockholders entitled to vote is less than ten (10) days before the meeting date, the list shall reflect the stockholders entitled to vote as of the tenth (10</w:t>
      </w:r>
      <w:r>
        <w:rPr>
          <w:rFonts w:ascii="Times New Roman;serif" w:hAnsi="Times New Roman;serif"/>
          <w:b w:val="false"/>
          <w:color w:val="000000"/>
          <w:sz w:val="13"/>
        </w:rPr>
        <w:t>th</w:t>
      </w:r>
      <w:r>
        <w:rPr>
          <w:rFonts w:ascii="Times New Roman;serif" w:hAnsi="Times New Roman;serif"/>
          <w:b w:val="false"/>
          <w:color w:val="000000"/>
          <w:sz w:val="20"/>
        </w:rPr>
        <w:t xml:space="preserve">)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ending on the day before the meeting date.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1.13. </w:t>
      </w:r>
      <w:r>
        <w:rPr>
          <w:rFonts w:ascii="Times New Roman;serif" w:hAnsi="Times New Roman;serif"/>
          <w:b w:val="false"/>
          <w:color w:val="000000"/>
          <w:sz w:val="20"/>
          <w:u w:val="single"/>
        </w:rPr>
        <w:t>Record Date</w:t>
      </w:r>
      <w:r>
        <w:rPr>
          <w:rFonts w:ascii="Times New Roman;serif" w:hAnsi="Times New Roman;serif"/>
          <w:b w:val="false"/>
          <w:color w:val="000000"/>
          <w:sz w:val="20"/>
        </w:rPr>
        <w:t xml:space="preserve">. In order that the Corporation may determine the stockholders entitled to notice of any meeting of stockholders of the Corporation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but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serif" w:hAnsi="Times New Roman;serif"/>
          <w:b w:val="false"/>
          <w:color w:val="000000"/>
          <w:sz w:val="20"/>
          <w:u w:val="single"/>
        </w:rPr>
        <w:t>Section 1.13</w:t>
      </w:r>
      <w:r>
        <w:rPr>
          <w:color w:val="000000"/>
        </w:rPr>
        <w:t xml:space="preserve"> </w:t>
      </w:r>
      <w:r>
        <w:rPr>
          <w:rFonts w:ascii="Times New Roman;serif" w:hAnsi="Times New Roman;serif"/>
          <w:b w:val="false"/>
          <w:color w:val="000000"/>
          <w:sz w:val="20"/>
        </w:rPr>
        <w:t>at the adjourned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1.14. </w:t>
      </w:r>
      <w:r>
        <w:rPr>
          <w:rFonts w:ascii="Times New Roman;serif" w:hAnsi="Times New Roman;serif"/>
          <w:b w:val="false"/>
          <w:color w:val="000000"/>
          <w:sz w:val="20"/>
          <w:u w:val="single"/>
        </w:rPr>
        <w:t>Organization and Conduct of Meetings</w:t>
      </w:r>
      <w:r>
        <w:rPr>
          <w:rFonts w:ascii="Times New Roman;serif" w:hAnsi="Times New Roman;serif"/>
          <w:b w:val="false"/>
          <w:color w:val="000000"/>
          <w:sz w:val="20"/>
        </w:rPr>
        <w:t>. The Chairperson of the Board shall act as chairperson of meetings of stockholders of the Corporation. The Board may designate any other director or officer of the Corporation to act as chairperson of any meeting in the absence of the Chairperson of the Board, and the Board may further provide for determining who shall act as chairperson of any meeting of stockholders in the absence of the Chairperson of the Board and such designee. The Board may adopt by resolution such rules and regulations for the conduct of any meeting of stockholders as it shall deem appropriate. Except to the extent inconsistent with such rules and regulations as adopted by the Board, the chairperson of any meeting of stockholders shall have the right and authority to convene and (for any or no reason) to recess 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chairperson of the meeting shall determine; (v) restrictions on entry to the meeting after the time fixed for the commencement thereof; and (vi) limitations on the time allotted to questions or comments by participants. Except to the extent determined by the Board or the person presiding over the meeting, meetings of stockholders shall not be required to be held in accordance with the rules of parliamentary procedure.</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1.15. </w:t>
      </w:r>
      <w:r>
        <w:rPr>
          <w:rFonts w:ascii="Times New Roman;serif" w:hAnsi="Times New Roman;serif"/>
          <w:b w:val="false"/>
          <w:color w:val="000000"/>
          <w:sz w:val="20"/>
          <w:u w:val="single"/>
        </w:rPr>
        <w:t>Inspectors of Election</w:t>
      </w:r>
      <w:r>
        <w:rPr>
          <w:rFonts w:ascii="Times New Roman;serif" w:hAnsi="Times New Roman;serif"/>
          <w:b w:val="false"/>
          <w:color w:val="000000"/>
          <w:sz w:val="20"/>
        </w:rPr>
        <w:t xml:space="preserve">. In advance of any meeting of stockholders of the Corporation, the Chairperson of the Board, the Chief Executive Officer or the Board, by resolution, shall appoint one or more inspectors to act at the meeting and make a written report thereof. One or more other persons may be designated as alternate inspectors to replace any inspector who fails to act. If no inspector or alternate is able to act at a meeting of stockholders, the chairperson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1.16. </w:t>
      </w:r>
      <w:r>
        <w:rPr>
          <w:rFonts w:ascii="Times New Roman;serif" w:hAnsi="Times New Roman;serif"/>
          <w:b w:val="false"/>
          <w:color w:val="000000"/>
          <w:sz w:val="20"/>
          <w:u w:val="single"/>
        </w:rPr>
        <w:t>Nature of Business at Meetings of Stockholders</w:t>
      </w:r>
      <w:r>
        <w:rPr>
          <w:rFonts w:ascii="Times New Roman;serif" w:hAnsi="Times New Roman;serif"/>
          <w:b w:val="false"/>
          <w:color w:val="000000"/>
          <w:sz w:val="20"/>
        </w:rPr>
        <w:t xml:space="preserv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General</w:t>
      </w:r>
      <w:r>
        <w:rPr>
          <w:rFonts w:ascii="Times New Roman;serif" w:hAnsi="Times New Roman;serif"/>
          <w:b w:val="false"/>
          <w:color w:val="000000"/>
          <w:sz w:val="20"/>
        </w:rPr>
        <w:t xml:space="preserve">. No business may be transacted at an annual meeting of stockholders, other than business that is either (i) specified in the Corporation’s proxy materials with respect to such meeting given by or at the direction of the Board (or any duly authorized committee thereof), (ii) otherwise properly brought before the annual meeting by or at the direction of the Board (or any duly authorized committee thereof) or (iii) otherwise properly brought before the annual meeting by any stockholder of the Corporation (A) who is a stockholder of record on the date of the giving of the notice provided for in this </w:t>
      </w:r>
      <w:r>
        <w:rPr>
          <w:rFonts w:ascii="Times New Roman;serif" w:hAnsi="Times New Roman;serif"/>
          <w:b w:val="false"/>
          <w:color w:val="000000"/>
          <w:sz w:val="20"/>
          <w:u w:val="single"/>
        </w:rPr>
        <w:t>Section 1.16</w:t>
      </w:r>
      <w:r>
        <w:rPr>
          <w:color w:val="000000"/>
        </w:rPr>
        <w:t xml:space="preserve"> </w:t>
      </w:r>
      <w:r>
        <w:rPr>
          <w:rFonts w:ascii="Times New Roman;serif" w:hAnsi="Times New Roman;serif"/>
          <w:b w:val="false"/>
          <w:color w:val="000000"/>
          <w:sz w:val="20"/>
        </w:rPr>
        <w:t xml:space="preserve">and on the record date for the determination of stockholders entitled to notice of and to vote at such annual meeting, (B) who is entitled to vote at such annual meeting and (C) who complies with the notice procedures set forth in this </w:t>
      </w:r>
      <w:r>
        <w:rPr>
          <w:rFonts w:ascii="Times New Roman;serif" w:hAnsi="Times New Roman;serif"/>
          <w:b w:val="false"/>
          <w:color w:val="000000"/>
          <w:sz w:val="20"/>
          <w:u w:val="single"/>
        </w:rPr>
        <w:t>Section 1.16</w:t>
      </w:r>
      <w:r>
        <w:rPr>
          <w:rFonts w:ascii="Times New Roman;serif" w:hAnsi="Times New Roman;serif"/>
          <w:b w:val="false"/>
          <w:color w:val="000000"/>
          <w:sz w:val="20"/>
        </w:rPr>
        <w:t xml:space="preserve">. In addition to the other requirements set forth in this </w:t>
      </w:r>
      <w:r>
        <w:rPr>
          <w:rFonts w:ascii="Times New Roman;serif" w:hAnsi="Times New Roman;serif"/>
          <w:b w:val="false"/>
          <w:color w:val="000000"/>
          <w:sz w:val="20"/>
          <w:u w:val="single"/>
        </w:rPr>
        <w:t>Section 1.16</w:t>
      </w:r>
      <w:r>
        <w:rPr>
          <w:rFonts w:ascii="Times New Roman;serif" w:hAnsi="Times New Roman;serif"/>
          <w:b w:val="false"/>
          <w:color w:val="000000"/>
          <w:sz w:val="20"/>
        </w:rPr>
        <w:t>, a stockholder may not transact any business at an annual meeting unless (1) such stockholder and any beneficial owner of capital stock of the Corporation, if different, on whose behalf such business is proposed (each, a “</w:t>
      </w:r>
      <w:r>
        <w:rPr>
          <w:rFonts w:ascii="Times New Roman;serif" w:hAnsi="Times New Roman;serif"/>
          <w:b/>
          <w:i/>
          <w:color w:val="000000"/>
          <w:sz w:val="20"/>
        </w:rPr>
        <w:t>Proposing Party</w:t>
      </w:r>
      <w:r>
        <w:rPr>
          <w:color w:val="000000"/>
        </w:rPr>
        <w:t>”</w:t>
      </w:r>
      <w:r>
        <w:rPr>
          <w:rFonts w:ascii="Times New Roman;serif" w:hAnsi="Times New Roman;serif"/>
          <w:b w:val="false"/>
          <w:color w:val="000000"/>
          <w:sz w:val="20"/>
        </w:rPr>
        <w:t>) acted in a manner consistent with the representation made in the Business Solicitation Representation (as defined below) and (2) such business is a proper matter for stockholder action under the DGCL. For the avoidance of doubt, the foregoing clause (iii) shall be the exclusive means for a stockholder to propose business (other than business included in the Corporation’s proxy materials pursuant to Rule 14a-8 under the Securities Exchange Act of 1934, as amended (such act, and the rules and regulations promulgated thereunder,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xml:space="preserve">)) at an annual meeting of stockholders.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Timing of Notice</w:t>
      </w:r>
      <w:r>
        <w:rPr>
          <w:rFonts w:ascii="Times New Roman;serif" w:hAnsi="Times New Roman;serif"/>
          <w:b w:val="false"/>
          <w:color w:val="000000"/>
          <w:sz w:val="20"/>
        </w:rPr>
        <w:t xml:space="preserve">. In addition to any other applicable requirements, for business to be properly brought before an annual meeting by a stockholder, such stockholder must have given timely notice thereof in proper written form to the Secretary. To be timely, a stockholder’s notice must be received by the Secretary at the principal executive offices of the Corporation not less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pPr>
      <w:r>
        <w:rPr>
          <w:rFonts w:ascii="Times New Roman;serif" w:hAnsi="Times New Roman;serif"/>
          <w:b w:val="false"/>
          <w:color w:val="000000"/>
          <w:sz w:val="20"/>
        </w:rPr>
        <w:t xml:space="preserve">than ninety (90) days nor more than one hundred twenty (120) days prior to the first anniversary of the preceding year’s annual meeting;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in the event that the annual meeting is convened more than thirty (30) days before or more than sixty (60) days after such anniversary date, or if no annual meeting was held in the preceding year, notice by the stockholder to be timely must be so received no more than one hundred twenty (120) days prior to such annual meeting nor less than the later of (i) ninety (90) days prior to such annual meeting and (ii) ten (10) days after the earlier of (A) the day on which notice of the date of the meeting was mailed or (B) the day on which public disclosure of the date of the meeting was made. In no event shall an adjournment of an annual meeting, or a postponement of an annual meeting for which notice has been given, or the public disclosure thereof, commence a new time period for the giving of a stockholder’s notice as described above.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Form of Notice</w:t>
      </w:r>
      <w:r>
        <w:rPr>
          <w:rFonts w:ascii="Times New Roman;serif" w:hAnsi="Times New Roman;serif"/>
          <w:b w:val="false"/>
          <w:color w:val="000000"/>
          <w:sz w:val="20"/>
        </w:rPr>
        <w:t>. To be in proper written form, a stockholder’s notice to the Secretary must set forth (i) as to each matter each Proposing Party proposes to bring before the annual meeting, a brief description of the business desired to be brought before the annual meeting and the reasons for conducting such business at the annual meeting, (ii) the name and address of each Proposing Party, (iii)(A) the class or series and number of shares of capital stock (if any) of the Corporation that are, directly or indirectly, owned beneficially or of record by each Proposing Party or any Stockholder Associated Person (as defined below),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Times New Roman;serif" w:hAnsi="Times New Roman;serif"/>
          <w:b/>
          <w:i/>
          <w:color w:val="000000"/>
          <w:sz w:val="20"/>
        </w:rPr>
        <w:t>Derivative Instrument</w:t>
      </w:r>
      <w:r>
        <w:rPr>
          <w:color w:val="000000"/>
        </w:rPr>
        <w:t>”</w:t>
      </w:r>
      <w:r>
        <w:rPr>
          <w:rFonts w:ascii="Times New Roman;serif" w:hAnsi="Times New Roman;serif"/>
          <w:b w:val="false"/>
          <w:color w:val="000000"/>
          <w:sz w:val="20"/>
        </w:rPr>
        <w:t xml:space="preserve">) directly or indirectly owned beneficially by each Proposing Party or any Stockholder Associated Person, (C) any proxy, contract, arrangement, understanding or relationship pursuant to which any Proposing Party or any Stockholder Associated Person has a right to vote any class or series of shares of the Corporation, (D) any Short Interest (as defined below) held by or involving any Proposing Party or any Stockholder Associated Person, (E) any rights to dividends on the shares of the Corporation owned beneficially by any Proposing Party or any Stockholder Associated Person that are separated or separable from the underlying shares of the Corporation, (F) any proportionate interest in shares of the Corporation or Derivative Instruments held, directly or indirectly, by a general or limited partnership in which any Proposing Party or any Stockholder Associated Person is a general partner or, directly or indirectly, beneficially owns an interest in a general partner of such general or limited partnership, (G) any performance-related fees (other than an asset-based fee) that any Proposing Party or any Stockholder Associated Person is entitled to based on any increase or decrease in the value of shares of the Corporation or Derivative Instruments, if any, including, without limitation, any such interests held by members of such Proposing Party’s or such Stockholder Associated Person’s immediate family sharing the same household, (H) any significant equity interests or any Derivative Instruments or Short Interests in any principal competitor of the Corporation held by any Proposing Party or any Stockholder Associated Person and (I) any direct or indirect interest of any Proposing Party or any Stockholder Associated Person in any contract with the Corporation, any affiliate of the Corporation or any principal competitor of the Corporation (including, without limitation, any employment agreement, collective bargaining agreement or consulting agreement) (which information described in this clause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pPr>
      <w:r>
        <w:rPr>
          <w:rFonts w:ascii="Times New Roman;serif" w:hAnsi="Times New Roman;serif"/>
          <w:b w:val="false"/>
          <w:color w:val="000000"/>
          <w:sz w:val="20"/>
        </w:rPr>
        <w:t>shall be supplemented by such stockholder</w:t>
      </w:r>
      <w:r>
        <w:rPr>
          <w:color w:val="000000"/>
        </w:rPr>
        <w:t xml:space="preserve"> </w:t>
      </w:r>
      <w:r>
        <w:rPr>
          <w:rFonts w:ascii="Times New Roman;serif" w:hAnsi="Times New Roman;serif"/>
          <w:b w:val="false"/>
          <w:color w:val="000000"/>
          <w:sz w:val="20"/>
        </w:rPr>
        <w:t>not later than ten (10) days after the record date for the meeting to disclose such information as of the record date); (iv) a description of all arrangements or understandings between any Proposing Party or any Stockholder Associated Person and any other person or persons (including their names) in connection with the proposal of such business by such Proposing Party and any material interest of any Proposing Party and any Stockholder Associated Person in such business; (v) a representation that such stockholder intends to appear in person or by proxy at the annual meeting to bring such business before the meeting; (vi) a Business Solicitation Representation (as defined below); and (vii) any other information relating to each Proposing Party that would be required to be disclosed in a proxy statement or other filings required to be made in connection with solicitations of proxies for stockholder proposals pursuant to Section 14 of the Exchange Act or the rules and regulations promulgated thereunder (the “</w:t>
      </w:r>
      <w:r>
        <w:rPr>
          <w:rFonts w:ascii="Times New Roman;serif" w:hAnsi="Times New Roman;serif"/>
          <w:b/>
          <w:i/>
          <w:color w:val="000000"/>
          <w:sz w:val="20"/>
        </w:rPr>
        <w:t>Proxy Rules</w:t>
      </w:r>
      <w:r>
        <w:rPr>
          <w:color w:val="000000"/>
        </w:rPr>
        <w:t>”</w:t>
      </w:r>
      <w:r>
        <w:rPr>
          <w:rFonts w:ascii="Times New Roman;serif" w:hAnsi="Times New Roman;serif"/>
          <w:b w:val="false"/>
          <w:color w:val="000000"/>
          <w:sz w:val="2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Definitions</w:t>
      </w:r>
      <w:r>
        <w:rPr>
          <w:rFonts w:ascii="Times New Roman;serif" w:hAnsi="Times New Roman;serif"/>
          <w:b w:val="false"/>
          <w:color w:val="000000"/>
          <w:sz w:val="20"/>
        </w:rPr>
        <w:t>. For purposes of these Bylaws, (i) “</w:t>
      </w:r>
      <w:r>
        <w:rPr>
          <w:rFonts w:ascii="Times New Roman;serif" w:hAnsi="Times New Roman;serif"/>
          <w:b/>
          <w:i/>
          <w:color w:val="000000"/>
          <w:sz w:val="20"/>
        </w:rPr>
        <w:t>Business Solicitation Representation</w:t>
      </w:r>
      <w:r>
        <w:rPr>
          <w:color w:val="000000"/>
        </w:rPr>
        <w:t xml:space="preserve">” </w:t>
      </w:r>
      <w:r>
        <w:rPr>
          <w:rFonts w:ascii="Times New Roman;serif" w:hAnsi="Times New Roman;serif"/>
          <w:b w:val="false"/>
          <w:color w:val="000000"/>
          <w:sz w:val="20"/>
        </w:rPr>
        <w:t>shall mean, with respect to any Proposing Party, a representation as to whether or not such Proposing Party or any Stockholder Associated Person will deliver a proxy statement and form of proxy to the holders of at least the percentage of the Corporation’s voting shares required under applicable law to adopt such proposed business or otherwise to solicit proxies from stockholders in support of such proposal; (ii) “</w:t>
      </w:r>
      <w:r>
        <w:rPr>
          <w:rFonts w:ascii="Times New Roman;serif" w:hAnsi="Times New Roman;serif"/>
          <w:b/>
          <w:i/>
          <w:color w:val="000000"/>
          <w:sz w:val="20"/>
        </w:rPr>
        <w:t>public disclosure</w:t>
      </w:r>
      <w:r>
        <w:rPr>
          <w:color w:val="000000"/>
        </w:rPr>
        <w:t xml:space="preserve">” </w:t>
      </w:r>
      <w:r>
        <w:rPr>
          <w:rFonts w:ascii="Times New Roman;serif" w:hAnsi="Times New Roman;serif"/>
          <w:b w:val="false"/>
          <w:color w:val="000000"/>
          <w:sz w:val="20"/>
        </w:rPr>
        <w:t>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(iii) “</w:t>
      </w:r>
      <w:r>
        <w:rPr>
          <w:rFonts w:ascii="Times New Roman;serif" w:hAnsi="Times New Roman;serif"/>
          <w:b/>
          <w:i/>
          <w:color w:val="000000"/>
          <w:sz w:val="20"/>
        </w:rPr>
        <w:t>Short Interest</w:t>
      </w:r>
      <w:r>
        <w:rPr>
          <w:color w:val="000000"/>
        </w:rPr>
        <w:t xml:space="preserve">” </w:t>
      </w:r>
      <w:r>
        <w:rPr>
          <w:rFonts w:ascii="Times New Roman;serif" w:hAnsi="Times New Roman;serif"/>
          <w:b w:val="false"/>
          <w:color w:val="000000"/>
          <w:sz w:val="20"/>
        </w:rPr>
        <w:t>shall mean any agreement, arrangement, understanding, relationship or otherwise, including, without limitation, any repurchase or similar so-called “stock borrowing” agreement or arrangement, involving any Proposing Party or any Nominating Party, as applicable, or any Stockholder Associated Person of any Proposing Party or Nominating Party (as defined below), as applicable, directly or indirectly, the purpose or effect of which is to mitigate loss to, reduce the economic risk (of ownership or otherwise) of any class or series of shares of the Corporation by, manage the risk of share price changes for, or increase or decrease the voting power of, such Proposing Party or such Nominating Party, as applicable, or any Stockholder Associated Person of any Proposing Party or Nominating Party, as applicable, with respect to any class or series of shares of the Corporation, or which provides, directly or indirectly, the opportunity to profit or share in any profit derived from any decrease in the price or value of any class or series of shares of the Corporation; and (iv) “</w:t>
      </w:r>
      <w:r>
        <w:rPr>
          <w:rFonts w:ascii="Times New Roman;serif" w:hAnsi="Times New Roman;serif"/>
          <w:b/>
          <w:i/>
          <w:color w:val="000000"/>
          <w:sz w:val="20"/>
        </w:rPr>
        <w:t>Stockholder Associated Person</w:t>
      </w:r>
      <w:r>
        <w:rPr>
          <w:color w:val="000000"/>
        </w:rPr>
        <w:t xml:space="preserve">” </w:t>
      </w:r>
      <w:r>
        <w:rPr>
          <w:rFonts w:ascii="Times New Roman;serif" w:hAnsi="Times New Roman;serif"/>
          <w:b w:val="false"/>
          <w:color w:val="000000"/>
          <w:sz w:val="20"/>
        </w:rPr>
        <w:t>shall mean, with respect to any Proposing Party or any Nominating Party, (A) any person directly or indirectly controlling, controlled by, under common control with or acting in concert with such Proposing Party or Nominating Party (as applicable) or (B) any member of the immediate family of such Proposing Party or Nominating Party (as applicable) sharing the same household.</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Improper Business</w:t>
      </w:r>
      <w:r>
        <w:rPr>
          <w:rFonts w:ascii="Times New Roman;serif" w:hAnsi="Times New Roman;serif"/>
          <w:b w:val="false"/>
          <w:color w:val="000000"/>
          <w:sz w:val="20"/>
        </w:rPr>
        <w:t xml:space="preserve">. No business shall be conducted at the annual meeting of stockholders of the Corporation except business brought before the annual meeting in accordance with the procedures set forth in this </w:t>
      </w:r>
      <w:r>
        <w:rPr>
          <w:rFonts w:ascii="Times New Roman;serif" w:hAnsi="Times New Roman;serif"/>
          <w:b w:val="false"/>
          <w:color w:val="000000"/>
          <w:sz w:val="20"/>
          <w:u w:val="single"/>
        </w:rPr>
        <w:t>Section 1.16</w:t>
      </w:r>
      <w:r>
        <w:rPr>
          <w:rFonts w:ascii="Times New Roman;serif" w:hAnsi="Times New Roman;serif"/>
          <w:b w:val="false"/>
          <w:color w:val="000000"/>
          <w:sz w:val="20"/>
        </w:rPr>
        <w:t xml:space="preserve">. If the chairperson of an annual meeting determines that business was not properly brought before the annual meeting in accordance with the foregoing procedures, the chairperson shall declare to the meeting that the business was not properly brought before the meeting, and such business shall not be transacted. Notwithstanding the foregoing provisions of this </w:t>
      </w:r>
      <w:r>
        <w:rPr>
          <w:rFonts w:ascii="Times New Roman;serif" w:hAnsi="Times New Roman;serif"/>
          <w:b w:val="false"/>
          <w:color w:val="000000"/>
          <w:sz w:val="20"/>
          <w:u w:val="single"/>
        </w:rPr>
        <w:t>Section 1.16</w:t>
      </w:r>
      <w:r>
        <w:rPr>
          <w:rFonts w:ascii="Times New Roman;serif" w:hAnsi="Times New Roman;serif"/>
          <w:b w:val="false"/>
          <w:color w:val="000000"/>
          <w:sz w:val="20"/>
        </w:rPr>
        <w:t xml:space="preserve">, unless otherwise required by law, if the stockholder (or a qualified representative of the stockholder) does not appear at the annual meeting of stockholders of the Corporation to propose business, such proposed business shall not be transacted, notwithstanding that proxies in respect of such vote may have been received by the Corporation. For purposes of this </w:t>
      </w:r>
      <w:r>
        <w:rPr>
          <w:rFonts w:ascii="Times New Roman;serif" w:hAnsi="Times New Roman;serif"/>
          <w:b w:val="false"/>
          <w:color w:val="000000"/>
          <w:sz w:val="20"/>
          <w:u w:val="single"/>
        </w:rPr>
        <w:t>Section 1.16</w:t>
      </w:r>
      <w:r>
        <w:rPr>
          <w:rFonts w:ascii="Times New Roman;serif" w:hAnsi="Times New Roman;serif"/>
          <w:b w:val="false"/>
          <w:color w:val="000000"/>
          <w:sz w:val="20"/>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pStyle w:val="TextBody"/>
        <w:bidi w:val="0"/>
        <w:spacing w:lineRule="auto" w:line="288" w:before="180" w:after="283"/>
        <w:jc w:val="left"/>
        <w:rPr/>
      </w:pPr>
      <w:r>
        <w:rPr>
          <w:rFonts w:ascii="Times New Roman;serif" w:hAnsi="Times New Roman;serif"/>
          <w:b w:val="false"/>
          <w:color w:val="000000"/>
          <w:sz w:val="20"/>
        </w:rPr>
        <w:t xml:space="preserve">Section 1.17. </w:t>
      </w:r>
      <w:r>
        <w:rPr>
          <w:rFonts w:ascii="Times New Roman;serif" w:hAnsi="Times New Roman;serif"/>
          <w:b w:val="false"/>
          <w:color w:val="000000"/>
          <w:sz w:val="20"/>
          <w:u w:val="single"/>
        </w:rPr>
        <w:t>Nomination of Directors</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General</w:t>
      </w:r>
      <w:r>
        <w:rPr>
          <w:rFonts w:ascii="Times New Roman;serif" w:hAnsi="Times New Roman;serif"/>
          <w:b w:val="false"/>
          <w:color w:val="000000"/>
          <w:sz w:val="20"/>
        </w:rPr>
        <w:t xml:space="preserve">. Only persons who are nominated in accordance with the following procedures shall be eligible for election as directors of the Corporation, except as may be otherwise provided in the Certificate of Incorporation with respect to the right, if any, of holders of preferred stock of the Corporation to nominate and elect a specified number of directors in certain circumstances and except as may otherwise be provided in the Proxy Rules. Nominations of persons for election to the Board may be made at any annual meeting of stockholders, or at any special meeting of stockholders called for the purpose of electing directors, (i) by or at the direction of the Board (or any duly authorized committee thereof) or (ii) by any stockholder of the Corporation (A) who is a stockholder of record on the date of the giving of the notice provided for in this </w:t>
      </w:r>
      <w:r>
        <w:rPr>
          <w:rFonts w:ascii="Times New Roman;serif" w:hAnsi="Times New Roman;serif"/>
          <w:b w:val="false"/>
          <w:color w:val="000000"/>
          <w:sz w:val="20"/>
          <w:u w:val="single"/>
        </w:rPr>
        <w:t>Section 1.17</w:t>
      </w:r>
      <w:r>
        <w:rPr>
          <w:color w:val="000000"/>
        </w:rPr>
        <w:t xml:space="preserve"> </w:t>
      </w:r>
      <w:r>
        <w:rPr>
          <w:rFonts w:ascii="Times New Roman;serif" w:hAnsi="Times New Roman;serif"/>
          <w:b w:val="false"/>
          <w:color w:val="000000"/>
          <w:sz w:val="20"/>
        </w:rPr>
        <w:t xml:space="preserve">and on the record date for the determination of stockholders entitled to notice of and to vote at such meeting, (B) who is entitled to vote at such meeting and (C) who complies with the notice procedures set forth in this </w:t>
      </w:r>
      <w:r>
        <w:rPr>
          <w:rFonts w:ascii="Times New Roman;serif" w:hAnsi="Times New Roman;serif"/>
          <w:b w:val="false"/>
          <w:color w:val="000000"/>
          <w:sz w:val="20"/>
          <w:u w:val="single"/>
        </w:rPr>
        <w:t>Section 1.17</w:t>
      </w:r>
      <w:r>
        <w:rPr>
          <w:rFonts w:ascii="Times New Roman;serif" w:hAnsi="Times New Roman;serif"/>
          <w:b w:val="false"/>
          <w:color w:val="000000"/>
          <w:sz w:val="20"/>
        </w:rPr>
        <w:t xml:space="preserve">. In addition to the other requirements set forth herein, a stockholder may not present a nominee for election at an annual or a special meeting unless such stockholder, and any beneficial owner on whose behalf such nomination is made, acted in a manner consistent with the representations made in the Nominee Solicitation Representation (as defined below).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Timing of Notice</w:t>
      </w:r>
      <w:r>
        <w:rPr>
          <w:rFonts w:ascii="Times New Roman;serif" w:hAnsi="Times New Roman;serif"/>
          <w:b w:val="false"/>
          <w:color w:val="000000"/>
          <w:sz w:val="20"/>
        </w:rPr>
        <w:t xml:space="preserve">. In addition to any other applicable requirements, for a nomination to be made by a stockholder of the Corporation, such stockholder must have given timely notice thereof in proper written form to the Secretary. To be timely, a stockholder’s notice must be received by the Secretary at the principal executive offices of the Corporation (i) in the case of an annual meeting, not less than ninety (90) days nor more than one hundred twenty (120) days prior to the first anniversary of the preceding year’s annual meeting;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in the event that the annual meeting is convened more than thirty (30) days before or more than sixty (60) days after such anniversary date, or if no annual meeting was held in the preceding year, notice by the stockholder to be timely must be so received no more than one hundred twenty (120) days prior to such annual meeting nor less than the later of (A) ninety (90) days prior to such annual meeting and (B) ten (10) days after the earlier of (1) the day on which notice of the date of the meeting was mailed or (2) the day on which public disclosure of the date of the meeting was made; and (ii) in the case of a special meeting of stockholders called for the purpose of electing directors, no more than ten (10) days after the earlier of (A) the day on which notice of the date of the special meeting was mailed or (B) the day on which public disclosure of the date of the special meeting was made. In no event shall an adjournment of an annual or a special meeting, or a postponement of such a meeting for which notice has been given, or the public disclosure thereof, commence a new time period for the giving of a stockholder’s notice as described above. Notwithstanding the foregoing, in the event that the number of directors to be elected to the Board at the annual meeting is increased effective after the time period for which nominations would otherwise be due under this </w:t>
      </w:r>
      <w:r>
        <w:rPr>
          <w:rFonts w:ascii="Times New Roman;serif" w:hAnsi="Times New Roman;serif"/>
          <w:b w:val="false"/>
          <w:color w:val="000000"/>
          <w:sz w:val="20"/>
          <w:u w:val="single"/>
        </w:rPr>
        <w:t>Section 1.17</w:t>
      </w:r>
      <w:r>
        <w:rPr>
          <w:color w:val="000000"/>
        </w:rPr>
        <w:t xml:space="preserve"> </w:t>
      </w:r>
      <w:r>
        <w:rPr>
          <w:rFonts w:ascii="Times New Roman;serif" w:hAnsi="Times New Roman;serif"/>
          <w:b w:val="false"/>
          <w:color w:val="000000"/>
          <w:sz w:val="20"/>
        </w:rPr>
        <w:t xml:space="preserve">and there is no public announcement by the Corporation naming the nominees for the additional directorships at least one hundred (100) days prior to the first anniversary of the preceding year’s annual meeting, a stockholder’s notice required by this </w:t>
      </w:r>
      <w:r>
        <w:rPr>
          <w:rFonts w:ascii="Times New Roman;serif" w:hAnsi="Times New Roman;serif"/>
          <w:b w:val="false"/>
          <w:color w:val="000000"/>
          <w:sz w:val="20"/>
          <w:u w:val="single"/>
        </w:rPr>
        <w:t>Section 1.17</w:t>
      </w:r>
      <w:r>
        <w:rPr>
          <w:color w:val="000000"/>
        </w:rPr>
        <w:t xml:space="preserve"> </w:t>
      </w:r>
      <w:r>
        <w:rPr>
          <w:rFonts w:ascii="Times New Roman;serif" w:hAnsi="Times New Roman;serif"/>
          <w:b w:val="false"/>
          <w:color w:val="000000"/>
          <w:sz w:val="20"/>
        </w:rPr>
        <w:t>shall also be considered timely, but only with respect to nominees for the additional directorships, if it shall be delivered to the Secretary at the principal executive offices of the Corporation not later than the close of business on the tenth (10</w:t>
      </w:r>
      <w:r>
        <w:rPr>
          <w:rFonts w:ascii="Times New Roman;serif" w:hAnsi="Times New Roman;serif"/>
          <w:b w:val="false"/>
          <w:color w:val="000000"/>
          <w:sz w:val="13"/>
        </w:rPr>
        <w:t>th</w:t>
      </w:r>
      <w:r>
        <w:rPr>
          <w:rFonts w:ascii="Times New Roman;serif" w:hAnsi="Times New Roman;serif"/>
          <w:b w:val="false"/>
          <w:color w:val="000000"/>
          <w:sz w:val="20"/>
        </w:rPr>
        <w:t>) day following the day on which such public announcement is first made by the Corporation.</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Form of Notice</w:t>
      </w:r>
      <w:r>
        <w:rPr>
          <w:rFonts w:ascii="Times New Roman;serif" w:hAnsi="Times New Roman;serif"/>
          <w:b w:val="false"/>
          <w:color w:val="000000"/>
          <w:sz w:val="20"/>
        </w:rPr>
        <w:t>. To be in proper written form, a notice by the stockholder (together with the beneficial owner or beneficial owners of capital stock of the corporation, if different, on whose behalf the notice of the nomination is proposed to be made at the meeting, the “</w:t>
      </w:r>
      <w:r>
        <w:rPr>
          <w:rFonts w:ascii="Times New Roman;serif" w:hAnsi="Times New Roman;serif"/>
          <w:b/>
          <w:i/>
          <w:color w:val="000000"/>
          <w:sz w:val="20"/>
        </w:rPr>
        <w:t>Nominating Party</w:t>
      </w:r>
      <w:r>
        <w:rPr>
          <w:color w:val="000000"/>
        </w:rPr>
        <w:t>”</w:t>
      </w:r>
      <w:r>
        <w:rPr>
          <w:rFonts w:ascii="Times New Roman;serif" w:hAnsi="Times New Roman;serif"/>
          <w:b w:val="false"/>
          <w:color w:val="000000"/>
          <w:sz w:val="20"/>
        </w:rPr>
        <w:t xml:space="preserve">) to the Secretary must set forth (i) as to each person whom the Nominating Party proposes to nominate for election as a director (A) the name, age, business address and residence address of such person; (B) the principal occupation or employment of such person; (C) the class or series and number of shares of capital stock (if any) of the Corporation that are, directly or indirectly, owned beneficially or of record by such person; and (D) any other information relating to such person that would be required to be disclosed in a proxy statement or other filings required to be made in connection with solicitations of proxies for election of directors required pursuant to the Proxy Rules; (ii) the name and address of each Nominating Party , (iii) as to each Nominating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pPr>
      <w:r>
        <w:rPr>
          <w:rFonts w:ascii="Times New Roman;serif" w:hAnsi="Times New Roman;serif"/>
          <w:b w:val="false"/>
          <w:color w:val="000000"/>
          <w:sz w:val="20"/>
        </w:rPr>
        <w:t>Party (A) the class or series and number of shares of capital stock of the Corporation that are, directly or indirectly, owned beneficially or of record by each Nominating Party or any Stockholder Associated Person, (B) any Derivative Instrument directly or indirectly owned beneficially by each Nominating Party or any Stockholder Associated Person, (C) any proxy, contract, arrangement, understanding or relationship pursuant to which any Nominating Party or any Stockholder Associated Person has a right to vote any class or series of shares of the Corporation, (D) any Short Interest held by or involving any Nominating Party or any Stockholder Associated Person, (E) any rights to dividends on the shares of the Corporation owned beneficially by any Nominating Party or any Stockholder Associated Person that are separated or separable from the underlying shares of the Corporation, (F) any proportionate interest in shares of the Corporation or Derivative Instruments held, directly or indirectly, by a general or limited partnership in which any Nominating Party or any Stockholder Associated Person is a general partner or, directly or indirectly, beneficially owns an interest in a general partner of such general or limited partnership, (G) any performance-related fees (other than an asset-based fee) that any Nominating Party or any Stockholder Associated Person is entitled to based on any increase or decrease in the value of shares of the Corporation or Derivative Instruments, if any, including, without limitation, any such interests held by members of such Nominating Person’s or such Stockholder Associated Person’s immediate family sharing the same household, (H) any significant equity interests or any Derivative Instruments or Short Interests in any principal competitor of the Corporation held by any Nominating Party or any Stockholder Associated Person and (I) any direct or indirect interest of any Nominating Party or any Stockholder Associated Person in any contract with the Corporation, any affiliate of the Corporation or any principal competitor of the Corporation (including, without limitation, any employment agreement, collective bargaining agreement or consulting agreement) (which information described in this clause (iii) shall be supplemented by such stockholder not later than ten (10) days after the record date for the meeting to disclose such information as of the record date); (iv) a description of all arrangements or understandings between any Nominating Party or any Stockholder Associated Person and each proposed nominee or any other person or persons (including their names) pursuant to which the nomination(s) are to be made, (v) a representation that such stockholder intends to appear in person or by proxy at the meeting to nominate the persons named in its notice, (vi) a representation (a “</w:t>
      </w:r>
      <w:r>
        <w:rPr>
          <w:rFonts w:ascii="Times New Roman;serif" w:hAnsi="Times New Roman;serif"/>
          <w:b/>
          <w:i/>
          <w:color w:val="000000"/>
          <w:sz w:val="20"/>
        </w:rPr>
        <w:t>Nominee Solicitation Representation</w:t>
      </w:r>
      <w:r>
        <w:rPr>
          <w:color w:val="000000"/>
        </w:rPr>
        <w:t>”</w:t>
      </w:r>
      <w:r>
        <w:rPr>
          <w:rFonts w:ascii="Times New Roman;serif" w:hAnsi="Times New Roman;serif"/>
          <w:b w:val="false"/>
          <w:color w:val="000000"/>
          <w:sz w:val="20"/>
        </w:rPr>
        <w:t>) as to whether or not such Nominating Party or any Stockholder Associated Person will deliver a proxy statement and form of proxy to a number of holders of the Corporation’s voting shares reasonably believed by such Nominating Party to be sufficient to elect its nominee or nominees or otherwise to solicit proxies from stockholders in support of such nominations, (vii) a written questionnaire with respect to the background and qualification of each proposed nominee and the background of any other person or entity on whose behalf the nomination is being made (in the form provided by the Secretary upon written request), (viii) a written representation and agreement (in the form provided by the Secretary upon written request) that such person (x) is not and will not become a party to (A) any agreement, arrangement or understanding with, and has not given any commitment or assurance to, any person or entity as to how such person, if elected as a director of the Corporation, will act or vote on any issue or question (a “</w:t>
      </w:r>
      <w:r>
        <w:rPr>
          <w:rFonts w:ascii="Times New Roman;serif" w:hAnsi="Times New Roman;serif"/>
          <w:b/>
          <w:i/>
          <w:color w:val="000000"/>
          <w:sz w:val="20"/>
        </w:rPr>
        <w:t>Voting Commitment</w:t>
      </w:r>
      <w:r>
        <w:rPr>
          <w:color w:val="000000"/>
        </w:rPr>
        <w:t>”</w:t>
      </w:r>
      <w:r>
        <w:rPr>
          <w:rFonts w:ascii="Times New Roman;serif" w:hAnsi="Times New Roman;serif"/>
          <w:b w:val="false"/>
          <w:color w:val="000000"/>
          <w:sz w:val="20"/>
        </w:rPr>
        <w:t xml:space="preserve">) that has not been disclosed to the Corporation or (B) any Voting Commitment that could limit or interfere with such person’s ability to comply, if elected as a director of the Corporation, with such person’s fiduciary duties under applicable law, (y)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(z)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(ix) a written representation from the Nominating Party as to whether the Nominating Party or any Stockholder Associated Person intends or is part of a group that intends to (A) solicit proxies in support of director nominees in accordance with Rule 14a-19 under the Exchange Act, or (B) engage in a solicitation (within the meaning of Exchange Act Rule 14a-1(l)) with respect to the nomination or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as applicable, and if so, the name of each participant (as defined in Item 4 of Schedule 14A under the Exchange Act) in such solicitation, and (x) any other information relating to each Nominating Party that would be required to be disclosed in a proxy statement or other filings required to be made in connection with solicitations of proxies for election of directors pursuant to the Proxy Rules. Such notice must be accompanied by a written consent of each proposed nominee to being named as a nominee and to serve as a director if elected. The Corporation may require any proposed nominee to furnish such other information as it may reasonably require to determine the eligibility of such proposed nominee to serve as a director of the Corporation.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Defective Nominations</w:t>
      </w:r>
      <w:r>
        <w:rPr>
          <w:rFonts w:ascii="Times New Roman;serif" w:hAnsi="Times New Roman;serif"/>
          <w:b w:val="false"/>
          <w:color w:val="000000"/>
          <w:sz w:val="20"/>
        </w:rPr>
        <w:t xml:space="preserve">. No person shall be eligible for election as a director of the Corporation unless nominated in accordance with the procedures set forth in this </w:t>
      </w:r>
      <w:r>
        <w:rPr>
          <w:rFonts w:ascii="Times New Roman;serif" w:hAnsi="Times New Roman;serif"/>
          <w:b w:val="false"/>
          <w:color w:val="000000"/>
          <w:sz w:val="20"/>
          <w:u w:val="single"/>
        </w:rPr>
        <w:t>Section 1.17</w:t>
      </w:r>
      <w:r>
        <w:rPr>
          <w:rFonts w:ascii="Times New Roman;serif" w:hAnsi="Times New Roman;serif"/>
          <w:b w:val="false"/>
          <w:color w:val="000000"/>
          <w:sz w:val="20"/>
        </w:rPr>
        <w:t xml:space="preserve">. If the chairperson of the meeting determines that a nomination was not made in accordance with the foregoing procedures, the chairperson shall declare to the meeting that the nomination was defective, and such defective nomination shall be disregarded. Notwithstanding the foregoing provisions of this </w:t>
      </w:r>
      <w:r>
        <w:rPr>
          <w:rFonts w:ascii="Times New Roman;serif" w:hAnsi="Times New Roman;serif"/>
          <w:b w:val="false"/>
          <w:color w:val="000000"/>
          <w:sz w:val="20"/>
          <w:u w:val="single"/>
        </w:rPr>
        <w:t>Section 1.17</w:t>
      </w:r>
      <w:r>
        <w:rPr>
          <w:rFonts w:ascii="Times New Roman;serif" w:hAnsi="Times New Roman;serif"/>
          <w:b w:val="false"/>
          <w:color w:val="000000"/>
          <w:sz w:val="20"/>
        </w:rPr>
        <w:t xml:space="preserve">,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w:t>
      </w:r>
      <w:r>
        <w:rPr>
          <w:rFonts w:ascii="Times New Roman;serif" w:hAnsi="Times New Roman;serif"/>
          <w:b w:val="false"/>
          <w:color w:val="000000"/>
          <w:sz w:val="20"/>
          <w:u w:val="single"/>
        </w:rPr>
        <w:t>Section 1.17</w:t>
      </w:r>
      <w:r>
        <w:rPr>
          <w:rFonts w:ascii="Times New Roman;serif" w:hAnsi="Times New Roman;serif"/>
          <w:b w:val="false"/>
          <w:color w:val="000000"/>
          <w:sz w:val="20"/>
        </w:rPr>
        <w:t xml:space="preserv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Notwithstanding the foregoing, solely with respect to a nomination pursuant to this </w:t>
      </w:r>
      <w:r>
        <w:rPr>
          <w:rFonts w:ascii="Times New Roman;serif" w:hAnsi="Times New Roman;serif"/>
          <w:b w:val="false"/>
          <w:color w:val="000000"/>
          <w:sz w:val="20"/>
          <w:u w:val="single"/>
        </w:rPr>
        <w:t>Section 1.17</w:t>
      </w:r>
      <w:r>
        <w:rPr>
          <w:rFonts w:ascii="Times New Roman;serif" w:hAnsi="Times New Roman;serif"/>
          <w:b w:val="false"/>
          <w:color w:val="000000"/>
          <w:sz w:val="20"/>
        </w:rPr>
        <w:t>, if a stockholder’s notice of nomination is completed in good-faith and received during the nomination window and at least twenty (20) calendar days before the final date on which such notice could be timely submitted (the “Nomination Deadline”), and if upon a good-faith facial review (without independent investigation or verification) the Secretary determines that the notice contains one or more facially apparent defects or omissions, the Company shall, within fourteen (14) calendar days of receipt, provide written notice identifying with reasonable specificity each such defect (a “Deficiency Notice”). The Nominating Party shall have the right to cure the identified defects by submitting corrective information on or before the Nomination Deadline. If the identified defects are cured as of the Nomination Deadline, they shall not serve as grounds to invalidate the nomination. This provision shall apply only to facially apparent defects and shall not obligate the Company to investigate, verify, or assess materiality; shall not extend the nomination window; and shall not otherwise limit the Company’s authority to reject nominations, including due to material misstatements, omissions of material fact, failures to comply with Rule 14a-19 under the Exchange Act, eligibility to submit a notice of nomination, or deficiencies not reasonably apparent on the face of the original notice.</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Disregarded Nominees</w:t>
      </w:r>
      <w:r>
        <w:rPr>
          <w:rFonts w:ascii="Times New Roman;serif" w:hAnsi="Times New Roman;serif"/>
          <w:b w:val="false"/>
          <w:color w:val="000000"/>
          <w:sz w:val="20"/>
        </w:rPr>
        <w:t xml:space="preserve">. Notwithstanding anything herein to the contrary, if (i) any Nominating Party or any Stockholder Associated Person provides notice pursuant to Rule 14a-19(b) under the Exchange Act with respect to any proposed director nominee and (ii) (A) such Nominating Party or Stockholder Associated Person subsequently either (x) notifies the Corporation that such Nominating Party or Stockholder Associated Person no longer intends to solicit proxies in support of the election of such proposed director nominee in accordance with Rule 14a-19(b) under the Exchange Act or (y) fails to comply with the requirements of Rule 14a-19(a)(2) or Rule 14a-19(a)(3) under the Exchange Act (or fails to timely provide reasonable evidence sufficient to satisfy the Corporation that such Nominating Party or Stockholder Associated Person has met the requirements of Rule 14a-19(a)(3) under the Exchange Act in accordance with the following sentence) and (B) there is no other Nominating Party or Stockholder Associated Person that has provided notice pursuant to Rule 14a-19(b) under the Exchange Act with respect to such proposed director nominee that (x) to the Corporation’s knowledge, based on information provided pursuant to Rule 14a-19 under the Exchange Act or these Bylaws, still intends to solicit proxies in support of the election of such proposed director nominee in accordance with Rule 14a-19(b) under the Exchange Act and (y) has complied 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requirements of Rule 14a-19(a)(2) and Rule 14a-19(a)(3) under the Exchange Act and the requirements set forth in the following sentence, then the nomination of such proposed director nominee shall be disregarded and no vote on the election of such proposed director nominee shall occur (notwithstanding that proxies in respect of such vote may have been received by the Corporation). Upon request by the Corporation, if any Nominating Party or any Stockholder Associated Person provides notice pursuant to Rule 14a-19(b) under the Exchange Act, such Nominating Party shall deliver to the Secretary, no later than five (5) business days prior to the applicable meeting date, reasonable evidence that the requirements of Rule 14a-19(a)(3) under the Exchange Act have been satisfied.</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1.18 </w:t>
      </w:r>
      <w:r>
        <w:rPr>
          <w:rFonts w:ascii="Times New Roman;serif" w:hAnsi="Times New Roman;serif"/>
          <w:b w:val="false"/>
          <w:color w:val="000000"/>
          <w:sz w:val="20"/>
          <w:u w:val="single"/>
        </w:rPr>
        <w:t>Exchange Act</w:t>
      </w:r>
      <w:r>
        <w:rPr>
          <w:rFonts w:ascii="Times New Roman;serif" w:hAnsi="Times New Roman;serif"/>
          <w:b w:val="false"/>
          <w:color w:val="000000"/>
          <w:sz w:val="20"/>
        </w:rPr>
        <w:t xml:space="preserve">. Notwithstanding the provisions of </w:t>
      </w:r>
      <w:r>
        <w:rPr>
          <w:rFonts w:ascii="Times New Roman;serif" w:hAnsi="Times New Roman;serif"/>
          <w:b w:val="false"/>
          <w:color w:val="000000"/>
          <w:sz w:val="20"/>
          <w:u w:val="single"/>
        </w:rPr>
        <w:t>Section 1.16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1.17</w:t>
      </w:r>
      <w:r>
        <w:rPr>
          <w:color w:val="000000"/>
        </w:rPr>
        <w:t xml:space="preserve"> </w:t>
      </w:r>
      <w:r>
        <w:rPr>
          <w:rFonts w:ascii="Times New Roman;serif" w:hAnsi="Times New Roman;serif"/>
          <w:b w:val="false"/>
          <w:color w:val="000000"/>
          <w:sz w:val="20"/>
        </w:rPr>
        <w:t xml:space="preserve">above, a stockholder shall also comply with all applicable requirements of the Exchange Act with respect to the matters set forth in such sections. Nothing in such sections shall be deemed to affect any rights of (i) stockholders to request inclusion of proposals in the Corporation’s proxy statement pursuant to Rule 14a-8 under the Exchange Act, (ii) stockholders to request inclusion of nominees in the Corporation’s proxy statement pursuant to the Proxy Rules or (iii) the holders of any series of preferred stock to elect directors under specified circumstances. </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ARTICLE II </w:t>
      </w:r>
    </w:p>
    <w:p>
      <w:pPr>
        <w:pStyle w:val="TextBody"/>
        <w:bidi w:val="0"/>
        <w:spacing w:lineRule="auto" w:line="288" w:before="9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DIRECTORS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2.1. </w:t>
      </w:r>
      <w:r>
        <w:rPr>
          <w:rFonts w:ascii="Times New Roman;serif" w:hAnsi="Times New Roman;serif"/>
          <w:b w:val="false"/>
          <w:color w:val="000000"/>
          <w:sz w:val="20"/>
          <w:u w:val="single"/>
        </w:rPr>
        <w:t>Number</w:t>
      </w:r>
      <w:r>
        <w:rPr>
          <w:rFonts w:ascii="Times New Roman;serif" w:hAnsi="Times New Roman;serif"/>
          <w:b w:val="false"/>
          <w:color w:val="000000"/>
          <w:sz w:val="20"/>
        </w:rPr>
        <w:t xml:space="preserve">. The number of directors that shall constitute the entire Board shall be fixed, from time to time, exclusively by the Board, subject to the rights of the holders of any series of preferred stock with respect to the election of directors, if any.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2.2. </w:t>
      </w:r>
      <w:r>
        <w:rPr>
          <w:rFonts w:ascii="Times New Roman;serif" w:hAnsi="Times New Roman;serif"/>
          <w:b w:val="false"/>
          <w:color w:val="000000"/>
          <w:sz w:val="20"/>
          <w:u w:val="single"/>
        </w:rPr>
        <w:t>Duties and Powers</w:t>
      </w:r>
      <w:r>
        <w:rPr>
          <w:rFonts w:ascii="Times New Roman;serif" w:hAnsi="Times New Roman;serif"/>
          <w:b w:val="false"/>
          <w:color w:val="000000"/>
          <w:sz w:val="20"/>
        </w:rPr>
        <w:t xml:space="preserve">. The business and affairs of the Corporation shall be managed by or under the direction of the Board, which may exercise all such powers of the Corporation and do all such lawful acts and things as are not by law or by the Certificate of Incorporation required to be exercised or done by the stockholders.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2.3. </w:t>
      </w:r>
      <w:r>
        <w:rPr>
          <w:rFonts w:ascii="Times New Roman;serif" w:hAnsi="Times New Roman;serif"/>
          <w:b w:val="false"/>
          <w:color w:val="000000"/>
          <w:sz w:val="20"/>
          <w:u w:val="single"/>
        </w:rPr>
        <w:t>Meetings</w:t>
      </w:r>
      <w:r>
        <w:rPr>
          <w:rFonts w:ascii="Times New Roman;serif" w:hAnsi="Times New Roman;serif"/>
          <w:b w:val="false"/>
          <w:color w:val="000000"/>
          <w:sz w:val="20"/>
        </w:rPr>
        <w:t xml:space="preserve">. The Board may hold meetings, both regular and special, either within or without the State of Delaware. Regular meetings of the Board may be held at such time and at such place as may from time to time be determined by the Board. Special meetings of the Board may be called by the Chairperson of the Board (if there be one), the Chief Executive Officer or the Board and shall be held at such place, on such date and at such time as he, she or it shall specify.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2.4.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Notice of any meeting of the Board stating the place, date and time of the meeting shall be given to each director by mail posted not less than five (5) days before the date of the meeting, by nationally recognized overnight courier deposited not less than two (2) days before the date of the meeting or by email, facsimile or other means of electronic communication delivered or sent not less than twenty-four (24) hours before the date and time of the meeting, or on such shorter notice as the person or persons calling such meeting may deem necessary or appropriate in the circumstances. If mailed or sent by overnight courier, such notice shall be deemed to be given at the time when it is deposited in the United States mail with first class postage prepaid or deposited with the overnight courier. Notice by facsimile or other electronic transmission shall be deemed given when the notice is transmitted. Any director may waive notice of any meeting before or after the meeting. The attendance of a director at any meeting shall constitute a waiver of notice of such meeting, except where the director attends the meeting for the express purpose of objecting at the beginning of the meeting to the transaction of any business because the meeting is not lawfully called or convened. Neither the business to be transacted at, nor the purpose of, any regular or special meeting of the Board need be specified in any notice of such meeting unless so required by law. A meeting may be held at any time without notice if all of the directors are present or if those not present waive notice of the meeting in accordance with </w:t>
      </w:r>
      <w:r>
        <w:rPr>
          <w:rFonts w:ascii="Times New Roman;serif" w:hAnsi="Times New Roman;serif"/>
          <w:b w:val="false"/>
          <w:color w:val="000000"/>
          <w:sz w:val="20"/>
          <w:u w:val="single"/>
        </w:rPr>
        <w:t>Section 5.6</w:t>
      </w:r>
      <w:r>
        <w:rPr>
          <w:color w:val="000000"/>
        </w:rPr>
        <w:t xml:space="preserve"> </w:t>
      </w:r>
      <w:r>
        <w:rPr>
          <w:rFonts w:ascii="Times New Roman;serif" w:hAnsi="Times New Roman;serif"/>
          <w:b w:val="false"/>
          <w:color w:val="000000"/>
          <w:sz w:val="20"/>
        </w:rPr>
        <w:t>of these Bylaws.</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2.5. </w:t>
      </w:r>
      <w:r>
        <w:rPr>
          <w:rFonts w:ascii="Times New Roman;serif" w:hAnsi="Times New Roman;serif"/>
          <w:b w:val="false"/>
          <w:color w:val="000000"/>
          <w:sz w:val="20"/>
          <w:u w:val="single"/>
        </w:rPr>
        <w:t>Chairperson of the Board</w:t>
      </w:r>
      <w:r>
        <w:rPr>
          <w:rFonts w:ascii="Times New Roman;serif" w:hAnsi="Times New Roman;serif"/>
          <w:b w:val="false"/>
          <w:color w:val="000000"/>
          <w:sz w:val="20"/>
        </w:rPr>
        <w:t xml:space="preserve">. The Chairperson of the Board shall be chosen from among the directors and may be the Chief Executive Officer. Except as otherwise provided by law, the Certificate of Incorporation or </w:t>
      </w:r>
      <w:r>
        <w:rPr>
          <w:rFonts w:ascii="Times New Roman;serif" w:hAnsi="Times New Roman;serif"/>
          <w:b w:val="false"/>
          <w:color w:val="000000"/>
          <w:sz w:val="20"/>
          <w:u w:val="single"/>
        </w:rPr>
        <w:t>Section 2.6</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2.7</w:t>
      </w:r>
      <w:r>
        <w:rPr>
          <w:color w:val="000000"/>
        </w:rPr>
        <w:t xml:space="preserve"> </w:t>
      </w:r>
      <w:r>
        <w:rPr>
          <w:rFonts w:ascii="Times New Roman;serif" w:hAnsi="Times New Roman;serif"/>
          <w:b w:val="false"/>
          <w:color w:val="000000"/>
          <w:sz w:val="20"/>
        </w:rPr>
        <w:t xml:space="preserve">of these Bylaws, the Chairperson of the Board shall preside at all meetings of stockholders and of the Board. The Chairperson of the Board shall have such other powers and duties as may from time to time be assigned by the Board.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2.6. </w:t>
      </w:r>
      <w:r>
        <w:rPr>
          <w:rFonts w:ascii="Times New Roman;serif" w:hAnsi="Times New Roman;serif"/>
          <w:b w:val="false"/>
          <w:color w:val="000000"/>
          <w:sz w:val="20"/>
          <w:u w:val="single"/>
        </w:rPr>
        <w:t>Lead Director</w:t>
      </w:r>
      <w:r>
        <w:rPr>
          <w:rFonts w:ascii="Times New Roman;serif" w:hAnsi="Times New Roman;serif"/>
          <w:b w:val="false"/>
          <w:color w:val="000000"/>
          <w:sz w:val="20"/>
        </w:rPr>
        <w:t>. The Board may include a Lead Director. The Lead Director shall be one of the directors who has been determined by the Board to be an “independent director” (any such director, an “</w:t>
      </w:r>
      <w:r>
        <w:rPr>
          <w:rFonts w:ascii="Times New Roman;serif" w:hAnsi="Times New Roman;serif"/>
          <w:b/>
          <w:i/>
          <w:color w:val="000000"/>
          <w:sz w:val="20"/>
        </w:rPr>
        <w:t>Independent Director</w:t>
      </w:r>
      <w:r>
        <w:rPr>
          <w:color w:val="000000"/>
        </w:rPr>
        <w:t>”</w:t>
      </w:r>
      <w:r>
        <w:rPr>
          <w:rFonts w:ascii="Times New Roman;serif" w:hAnsi="Times New Roman;serif"/>
          <w:b w:val="false"/>
          <w:color w:val="000000"/>
          <w:sz w:val="20"/>
        </w:rPr>
        <w:t xml:space="preserve">). The Lead Director shall preside at all meetings of the Board at which the Chairperson of the Board is not present, preside over the executive sessions of the Independent Directors, serve as a liaison between the Chairperson of the Board and the Board and have such other responsibilities, and perform such duties, as may from time to time be assigned to him or her by the Board. The Lead Director shall be elected by a majority of the Independent Directors.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2.7. </w:t>
      </w:r>
      <w:r>
        <w:rPr>
          <w:rFonts w:ascii="Times New Roman;serif" w:hAnsi="Times New Roman;serif"/>
          <w:b w:val="false"/>
          <w:color w:val="000000"/>
          <w:sz w:val="20"/>
          <w:u w:val="single"/>
        </w:rPr>
        <w:t>Organization</w:t>
      </w:r>
      <w:r>
        <w:rPr>
          <w:rFonts w:ascii="Times New Roman;serif" w:hAnsi="Times New Roman;serif"/>
          <w:b w:val="false"/>
          <w:color w:val="000000"/>
          <w:sz w:val="20"/>
        </w:rPr>
        <w:t xml:space="preserve">. At each meeting of the Board, the Chairperson of the Board, or, in the Chairperson’s absence, the Lead Director, or, in the Lead Director’s absence, a director chosen by a majority of the directors present, shall act as chairperson.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chairperson of the meeting may appoint any person to act as secretary of the meeting.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2.8. </w:t>
      </w:r>
      <w:r>
        <w:rPr>
          <w:rFonts w:ascii="Times New Roman;serif" w:hAnsi="Times New Roman;serif"/>
          <w:b w:val="false"/>
          <w:color w:val="000000"/>
          <w:sz w:val="20"/>
          <w:u w:val="single"/>
        </w:rPr>
        <w:t>Resignations and Removals of Directors</w:t>
      </w:r>
      <w:r>
        <w:rPr>
          <w:rFonts w:ascii="Times New Roman;serif" w:hAnsi="Times New Roman;serif"/>
          <w:b w:val="false"/>
          <w:color w:val="000000"/>
          <w:sz w:val="20"/>
        </w:rPr>
        <w:t>. Any director of the Corporation may resign at any time, by giving notice in writing or by electronic transmission to the Chairperson of the Board, the Chief Executive Officer or the Secretary. Such resignation shall be effective upon receipt unless it is specified to be effective at some other time or upon the occurrence of some other event, and, unless otherwise specified in such notice, the acceptance of such resignation shall not be necessary to make it effective. Subject to the rights of holders of any series of preferred stock with respect to the election of directors, a director may be removed from office by the stockholders of the Corporation in accordance with the provisions of the DGCL.</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2.9. </w:t>
      </w:r>
      <w:r>
        <w:rPr>
          <w:rFonts w:ascii="Times New Roman;serif" w:hAnsi="Times New Roman;serif"/>
          <w:b w:val="false"/>
          <w:color w:val="000000"/>
          <w:sz w:val="20"/>
          <w:u w:val="single"/>
        </w:rPr>
        <w:t>Quorum</w:t>
      </w:r>
      <w:r>
        <w:rPr>
          <w:rFonts w:ascii="Times New Roman;serif" w:hAnsi="Times New Roman;serif"/>
          <w:b w:val="false"/>
          <w:color w:val="000000"/>
          <w:sz w:val="20"/>
        </w:rPr>
        <w:t xml:space="preserve">. At all meetings of the Board, a majority of directors constituting the Board shall constitute a quorum for the transaction of business, and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of the time and place of the adjourned meeting, until a quorum shall be present.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2.10. </w:t>
      </w:r>
      <w:r>
        <w:rPr>
          <w:rFonts w:ascii="Times New Roman;serif" w:hAnsi="Times New Roman;serif"/>
          <w:b w:val="false"/>
          <w:color w:val="000000"/>
          <w:sz w:val="20"/>
          <w:u w:val="single"/>
        </w:rPr>
        <w:t>Actions of the Board by Written Consent</w:t>
      </w:r>
      <w:r>
        <w:rPr>
          <w:rFonts w:ascii="Times New Roman;serif" w:hAnsi="Times New Roman;serif"/>
          <w:b w:val="false"/>
          <w:color w:val="000000"/>
          <w:sz w:val="20"/>
        </w:rPr>
        <w:t xml:space="preserve">. Any action required or permitted to be taken at any meeting of the Board or of any committee thereof may be taken without a meeting, if all the members of the Board or committee, as the case may be, consent thereto in writing or by electronic transmission, and the writing or writings or electronic transmission are filed with the minutes of proceedings of the Board or committee.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2.11. </w:t>
      </w:r>
      <w:r>
        <w:rPr>
          <w:rFonts w:ascii="Times New Roman;serif" w:hAnsi="Times New Roman;serif"/>
          <w:b w:val="false"/>
          <w:color w:val="000000"/>
          <w:sz w:val="20"/>
          <w:u w:val="single"/>
        </w:rPr>
        <w:t>Telephonic Meetings</w:t>
      </w:r>
      <w:r>
        <w:rPr>
          <w:rFonts w:ascii="Times New Roman;serif" w:hAnsi="Times New Roman;serif"/>
          <w:b w:val="false"/>
          <w:color w:val="000000"/>
          <w:sz w:val="20"/>
        </w:rPr>
        <w:t xml:space="preserve">. Members of the Board, or any committee thereof, may participate in a meeting of the Board or such committee by means of a conference telephone or other communications equipment by means of which all persons participating in the meeting can hear and speak with each other, and participation in a meeting pursuant to this </w:t>
      </w:r>
      <w:r>
        <w:rPr>
          <w:rFonts w:ascii="Times New Roman;serif" w:hAnsi="Times New Roman;serif"/>
          <w:b w:val="false"/>
          <w:color w:val="000000"/>
          <w:sz w:val="20"/>
          <w:u w:val="single"/>
        </w:rPr>
        <w:t>Section 2.11</w:t>
      </w:r>
      <w:r>
        <w:rPr>
          <w:color w:val="000000"/>
        </w:rPr>
        <w:t xml:space="preserve"> </w:t>
      </w:r>
      <w:r>
        <w:rPr>
          <w:rFonts w:ascii="Times New Roman;serif" w:hAnsi="Times New Roman;serif"/>
          <w:b w:val="false"/>
          <w:color w:val="000000"/>
          <w:sz w:val="20"/>
        </w:rPr>
        <w:t xml:space="preserve">shall constitute presence in person at such meeting.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2.12. </w:t>
      </w:r>
      <w:r>
        <w:rPr>
          <w:rFonts w:ascii="Times New Roman;serif" w:hAnsi="Times New Roman;serif"/>
          <w:b w:val="false"/>
          <w:color w:val="000000"/>
          <w:sz w:val="20"/>
          <w:u w:val="single"/>
        </w:rPr>
        <w:t>Committees</w:t>
      </w:r>
      <w:r>
        <w:rPr>
          <w:rFonts w:ascii="Times New Roman;serif" w:hAnsi="Times New Roman;serif"/>
          <w:b w:val="false"/>
          <w:color w:val="000000"/>
          <w:sz w:val="20"/>
        </w:rPr>
        <w:t xml:space="preserve">. The Board may designate one or more committees, each committee to consist of two or more of the directors of the Corporation and, to the extent permitted by law, to have and exercise such authority as may be provided for in the resolutions creating such committee, as such resolutions may be amended from time to time. The Board may designate one or more directors as alternate members of any committee, who may replace any absent or disqualified member at any meeting of any such committee.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member of the Board to act at the meeting in the place of any absent or disqualified member. Each committee shall keep regular minutes and report to the Board when required. A majority of any committee may determine its action and fix the time and place of its meetings, unless the Board shall otherwise provide. The Board shall have the power at any time to fill vacancies in, to change the membership of or to dissolve any such committee.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2.13. </w:t>
      </w:r>
      <w:r>
        <w:rPr>
          <w:rFonts w:ascii="Times New Roman;serif" w:hAnsi="Times New Roman;serif"/>
          <w:b w:val="false"/>
          <w:color w:val="000000"/>
          <w:sz w:val="20"/>
          <w:u w:val="single"/>
        </w:rPr>
        <w:t>Compensation</w:t>
      </w:r>
      <w:r>
        <w:rPr>
          <w:rFonts w:ascii="Times New Roman;serif" w:hAnsi="Times New Roman;serif"/>
          <w:b w:val="false"/>
          <w:color w:val="000000"/>
          <w:sz w:val="20"/>
        </w:rPr>
        <w:t xml:space="preserve">. The Board shall have the authority to fix the compensation of directors. The directors shall be paid their reasonable expenses, if any, of attendance at each meeting of the Board or any committee thereof and may be paid a fixed sum for attendance at each such meeting and an annual retainer or salary for service as director or committee member, payable in cash or securities. No such payment shall preclude 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director from serving the Corporation in any other capacity and receiving compensation therefor. Directors who are full-time employees of the Corporation shall not receive any compensation for their service as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Section 2.14. </w:t>
      </w:r>
      <w:r>
        <w:rPr>
          <w:rFonts w:ascii="Times New Roman;serif" w:hAnsi="Times New Roman;serif"/>
          <w:b w:val="false"/>
          <w:color w:val="000000"/>
          <w:sz w:val="20"/>
          <w:u w:val="single"/>
        </w:rPr>
        <w:t>Interested Directors</w:t>
      </w:r>
      <w:r>
        <w:rPr>
          <w:rFonts w:ascii="Times New Roman;serif" w:hAnsi="Times New Roman;serif"/>
          <w:b w:val="false"/>
          <w:color w:val="000000"/>
          <w:sz w:val="20"/>
        </w:rPr>
        <w:t xml:space="preserve">.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or the committee and the Board or committee in good faith authorizes the contract or transaction by the affirmative vote of a majority of the disinterested directors, even though the disinterested directors be less than a quorum;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that authorizes the contract or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ARTICLE III </w:t>
      </w:r>
    </w:p>
    <w:p>
      <w:pPr>
        <w:pStyle w:val="TextBody"/>
        <w:bidi w:val="0"/>
        <w:spacing w:lineRule="auto" w:line="288" w:before="9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OFFICERS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3.1. </w:t>
      </w:r>
      <w:r>
        <w:rPr>
          <w:rFonts w:ascii="Times New Roman;serif" w:hAnsi="Times New Roman;serif"/>
          <w:b w:val="false"/>
          <w:color w:val="000000"/>
          <w:sz w:val="20"/>
          <w:u w:val="single"/>
        </w:rPr>
        <w:t>General</w:t>
      </w:r>
      <w:r>
        <w:rPr>
          <w:rFonts w:ascii="Times New Roman;serif" w:hAnsi="Times New Roman;serif"/>
          <w:b w:val="false"/>
          <w:color w:val="000000"/>
          <w:sz w:val="20"/>
        </w:rPr>
        <w:t xml:space="preserve">. The officers of the Corporation shall be chosen by the Board and shall be a Chief Executive Officer, a principal financial officer, a principal accounting officer, a President, a Secretary and a Treasurer. The Board, in its discretion, may also choose one or more Executive Vice Presidents, Senior Vice Presidents, Vice Presidents, Assistant Secretaries, Assistant Treasurers and such other officers as the Board from time to time may deem appropriate. Any two or more offices may be held by the same person. The officers of the Corporation need not be stockholders of the Corporation.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3.2. </w:t>
      </w:r>
      <w:r>
        <w:rPr>
          <w:rFonts w:ascii="Times New Roman;serif" w:hAnsi="Times New Roman;serif"/>
          <w:b w:val="false"/>
          <w:color w:val="000000"/>
          <w:sz w:val="20"/>
          <w:u w:val="single"/>
        </w:rPr>
        <w:t>Election; Term</w:t>
      </w:r>
      <w:r>
        <w:rPr>
          <w:rFonts w:ascii="Times New Roman;serif" w:hAnsi="Times New Roman;serif"/>
          <w:b w:val="false"/>
          <w:color w:val="000000"/>
          <w:sz w:val="20"/>
        </w:rPr>
        <w:t xml:space="preserve">. The Board shall elect the officers of the Corporation who shall hold their offices for such terms and shall exercise such powers and perform such duties as shall be determined from time to time by the Board, and each officer of the Corporation shall hold office until such officer’s successor is elected and qualified, or until such officer’s earlier death, resignation or removal. Any officer may be removed at any time by the Board. Any officer may resign upon notice given in writing or electronic transmission to the Chief Executive Officer or the Secretary. Such resignation shall be effective upon receipt unless it is specified to be effective at some other time or upon the occurrence of some other event. Any vacancy occurring in any office of the Corporation shall be filled in the manner prescribed in this </w:t>
      </w:r>
      <w:r>
        <w:rPr>
          <w:rFonts w:ascii="Times New Roman;serif" w:hAnsi="Times New Roman;serif"/>
          <w:b w:val="false"/>
          <w:color w:val="000000"/>
          <w:sz w:val="20"/>
          <w:u w:val="single"/>
        </w:rPr>
        <w:t>Article III</w:t>
      </w:r>
      <w:r>
        <w:rPr>
          <w:color w:val="000000"/>
        </w:rPr>
        <w:t xml:space="preserve"> </w:t>
      </w:r>
      <w:r>
        <w:rPr>
          <w:rFonts w:ascii="Times New Roman;serif" w:hAnsi="Times New Roman;serif"/>
          <w:b w:val="false"/>
          <w:color w:val="000000"/>
          <w:sz w:val="20"/>
        </w:rPr>
        <w:t xml:space="preserve">for the regular election to such office.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3.3. </w:t>
      </w:r>
      <w:r>
        <w:rPr>
          <w:rFonts w:ascii="Times New Roman;serif" w:hAnsi="Times New Roman;serif"/>
          <w:b w:val="false"/>
          <w:color w:val="000000"/>
          <w:sz w:val="20"/>
          <w:u w:val="single"/>
        </w:rPr>
        <w:t>Voting Securities Owned by the Corporation</w:t>
      </w:r>
      <w:r>
        <w:rPr>
          <w:rFonts w:ascii="Times New Roman;serif" w:hAnsi="Times New Roman;serif"/>
          <w:b w:val="false"/>
          <w:color w:val="000000"/>
          <w:sz w:val="20"/>
        </w:rPr>
        <w:t xml:space="preserve">. Powers of attorney, proxies, waivers of notice of meeting, consents and other instruments relating to securities owned by the Corporation may be executed in the name of and on behalf of the Corporation by the Chief Executive Officer, the Secretary, or any other officer authorized to 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3.4. </w:t>
      </w:r>
      <w:r>
        <w:rPr>
          <w:rFonts w:ascii="Times New Roman;serif" w:hAnsi="Times New Roman;serif"/>
          <w:b w:val="false"/>
          <w:color w:val="000000"/>
          <w:sz w:val="20"/>
          <w:u w:val="single"/>
        </w:rPr>
        <w:t>Chief Executive Officer</w:t>
      </w:r>
      <w:r>
        <w:rPr>
          <w:rFonts w:ascii="Times New Roman;serif" w:hAnsi="Times New Roman;serif"/>
          <w:b w:val="false"/>
          <w:color w:val="000000"/>
          <w:sz w:val="20"/>
        </w:rPr>
        <w:t xml:space="preserve">. The Chief Executive Officer shall, subject to the control of the Board, have general supervision over the business of the Corporation and shall direct the affairs and policies of the Corporation. The Chief Executive Officer may also serve as Chairperson of the Board and may also serve as President, if so elected by the Board. The Chief Executive Officer shall also perform such other duties and may exercise such other powers as may from time to time be assigned to such officer by these Bylaws or by the Board.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3.5. </w:t>
      </w:r>
      <w:r>
        <w:rPr>
          <w:rFonts w:ascii="Times New Roman;serif" w:hAnsi="Times New Roman;serif"/>
          <w:b w:val="false"/>
          <w:color w:val="000000"/>
          <w:sz w:val="20"/>
          <w:u w:val="single"/>
        </w:rPr>
        <w:t>President</w:t>
      </w:r>
      <w:r>
        <w:rPr>
          <w:rFonts w:ascii="Times New Roman;serif" w:hAnsi="Times New Roman;serif"/>
          <w:b w:val="false"/>
          <w:color w:val="000000"/>
          <w:sz w:val="20"/>
        </w:rPr>
        <w:t xml:space="preserve">. The President shall act in a general executive capacity and shall assist the Chief Executive Officer in the administration and operation of the Corporation’s business and general supervision of 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policies and affairs. The President shall, in the absence of or because of the inability to act of the Chief Executive Officer, perform all duties of the Chief Executive Officer.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3.6. </w:t>
      </w:r>
      <w:r>
        <w:rPr>
          <w:rFonts w:ascii="Times New Roman;serif" w:hAnsi="Times New Roman;serif"/>
          <w:b w:val="false"/>
          <w:color w:val="000000"/>
          <w:sz w:val="20"/>
          <w:u w:val="single"/>
        </w:rPr>
        <w:t>Executive Vice Presidents, Senior Vice Presidents and Vice Presidents</w:t>
      </w:r>
      <w:r>
        <w:rPr>
          <w:rFonts w:ascii="Times New Roman;serif" w:hAnsi="Times New Roman;serif"/>
          <w:b w:val="false"/>
          <w:color w:val="000000"/>
          <w:sz w:val="20"/>
        </w:rPr>
        <w:t xml:space="preserve">. The Executive Vice Presidents (if any), Senior Vice Presidents (if any) and such other Vice Presidents as shall have been chosen by the Board shall have such powers and shall perform such duties as shall be assigned to them by the Board.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3.7. </w:t>
      </w:r>
      <w:r>
        <w:rPr>
          <w:rFonts w:ascii="Times New Roman;serif" w:hAnsi="Times New Roman;serif"/>
          <w:b w:val="false"/>
          <w:color w:val="000000"/>
          <w:sz w:val="20"/>
          <w:u w:val="single"/>
        </w:rPr>
        <w:t>Secretary</w:t>
      </w:r>
      <w:r>
        <w:rPr>
          <w:rFonts w:ascii="Times New Roman;serif" w:hAnsi="Times New Roman;serif"/>
          <w:b w:val="false"/>
          <w:color w:val="000000"/>
          <w:sz w:val="20"/>
        </w:rPr>
        <w:t xml:space="preserve">. The Secretary shall give the requisite notice of meetings of stockholders and directors and shall record the proceedings of such meetings, shall have custody of the seal of the Corporation and shall affix it or cause it to be affixed to such instruments as require the seal and attest it and, besides the Secretary’s powers and duties prescribed by law, shall have such other powers and perform such other duties as shall at any time be assigned to such officer by the Board.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3.8. </w:t>
      </w:r>
      <w:r>
        <w:rPr>
          <w:rFonts w:ascii="Times New Roman;serif" w:hAnsi="Times New Roman;serif"/>
          <w:b w:val="false"/>
          <w:color w:val="000000"/>
          <w:sz w:val="20"/>
          <w:u w:val="single"/>
        </w:rPr>
        <w:t>Treasurer</w:t>
      </w:r>
      <w:r>
        <w:rPr>
          <w:rFonts w:ascii="Times New Roman;serif" w:hAnsi="Times New Roman;serif"/>
          <w:b w:val="false"/>
          <w:color w:val="000000"/>
          <w:sz w:val="20"/>
        </w:rPr>
        <w:t xml:space="preserve">. The Treasurer shall exercise general supervision over the receipt, custody and disbursement of corporate funds. The Treasurer shall cause the funds of the Corporation to be deposited in such banks as may be authorized by the Board or in such banks as may be designated as depositaries in the manner provided by resolution of the Board. The Treasurer shall have such other powers and perform such other duties as shall at any time be assigned to such officer by the Board.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3.9. </w:t>
      </w:r>
      <w:r>
        <w:rPr>
          <w:rFonts w:ascii="Times New Roman;serif" w:hAnsi="Times New Roman;serif"/>
          <w:b w:val="false"/>
          <w:color w:val="000000"/>
          <w:sz w:val="20"/>
          <w:u w:val="single"/>
        </w:rPr>
        <w:t>Assistant Secretaries</w:t>
      </w:r>
      <w:r>
        <w:rPr>
          <w:rFonts w:ascii="Times New Roman;serif" w:hAnsi="Times New Roman;serif"/>
          <w:b w:val="false"/>
          <w:color w:val="000000"/>
          <w:sz w:val="20"/>
        </w:rPr>
        <w:t xml:space="preserve">. Assistant Secretaries, if there be any, shall assist the Secretary in the discharge of the Secretary’s duties, shall have such powers and perform such other duties as shall at any time be assigned to them by the Board and, in the absence or disability of the Secretary, shall perform the duties of the Secretary’s office, subject to the control of the Board.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3.10. </w:t>
      </w:r>
      <w:r>
        <w:rPr>
          <w:rFonts w:ascii="Times New Roman;serif" w:hAnsi="Times New Roman;serif"/>
          <w:b w:val="false"/>
          <w:color w:val="000000"/>
          <w:sz w:val="20"/>
          <w:u w:val="single"/>
        </w:rPr>
        <w:t>Assistant Treasurers</w:t>
      </w:r>
      <w:r>
        <w:rPr>
          <w:rFonts w:ascii="Times New Roman;serif" w:hAnsi="Times New Roman;serif"/>
          <w:b w:val="false"/>
          <w:color w:val="000000"/>
          <w:sz w:val="20"/>
        </w:rPr>
        <w:t xml:space="preserve">. Assistant Treasurers, if there be any, shall assist the Treasurer in the discharge of the Treasurer’s duties, shall have such powers and perform such other duties as shall at any time be assigned to them by the Board and, in the absence or disability of the Treasurer, shall perform the duties of the Treasurer’s office, subject to the control of the Board.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3.11. </w:t>
      </w:r>
      <w:r>
        <w:rPr>
          <w:rFonts w:ascii="Times New Roman;serif" w:hAnsi="Times New Roman;serif"/>
          <w:b w:val="false"/>
          <w:color w:val="000000"/>
          <w:sz w:val="20"/>
          <w:u w:val="single"/>
        </w:rPr>
        <w:t>Other Officers</w:t>
      </w:r>
      <w:r>
        <w:rPr>
          <w:rFonts w:ascii="Times New Roman;serif" w:hAnsi="Times New Roman;serif"/>
          <w:b w:val="false"/>
          <w:color w:val="000000"/>
          <w:sz w:val="20"/>
        </w:rPr>
        <w:t xml:space="preserve">. Such other officers as the Board may choose shall perform such duties and have such powers as from time to time may be assigned to them by the Board. The Board may delegate to any other officer of the Corporation the power to choose such other officers and to prescribe their respective duties and powers. </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ARTICLE IV </w:t>
      </w:r>
    </w:p>
    <w:p>
      <w:pPr>
        <w:pStyle w:val="TextBody"/>
        <w:bidi w:val="0"/>
        <w:spacing w:lineRule="auto" w:line="288" w:before="9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STOCK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4.1. </w:t>
      </w:r>
      <w:r>
        <w:rPr>
          <w:rFonts w:ascii="Times New Roman;serif" w:hAnsi="Times New Roman;serif"/>
          <w:b w:val="false"/>
          <w:color w:val="000000"/>
          <w:sz w:val="20"/>
          <w:u w:val="single"/>
        </w:rPr>
        <w:t>Uncertificated Shares</w:t>
      </w:r>
      <w:r>
        <w:rPr>
          <w:rFonts w:ascii="Times New Roman;serif" w:hAnsi="Times New Roman;serif"/>
          <w:b w:val="false"/>
          <w:color w:val="000000"/>
          <w:sz w:val="20"/>
        </w:rPr>
        <w:t xml:space="preserve">. Unless otherwise provided by resolution of the Board, each class or series of shares of the Corporation’s capital stock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4.2. </w:t>
      </w:r>
      <w:r>
        <w:rPr>
          <w:rFonts w:ascii="Times New Roman;serif" w:hAnsi="Times New Roman;serif"/>
          <w:b w:val="false"/>
          <w:color w:val="000000"/>
          <w:sz w:val="20"/>
          <w:u w:val="single"/>
        </w:rPr>
        <w:t>Record Date</w:t>
      </w:r>
      <w:r>
        <w:rPr>
          <w:rFonts w:ascii="Times New Roman;serif" w:hAnsi="Times New Roman;serif"/>
          <w:b w:val="false"/>
          <w:color w:val="000000"/>
          <w:sz w:val="20"/>
        </w:rPr>
        <w:t xml:space="preserve">.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the close of business on the day on which the Board adopts the resolution relating thereto.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4.3. </w:t>
      </w:r>
      <w:r>
        <w:rPr>
          <w:rFonts w:ascii="Times New Roman;serif" w:hAnsi="Times New Roman;serif"/>
          <w:b w:val="false"/>
          <w:color w:val="000000"/>
          <w:sz w:val="20"/>
          <w:u w:val="single"/>
        </w:rPr>
        <w:t>Record Owners</w:t>
      </w:r>
      <w:r>
        <w:rPr>
          <w:rFonts w:ascii="Times New Roman;serif" w:hAnsi="Times New Roman;serif"/>
          <w:b w:val="false"/>
          <w:color w:val="000000"/>
          <w:sz w:val="20"/>
        </w:rPr>
        <w:t xml:space="preserve">.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4.4. </w:t>
      </w:r>
      <w:r>
        <w:rPr>
          <w:rFonts w:ascii="Times New Roman;serif" w:hAnsi="Times New Roman;serif"/>
          <w:b w:val="false"/>
          <w:color w:val="000000"/>
          <w:sz w:val="20"/>
          <w:u w:val="single"/>
        </w:rPr>
        <w:t>Transfer and Registry Agents</w:t>
      </w:r>
      <w:r>
        <w:rPr>
          <w:rFonts w:ascii="Times New Roman;serif" w:hAnsi="Times New Roman;serif"/>
          <w:b w:val="false"/>
          <w:color w:val="000000"/>
          <w:sz w:val="20"/>
        </w:rPr>
        <w:t xml:space="preserve">. The Corporation may from time to time maintain one or more transfer offices or agencies and registry offices or agencies at such place or places as may be determined from time to time by the Board. </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ARTICLE V </w:t>
      </w:r>
    </w:p>
    <w:p>
      <w:pPr>
        <w:pStyle w:val="TextBody"/>
        <w:bidi w:val="0"/>
        <w:spacing w:lineRule="auto" w:line="288" w:before="9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MISCELLANEOUS</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5.1. </w:t>
      </w:r>
      <w:r>
        <w:rPr>
          <w:rFonts w:ascii="Times New Roman;serif" w:hAnsi="Times New Roman;serif"/>
          <w:b w:val="false"/>
          <w:color w:val="000000"/>
          <w:sz w:val="20"/>
          <w:u w:val="single"/>
        </w:rPr>
        <w:t>Contracts</w:t>
      </w:r>
      <w:r>
        <w:rPr>
          <w:rFonts w:ascii="Times New Roman;serif" w:hAnsi="Times New Roman;serif"/>
          <w:b w:val="false"/>
          <w:color w:val="000000"/>
          <w:sz w:val="20"/>
        </w:rPr>
        <w:t>. The Board may authorize any officer or officers or any agent or agents to enter into any contract or execute and deliver any instrument or other document in the name of and on behalf of the Corporation, and such authority may be general or confined to specific instances.</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5.2. </w:t>
      </w:r>
      <w:r>
        <w:rPr>
          <w:rFonts w:ascii="Times New Roman;serif" w:hAnsi="Times New Roman;serif"/>
          <w:b w:val="false"/>
          <w:color w:val="000000"/>
          <w:sz w:val="20"/>
          <w:u w:val="single"/>
        </w:rPr>
        <w:t>Disbursements</w:t>
      </w:r>
      <w:r>
        <w:rPr>
          <w:rFonts w:ascii="Times New Roman;serif" w:hAnsi="Times New Roman;serif"/>
          <w:b w:val="false"/>
          <w:color w:val="000000"/>
          <w:sz w:val="20"/>
        </w:rPr>
        <w:t xml:space="preserve">. All checks or demands for money and notes of the Corporation shall be signed by such officer or officers or such other person or persons as the Board may from time to time designate.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5.3. </w:t>
      </w:r>
      <w:r>
        <w:rPr>
          <w:rFonts w:ascii="Times New Roman;serif" w:hAnsi="Times New Roman;serif"/>
          <w:b w:val="false"/>
          <w:color w:val="000000"/>
          <w:sz w:val="20"/>
          <w:u w:val="single"/>
        </w:rPr>
        <w:t>Fiscal Year</w:t>
      </w:r>
      <w:r>
        <w:rPr>
          <w:rFonts w:ascii="Times New Roman;serif" w:hAnsi="Times New Roman;serif"/>
          <w:b w:val="false"/>
          <w:color w:val="000000"/>
          <w:sz w:val="20"/>
        </w:rPr>
        <w:t>. The fiscal year of the Corporation shall end on the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day of January in each year or on such other day as may be fixed from time to time by resolution of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5.4. </w:t>
      </w:r>
      <w:r>
        <w:rPr>
          <w:rFonts w:ascii="Times New Roman;serif" w:hAnsi="Times New Roman;serif"/>
          <w:b w:val="false"/>
          <w:color w:val="000000"/>
          <w:sz w:val="20"/>
          <w:u w:val="single"/>
        </w:rPr>
        <w:t>Corporate Seal</w:t>
      </w:r>
      <w:r>
        <w:rPr>
          <w:rFonts w:ascii="Times New Roman;serif" w:hAnsi="Times New Roman;serif"/>
          <w:b w:val="false"/>
          <w:color w:val="000000"/>
          <w:sz w:val="20"/>
        </w:rPr>
        <w:t xml:space="preserve">. The corporate seal shall have inscribed thereon the name of the Corporation, the year of its organization and the words “Corporate Seal, Delaware.” The seal may be used by causing it or a facsimile thereof to be impressed or affixed or otherwise reproduced.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5.5. </w:t>
      </w:r>
      <w:r>
        <w:rPr>
          <w:rFonts w:ascii="Times New Roman;serif" w:hAnsi="Times New Roman;serif"/>
          <w:b w:val="false"/>
          <w:color w:val="000000"/>
          <w:sz w:val="20"/>
          <w:u w:val="single"/>
        </w:rPr>
        <w:t>Offices</w:t>
      </w:r>
      <w:r>
        <w:rPr>
          <w:rFonts w:ascii="Times New Roman;serif" w:hAnsi="Times New Roman;serif"/>
          <w:b w:val="false"/>
          <w:color w:val="000000"/>
          <w:sz w:val="20"/>
        </w:rPr>
        <w:t>. The Corporation shall maintain a registered office inside the State of Delaware and may also have other offices outside or inside the State of Delaware. The books of the Corporation may be kept (subject to any applicable law) outside the State of Delaware at the principal executive offices of the Corporation or at such other place or places as may be designated from time to time by the Board.</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5.6. </w:t>
      </w:r>
      <w:r>
        <w:rPr>
          <w:rFonts w:ascii="Times New Roman;serif" w:hAnsi="Times New Roman;serif"/>
          <w:b w:val="false"/>
          <w:color w:val="000000"/>
          <w:sz w:val="20"/>
          <w:u w:val="single"/>
        </w:rPr>
        <w:t>Waiver of Notice</w:t>
      </w:r>
      <w:r>
        <w:rPr>
          <w:rFonts w:ascii="Times New Roman;serif" w:hAnsi="Times New Roman;serif"/>
          <w:b w:val="false"/>
          <w:color w:val="000000"/>
          <w:sz w:val="20"/>
        </w:rPr>
        <w:t>. Whenever any notice is required to be given to any stockholder or director of the Corporation under the provisions of the DGCL or these Bylaws, a waiver thereof in writing, signed by the person or persons entitled to such notice, whether before or after the time stated therein, shall be deemed equivalent to the giving of such notice. Neither the business to be transacted at, nor the purpose of, any annual or special meeting of the stockholders or any regular or special meeting of the Board or committee thereof need be specified in any waiver of notice of such meeting unless so required by law.</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Section 5.7. </w:t>
      </w:r>
      <w:r>
        <w:rPr>
          <w:rFonts w:ascii="Times New Roman;serif" w:hAnsi="Times New Roman;serif"/>
          <w:b w:val="false"/>
          <w:color w:val="000000"/>
          <w:sz w:val="20"/>
          <w:u w:val="single"/>
        </w:rPr>
        <w:t>Forum for Certain Actions</w:t>
      </w:r>
      <w:r>
        <w:rPr>
          <w:rFonts w:ascii="Times New Roman;serif" w:hAnsi="Times New Roman;serif"/>
          <w:b w:val="false"/>
          <w:color w:val="000000"/>
          <w:sz w:val="20"/>
        </w:rPr>
        <w:t xml:space="preserve">.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Forum</w:t>
      </w:r>
      <w:r>
        <w:rPr>
          <w:rFonts w:ascii="Times New Roman;serif" w:hAnsi="Times New Roman;serif"/>
          <w:b w:val="false"/>
          <w:color w:val="000000"/>
          <w:sz w:val="20"/>
        </w:rPr>
        <w:t>. Unless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shall be the sole and exclusive forum for (i) any derivative action or proceeding brought on behalf of the Corporation under Delaware law,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the Certificate of Incorporation or these Bylaws (in each case, as 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Nothing herein contained shall be construed to preclude stockholders that assert claims under the Securities Act of 1933, as amended, the Securities Exchange Act of 1934, as amended, or any successor thereto, from bringing such claims in state or federal court, subject to applicable law.</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Personal Jurisdiction</w:t>
      </w:r>
      <w:r>
        <w:rPr>
          <w:rFonts w:ascii="Times New Roman;serif" w:hAnsi="Times New Roman;serif"/>
          <w:b w:val="false"/>
          <w:color w:val="000000"/>
          <w:sz w:val="20"/>
        </w:rPr>
        <w:t xml:space="preserve">. If any action the subject matter of which is within the scope of subparagraph (a) of this </w:t>
      </w:r>
      <w:r>
        <w:rPr>
          <w:rFonts w:ascii="Times New Roman;serif" w:hAnsi="Times New Roman;serif"/>
          <w:b w:val="false"/>
          <w:color w:val="000000"/>
          <w:sz w:val="20"/>
          <w:u w:val="single"/>
        </w:rPr>
        <w:t>Section 5.7</w:t>
      </w:r>
      <w:r>
        <w:rPr>
          <w:color w:val="000000"/>
        </w:rPr>
        <w:t xml:space="preserve"> </w:t>
      </w:r>
      <w:r>
        <w:rPr>
          <w:rFonts w:ascii="Times New Roman;serif" w:hAnsi="Times New Roman;serif"/>
          <w:b w:val="false"/>
          <w:color w:val="000000"/>
          <w:sz w:val="20"/>
        </w:rPr>
        <w:t>is filed in a court other than a court located within the State of Delaware (a “</w:t>
      </w:r>
      <w:r>
        <w:rPr>
          <w:rFonts w:ascii="Times New Roman;serif" w:hAnsi="Times New Roman;serif"/>
          <w:b/>
          <w:i/>
          <w:color w:val="000000"/>
          <w:sz w:val="20"/>
        </w:rPr>
        <w:t>Foreign Action</w:t>
      </w:r>
      <w:r>
        <w:rPr>
          <w:color w:val="000000"/>
        </w:rPr>
        <w:t>”</w:t>
      </w:r>
      <w:r>
        <w:rPr>
          <w:rFonts w:ascii="Times New Roman;serif" w:hAnsi="Times New Roman;serif"/>
          <w:b w:val="false"/>
          <w:color w:val="000000"/>
          <w:sz w:val="20"/>
        </w:rPr>
        <w:t xml:space="preserve">) in the name of any stockholder, such stockholder shall be deemed to have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pPr>
      <w:r>
        <w:rPr>
          <w:rFonts w:ascii="Times New Roman;serif" w:hAnsi="Times New Roman;serif"/>
          <w:b w:val="false"/>
          <w:color w:val="000000"/>
          <w:sz w:val="20"/>
        </w:rPr>
        <w:t xml:space="preserve">consented to (i) the personal jurisdiction of the state and federal courts located within the State of Delaware in connection with any action brought in any such court to enforce subparagraph (a) of this </w:t>
      </w:r>
      <w:r>
        <w:rPr>
          <w:rFonts w:ascii="Times New Roman;serif" w:hAnsi="Times New Roman;serif"/>
          <w:b w:val="false"/>
          <w:color w:val="000000"/>
          <w:sz w:val="20"/>
          <w:u w:val="single"/>
        </w:rPr>
        <w:t>Section 5.7</w:t>
      </w:r>
      <w:r>
        <w:rPr>
          <w:color w:val="000000"/>
        </w:rPr>
        <w:t xml:space="preserve"> </w:t>
      </w:r>
      <w:r>
        <w:rPr>
          <w:rFonts w:ascii="Times New Roman;serif" w:hAnsi="Times New Roman;serif"/>
          <w:b w:val="false"/>
          <w:color w:val="000000"/>
          <w:sz w:val="20"/>
        </w:rPr>
        <w:t>(an “</w:t>
      </w:r>
      <w:r>
        <w:rPr>
          <w:rFonts w:ascii="Times New Roman;serif" w:hAnsi="Times New Roman;serif"/>
          <w:b/>
          <w:i/>
          <w:color w:val="000000"/>
          <w:sz w:val="20"/>
        </w:rPr>
        <w:t>Enforcement Action</w:t>
      </w:r>
      <w:r>
        <w:rPr>
          <w:color w:val="000000"/>
        </w:rPr>
        <w:t>”</w:t>
      </w:r>
      <w:r>
        <w:rPr>
          <w:rFonts w:ascii="Times New Roman;serif" w:hAnsi="Times New Roman;serif"/>
          <w:b w:val="false"/>
          <w:color w:val="000000"/>
          <w:sz w:val="20"/>
        </w:rPr>
        <w:t xml:space="preserve">) and (ii) having service of process made upon such stockholder in any such Enforcement Action by service upon such stockholder’s counsel in the Foreign Action as agent for such stockholder.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Enforceability</w:t>
      </w:r>
      <w:r>
        <w:rPr>
          <w:rFonts w:ascii="Times New Roman;serif" w:hAnsi="Times New Roman;serif"/>
          <w:b w:val="false"/>
          <w:color w:val="000000"/>
          <w:sz w:val="20"/>
        </w:rPr>
        <w:t xml:space="preserve">. If any provision of this </w:t>
      </w:r>
      <w:r>
        <w:rPr>
          <w:rFonts w:ascii="Times New Roman;serif" w:hAnsi="Times New Roman;serif"/>
          <w:b w:val="false"/>
          <w:color w:val="000000"/>
          <w:sz w:val="20"/>
          <w:u w:val="single"/>
        </w:rPr>
        <w:t>Section 5.7</w:t>
      </w:r>
      <w:r>
        <w:rPr>
          <w:color w:val="000000"/>
        </w:rPr>
        <w:t xml:space="preserve"> </w:t>
      </w:r>
      <w:r>
        <w:rPr>
          <w:rFonts w:ascii="Times New Roman;serif" w:hAnsi="Times New Roman;serif"/>
          <w:b w:val="false"/>
          <w:color w:val="000000"/>
          <w:sz w:val="20"/>
        </w:rPr>
        <w:t xml:space="preserve">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w:t>
      </w:r>
      <w:r>
        <w:rPr>
          <w:rFonts w:ascii="Times New Roman;serif" w:hAnsi="Times New Roman;serif"/>
          <w:b w:val="false"/>
          <w:color w:val="000000"/>
          <w:sz w:val="20"/>
          <w:u w:val="single"/>
        </w:rPr>
        <w:t>Section 5.7</w:t>
      </w:r>
      <w:r>
        <w:rPr>
          <w:rFonts w:ascii="Times New Roman;serif" w:hAnsi="Times New Roman;serif"/>
          <w:b w:val="false"/>
          <w:color w:val="000000"/>
          <w:sz w:val="20"/>
        </w:rPr>
        <w:t xml:space="preserve">, and the application of such provision to other persons or entities and circumstances shall not in any way be affected or impaired thereby.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ARTICLE VI</w:t>
      </w:r>
    </w:p>
    <w:p>
      <w:pPr>
        <w:pStyle w:val="TextBody"/>
        <w:bidi w:val="0"/>
        <w:spacing w:lineRule="auto" w:line="288" w:before="18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AMENDMENTS </w:t>
      </w:r>
    </w:p>
    <w:p>
      <w:pPr>
        <w:pStyle w:val="TextBody"/>
        <w:bidi w:val="0"/>
        <w:spacing w:lineRule="auto" w:line="288" w:before="180" w:after="283"/>
        <w:jc w:val="left"/>
        <w:rPr/>
      </w:pPr>
      <w:r>
        <w:rPr>
          <w:rFonts w:ascii="Times New Roman;serif" w:hAnsi="Times New Roman;serif"/>
          <w:b w:val="false"/>
          <w:color w:val="000000"/>
          <w:sz w:val="20"/>
        </w:rPr>
        <w:t xml:space="preserve">Except as otherwise set forth in the Certificate of Incorporation, these Bylaws may be adopted, amended, altered or repealed by the Board or by the stockholders of the Corporation by the affirmative vote of the holders of at least a majority of the voting power of all then outstanding shares of capital stock of the Corporation entitled to vote generally in the election of directors, voting together as a single class;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in the case of any adoption, amendment, alteration or repeal of the Bylaws by the stockholders of the Corporation, notwithstanding any other provision of the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Sections 1.3, 1.7(b), 1.11, 1.13, 1.16, 1.17, 2.1, 2.8, 2.9, 2.10, 2.13 or 2.14 or Article VI of the Bylaws.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Adopted as of: August 19,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Sean Desmond,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nCino, Inc.;</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ind w:left="0" w:right="0" w:hanging="360"/>
        <w:jc w:val="left"/>
        <w:rPr/>
      </w:pPr>
      <w:r>
        <w:rPr/>
      </w:r>
    </w:p>
    <w:p>
      <w:pPr>
        <w:pStyle w:val="TextBody"/>
        <w:bidi w:val="0"/>
        <w:spacing w:lineRule="auto" w:line="288" w:before="0" w:after="2"/>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2"/>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
        <w:ind w:left="0" w:right="0" w:hanging="360"/>
        <w:jc w:val="left"/>
        <w:rPr/>
      </w:pPr>
      <w:r>
        <w:rPr/>
      </w:r>
    </w:p>
    <w:p>
      <w:pPr>
        <w:pStyle w:val="TextBody"/>
        <w:bidi w:val="0"/>
        <w:spacing w:lineRule="auto" w:line="288" w:before="0" w:after="2"/>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
        <w:ind w:left="0" w:right="0" w:hanging="360"/>
        <w:jc w:val="left"/>
        <w:rPr/>
      </w:pPr>
      <w:r>
        <w:rPr/>
      </w:r>
    </w:p>
    <w:p>
      <w:pPr>
        <w:pStyle w:val="TextBody"/>
        <w:bidi w:val="0"/>
        <w:spacing w:lineRule="auto" w:line="288" w:before="0" w:after="2"/>
        <w:ind w:left="0" w:right="0" w:hanging="720"/>
        <w:jc w:val="left"/>
        <w:rPr/>
      </w:pPr>
      <w:r>
        <w:rPr>
          <w:rFonts w:ascii="Times New Roman;serif" w:hAnsi="Times New Roman;serif"/>
          <w:b w:val="false"/>
          <w:color w:val="000000"/>
          <w:sz w:val="24"/>
        </w:rPr>
        <w:t>(b)</w:t>
      </w:r>
      <w:r>
        <w:rPr>
          <w:rFonts w:ascii="Times New Roman;serif" w:hAnsi="Times New Roman;serif"/>
          <w:b w:val="false"/>
          <w:color w:val="000000"/>
          <w:sz w:val="22"/>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699"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144"/>
        <w:gridCol w:w="144"/>
        <w:gridCol w:w="146"/>
        <w:gridCol w:w="1077"/>
        <w:gridCol w:w="1077"/>
        <w:gridCol w:w="1535"/>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 Sean Desmond</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Sean Desmond</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Gregory D. Orenstein,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nCino, Inc.;</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489"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144"/>
        <w:gridCol w:w="144"/>
        <w:gridCol w:w="146"/>
        <w:gridCol w:w="1016"/>
        <w:gridCol w:w="1016"/>
        <w:gridCol w:w="1447"/>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Gregory D. Orenstein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Gregory D. Orenstein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Chief Financial Officer &amp;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36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CERTIFICATION PURSUANT TO</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nCino, Inc. (the “Company”) on Form 10-Q for the period ending July 31,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6699"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144"/>
        <w:gridCol w:w="144"/>
        <w:gridCol w:w="146"/>
        <w:gridCol w:w="1077"/>
        <w:gridCol w:w="1077"/>
        <w:gridCol w:w="1535"/>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Sean Desmond</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Sean Desmond</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36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CERTIFICATION PURSUANT TO</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nCino, Inc. (the “Company”) on Form 10-Q for the period ending July 31,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6489"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144"/>
        <w:gridCol w:w="144"/>
        <w:gridCol w:w="146"/>
        <w:gridCol w:w="1016"/>
        <w:gridCol w:w="1016"/>
        <w:gridCol w:w="1447"/>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Gregory D. Orenstein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Gregory D. Orenstein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Chief Financial Officer &amp;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2733/000119312526277659/d68043d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36532</Words>
  <Characters>199128</Characters>
  <CharactersWithSpaces>233734</CharactersWithSpaces>
  <Paragraphs>3544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