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82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9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5" w:lineRule="exact"/>
        <w:rPr>
          <w:sz w:val="24"/>
          <w:szCs w:val="24"/>
          <w:color w:val="auto"/>
        </w:rPr>
      </w:pPr>
    </w:p>
    <w:p>
      <w:pPr>
        <w:ind w:right="2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44"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1"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7"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51" w:lineRule="exact"/>
        <w:rPr>
          <w:sz w:val="24"/>
          <w:szCs w:val="24"/>
          <w:color w:val="auto"/>
        </w:rPr>
      </w:pPr>
    </w:p>
    <w:p>
      <w:pPr>
        <w:ind w:right="56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75"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4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111,034,523 shares of common stock, $0.0005 par value per share, as of November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2022 and October 31, 2022 (Unaudited)</w:t>
            </w:r>
          </w:p>
        </w:tc>
        <w:tc>
          <w:tcPr>
            <w:tcW w:w="258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October 31, 2021 and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Nine Months Ended October 31, 2021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2022</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Nine Months Ended October 31, 2021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2022</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2021 and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2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2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$4,183 and $2,077 at January 31, 2022 and October 31, 2022,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106,451</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$151 and $348 at January 31, 2022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October 31, 2022, respectively</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839,918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1,301,014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1,291,203</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117,281</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157,834</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32,944</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liability, noncurrent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230,507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255,249</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12, 14, and 17)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31, 2022 and October 31, 2022</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as of January 31, 2022 and October 31,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8560" w:type="dxa"/>
            <w:vAlign w:val="bottom"/>
            <w:shd w:val="clear" w:color="auto" w:fill="CCEEFF"/>
          </w:tcPr>
          <w:p>
            <w:pPr>
              <w:ind w:left="620"/>
              <w:spacing w:after="0" w:line="184" w:lineRule="exact"/>
              <w:rPr>
                <w:sz w:val="20"/>
                <w:szCs w:val="20"/>
                <w:color w:val="auto"/>
              </w:rPr>
            </w:pPr>
            <w:r>
              <w:rPr>
                <w:rFonts w:ascii="Times New Roman" w:cs="Times New Roman" w:eastAsia="Times New Roman" w:hAnsi="Times New Roman"/>
                <w:sz w:val="18"/>
                <w:szCs w:val="18"/>
                <w:color w:val="auto"/>
              </w:rPr>
              <w:t>2022; 109,778,542 and 110,943,569 shares issued and outstanding as of January 31, 2022 and October 31,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2022, respectively</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1,318,829</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(288,780)</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1,031,862</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1,301,014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1,291,203</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Subscription (related party $11,638, $0, $33,358, and $0,</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94,274</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245,136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(Note 3)</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96,431,082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95,510,413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110,434,171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See Note 9 "Reseller Agreement" and Note 15 "Related-Party Transactions."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(80,072)</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3"/>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(78,491)</w:t>
            </w:r>
          </w:p>
        </w:tc>
      </w:tr>
      <w:tr>
        <w:trPr>
          <w:trHeight w:val="156"/>
        </w:trPr>
        <w:tc>
          <w:tcPr>
            <w:tcW w:w="5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175"/>
        </w:trPr>
        <w:tc>
          <w:tcPr>
            <w:tcW w:w="5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attributable to redeemable non-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1"/>
        </w:trPr>
        <w:tc>
          <w:tcPr>
            <w:tcW w:w="5320" w:type="dxa"/>
            <w:vAlign w:val="bottom"/>
            <w:shd w:val="clear" w:color="auto" w:fill="CCEEFF"/>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3"/>
        </w:trPr>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(77,334)</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 2021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10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60" w:type="dxa"/>
            <w:vAlign w:val="bottom"/>
          </w:tcPr>
          <w:p>
            <w:pPr>
              <w:spacing w:after="0"/>
              <w:rPr>
                <w:sz w:val="8"/>
                <w:szCs w:val="8"/>
                <w:color w:val="auto"/>
              </w:rPr>
            </w:pPr>
          </w:p>
        </w:tc>
        <w:tc>
          <w:tcPr>
            <w:tcW w:w="108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28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95,927,741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(190,062)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419,893</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204,187</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7" w:right="359" w:bottom="1440" w:gutter="0" w:footer="0" w:header="0"/>
        </w:sectPr>
      </w:pPr>
    </w:p>
    <w:p>
      <w:pPr>
        <w:ind w:left="520" w:hanging="161"/>
        <w:spacing w:after="0" w:line="233" w:lineRule="auto"/>
        <w:rPr>
          <w:sz w:val="20"/>
          <w:szCs w:val="20"/>
          <w:color w:val="auto"/>
        </w:rPr>
      </w:pPr>
      <w:r>
        <w:rPr>
          <w:rFonts w:ascii="Times New Roman" w:cs="Times New Roman" w:eastAsia="Times New Roman" w:hAnsi="Times New Roman"/>
          <w:sz w:val="17"/>
          <w:szCs w:val="17"/>
          <w:color w:val="auto"/>
        </w:rPr>
        <w:t>Net loss attributable to nCino, Inc., including adjustment to redeemable non-controlling</w:t>
      </w:r>
    </w:p>
    <w:p>
      <w:pPr>
        <w:ind w:left="520"/>
        <w:spacing w:after="0"/>
        <w:rPr>
          <w:sz w:val="20"/>
          <w:szCs w:val="20"/>
          <w:color w:val="auto"/>
        </w:rPr>
      </w:pPr>
      <w:r>
        <w:rPr>
          <w:rFonts w:ascii="Times New Roman" w:cs="Times New Roman" w:eastAsia="Times New Roman" w:hAnsi="Times New Roman"/>
          <w:sz w:val="18"/>
          <w:szCs w:val="18"/>
          <w:color w:val="auto"/>
        </w:rPr>
        <w:t>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October 31, 2021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(13,636)</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96,691,631</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619,063</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(203,330)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415,767</w:t>
            </w: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1234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4688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3600" w:space="260"/>
            <w:col w:w="7360"/>
          </w:cols>
          <w:pgMar w:left="32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1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5"/>
                <w:szCs w:val="5"/>
                <w:color w:val="auto"/>
              </w:rPr>
            </w:pPr>
          </w:p>
        </w:tc>
        <w:tc>
          <w:tcPr>
            <w:tcW w:w="108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110,616,050</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1,041,221</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110,943,569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1,318,829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1,031,862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 2021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1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0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8"/>
                <w:szCs w:val="8"/>
                <w:color w:val="auto"/>
              </w:rPr>
            </w:pPr>
          </w:p>
        </w:tc>
        <w:tc>
          <w:tcPr>
            <w:tcW w:w="1100" w:type="dxa"/>
            <w:vAlign w:val="bottom"/>
            <w:gridSpan w:val="2"/>
            <w:vMerge w:val="restart"/>
          </w:tcPr>
          <w:p>
            <w:pPr>
              <w:ind w:left="6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93,643,759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(161,064)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425,179</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2,527,287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520,585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520" w:hanging="161"/>
        <w:spacing w:after="0" w:line="233" w:lineRule="auto"/>
        <w:rPr>
          <w:sz w:val="20"/>
          <w:szCs w:val="20"/>
          <w:color w:val="auto"/>
        </w:rPr>
      </w:pPr>
      <w:r>
        <w:rPr>
          <w:rFonts w:ascii="Times New Roman" w:cs="Times New Roman" w:eastAsia="Times New Roman" w:hAnsi="Times New Roman"/>
          <w:sz w:val="17"/>
          <w:szCs w:val="17"/>
          <w:color w:val="auto"/>
        </w:rPr>
        <w:t>Net loss attributable to nCino, Inc., including adjustment to redeemable non-controlling</w:t>
      </w:r>
    </w:p>
    <w:p>
      <w:pPr>
        <w:ind w:left="520"/>
        <w:spacing w:after="0"/>
        <w:rPr>
          <w:sz w:val="20"/>
          <w:szCs w:val="20"/>
          <w:color w:val="auto"/>
        </w:rPr>
      </w:pPr>
      <w:r>
        <w:rPr>
          <w:rFonts w:ascii="Times New Roman" w:cs="Times New Roman" w:eastAsia="Times New Roman" w:hAnsi="Times New Roman"/>
          <w:sz w:val="18"/>
          <w:szCs w:val="18"/>
          <w:color w:val="auto"/>
        </w:rPr>
        <w:t>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October 31, 2021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(42,327)</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96,691,631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619,063</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(203,330)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415,767</w:t>
            </w: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p>
      <w:pPr>
        <w:spacing w:after="0" w:line="33" w:lineRule="exact"/>
        <w:rPr>
          <w:sz w:val="20"/>
          <w:szCs w:val="20"/>
          <w:color w:val="auto"/>
        </w:rPr>
      </w:pPr>
    </w:p>
    <w:p>
      <w:pPr>
        <w:sectPr>
          <w:pgSz w:w="11900" w:h="16838" w:orient="portrait"/>
          <w:cols w:equalWidth="0" w:num="2">
            <w:col w:w="3600" w:space="260"/>
            <w:col w:w="7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3820" w:type="dxa"/>
            <w:vAlign w:val="bottom"/>
          </w:tcPr>
          <w:p>
            <w:pPr>
              <w:spacing w:after="0"/>
              <w:rPr>
                <w:sz w:val="12"/>
                <w:szCs w:val="12"/>
                <w:color w:val="auto"/>
              </w:rPr>
            </w:pPr>
          </w:p>
        </w:tc>
        <w:tc>
          <w:tcPr>
            <w:tcW w:w="2120" w:type="dxa"/>
            <w:vAlign w:val="bottom"/>
            <w:tcBorders>
              <w:top w:val="single" w:sz="8" w:color="auto"/>
            </w:tcBorders>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8"/>
                <w:szCs w:val="8"/>
                <w:color w:val="auto"/>
              </w:rPr>
            </w:pPr>
          </w:p>
        </w:tc>
        <w:tc>
          <w:tcPr>
            <w:tcW w:w="11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109,778,542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1,277,258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1,067,625</w:t>
            </w: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451,147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621,644</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8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110,943,569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1,318,829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5" w:lineRule="exact"/>
        <w:rPr>
          <w:sz w:val="20"/>
          <w:szCs w:val="20"/>
          <w:color w:val="auto"/>
        </w:rPr>
      </w:pPr>
    </w:p>
    <w:p>
      <w:pPr>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ectPr>
          <w:pgSz w:w="11900" w:h="16838" w:orient="portrait"/>
          <w:cols w:equalWidth="0" w:num="1">
            <w:col w:w="11240"/>
          </w:cols>
          <w:pgMar w:left="320" w:top="117"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p>
      <w:pPr>
        <w:spacing w:after="0" w:line="46" w:lineRule="exact"/>
        <w:rPr>
          <w:sz w:val="20"/>
          <w:szCs w:val="20"/>
          <w:color w:val="auto"/>
        </w:rPr>
      </w:pPr>
    </w:p>
    <w:p>
      <w:pPr>
        <w:ind w:left="360" w:right="2500"/>
        <w:spacing w:after="0" w:line="299" w:lineRule="auto"/>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Provision for bad debt</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Net foreign currency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(81,512)</w:t>
            </w:r>
          </w:p>
        </w:tc>
      </w:tr>
      <w:tr>
        <w:trPr>
          <w:trHeight w:val="21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20"/>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(80,072)</w:t>
            </w:r>
          </w:p>
        </w:tc>
      </w:tr>
      <w:tr>
        <w:trPr>
          <w:trHeight w:val="43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w:t>
            </w:r>
          </w:p>
        </w:tc>
      </w:tr>
      <w:tr>
        <w:trPr>
          <w:trHeight w:val="216"/>
        </w:trPr>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r>
      <w:tr>
        <w:trPr>
          <w:trHeight w:val="459"/>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32,497</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(8,033)</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w:t>
            </w:r>
          </w:p>
        </w:tc>
      </w:tr>
      <w:tr>
        <w:trPr>
          <w:trHeight w:val="210"/>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w:t>
            </w:r>
          </w:p>
        </w:tc>
      </w:tr>
      <w:tr>
        <w:trPr>
          <w:trHeight w:val="463"/>
        </w:trPr>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43"/>
        </w:trPr>
        <w:tc>
          <w:tcPr>
            <w:tcW w:w="4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(13,889)</w:t>
            </w:r>
          </w:p>
        </w:tc>
      </w:tr>
      <w:tr>
        <w:trPr>
          <w:trHeight w:val="223"/>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(13,776)</w:t>
            </w:r>
          </w:p>
        </w:tc>
      </w:tr>
      <w:tr>
        <w:trPr>
          <w:trHeight w:val="463"/>
        </w:trPr>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43"/>
        </w:trPr>
        <w:tc>
          <w:tcPr>
            <w:tcW w:w="4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43"/>
        </w:trPr>
        <w:tc>
          <w:tcPr>
            <w:tcW w:w="4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r>
      <w:tr>
        <w:trPr>
          <w:trHeight w:val="243"/>
        </w:trPr>
        <w:tc>
          <w:tcPr>
            <w:tcW w:w="4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r>
    </w:tbl>
    <w:p>
      <w:pPr>
        <w:spacing w:after="0" w:line="1" w:lineRule="exact"/>
        <w:rPr>
          <w:sz w:val="20"/>
          <w:szCs w:val="20"/>
          <w:color w:val="auto"/>
        </w:rPr>
      </w:pPr>
    </w:p>
    <w:p>
      <w:pPr>
        <w:sectPr>
          <w:pgSz w:w="11900" w:h="16838" w:orient="portrait"/>
          <w:cols w:equalWidth="0" w:num="2">
            <w:col w:w="7700" w:space="720"/>
            <w:col w:w="28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34,637</w:t>
            </w:r>
          </w:p>
        </w:tc>
      </w:tr>
      <w:tr>
        <w:trPr>
          <w:trHeight w:val="22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23,402</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371,425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88,399</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381,415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111,801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381,080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106,451</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other long-term assets</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111,801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r>
      <w:tr>
        <w:trPr>
          <w:trHeight w:val="237"/>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Building-leased facility acquired through financing obligation</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17,678</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ind w:right="2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On November 16, 2021, nCino, Inc. (now nCino OpCo, Inc., "nCino OpCo") entered into an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spacing w:after="0" w:line="179" w:lineRule="exact"/>
        <w:rPr>
          <w:sz w:val="20"/>
          <w:szCs w:val="20"/>
          <w:color w:val="auto"/>
        </w:rPr>
      </w:pPr>
    </w:p>
    <w:p>
      <w:pPr>
        <w:jc w:val="both"/>
        <w:ind w:right="2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Merger: </w:t>
      </w:r>
      <w:r>
        <w:rPr>
          <w:rFonts w:ascii="Times New Roman" w:cs="Times New Roman" w:eastAsia="Times New Roman" w:hAnsi="Times New Roman"/>
          <w:sz w:val="18"/>
          <w:szCs w:val="18"/>
          <w:color w:val="auto"/>
        </w:rPr>
        <w:t>On January 7, 2022, pursuant to the Merger Agreement, nCino, Inc. and nCino OpCo completed a series of mergers in which nCino,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these unaudited condensed consolidated financial statements, nCino OpCo and nCino, Inc. are collectively referred to as the "Company."</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See Note 7 "Business Combinations" for additional information regarding the SimpleNexus acquisition.</w:t>
      </w:r>
    </w:p>
    <w:p>
      <w:pPr>
        <w:spacing w:after="0" w:line="221"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The Company is a software-as-a-service ("SaaS") company that provides software applications to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to streamline employee and client interactions. The Company is headquartered in Wilmington, North Carolina and has offices in Lehi and Salt Lake City, Utah; Macon, Georgia; London, United Kingdom; Sydney and Melbourne, Australia; Toronto, Canada; Paris, France; Madrid, Spain; and Tokyo, Japan.</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2022 filed with the SEC on March 31, 2022.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8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2023 or any future period.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Reclassification: </w:t>
      </w:r>
      <w:r>
        <w:rPr>
          <w:rFonts w:ascii="Times New Roman" w:cs="Times New Roman" w:eastAsia="Times New Roman" w:hAnsi="Times New Roman"/>
          <w:sz w:val="18"/>
          <w:szCs w:val="18"/>
          <w:color w:val="auto"/>
        </w:rPr>
        <w:t>The Company reclassified certain prior year amounts in the unaudited condensed consolidated statement of cash flows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cash flows from operating activities to conform to the current year presentation. These reclassifications had no impact on the previously reported total assets, liabilities, stockholder’s deficit, or net loss.</w:t>
      </w:r>
    </w:p>
    <w:p>
      <w:pPr>
        <w:spacing w:after="0" w:line="171"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88"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2022 and October 31, 2022. The Company maintains its cash, cash equivalents and restricted cash with high-credit-quality financial institutions.</w:t>
      </w:r>
    </w:p>
    <w:p>
      <w:pPr>
        <w:spacing w:after="0" w:line="180"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2022, one individual customer represented 12% of accounts receivable and, as of October 31, 2022, no individual customer represented over 10% of accounts receivable. For the three and nine months ended October 31, 2021 and 2022, no individual customer represented more than 10% of the Company’s total revenues.</w:t>
      </w:r>
    </w:p>
    <w:p>
      <w:pPr>
        <w:spacing w:after="0" w:line="172" w:lineRule="exact"/>
        <w:rPr>
          <w:sz w:val="20"/>
          <w:szCs w:val="20"/>
          <w:color w:val="auto"/>
        </w:rPr>
      </w:pPr>
    </w:p>
    <w:p>
      <w:pPr>
        <w:ind w:right="12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primarily consists of a minimum cash balance the Company maintains with a lender under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revolving credit facility. The remaining restricted cash consists of deposits held as collateral for the Company's bank guarantees issued in place of security deposits for certain property leases and credit cards. Restricted cash 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long-term assets at January 31, 2022 and October 31, 2022 on the unaudited condensed consolidated balance sheets.</w:t>
      </w:r>
    </w:p>
    <w:p>
      <w:pPr>
        <w:spacing w:after="0" w:line="221"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Allowances: </w:t>
      </w:r>
      <w:r>
        <w:rPr>
          <w:rFonts w:ascii="Times New Roman" w:cs="Times New Roman" w:eastAsia="Times New Roman" w:hAnsi="Times New Roman"/>
          <w:sz w:val="18"/>
          <w:szCs w:val="18"/>
          <w:color w:val="auto"/>
        </w:rPr>
        <w:t>A receivable is recorded when an unconditional right to invoice and receive payment exists, such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w:t>
      </w:r>
    </w:p>
    <w:p>
      <w:pPr>
        <w:spacing w:after="0" w:line="1" w:lineRule="exact"/>
        <w:rPr>
          <w:sz w:val="20"/>
          <w:szCs w:val="20"/>
          <w:color w:val="auto"/>
        </w:rPr>
      </w:pPr>
    </w:p>
    <w:p>
      <w:pPr>
        <w:ind w:right="6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8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2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The Company's investment is a non-marketable equity investment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 is measured at cost with adjustments for observable changes in price or impairment as permitted by the measurement alternative. The Company assesses at each reporting period if the investment continues to qualify for the measurement alternative. Gains or losses resulting from observable price changes are recognized currently in the Company's consolidated statement of operations. The Company assesses the investment whenever events or changes in circumstances indicate that the carrying value of the investment may not be recoverable.</w:t>
      </w:r>
    </w:p>
    <w:p>
      <w:pPr>
        <w:spacing w:after="0" w:line="182"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Debt Issuance Costs: </w:t>
      </w:r>
      <w:r>
        <w:rPr>
          <w:rFonts w:ascii="Times New Roman" w:cs="Times New Roman" w:eastAsia="Times New Roman" w:hAnsi="Times New Roman"/>
          <w:sz w:val="18"/>
          <w:szCs w:val="18"/>
          <w:color w:val="auto"/>
        </w:rPr>
        <w:t>Debt issuance costs are initially deferred and amortized to interest expense on a straight-line basis over the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debt. The Company uses the straight-line basis as it approximates the amounts calculated under the effective-interest method. Unamortized debt issuance costs related to the secured revolving credit facility are considered long-term and are included in other long-term assets in the unaudited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October 31, 2022, the Company controls a majority of the outstanding common stock in nCino K.K.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$3.6 million at October 31, 2022.</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non-controlling interest)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nCino K.K. stock options granted in accordance with nCino K.K.'s equity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2022 and October 31, 2022 because of the relatively short duration of these instruments.</w:t>
      </w:r>
    </w:p>
    <w:p>
      <w:pPr>
        <w:spacing w:after="0" w:line="16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2022 and October 31, 2022 and indicates the fair value hierarchy of the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 deposits (included in other long-term assets)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 deposits (included in other long-term assets)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11"/>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w:t>
            </w:r>
          </w:p>
        </w:tc>
      </w:tr>
      <w:tr>
        <w:trPr>
          <w:trHeight w:val="196"/>
        </w:trPr>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7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 accounted for under the measurement alternative.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adjustment or impairment recognized for the three and nine months ended October 31, 2021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Area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254,049</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45,085</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2022 and October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accounts receivable</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$0.5 million and $0.1 million income tax receivable of as of January 31, 2022 and October 31, 2022, respectively.</w:t>
      </w:r>
    </w:p>
    <w:p>
      <w:pPr>
        <w:spacing w:after="0" w:line="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nine months ended October 31, 2022, $114.6 million of revenues were recognized out of the deferred revenue balance as of January 31, 2022.</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83"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$919.2 million as of October 31, 2022. The Company expects to recognize approximately 66% of its remaining performance obligation as revenues in the next 24 months, approximately 29% more in the following 25 to 48 months, and the remainder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420" w:firstLine="891"/>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increase in construction in progress is primarily due to construction for an additional office building that is on the property of the Company's existing headquarters for which we are considered the owner for accounting purposes. See Note 14 "Commitments and Contingencies" for additional details including future commitments and Note 17 "Subsequent Events."</w:t>
      </w:r>
    </w:p>
    <w:p>
      <w:pPr>
        <w:spacing w:after="0" w:line="2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SimpleNexus</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On January 7, 2022 (the "Acquisition Date") through a series of mergers, the Company acquired all outstanding membership interests of SimpleNexus which provides mobile-first homeownership software that spans engagement, 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were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the Acquisition Date. The transaction costs associated with the acquisition were approximately $10.0 million and were recorded in general and administrative expenses for the fiscal year ended January 31, 2022. The Company also recognized $0.2 million in stock issuance costs associated with the share consideration that were reported as a reduction of additional paid-in capital within stockholders' equity.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was $933.6 million on the Acquisition Date, subject to a net working capital adjustment. The net working capital adjustment was finalized in July 2022, resulting in a decrease to the purchase price of $0.7 million which was recorded to goodwill. The total consideration transferred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Consideration</w:t>
            </w:r>
          </w:p>
        </w:tc>
      </w:tr>
      <w:tr>
        <w:trPr>
          <w:trHeight w:val="23"/>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to members</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286,086</w:t>
            </w:r>
          </w:p>
        </w:tc>
      </w:tr>
      <w:tr>
        <w:trPr>
          <w:trHeight w:val="230"/>
        </w:trPr>
        <w:tc>
          <w:tcPr>
            <w:tcW w:w="9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Voting common stock issued (12,762,146 shares)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647,509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932,919</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420" w:firstLine="891"/>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 assumed a restricted stock award with an estimated fair value of $1.4 million. $0.3 million was allocated to the purchase consideration and $1.1 million was allocated to future services and will be expensed over the service period remaining in fiscal 2023 on a straight-line basis.</w:t>
      </w:r>
    </w:p>
    <w:p>
      <w:pPr>
        <w:spacing w:after="0" w:line="200"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number of shares for stock consideration was based on a 20-day volume weighted average price fair value of $72.53 established prior to and including November 12, 2021 to determine the number of shares to be issued on the Acquisition Date. On the Acquisition Date, the Company's closing stock price was $50.82 per share.</w:t>
      </w:r>
    </w:p>
    <w:p>
      <w:pPr>
        <w:spacing w:after="0" w:line="176" w:lineRule="exact"/>
        <w:rPr>
          <w:sz w:val="20"/>
          <w:szCs w:val="20"/>
          <w:color w:val="auto"/>
        </w:rPr>
      </w:pPr>
    </w:p>
    <w:p>
      <w:pPr>
        <w:ind w:right="78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including measurement period adjustments recorded, as of October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784,480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932,919</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Acquisition Date. Any excess consideration over the fair value of the assets acquired and liabilities assumed was recognized as goodwill and is subject to revision as the purchase price allocation is completed.</w:t>
      </w:r>
    </w:p>
    <w:p>
      <w:pPr>
        <w:spacing w:after="0" w:line="176" w:lineRule="exact"/>
        <w:rPr>
          <w:sz w:val="20"/>
          <w:szCs w:val="20"/>
          <w:color w:val="auto"/>
        </w:rPr>
      </w:pPr>
    </w:p>
    <w:p>
      <w:pPr>
        <w:jc w:val="both"/>
        <w:ind w:right="100" w:firstLine="891"/>
        <w:spacing w:after="0" w:line="254" w:lineRule="auto"/>
        <w:rPr>
          <w:sz w:val="20"/>
          <w:szCs w:val="20"/>
          <w:color w:val="auto"/>
        </w:rPr>
      </w:pPr>
      <w:r>
        <w:rPr>
          <w:rFonts w:ascii="Times New Roman" w:cs="Times New Roman" w:eastAsia="Times New Roman" w:hAnsi="Times New Roman"/>
          <w:sz w:val="18"/>
          <w:szCs w:val="18"/>
          <w:color w:val="auto"/>
        </w:rPr>
        <w:t>Due to the timing and the magnitude of the transaction, initial accounting for the acquisition is not complete, and further measurement period adjustments may occur in fiscal year 2023, but no later than one year from the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and all tax returns for the pre-acquisition period are completed. The primary areas of the acquisition accounting that remain preliminary relate to, but are not limited to, (i) finalizing the Company's review of certain assets acquired and liabilities assumed,</w:t>
      </w:r>
    </w:p>
    <w:p>
      <w:pPr>
        <w:spacing w:after="0" w:line="3" w:lineRule="exact"/>
        <w:rPr>
          <w:sz w:val="20"/>
          <w:szCs w:val="20"/>
          <w:color w:val="auto"/>
        </w:rPr>
      </w:pPr>
    </w:p>
    <w:p>
      <w:pPr>
        <w:ind w:right="6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evaluation and valuation of certain legal matters and/or loss contingencies, including those that the Company may not yet be aware of but meet the requirement to qualify as a pre-acquisition contingency, and (iii) finalizing our estimate of the impact of acquisition accounting on deferred income taxes or liabilities. As the initial acquisition accounting is based on preliminary assessments, actual values may differ materially when final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76"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340" w:firstLine="891"/>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preliminarily estimated fair value of SimpleNexus’ technology. Customer relationships represent the preliminarily estimated fair value of the underlying relationships with SimpleNexus' customers. Trade names represents the preliminarily estimated fair value of SimpleNexus’ company name.</w:t>
      </w:r>
    </w:p>
    <w:p>
      <w:pPr>
        <w:spacing w:after="0" w:line="176"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$189.2 million is expected to be deductible for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841,487</w:t>
            </w:r>
          </w:p>
        </w:tc>
        <w:tc>
          <w:tcPr>
            <w:tcW w:w="0" w:type="dxa"/>
            <w:vAlign w:val="bottom"/>
          </w:tcPr>
          <w:p>
            <w:pPr>
              <w:spacing w:after="0"/>
              <w:rPr>
                <w:sz w:val="1"/>
                <w:szCs w:val="1"/>
                <w:color w:val="auto"/>
              </w:rPr>
            </w:pPr>
          </w:p>
        </w:tc>
      </w:tr>
      <w:tr>
        <w:trPr>
          <w:trHeight w:val="229"/>
        </w:trPr>
        <w:tc>
          <w:tcPr>
            <w:tcW w:w="4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SimpleNexus net working capital purchase adjustment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2022</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839,918</w:t>
            </w: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21,129</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260" w:type="dxa"/>
            <w:vAlign w:val="bottom"/>
            <w:gridSpan w:val="8"/>
          </w:tcPr>
          <w:p>
            <w:pPr>
              <w:ind w:left="88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October 31, 2022 is as follows: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27,567</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w:t>
            </w: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Reseller Agreement</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The Company has a reseller agreement in place with a related party to utilize their platform and to develop the Company’s cloud-based banking software as an application within the related party’s hosted environment. This agreement expires in June 2027 and will automatically renew in annual increments thereafter unless either party gives notice of non-renewal before the end of the initial term or the respective renewal term. Cost of subscription revenues in each of the three and nine months ended October 31, 2021 and 2022 substantially consists of fees paid for access to the related party’s platform, including their hosting infrastructure and data center operations. Based solely on information reported in a Schedule 13G/A filed with the SEC on February 11, 2022, the reseller is no longer considered a related party as of December 31, 2021 and the amounts disclosed related to them are accordingly presented while the reseller was considered a related party. The reseller was considered a related party for the three and nine months ended October 31, 2021 and was no longer considered a related party for the three and nine months ended October 31, 2022. The Company has recorded expenses of $11.6 million for the three months ended October 31, 2021 and $33.4 million for the nine months ended October 31, 2021. The Company continues to do business with the reseller. See also Note 15 "Related-Party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 October 31, 2022, the Company committed a total of 30,234,989 shares of common stock for future issuance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6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2,161,088</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w:t>
            </w:r>
          </w:p>
        </w:tc>
        <w:tc>
          <w:tcPr>
            <w:tcW w:w="6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4,000,187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issuance under stock plans</w:t>
            </w:r>
          </w:p>
        </w:tc>
        <w:tc>
          <w:tcPr>
            <w:tcW w:w="6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24,073,714</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30,234,989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660" w:type="dxa"/>
            <w:vAlign w:val="bottom"/>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nine months ended October 31, 2022 was as follows:</w:t>
      </w:r>
    </w:p>
    <w:p>
      <w:pPr>
        <w:spacing w:after="0" w:line="200" w:lineRule="exact"/>
        <w:rPr>
          <w:sz w:val="20"/>
          <w:szCs w:val="20"/>
          <w:color w:val="auto"/>
        </w:rPr>
      </w:pPr>
    </w:p>
    <w:p>
      <w:pPr>
        <w:spacing w:after="0" w:line="20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200"/>
        <w:spacing w:after="0" w:line="209" w:lineRule="auto"/>
        <w:rPr>
          <w:sz w:val="20"/>
          <w:szCs w:val="20"/>
          <w:color w:val="auto"/>
        </w:rPr>
      </w:pPr>
      <w:r>
        <w:rPr>
          <w:rFonts w:ascii="Times New Roman" w:cs="Times New Roman" w:eastAsia="Times New Roman" w:hAnsi="Times New Roman"/>
          <w:sz w:val="14"/>
          <w:szCs w:val="14"/>
          <w:b w:val="1"/>
          <w:bCs w:val="1"/>
          <w:color w:val="auto"/>
        </w:rPr>
        <w:t>Average</w:t>
      </w:r>
    </w:p>
    <w:p>
      <w:pPr>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4" w:lineRule="exact"/>
        <w:rPr>
          <w:sz w:val="20"/>
          <w:szCs w:val="20"/>
          <w:color w:val="auto"/>
        </w:rPr>
      </w:pPr>
    </w:p>
    <w:p>
      <w:pPr>
        <w:sectPr>
          <w:pgSz w:w="11900" w:h="16838" w:orient="portrait"/>
          <w:cols w:equalWidth="0" w:num="2">
            <w:col w:w="9320" w:space="720"/>
            <w:col w:w="12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2,629,109</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9"/>
        </w:trPr>
        <w:tc>
          <w:tcPr>
            <w:tcW w:w="8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(451,147)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October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2,161,088</w:t>
            </w:r>
          </w:p>
        </w:tc>
        <w:tc>
          <w:tcPr>
            <w:tcW w:w="6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October 31, 2022</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2,097,025</w:t>
            </w:r>
          </w:p>
        </w:tc>
        <w:tc>
          <w:tcPr>
            <w:tcW w:w="660" w:type="dxa"/>
            <w:vAlign w:val="bottom"/>
            <w:gridSpan w:val="2"/>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October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2,154,682</w:t>
            </w:r>
          </w:p>
        </w:tc>
        <w:tc>
          <w:tcPr>
            <w:tcW w:w="6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2022, there was $0.2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0.66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RSU activity during the nine months ended October 31, 2022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October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4,000,187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2022, total unrecognized compensation expense related to non-vested RSUs was $139.6 million, adjusted for estimated forfeitures, based on the estimated fair value of the Company’s common stock at the time of grant. That cost is expected to be recognized over a weighted average period of 3.11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will begin on January 1 and July 1.</w:t>
      </w:r>
    </w:p>
    <w:p>
      <w:pPr>
        <w:spacing w:after="0" w:line="16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fair value of ESPP shares during the nine months ended October 31, 2022 was estimated at the date of grant using the Black-Scholes option valuation model based on assumptions as follows for ESPP awards: (i) expected life of 0.5 years, (ii) expected volatility of 49.65% to 84.59%, (iii) expected dividends of 0.00%, (iv) risk-free interest rate of 0.22% to 2.52%.</w:t>
      </w:r>
    </w:p>
    <w:p>
      <w:pPr>
        <w:spacing w:after="0" w:line="176"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As of October 31, 2022, total unrecognized compensation expense related to the ESPP was $0.3 million. That cost is expected to be recognized over the remaining term of the offering period that began on July 1, 2022 and will end on December 31,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38,476</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07"/>
        </w:trPr>
        <w:tc>
          <w:tcPr>
            <w:tcW w:w="676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2"/>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bl>
    <w:p>
      <w:pPr>
        <w:spacing w:after="0" w:line="287" w:lineRule="exact"/>
        <w:rPr>
          <w:sz w:val="20"/>
          <w:szCs w:val="20"/>
          <w:color w:val="auto"/>
        </w:rPr>
      </w:pPr>
    </w:p>
    <w:p>
      <w:pPr>
        <w:jc w:val="both"/>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October 31, 2022 were 3.85 years and 4.4%,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Future minimum lease payments as of October 31, 2022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Revolving Credit Facility</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3" w:lineRule="exact"/>
        <w:rPr>
          <w:sz w:val="20"/>
          <w:szCs w:val="20"/>
          <w:color w:val="auto"/>
        </w:rPr>
      </w:pPr>
    </w:p>
    <w:p>
      <w:pPr>
        <w:ind w:right="260" w:firstLine="891"/>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spacing w:after="0" w:line="183"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Facility are scheduled to mature on February 11, 2024, and the Company may repay amounts borrowed any time without penalty. Borrowings under the Credit Facility may be reborrowed.</w:t>
      </w:r>
    </w:p>
    <w:p>
      <w:pPr>
        <w:spacing w:after="0" w:line="162" w:lineRule="exact"/>
        <w:rPr>
          <w:sz w:val="20"/>
          <w:szCs w:val="20"/>
          <w:color w:val="auto"/>
        </w:rPr>
      </w:pPr>
    </w:p>
    <w:p>
      <w:pPr>
        <w:ind w:right="140" w:firstLine="891"/>
        <w:spacing w:after="0" w:line="255"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at October 31, 2022 on the Company's unaudited condensed consolidated balance sheets.</w:t>
      </w:r>
    </w:p>
    <w:p>
      <w:pPr>
        <w:spacing w:after="0" w:line="18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October 31, 2022, unamortized debt issuance costs were $0.2 million and are included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2022, the Company had $30.0 million outstanding and no letters of credit issued under the Credit Facility and was in compliance with all covenants. As of October 31, 2022, the applicable interest rate was approximately 4.15%. The available borrowing capacity under the Credit Facility was $20.0 million as of October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Construction Liabilities</w:t>
      </w:r>
    </w:p>
    <w:p>
      <w:pPr>
        <w:spacing w:after="0" w:line="229"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The Company entered into a new lease agreement for the Company's headquarters in November 2020 with a new lessor. The lease goes through 2035 with options to renew. Due to a purchase option contained in the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obligations on the unaudited condensed consolidated balance sheets, respectively.</w:t>
      </w:r>
    </w:p>
    <w:p>
      <w:pPr>
        <w:spacing w:after="0" w:line="189" w:lineRule="exact"/>
        <w:rPr>
          <w:sz w:val="20"/>
          <w:szCs w:val="20"/>
          <w:color w:val="auto"/>
        </w:rPr>
      </w:pPr>
    </w:p>
    <w:p>
      <w:pPr>
        <w:ind w:right="220" w:firstLine="891"/>
        <w:spacing w:after="0" w:line="256" w:lineRule="auto"/>
        <w:rPr>
          <w:sz w:val="20"/>
          <w:szCs w:val="20"/>
          <w:color w:val="auto"/>
        </w:rPr>
      </w:pPr>
      <w:r>
        <w:rPr>
          <w:rFonts w:ascii="Times New Roman" w:cs="Times New Roman" w:eastAsia="Times New Roman" w:hAnsi="Times New Roman"/>
          <w:sz w:val="18"/>
          <w:szCs w:val="18"/>
          <w:color w:val="auto"/>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w:t>
      </w:r>
    </w:p>
    <w:p>
      <w:pPr>
        <w:spacing w:after="0" w:line="18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 April 2021, the Company entered into a new lease agreement for the construction of an additional office building that is on the same parcel of land as the Company's existing headquarters. Due to a purchase option contained in the lease, the Company is deemed to be the owner of the additional building for accounting purposes, thus costs associated with the construction of the additional building will be capitalized as construction in progress with a corresponding construction liability through construction which is estimated to be approximately $23.0 million. Upon completion of the additional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See also Note 17 "Subsequent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October 31,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7" w:lineRule="exact"/>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80"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192"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w:t>
      </w:r>
    </w:p>
    <w:p>
      <w:pPr>
        <w:spacing w:after="0" w:line="183"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176"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Given the uncertainty and preliminary stages of these matters, the Company is unable to reasonably estimate any possible loss or range of loss that may result. Therefore, the Company has not made an accrual for the above matters in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Related-Party Transactions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The Company’s largest vendor is also an equityholder in the Company. Total payments related to the reseller agreement with this party are disclosed in Note 9 "Reseller Agreement." The Company also purchases services from this party to assist in managing its own sales cycle, customer relationship management, and other business functions. The Company has a non-cancellable agreement for the purchase of services. In November 2022, this agreement was renewed for one year and expires in December 2023. Based solely on information reported in a Schedule 13G/A filed with the SEC on February 11, 2022, this vendor is no longer considered a related party as of December 31, 2021, and the amounts disclosed related to them are accordingly presented while the vendor was considered a related party. The vendor was considered a related party for the three and nine months ended October 31, 2021 and was no longer considered a related party for the three and nine months ended October 31, 2022. Total payments for these services recorded to expenses were $0.4 million for the three months ended October 31, 2021 and $1.2 million for the nine months ended October 31, 2021.</w:t>
      </w:r>
    </w:p>
    <w:p>
      <w:pPr>
        <w:spacing w:after="0" w:line="192"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Company entered into the Merger Agreement on January 7, 2022, as disclosed in Note 1 "Organization and Description of Business" and Note 7 "Business Combinations." Affiliates of Insight Partners were equityholders of SimpleNexus and certain other parties in connection with the Merger Agreement transaction, and other affiliates of Insight Partners are currently significant stockholders of the Company.</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See also Note 17 "Subsequent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Basic and Diluted Loss per Share</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October 31, 2021 and 2022 and for the nine months ended October 31, 2021 and 2022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(81,512)</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96,431,082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95,510,413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110,434,171</w:t>
            </w:r>
          </w:p>
        </w:tc>
      </w:tr>
      <w:tr>
        <w:trPr>
          <w:trHeight w:val="234"/>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attributable to nCino,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bl>
    <w:p>
      <w:pPr>
        <w:spacing w:after="0" w:line="287"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2,873,232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2,161,088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2,007,528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4,000,187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During November 2022, the construction of the additional office building that is on the property of the Company's existing headquarters, as disclosed in Note 14 "Commitments and Contingencies," and the tenant improvements therein were deemed complete and the Company began occupying the space of approximately 90,000 square feet. The lease extends through 2037 with options to renew, and rental payments commenced in October 2022. The Company is deemed to have continuing involvement and therefore is considered to be the owner for accounting purposes. As a result, the construction in progress associated with the lease will be recorded as an asset and the construction liability, estimated to be $23.0 million, will be recorded as a financing obligation. The term of the Company's current headquarters and parking deck, as disclosed in Note 14 "Commitments and Contingencies," is coterminous with this lease.</w:t>
      </w:r>
    </w:p>
    <w:p>
      <w:pPr>
        <w:spacing w:after="0" w:line="18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for $2.5 million. The investment is a non-marketable equity investment without readily determinable fair value for which the Company does not have control or significant influence and will be measured at cost as permitted by the measurement alternative. The investment is considered a related party transaction as entities affiliated with Insight Partners, a beneficial owner of the Company, own greater than ten percent of Zest AI.</w:t>
      </w:r>
    </w:p>
    <w:p>
      <w:pPr>
        <w:spacing w:after="0" w:line="183"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On November 22, 2022, the Board of Directors (the "Board") increased the size of the Board from seven to eight members and approved the appointment of William (Bill) Spruill to serve as a director of the Company. Mr. Spruill will also serve as a member of the audit committee. The Company also adopted amended and restated bylaws which, among other things, changed the Company's voting standard for directors from a plurality voting standard to a majority voting standard, modified provisions relating to stockholder meeting adjournment procedures and the availability of lists of stockholders entitled to vote at stockholder meetings, and updated procedural mechanics and disclosure requirements relating to director nominations made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2022 filed with the SEC on March 31, 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2023" refer to the fiscal year ended January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nCino is a leading global provider of cloud-based software for financial institutions. We empower banks, credit unions, and independent mortgage banks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banks and credit unions to more effectively onboard new clients, make loans and manage the entire loan life cycle, open deposit and other accounts, and manage regulatory compliance. Additionally, SimpleNexus' digital homeownership platform, which we acquired on January 7, 2022 (the "Acquisition Date"), unites people, systems, and stages of the mortgage process into a seamless end-to-end journey. We serve financial institution customers of all sizes and complexities, including global financial institutions, enterprise banks, regional banks, community banks, credit unions, new market entrants, such as challenger banks, and, through SimpleNexus, independent mortgage banks. Our customers deploy and utilize our technology, which can be accessed anytime, anywhere, and from any internet-enabled device, for mission critical functions across their organizations.</w:t>
      </w:r>
    </w:p>
    <w:p>
      <w:pPr>
        <w:spacing w:after="0" w:line="194"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banks and credit unions operate, go to market, and interact with their clients, while delivering measurable return on investment by enabling them to:</w:t>
      </w:r>
    </w:p>
    <w:p>
      <w:pPr>
        <w:spacing w:after="0" w:line="16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5"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this solution to enterprise banks in the United States in 2014, and then internationally in 2017, and have subsequently expanded across North America, Europe, and APAC. In fiscal 2020, we acquired nCino Portfolio Analytics, LLC (formerly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In January 2022, we acquired SimpleNexus, a leading cloud-based mobile-first homeownership software company in the United States.</w:t>
      </w:r>
    </w:p>
    <w:p>
      <w:pPr>
        <w:spacing w:after="0" w:line="188"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We offer our solution on a SaaS basis under multi-year contracts and recognize subscription revenues ratably over the term of the contract. Our customers may initially purchase the nCino Bank Operating System for client onboarding, loan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origination, and/or deposit account opening for a single line of business or geography. Once this initial solution is in production, we seek to deploy additional solutions and expand within and across additional lines of business or geographies. The expansion from our original focus on commercial and small business loan origination to retail loan origination, client onboarding, deposit account opening, and, most recently, analytics and AI/ML solutions, has enhanced our ability to increase adoption of the nCino Bank Operating System by our customers.</w:t>
      </w:r>
    </w:p>
    <w:p>
      <w:pPr>
        <w:spacing w:after="0" w:line="180"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We sell our solutions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As of October 31, 2022, we had 275 sales and sales support personnel in the United States, including SimpleNexus, and 75 sales and support personnel in offices outside the United States.</w:t>
      </w:r>
    </w:p>
    <w:p>
      <w:pPr>
        <w:spacing w:after="0" w:line="180"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To help customers go live with the nCino Bank Operating System,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for the nCino Bank Operating System, while we have historically performed professional services for smaller financial institutions ourselves. We expect larger financial institutions to make up a greater proportion of our nCino Bank Operating System sales. As a result, we expect the mix of our total revenues to become more heavily weighted toward subscription revenues.</w:t>
      </w:r>
    </w:p>
    <w:p>
      <w:pPr>
        <w:spacing w:after="0" w:line="183" w:lineRule="exact"/>
        <w:rPr>
          <w:sz w:val="20"/>
          <w:szCs w:val="20"/>
          <w:color w:val="auto"/>
        </w:rPr>
      </w:pPr>
    </w:p>
    <w:p>
      <w:pPr>
        <w:ind w:right="100" w:firstLine="891"/>
        <w:spacing w:after="0" w:line="245" w:lineRule="auto"/>
        <w:rPr>
          <w:sz w:val="20"/>
          <w:szCs w:val="20"/>
          <w:color w:val="auto"/>
        </w:rPr>
      </w:pPr>
      <w:r>
        <w:rPr>
          <w:rFonts w:ascii="Times New Roman" w:cs="Times New Roman" w:eastAsia="Times New Roman" w:hAnsi="Times New Roman"/>
          <w:sz w:val="18"/>
          <w:szCs w:val="18"/>
          <w:color w:val="auto"/>
        </w:rPr>
        <w:t>On the Acquisition Date, we acquired SimpleNexus, a leading cloud-based mobile-first homeownership software company in the United States, for an aggregate purchase price of $933.6 million. As a result of the acquisition, SimpleNexus became a wholly owned subsidiary of nCino, Inc. Our consolidated results of operations for the three and nine months ended October 31, 2022 include the operating results of SimpleNexus from the Acquisition Date. See Note 7 "Business Combinations" to our consolidated financial statements included in Part I, Item I of this Quarterly Report on Form 10-Q for additional information. Given it was prior to the Acquisition Date, no operating results for SimpleNexus are included in the comparative period for the three and nine months ended October 31, 2021. SimpleNexus offers a suite of products that enables loan officers, borrowers, real estate agents, settlement agents and others to easily engage in the homeownership process from any internet-enabled device.</w:t>
      </w:r>
    </w:p>
    <w:p>
      <w:pPr>
        <w:spacing w:after="0" w:line="181" w:lineRule="exact"/>
        <w:rPr>
          <w:sz w:val="20"/>
          <w:szCs w:val="20"/>
          <w:color w:val="auto"/>
        </w:rPr>
      </w:pPr>
    </w:p>
    <w:p>
      <w:pPr>
        <w:ind w:right="80" w:firstLine="891"/>
        <w:spacing w:after="0" w:line="253" w:lineRule="auto"/>
        <w:rPr>
          <w:sz w:val="20"/>
          <w:szCs w:val="20"/>
          <w:color w:val="auto"/>
        </w:rPr>
      </w:pPr>
      <w:r>
        <w:rPr>
          <w:rFonts w:ascii="Times New Roman" w:cs="Times New Roman" w:eastAsia="Times New Roman" w:hAnsi="Times New Roman"/>
          <w:sz w:val="18"/>
          <w:szCs w:val="18"/>
          <w:color w:val="auto"/>
        </w:rPr>
        <w:t>For the three months ended October 31, 2021 and 2022, our total revenues were $70.0 million and $105.3 million, respectively, representing a 50.3% increase. Our revenues for the three months ended October 31, 2022 include $16.9 million in revenues from SimpleNexus. For the three months ended October 31, 2021 and 2022, our subscription revenues were $57.1 million and $88.3 million, respectively, representing a 54.7% increase. Our subscription-based revenues for the three months ended October 31, 2022 include $15.4 million from SimpleNexus. Due to our investments in growth, we recorded net losses attributable to nCino, Inc. of $13.6 million and $23.6 million for the three months ended October 31, 2021 and 2022, respectively. For the nine months ended October 31, 2021 and 2022, our total revenues were $198.9 million and $299.1 million, respectively, representing a 50.4% increase. Our revenues for the nine months ended October 31, 2022 include $48.2 million in revenues from SimpleNexus. For the nine months ended October 31, 2021 and 2022, our subscription revenues were $162.1 million and $251.9 million, respectively, representing a 55.5% increase. Our subscription-based revenues for the nine months ended October 31, 2022 include $44.0 million from SimpleNexus. Due to our investments in growth, we recorded net losses attributable to nCino, Inc. of $42.3 million and $81.5 million for the nine months ended October 31, 2021 and 2022,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financial institution customers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financial institutions to replace legacy third-party point solutions or internally developed software with our solutions. In addition, growing our customer base will require us to increasingly penetrate markets outside the United States, which markets accounted for 15.1% of total revenues for the three and nine months ended October 31, 2022. For new customers, our sales cycles are typically lengthy, generally ranging from six to nine months for smaller financial institutions to 12 to 18 months or more for larger financial institutions.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can generally range from as little as three months to over 18 months for global financial institutions. As a result,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82" w:lineRule="exact"/>
        <w:rPr>
          <w:sz w:val="20"/>
          <w:szCs w:val="20"/>
          <w:color w:val="auto"/>
        </w:rPr>
      </w:pPr>
    </w:p>
    <w:p>
      <w:pPr>
        <w:ind w:right="22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COVID-19 Effects on Demand for Our Solutions</w:t>
      </w:r>
      <w:r>
        <w:rPr>
          <w:rFonts w:ascii="Times New Roman" w:cs="Times New Roman" w:eastAsia="Times New Roman" w:hAnsi="Times New Roman"/>
          <w:sz w:val="18"/>
          <w:szCs w:val="18"/>
          <w:color w:val="auto"/>
        </w:rPr>
        <w:t>. To help our customers service demand for Paycheck Protection Program ("PPP")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Coronavirus Aid, Relief, and Economic Security Act, also known as the CARES Act, beginning in April 2020, we adapted our Small Business Administration loan solution to the requirements of the PPP and rapidly introduced it to the market. Using our PPP solution, since the inception of PPP funding, our financial institution customers processed hundreds of thousands of applications.</w:t>
      </w:r>
    </w:p>
    <w:p>
      <w:pPr>
        <w:spacing w:after="0" w:line="180"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had the effect of moderating revenue growth rates in fiscal 2022. In addition, our revenue growth rates and our subscription revenue retention rates may be adversely affected upon the expiration of access and use rights to our PPP solution to the extent such rights are not re-purposed for other applications.</w:t>
      </w:r>
    </w:p>
    <w:p>
      <w:pPr>
        <w:spacing w:after="0" w:line="183" w:lineRule="exact"/>
        <w:rPr>
          <w:sz w:val="20"/>
          <w:szCs w:val="20"/>
          <w:color w:val="auto"/>
        </w:rPr>
      </w:pPr>
    </w:p>
    <w:p>
      <w:pPr>
        <w:jc w:val="both"/>
        <w:ind w:right="2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Environment. </w:t>
      </w:r>
      <w:r>
        <w:rPr>
          <w:rFonts w:ascii="Times New Roman" w:cs="Times New Roman" w:eastAsia="Times New Roman" w:hAnsi="Times New Roman"/>
          <w:sz w:val="18"/>
          <w:szCs w:val="18"/>
          <w:color w:val="auto"/>
        </w:rPr>
        <w:t>We are currently operating in a rising interest rate environment as the United States Federal Reserve raises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as a means to manage inflation. These rate increases have had an impact on the real estate market in the United States and specifically, the demand for mortgages and mortgage-related products and services, which has had a negative impact on our SimpleNexus business. We continue to monitor the impact the rise in interest rates and any future rise in interest rates may have on our business.</w:t>
      </w:r>
    </w:p>
    <w:p>
      <w:pPr>
        <w:spacing w:after="0" w:line="176" w:lineRule="exact"/>
        <w:rPr>
          <w:sz w:val="20"/>
          <w:szCs w:val="20"/>
          <w:color w:val="auto"/>
        </w:rPr>
      </w:pPr>
    </w:p>
    <w:p>
      <w:pPr>
        <w:ind w:right="4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United States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ind w:right="10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our solutions and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that we generally offer under non-cancellable multi-year contracts, which typically range from three to five years for the nCino Bank Operating System and one to three years for SimpleNexus. Specifically, we offer:</w:t>
      </w:r>
    </w:p>
    <w:p>
      <w:pPr>
        <w:spacing w:after="0" w:line="175" w:lineRule="exact"/>
        <w:rPr>
          <w:sz w:val="20"/>
          <w:szCs w:val="20"/>
          <w:color w:val="auto"/>
        </w:rPr>
      </w:pPr>
    </w:p>
    <w:p>
      <w:pPr>
        <w:ind w:left="1300" w:right="46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for which we generally charge based on the asset size of the customer or on a usage basis.</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SimpleNexus, digital homeownership platform uniting people, systems, and stages of the mortgage process into a seamless end-to-end journey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66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6"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financial institutions, we generally work with SIs to provide the majority of implementation services for the nCino Bank Operating System, for which these SIs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3"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spacing w:after="0" w:line="182" w:lineRule="exact"/>
        <w:rPr>
          <w:sz w:val="20"/>
          <w:szCs w:val="20"/>
          <w:color w:val="auto"/>
        </w:rPr>
      </w:pPr>
    </w:p>
    <w:p>
      <w:pPr>
        <w:ind w:right="70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also include the cost of third-party contractors. Research and development costs are expensed as incurred. We expect research and development costs to decrease as a percentage of revenues as we leverage the investments we have made to date.</w:t>
      </w:r>
    </w:p>
    <w:p>
      <w:pPr>
        <w:spacing w:after="0" w:line="160"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primarily consists of third-party expenses related to the acquisition of SimpleNexus, such as legal and other professional services fees. We expect general and administrative expenses will decrease as a percentage of revenues as we leverage the investments we have made to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ind w:right="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w:t>
      </w:r>
    </w:p>
    <w:p>
      <w:pPr>
        <w:spacing w:after="0" w:line="158" w:lineRule="exact"/>
        <w:rPr>
          <w:sz w:val="20"/>
          <w:szCs w:val="20"/>
          <w:color w:val="auto"/>
        </w:rPr>
      </w:pPr>
    </w:p>
    <w:p>
      <w:pPr>
        <w:ind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intercompany loans that are denominated in currencies other than the underlying functional currency of the applicable entity.</w:t>
      </w:r>
    </w:p>
    <w:p>
      <w:pPr>
        <w:spacing w:after="0" w:line="158" w:lineRule="exact"/>
        <w:rPr>
          <w:sz w:val="20"/>
          <w:szCs w:val="20"/>
          <w:color w:val="auto"/>
        </w:rPr>
      </w:pPr>
    </w:p>
    <w:p>
      <w:pPr>
        <w:ind w:right="60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consists of federal and state income taxes in the United States and income taxes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The following tables present our selected consolidated statements of operations data for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2021 and 2022 in both dollars and as a percentage of total revenues, except as noted.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94,274</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245,136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96,431,082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95,510,413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110,434,171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9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vMerge w:val="continue"/>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6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21,129</w:t>
            </w:r>
          </w:p>
        </w:tc>
      </w:tr>
      <w:tr>
        <w:trPr>
          <w:trHeight w:val="21"/>
        </w:trPr>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10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r>
      <w:tr>
        <w:trPr>
          <w:trHeight w:val="184"/>
        </w:trPr>
        <w:tc>
          <w:tcPr>
            <w:tcW w:w="4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58.3</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98"/>
        </w:trPr>
        <w:tc>
          <w:tcPr>
            <w:tcW w:w="49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October 31, 2021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3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198,910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Subscription revenues increased $31.2 million for the three months ended October 31, 2022 compared to the three months ended October 31, 2021, due to initial revenues from customers who did not contribute to subscription revenues during the prior period, including customers added as a result of our acquisition of SimpleNexus, and growth from existing customers within and across lines of business. Of the increase, 31.5% was attributable to increased revenues from existing customers as additional seats were activated in accordance with contractual terms and customers expanded their adoption of our solutions, 19.2% was attributable to initial revenues from customers who did not contribute to subscription revenues during the three months ended October 31, 2021, and 49.3% was attributable to revenues from SimpleNexus. Subscription revenues were 83.8% of total revenues for the three months ended October 31, 2022 compared to 81.5% of total revenues for the three months ended October 31, 2021, primarily due to growth in our installed base and SimpleNexus.</w:t>
      </w:r>
    </w:p>
    <w:p>
      <w:pPr>
        <w:spacing w:after="0" w:line="192"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Subscription revenues increased $89.9 million for the nine months ended October 31, 2022 compared to the nine months ended October 31, 2021, due to initial revenues from customers who did not contribute to subscription revenues during the prior period, including customers added as a result of our acquisition of SimpleNexus, and growth from existing customers within and across lines of business. Of the increase, 36.9% was attributable to increased revenues from existing customers as additional seats were activated in accordance with contractual terms and customers expanded their adoption of our solutions, 14.2% was attributable to initial revenues from customers who did not contribute to subscription revenues during the nine months ended October 31, 2021, and 48.9% was attributable to revenues from SimpleNexus. Subscription revenues were 84.2% of total revenues for the nine months ended October 31, 2022 compared to 81.5% of total revenues for the nine months ended October 31, 2021, primarily due to growth in our installed base and SimpleNexus.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$4.1 million for the three months ended October 31, 2022 compared to the three months ended October 31, 2021, primarily due to the addition of new customers as well as expanded adoption by existing customers within and across lines of business where implementation, configuration, and training services were required. 38.0% of the increase was attributable to revenues from SimpleNexus.</w:t>
      </w:r>
    </w:p>
    <w:p>
      <w:pPr>
        <w:spacing w:after="0" w:line="176"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$10.4 million for the nine months ended October 31, 2022 compared to the nine months ended October 31, 2021, primarily due to the addition of new customers as well as expanded adoption by existing customers within and across lines of business where implementation, configuration, and training services were required. 41.2% of the increase was attributable to revenues from SimpleNexus.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4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46,007</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3"/>
        </w:trPr>
        <w:tc>
          <w:tcPr>
            <w:tcW w:w="3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4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80,128</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124,679</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118,782</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Cost of subscription revenues increased $11.1 million for the three months ended October 31, 2022 compared to the three months ended October 31, 2021, generating a gross margin for subscription revenues of 69.6% compared to a gross margin of 72.4% for the three months ended October 31, 2021. The decrease in gross margin percentage is primarily due to an increase of $3.9 million in amortization expense for acquired developed technology related to the acquisition of SimpleNexus. Costs related to Salesforce user fees increased $3.1 million as we continued to add new customers and sell additional functionality to existing customers and other costs of subscription revenues increased $2.6 million due to costs associated with access to other platforms and data center costs. Personnel costs, including stock-based compensation expense, increased $1.3 million as we added new employees, including headcount from the acquisition of SimpleNexus. The increase in cost of subscription revenues also included an increase of $0.2 million in allocated overhead costs due to growth supporting our continued business expansion. We expect the cost of subscription revenues will continue to increase in absolute dollars as the number of users of the nCino Bank Operating System grows.</w:t>
      </w:r>
    </w:p>
    <w:p>
      <w:pPr>
        <w:spacing w:after="0" w:line="188"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Cost of subscription revenues increased $32.5 million for the nine months ended October 31, 2022 compared to the nine months ended October 31, 2021, generating a gross margin for subscription revenues of 68.8% compared to a gross margin of 71.6% for the nine months ended October 31, 2021. The decrease in gross margin percentage is primarily due to an increase of $11.6 million in amortization expense for acquired developed technology related to the acquisition of SimpleNexus. Costs related to Salesforce user fees increased $8.6 million as we continued to add new customers and sell additional functionality to existing customers and other costs of subscription revenues increased $7.9 million due to costs associated with access to other platforms and data center costs. Personnel costs, including stock-based compensation expense, increased $3.5 million as we added new employees, including headcount from the acquisition of SimpleNexus. The increase in cost of subscription revenues also included an increase of $0.6 million in allocated overhead costs due to growth supporting our continued business expansion. We expect the cost of subscription revenues will continue to increase in absolute dollars as the number of users of the nCino Bank Operating System grows.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$4.8 million for the three months ended October 31, 2022 compared to the three months ended October 31, 2021, generating a gross margin for professional services and other revenues of 4.1% compared to a gross margin of 11.2% for the three months ended October 31, 2021. For the three months ended October 31, 2022, personnel costs, including stock-based compensation expense, increased $4.0 million for professional services compared to the three months ended October 31, 2021, due to increased headcount, including headcount from the acquisition of SimpleNexus. The increase in cost of professional services and other revenues also included an increase of $0.5 million in allocated overhead costs due to growth supporting our business, an increase of $0.3 million in travel-related costs, and a $0.1 million increase in reimbursable travel and related expenses for the professional service organization. The decrease in our professional services and other gross margin for the three months ended October 31, 2022 was primarily due to a decline in realized effective billing and utilization rates in our professional services teams.</w:t>
      </w:r>
    </w:p>
    <w:p>
      <w:pPr>
        <w:spacing w:after="0" w:line="192"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$12.1 million for the nine months ended October 31, 2022 compared to the nine months ended October 31, 2021, generating a gross margin for professional services and other revenues of 2.2% compared to a gross margin of 7.4% for the nine months ended October 31, 2021. For the nine months ended October 31, 2022, personnel costs, including stock-based compensation expense, increased $10.1 million for professional services compared to the nine months ended October 31, 2021, due to increased headcount, including headcount from the acquisition of SimpleNexus. The increase in cost of professional services and other revenues also included an increase of $0.9</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million in allocated overhead costs due to growth supporting our business, an increase of $0.7 million in travel-related costs, and a $0.3 million increase in reimbursable travel and related expenses for the professional service organization. The decrease in our professional services and other gross margin for the nine months ended October 31, 2022 was primarily due to a decline in realized effective billing and utilization rates in our professional services teams.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8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29.3 %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14,964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18,690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55,506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80,584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3"/>
        </w:trPr>
        <w:tc>
          <w:tcPr>
            <w:tcW w:w="3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(20.8)%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(23.6)%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$11.8 million for the three months ended October 31, 2022 compared to the three months ended October 31, 2021, primarily due to an increase of $7.3 million in personnel costs, including stock-based compensation expense, resulting mainly from an increase in headcount on the sales and marketing teams, including headcount from the acquisition of SimpleNexus. Amortization expense for acquired customer relationships and trade name increased $2.4 million related to the acquisition of SimpleNexus. The increase in sales and marketing expenses also included an increase of $1.0 million in sales-related travel costs, an increase of $0.7 million in allocated overhead costs, and an increase of $0.3 million in marketing costs primarily attributable to in-person conferences.</w:t>
      </w:r>
    </w:p>
    <w:p>
      <w:pPr>
        <w:spacing w:after="0" w:line="187" w:lineRule="exact"/>
        <w:rPr>
          <w:sz w:val="20"/>
          <w:szCs w:val="20"/>
          <w:color w:val="auto"/>
        </w:rPr>
      </w:pPr>
    </w:p>
    <w:p>
      <w:pPr>
        <w:ind w:right="120" w:firstLine="891"/>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$36.0 million for the nine months ended October 31, 2022 compared to the nine months ended October 31, 2021, primarily due to an increase of $20.2 million in personnel costs, including stock-based compensation expense, resulting mainly from an increase in headcount on the sales and marketing teams, including headcount from the acquisition of SimpleNexus. This increase was partially offset by a decrease in expatriate tax equalization expenses compared to the nine months ended October 31, 2021. Amortization expense for acquired customer relationships and trade name increased $7.1 million related to the acquisition of SimpleNexus. The increase in sales and marketing expenses also included an increase of $3.6 million in sales-related travel costs, an increase of $3.1 million in marketing costs primarily attributable to in-person conferences, and an increase of $2.0 million in allocated overhead costs.</w:t>
      </w:r>
    </w:p>
    <w:p>
      <w:pPr>
        <w:spacing w:after="0" w:line="18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Our sales and marketing headcount grew by 123 from October 31, 2021 to October 31, 2022. Our acquisition of SimpleNexus contributed to this increase in headcount. We expect sales and marketing expenses to decrease as a percentage of revenues as we leverage the investments we have made to date.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$9.5 million for the three months ended October 31, 2022 compared to the three months ended October 31, 2021, primarily due to an increase of $9.5 million in personnel costs, including stock-based compensation expense, resulting mainly from an increase in headcount, including headcount from the acquisition of SimpleNexus. The increase in research and development expenses also included an increase of $0.8 million in allocated overhead costs due to growth supporting our continued business expansion and an increase of $0.3 million in travel-related costs, partially offset by a $1.1 million decrease in third-party professional fees primarily attributable to contract research and development spend.</w:t>
      </w:r>
    </w:p>
    <w:p>
      <w:pPr>
        <w:spacing w:after="0" w:line="183"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$32.3 million for the nine months ended October 31, 2022 compared to the nine months ended October 31, 2021, primarily due to an increase of $31.3 million in personnel costs, including stock-based compensation expense, resulting mainly from a continued increase in headcount, including headcount from the acquisition of SimpleNexus. The increase in research and development expenses also included an increase of $2.8 million in allocated overhead costs due to growth supporting our continued business expansion and an increase of $0.9 million in travel-related costs, partially offset by a $2.7 million decrease in third-party professional fees primarily attributable to contract research and development spend.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20" w:firstLine="891"/>
        <w:spacing w:after="0" w:line="266" w:lineRule="auto"/>
        <w:rPr>
          <w:sz w:val="20"/>
          <w:szCs w:val="20"/>
          <w:color w:val="auto"/>
        </w:rPr>
      </w:pPr>
      <w:r>
        <w:rPr>
          <w:rFonts w:ascii="Times New Roman" w:cs="Times New Roman" w:eastAsia="Times New Roman" w:hAnsi="Times New Roman"/>
          <w:sz w:val="18"/>
          <w:szCs w:val="18"/>
          <w:color w:val="auto"/>
        </w:rPr>
        <w:t>Our research and development headcount grew by 182 from October 31, 2021 to October 31, 2022. Our acquisition of SimpleNexus contributed to this increase in headcount. We expect research and development expenses to decrease as a percentage of revenues as we leverage the investments we have made to date.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$3.7 million for the three months ended October 31, 2022 compared to the three months ended October 31, 2021, primarily due to an increase of $4.5 million in personnel costs, including stock-based compensation expense, from additional headcount as we continued to scale our business, including headcount from the acquisition of SimpleNexus. The increase in general and administrative spend also included an increase of $0.3 million in allocated overhead and other general and administrative costs and an increase of $0.1 million in travel-related costs. Third party professional fees decreased $1.2 million for the three months ended October 31, 2022 compared to the three months ended October 31, 2021, mostly attributable to a decrease in third party professional fees and expenses related to the government antitrust investigation and related civil action disclosed in Note 14 "Commitments and Contingencies" of Part I, Item I of this Quarterly Report on Form 10-Q (the "Antitrust Matters") and acquisition costs, partially offset by an increase in fees and expenses related to other professional fees.</w:t>
      </w:r>
    </w:p>
    <w:p>
      <w:pPr>
        <w:spacing w:after="0" w:line="192"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$16.6 million for the nine months ended October 31, 2022 compared to the nine months ended October 31, 2021, primarily due to an increase of $15.9 million in personnel costs, including stock-based compensation expense, from additional headcount as we continued to scale our business, including headcount from the acquisition of SimpleNexus. The increase in general and administrative spend also included an increase of $2.0 million in allocated overhead and other general and administrative costs and an increase of $0.5 million in travel-related costs. Third party professional fees decreased $1.7 million for the nine months ended October 31, 2022 compared to the nine months ended October 31, 2021, mostly attributable to a decrease in third party professional fees and expenses related to the Antitrust Matters, partially offset by an increase in fees and expenses related to acquisition costs and other professional fees.</w:t>
      </w:r>
    </w:p>
    <w:p>
      <w:pPr>
        <w:spacing w:after="0" w:line="18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Our general and administrative headcount grew by 47 from October 31, 2021 to October 31, 2022. Our acquisition of SimpleNexus contributed to this increase in headcount. We expect general and administrative expenses to decrease as a percentage of revenues as we leverage the investments we have made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right="177"/>
              <w:spacing w:after="0"/>
              <w:rPr>
                <w:sz w:val="20"/>
                <w:szCs w:val="20"/>
                <w:color w:val="auto"/>
              </w:rPr>
            </w:pPr>
            <w:r>
              <w:rPr>
                <w:rFonts w:ascii="Times New Roman" w:cs="Times New Roman" w:eastAsia="Times New Roman" w:hAnsi="Times New Roman"/>
                <w:sz w:val="18"/>
                <w:szCs w:val="18"/>
                <w:color w:val="auto"/>
                <w:w w:val="96"/>
              </w:rPr>
              <w:t>173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(379)</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(580)</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right="197"/>
              <w:spacing w:after="0"/>
              <w:rPr>
                <w:sz w:val="20"/>
                <w:szCs w:val="20"/>
                <w:color w:val="auto"/>
              </w:rPr>
            </w:pPr>
            <w:r>
              <w:rPr>
                <w:rFonts w:ascii="Times New Roman" w:cs="Times New Roman" w:eastAsia="Times New Roman" w:hAnsi="Times New Roman"/>
                <w:sz w:val="18"/>
                <w:szCs w:val="18"/>
                <w:color w:val="auto"/>
              </w:rPr>
              <w:t>(977)</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(1,849)</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(255)</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(2,911)</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8"/>
                <w:szCs w:val="18"/>
                <w:color w:val="auto"/>
              </w:rPr>
              <w:t>(325)</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(5,498)</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Interest expense increased $0.2 million for the three months ended October 31, 2022 compared to the three months ended October 31, 2021, primarily due to a larger balance on our financing obligations for leases for which we are considered the owners for accounting purposes. The increase of $2.7 million in other income (expense), net for the three months ended October 31, 2022 compared to the three months ended October 31, 2021 was primarily driven by intercompany loans that are denominated in currencies other than the underlying functional currency of the applicable entity.</w:t>
      </w:r>
    </w:p>
    <w:p>
      <w:pPr>
        <w:spacing w:after="0" w:line="180"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Interest expense increased $0.9 million for the nine months ended October 31, 2022 compared to the nine months ended October 31, 2021, primarily due to a larger balance on our financing obligations for leases for which we are considered the owners for accounting purposes, and also due to expenses associated with a credit agreement for a senior secured revolving credit facility of up to $50.0 million we entered into on February 11, 2022 (the "Credit Facility") that did not occur in the prior comparative year to date. The increase of $5.2 million in other income (expense), net for the nine months ended October 31, 2022 compared to the nine months ended October 31, 2021 was primarily driven by intercompany loans that are denominated in currencies other than the underlying functional currency of the applicable entity.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0" w:type="dxa"/>
            <w:vAlign w:val="bottom"/>
            <w:gridSpan w:val="5"/>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356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797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Income tax provision was $0.8 million for the three months ended October 31, 2022 compared to a provision of $0.4 million for the three months ended October 31, 2021, and resulted in an effective tax rate of (3.6)% and (2.7)%, respectively.</w:t>
      </w:r>
    </w:p>
    <w:p>
      <w:pPr>
        <w:spacing w:after="0" w:line="162"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Income tax provision was $2.2 million for the nine months ended October 31, 2022 compared to a provision of $1.0 million for the nine months ended October 31, 2021, and resulted in an effective tax rate of (2.8)% compared to (2.4)%, respectively.</w:t>
      </w:r>
    </w:p>
    <w:p>
      <w:pPr>
        <w:spacing w:after="0" w:line="162" w:lineRule="exact"/>
        <w:rPr>
          <w:sz w:val="20"/>
          <w:szCs w:val="20"/>
          <w:color w:val="auto"/>
        </w:rPr>
      </w:pPr>
    </w:p>
    <w:p>
      <w:pPr>
        <w:ind w:right="440" w:firstLine="891"/>
        <w:spacing w:after="0" w:line="282" w:lineRule="auto"/>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most jurisdictions, including the U.S. It is determined by management when a valuation allowance should be recorded, utilizing significant judgement and the use of estimates.</w:t>
      </w:r>
    </w:p>
    <w:p>
      <w:pPr>
        <w:spacing w:after="0" w:line="162"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Beginning with the nine months ended October 31, 2022, we have adopted, as required, Internal Revenue Code Section 174, as amended by the Tax Cuts and Jobs Act of 2017. For U.S. income tax purposes, the option to deduct research and development expenditures is no longer available and thus requires us to capitalize and amortize these expenditures over either a five- or fifteen-year period. This will result in the repartition of our deferred tax asset balances from net operating losses and tax credit carryforwards to non-tax attribute deferred tax balances. In addition, this could reduce our operating cash flows in future periods through cash remittances of U.S. federal and state income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COVID-19</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COVID-19 began affecting our business in our first quarter of fiscal 2021. At present, we do not see COVID-19 affecting customers’ decision making, such as delaying purchase decisions or cancellations, nor are we seeing COVID-19 having a material impact on the decision making of the vendors and third-party service providers we rely on.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Factors—Uncertain or weakened economic conditions, including as a result of COVID-19, may adversely affect our industry, business, and results of operations," included in our Annual Report on Form 10-K for the fiscal year ended January 31, 2022 filed with the SEC on March 31, 2022.</w:t>
      </w:r>
    </w:p>
    <w:p>
      <w:pPr>
        <w:spacing w:after="0" w:line="190" w:lineRule="exact"/>
        <w:rPr>
          <w:sz w:val="20"/>
          <w:szCs w:val="20"/>
          <w:color w:val="auto"/>
        </w:rPr>
      </w:pPr>
    </w:p>
    <w:p>
      <w:pPr>
        <w:ind w:right="320" w:firstLine="891"/>
        <w:spacing w:after="0" w:line="282" w:lineRule="auto"/>
        <w:rPr>
          <w:sz w:val="20"/>
          <w:szCs w:val="20"/>
          <w:color w:val="auto"/>
        </w:rPr>
      </w:pPr>
      <w:r>
        <w:rPr>
          <w:rFonts w:ascii="Times New Roman" w:cs="Times New Roman" w:eastAsia="Times New Roman" w:hAnsi="Times New Roman"/>
          <w:sz w:val="18"/>
          <w:szCs w:val="18"/>
          <w:color w:val="auto"/>
        </w:rPr>
        <w:t>Beginning in January 2023, nCino will implement an "in-person first" working environment at the Company's headquarters in Wilmington, N.C., in which we expect full-time employees within Wilmington to return to the office on a full-time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(loss), as discussed below.</w:t>
      </w:r>
    </w:p>
    <w:p>
      <w:pPr>
        <w:spacing w:after="0" w:line="178"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(loss). </w:t>
      </w:r>
      <w:r>
        <w:rPr>
          <w:rFonts w:ascii="Times New Roman" w:cs="Times New Roman" w:eastAsia="Times New Roman" w:hAnsi="Times New Roman"/>
          <w:sz w:val="18"/>
          <w:szCs w:val="18"/>
          <w:color w:val="auto"/>
        </w:rPr>
        <w:t>Non-GAAP operating income (loss) is defined as loss from operations as reported in our unaudited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statements of operations excluding the impact of amortization of intangible assets, stock-based compensation expense, acquisition-related expenses, and expenses related to the Antitrust Matters. Non-GAAP operating income (loss) is widely used by securities analysts, investors, and other interested parties to evaluate the profitability of companies. Non-GAAP operating income (loss) eliminates potential differences in performance caused by variations in the extent to which intangible assets are identifiable (affecting relative amortization expense). We do not believe acquisition-related expenses and fees and expenses related to the Antitrust Matters are indicative of the Company's ongoing operating performance and hinder comparability with prior and future performance.</w:t>
      </w:r>
    </w:p>
    <w:p>
      <w:pPr>
        <w:spacing w:after="0" w:line="18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(loss) to loss from operations, the most directly comparable financial measure, calculated and presented in accordance with GAAP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Fees and expenses related to the Antitrust Matters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2022, we had $106.5 million in cash and cash equivalents, and an accumulated deficit of $288.8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76" w:lineRule="exact"/>
        <w:rPr>
          <w:sz w:val="20"/>
          <w:szCs w:val="20"/>
          <w:color w:val="auto"/>
        </w:rPr>
      </w:pPr>
    </w:p>
    <w:p>
      <w:pPr>
        <w:ind w:right="100" w:firstLine="891"/>
        <w:spacing w:after="0" w:line="253"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and operating cash flows. Beginning in the three months ended April 30, 2022 and again during the three months ended October 31, 2022, we supplemented our liquidity with our revolving line of credit.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used a majority of the proceeds from our initial public offering in July 2020, which were in our cash and cash equivalents on the balance sheet, to consummate the acquisition of SimpleNexus in January 2022.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On February 11, 2022, we entered into the Credit Facility of up to $50.0 million. We borrowed and repaid $20.0 million under the Credit Facility during the three months ended April 30, 2022 and borrowed $30.0 million during the three months ended October 31, 2022. As of October 31, 2022, the Company had $30.0 million outstanding and no letters of credit issued under the Credit Facility and was in compliance with all covenants. See Note 13 "Revolving Credit Facility" of Part I, Item I of this Quarterly Report on Form 10-Q for more information.</w:t>
      </w:r>
    </w:p>
    <w:p>
      <w:pPr>
        <w:spacing w:after="0" w:line="180"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investments in office facilities and other capital expenditure requirements, and any potential future acquisitions. We expect capital expenditures will be appreciably higher in absolute dollars in fiscal 2023 for planned office build-outs compared to prior fiscal years to accommodate our growth, which we estimate to be approximately $4.3 million remaining to complete at October 31, 2022 for fiscal 2023.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73" w:lineRule="auto"/>
        <w:rPr>
          <w:sz w:val="20"/>
          <w:szCs w:val="20"/>
          <w:color w:val="auto"/>
        </w:rPr>
      </w:pPr>
      <w:r>
        <w:rPr>
          <w:rFonts w:ascii="Times New Roman" w:cs="Times New Roman" w:eastAsia="Times New Roman" w:hAnsi="Times New Roman"/>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2022 and October 31, 2022, the redeemable non-controlling interest was $2.9 million and $4.1 million, respectively.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part of our joint venture obligations, we may be required to make an additional cash capital contribution of up to $5.0 million to nCino K.K.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course of the current fiscal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nine months ended October 31, 2021 and 2022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$6.6 million provided by operating activities in the nine months ended October 31, 2022 reflects our net loss of $80.1 million, offset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$79.5 million in non-cash charges and $7.2 million generated by changes in working capital accounts. Non-cash charges primarily consisted of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depreciation and amortization, amortization of costs capitalized to obtain revenue contracts, foreign currency losses related to intercompany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transactions, and non-cash operating lease costs. Cash generated by working capital accounts was principally a function of a $32.5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accounts receivable due to collections from customers. The cash generated by working capital accounts was partially offset by a $9.2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 payments of $8.0 million of capitalized costs to obtain revenue contracts, which consisted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of sales commissions, a $3.0 million decrease in operating lease liabilities, a $2.9 million decrease in deferred revenue, a $1.7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 $0.4 million increase in prepaid expenses and other assets.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The $1.8 million provided by operating activities in the nine months ended October 31, 2021 reflects our net loss of $43.5 million, offset by $33.3 million in non-cash charges and $12.0 million generated by changes in working capital accounts. Non-cash charges primarily consisted of stock-based compensation, depreciation and amortization, amortization of costs capitalized to obtain revenue contracts, and non-cash operating lease costs. Cash generated by working capital accounts was principally a function of a $21.6 million decrease in accounts receivable due to collections from customers and a $4.7 million increase in accounts payable. The cash generated by working capital accounts was partially offset by payments of $5.8 million of capitalized costs to obtain revenue contracts, which consisted primarily of sales commissions, a $3.2 million decrease in deferred revenue, a $2.0 million decrease in accrued expenses and other current liabilities, a $1.9 million decrease in operating lease liabilities, and a $1.4 million increase in prepaid expenses and other assets.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The $13.8 million used in investing activities in the nine months ended October 31, 2022 was comprised of $13.9 million for the purchase of property and equipment and leasehold improvements to support the expansion of our business and $0.6 million for an asset acquisition completed in August 2022. The cash used in investing activities was partially offset by $0.7 million received for a net working capital adjustment from our SimpleNexus acquisition. We used $3.6 million in investing activities in the nine months ended October 31, 2021 for the purchase of property and equipment and leasehold improvements to support the expansion of our business.</w:t>
      </w:r>
    </w:p>
    <w:p>
      <w:pPr>
        <w:spacing w:after="0" w:line="183"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On November 1, 2022 we used $2.5 million for the purchase of preferred stock in Zest AI. See Note 17 "Subsequent Events" of Part I, Item I of this Quarterly Report on Form 10-Q for more information.</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$34.6 million provided by financing activities in the nine months ended October 31, 2022 was comprised principally of $50.0 million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borrowings on the Credit Facility to expand our liquidity, $3.0 million of proceeds from the exercise of stock options, and $2.4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stock issuances under the employee stock purchase plan. The cash provided by financing activities was partially reduced by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on the Credit Facility, principal payments of $0.5 million on financing obligations, and payments of debt issuance costs of $0.4 million.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million provided by financing activities in the nine months ended October 31, 2021 was comprised principally of $12.6 million of proceeds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stock options, partially reduced by principal payments of $0.2 million on the financing obligation.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12 "Leases," Note 13 "Revolving Credit Facility," Note 14 "Commitments and Contingencies," and Note 17 "Subsequent Events" of the notes to our unaudited condensed consolidated financial statements included in Part 1, Item 1 of this Quarterly Report on Form 10-Q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4" w:lineRule="exact"/>
        <w:rPr>
          <w:sz w:val="20"/>
          <w:szCs w:val="20"/>
          <w:color w:val="auto"/>
        </w:rPr>
      </w:pPr>
    </w:p>
    <w:p>
      <w:pPr>
        <w:ind w:firstLine="891"/>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2022 filed with the SEC on March 31, 2022.</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At October 31, 2022, we had cash, cash equivalents and restricted cash of $111.8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October 31, 2022, we had $30.0 million outstanding under the Credit Facility. We are exposed to the risk of increasing interest rates as the Credit Facility is at a variable interest rate. As of October 31, 2022, the applicable interest rate was approximately 4.15%. A hypothetical 100 basis point change in interest rates would not have had a material impact on our financial results included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October 31, 2022, the last day of the period covered by this Quarterly Report on Form 10-Q. Based on this evaluation, our Chief Executive Officer and Chief Financial Officer have concluded that, at October 31, 2022, our disclosure controls and procedures were effective at the reasonable assurance level.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See Note 14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2022 filed with the SEC on March 31, 2022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4280" w:type="dxa"/>
            <w:vAlign w:val="bottom"/>
            <w:gridSpan w:val="1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tcBorders>
              <w:bottom w:val="single" w:sz="8" w:color="auto"/>
            </w:tcBorders>
            <w:gridSpan w:val="13"/>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3720" w:type="dxa"/>
            <w:vAlign w:val="bottom"/>
            <w:tcBorders>
              <w:bottom w:val="single" w:sz="8" w:color="0000FF"/>
            </w:tcBorders>
            <w:gridSpan w:val="6"/>
          </w:tcPr>
          <w:p>
            <w:pPr>
              <w:spacing w:after="0" w:line="188"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Certificate of Incorporation</w:t>
              </w:r>
            </w:hyperlink>
          </w:p>
        </w:tc>
        <w:tc>
          <w:tcPr>
            <w:tcW w:w="560" w:type="dxa"/>
            <w:vAlign w:val="bottom"/>
            <w:gridSpan w:val="7"/>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8-K12B</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January 10, 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Amended and Restated Bylaws</w:t>
              </w:r>
            </w:hyperlink>
          </w:p>
        </w:tc>
        <w:tc>
          <w:tcPr>
            <w:tcW w:w="202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New Building Completion Notice</w:t>
            </w:r>
          </w:p>
        </w:tc>
        <w:tc>
          <w:tcPr>
            <w:tcW w:w="1840" w:type="dxa"/>
            <w:vAlign w:val="bottom"/>
            <w:gridSpan w:val="11"/>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0"/>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hanging="95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601(b)(10)(iv) of Regulation S-K.</w:t>
      </w:r>
    </w:p>
    <w:p>
      <w:pPr>
        <w:spacing w:after="0" w:line="27" w:lineRule="exact"/>
        <w:rPr>
          <w:sz w:val="20"/>
          <w:szCs w:val="20"/>
          <w:color w:val="auto"/>
        </w:rPr>
      </w:pPr>
    </w:p>
    <w:p>
      <w:pPr>
        <w:ind w:left="980" w:right="300" w:hanging="954"/>
        <w:spacing w:after="0" w:line="22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November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Pierre Naudé</w:t>
      </w:r>
    </w:p>
    <w:p>
      <w:pPr>
        <w:ind w:left="6880"/>
        <w:spacing w:after="0" w:line="219" w:lineRule="auto"/>
        <w:rPr>
          <w:sz w:val="20"/>
          <w:szCs w:val="20"/>
          <w:color w:val="auto"/>
        </w:rPr>
      </w:pPr>
      <w:r>
        <w:rPr>
          <w:rFonts w:ascii="Times New Roman" w:cs="Times New Roman" w:eastAsia="Times New Roman" w:hAnsi="Times New Roman"/>
          <w:sz w:val="18"/>
          <w:szCs w:val="18"/>
          <w:color w:val="auto"/>
        </w:rPr>
        <w:t>Chairman and Chief Executive Officer; Director</w:t>
      </w: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November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David Rudow</w:t>
      </w:r>
    </w:p>
    <w:p>
      <w:pPr>
        <w:ind w:left="6880"/>
        <w:spacing w:after="0" w:line="219" w:lineRule="auto"/>
        <w:rPr>
          <w:sz w:val="20"/>
          <w:szCs w:val="20"/>
          <w:color w:val="auto"/>
        </w:rPr>
      </w:pPr>
      <w:r>
        <w:rPr>
          <w:rFonts w:ascii="Times New Roman" w:cs="Times New Roman" w:eastAsia="Times New Roman" w:hAnsi="Times New Roman"/>
          <w:sz w:val="18"/>
          <w:szCs w:val="18"/>
          <w:color w:val="auto"/>
        </w:rPr>
        <w:t>Chief Financial Officer and Treasurer</w:t>
      </w:r>
    </w:p>
    <w:p>
      <w:pPr>
        <w:ind w:left="6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420"/>
          </w:cols>
          <w:pgMar w:left="320" w:top="121" w:right="11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20" w:lineRule="exact"/>
        <w:rPr>
          <w:sz w:val="20"/>
          <w:szCs w:val="20"/>
          <w:color w:val="auto"/>
        </w:rPr>
      </w:pPr>
    </w:p>
    <w:p>
      <w:pPr>
        <w:ind w:left="300" w:right="40" w:hanging="261"/>
        <w:spacing w:after="0" w:line="300" w:lineRule="auto"/>
        <w:tabs>
          <w:tab w:leader="none" w:pos="282"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Cloud Real Estate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14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Pierre Naudé &amp; Katie Smith, nCino, Inc.</w:t>
      </w:r>
    </w:p>
    <w:p>
      <w:pPr>
        <w:spacing w:after="0" w:line="17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Notice of New Building Completion Date and New Building Rent Commencement</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New Building received its Temporary Certificate of Occupancy on October 24, 2022, and therefore October 24, 2022 is the New Building Completion Date. Per that Office Lease between Cloud Real Estate Holdings, LLC and nCino, Inc., dated April 5, 2021 (the “Lease”), the Term commenced upon the New Building Completion Date, and the Basic Rent shall be calculated using the following formula: (New Building Project Costs x 7.30%)/rentable square footage of the Building. Each capitalized term that is not otherwise defined in this letter agreement shall be given the meaning assigned to such term in the Lease. Per the Lease, there will also be a one-time Escalation Adjuster charged. The New Building rentable square footage is estimated to measure 90,000. Per the Lease, this measurement shall be made by actual measurements (not based on plans) within thirty (30) days after achievement of the Turnover Condition, or as soon thereafter as is reasonably practicable.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final reconciliation of the New Building Project Costs is scheduled to take place on December 15, 2022. The final measurement of the rentable square footage of the Building will be completed prior to or on this date as well. At this time, Landlord will have the final New Building Project Costs and the accurate rentable square footage and can accurately calculate the Basic Rent and the Escalation Adjuster and can properly allocate the Parking Deck Rent Adjustment between the Lease and the Existing Building Lease, as well as provide Tenant with the Commencement Statement. If agreeable to Tenant, Landlord proposes charging Tenant estimated Basic Rent from October 24, 2022 until December 31, 2022 based on the estimated New Building Project Costs. Landlord will provide Tenant with a final reconciliation prior to December 31, 2022 and will credit any overpaid Basic Rent or charge any underpaid Basic Rent from October 24, 2022 through December 31, 2022 on the January 2023 rent invoice along with the Escalation Adjuster.</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the estimated New Building Project Costs of $22,517,805 and the estimated rentable square footage of 90,000, the estimated New Building Annual Basic Rent would be $1,643,799.76 and the estimated Annual Basic Rent per Rentable Square Foot would be $18.26. Expenses for the New Building are initially estimated to be $7.50 per rentable square foot, which does not include the Permitted Interest expense. The Permitted Interest expense will be calculated once the final Building Loan draw is made and the loan converts from the interest-only construction loan term to the amortizing permanent loan term.</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Tenant’s execution of this letter agreement signifies Tenant’s acceptance of October 24, 2022 as the New Building Completion Date and Tenant’s agreement to accommodate Landlord’s request to pay estimated Basic Rent for the period from October 24, 2022 through December 31, 2022 based on the estimated New Building Project Costs, subject to the reconciliation provided herein and subject further to Tenant’s right to review Landlord’s records related to the calculation of New Building Project Costs as set forth in Section 11 of Exhibit G to the Lease. The parties agree that,</w:t>
      </w:r>
    </w:p>
    <w:p>
      <w:pPr>
        <w:spacing w:after="0" w:line="126" w:lineRule="exact"/>
        <w:rPr>
          <w:sz w:val="20"/>
          <w:szCs w:val="20"/>
          <w:color w:val="auto"/>
        </w:rPr>
      </w:pPr>
    </w:p>
    <w:p>
      <w:pPr>
        <w:ind w:right="20" w:firstLine="8"/>
        <w:spacing w:after="0" w:line="266"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by this letter agreement, all the terms and provisions of the Lease are hereby reaffirmed and remain in full force and effect, and (ii) in the event that there is a conflict between the terms and provisions of the Lease and this letter agreement, the terms and provisions of this letter agreement shall control.</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5"/>
              </w:rPr>
              <w:t>TENANT:</w:t>
            </w:r>
          </w:p>
        </w:tc>
        <w:tc>
          <w:tcPr>
            <w:tcW w:w="3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LANDLORD:</w:t>
            </w: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51"/>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nCino, Inc.</w:t>
            </w:r>
          </w:p>
        </w:tc>
        <w:tc>
          <w:tcPr>
            <w:tcW w:w="132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Cloud Real Estate Holdings, LLC</w:t>
            </w:r>
          </w:p>
        </w:tc>
      </w:tr>
      <w:tr>
        <w:trPr>
          <w:trHeight w:val="258"/>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corporation</w:t>
            </w:r>
          </w:p>
        </w:tc>
        <w:tc>
          <w:tcPr>
            <w:tcW w:w="132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North Carolina limited liability company</w:t>
            </w:r>
          </w:p>
        </w:tc>
      </w:tr>
      <w:tr>
        <w:trPr>
          <w:trHeight w:val="5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 Pierre Naude</w:t>
            </w:r>
          </w:p>
        </w:tc>
        <w:tc>
          <w:tcPr>
            <w:tcW w:w="13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Pierre Naude</w:t>
            </w:r>
          </w:p>
        </w:tc>
        <w:tc>
          <w:tcPr>
            <w:tcW w:w="13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President &amp; CEO</w:t>
            </w:r>
          </w:p>
        </w:tc>
        <w:tc>
          <w:tcPr>
            <w:tcW w:w="13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Manager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270510</wp:posOffset>
            </wp:positionV>
            <wp:extent cx="70808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Cloud Real Estate Holdings</w:t>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1022 Ashes Drive, Suite 201, Wilmington, NC 28405</w:t>
      </w:r>
    </w:p>
    <w:p>
      <w:pPr>
        <w:jc w:val="center"/>
        <w:spacing w:after="0"/>
        <w:rPr>
          <w:sz w:val="20"/>
          <w:szCs w:val="20"/>
          <w:color w:val="auto"/>
        </w:rPr>
      </w:pPr>
      <w:r>
        <w:rPr>
          <w:rFonts w:ascii="Times New Roman" w:cs="Times New Roman" w:eastAsia="Times New Roman" w:hAnsi="Times New Roman"/>
          <w:sz w:val="20"/>
          <w:szCs w:val="20"/>
          <w:color w:val="auto"/>
        </w:rPr>
        <w:t>Ph 910-799-8755 Fax 910-799-8785</w:t>
      </w:r>
    </w:p>
    <w:p>
      <w:pPr>
        <w:sectPr>
          <w:pgSz w:w="11900" w:h="16838" w:orient="portrait"/>
          <w:cols w:equalWidth="0" w:num="1">
            <w:col w:w="11240"/>
          </w:cols>
          <w:pgMar w:left="320" w:top="11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56" w:lineRule="exact"/>
        <w:rPr>
          <w:sz w:val="20"/>
          <w:szCs w:val="20"/>
          <w:color w:val="auto"/>
        </w:rPr>
      </w:pPr>
    </w:p>
    <w:p>
      <w:pPr>
        <w:ind w:left="700" w:hanging="692"/>
        <w:spacing w:after="0"/>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8" w:name="page49"/>
    <w:bookmarkEnd w:id="48"/>
    <w:p>
      <w:pPr>
        <w:ind w:left="652" w:hanging="652"/>
        <w:spacing w:after="0" w:line="261" w:lineRule="auto"/>
        <w:tabs>
          <w:tab w:leader="none" w:pos="65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832" w:val="left"/>
        </w:tabs>
        <w:rPr>
          <w:sz w:val="20"/>
          <w:szCs w:val="20"/>
          <w:color w:val="auto"/>
        </w:rPr>
      </w:pPr>
      <w:r>
        <w:rPr>
          <w:rFonts w:ascii="Times New Roman" w:cs="Times New Roman" w:eastAsia="Times New Roman" w:hAnsi="Times New Roman"/>
          <w:sz w:val="20"/>
          <w:szCs w:val="20"/>
          <w:color w:val="auto"/>
        </w:rPr>
        <w:t>Date: November 30,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40005</wp:posOffset>
            </wp:positionV>
            <wp:extent cx="332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Pierre Naudé</w:t>
      </w:r>
    </w:p>
    <w:p>
      <w:pPr>
        <w:spacing w:after="0" w:line="6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Chairman and Chief Executive Officer; Director</w:t>
      </w:r>
    </w:p>
    <w:p>
      <w:pPr>
        <w:sectPr>
          <w:pgSz w:w="11900" w:h="16838" w:orient="portrait"/>
          <w:cols w:equalWidth="0" w:num="1">
            <w:col w:w="11152"/>
          </w:cols>
          <w:pgMar w:left="328" w:top="1413" w:right="4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Rudow, certify that:</w:t>
      </w:r>
    </w:p>
    <w:p>
      <w:pPr>
        <w:spacing w:after="0" w:line="256" w:lineRule="exact"/>
        <w:rPr>
          <w:sz w:val="20"/>
          <w:szCs w:val="20"/>
          <w:color w:val="auto"/>
        </w:rPr>
      </w:pPr>
    </w:p>
    <w:p>
      <w:pPr>
        <w:ind w:left="700" w:hanging="692"/>
        <w:spacing w:after="0"/>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50" w:name="page51"/>
    <w:bookmarkEnd w:id="50"/>
    <w:p>
      <w:pPr>
        <w:ind w:left="652" w:right="80" w:hanging="652"/>
        <w:spacing w:after="0" w:line="261" w:lineRule="auto"/>
        <w:tabs>
          <w:tab w:leader="none" w:pos="65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30, 2022</w:t>
            </w:r>
          </w:p>
        </w:tc>
        <w:tc>
          <w:tcPr>
            <w:tcW w:w="218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David Rudow</w:t>
            </w:r>
          </w:p>
        </w:tc>
      </w:tr>
      <w:tr>
        <w:trPr>
          <w:trHeight w:val="244"/>
        </w:trPr>
        <w:tc>
          <w:tcPr>
            <w:tcW w:w="3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David Rudow</w:t>
            </w:r>
          </w:p>
        </w:tc>
      </w:tr>
      <w:tr>
        <w:trPr>
          <w:trHeight w:val="258"/>
        </w:trPr>
        <w:tc>
          <w:tcPr>
            <w:tcW w:w="37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 and Treasurer</w:t>
            </w:r>
          </w:p>
        </w:tc>
      </w:tr>
    </w:tbl>
    <w:p>
      <w:pPr>
        <w:sectPr>
          <w:pgSz w:w="11900" w:h="16838" w:orient="portrait"/>
          <w:cols w:equalWidth="0" w:num="1">
            <w:col w:w="11232"/>
          </w:cols>
          <w:pgMar w:left="328" w:top="141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2022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30, 2022</w:t>
            </w:r>
          </w:p>
        </w:tc>
        <w:tc>
          <w:tcPr>
            <w:tcW w:w="2180" w:type="dxa"/>
            <w:vAlign w:val="bottom"/>
          </w:tcPr>
          <w:p>
            <w:pPr>
              <w:ind w:left="164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Pierre Naudé</w:t>
            </w:r>
          </w:p>
        </w:tc>
      </w:tr>
      <w:tr>
        <w:trPr>
          <w:trHeight w:val="244"/>
        </w:trPr>
        <w:tc>
          <w:tcPr>
            <w:tcW w:w="36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Pierre Naudé</w:t>
            </w:r>
          </w:p>
        </w:tc>
      </w:tr>
      <w:tr>
        <w:trPr>
          <w:trHeight w:val="258"/>
        </w:trPr>
        <w:tc>
          <w:tcPr>
            <w:tcW w:w="36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and Chief Executive Officer; Director</w:t>
            </w:r>
          </w:p>
        </w:tc>
      </w:tr>
    </w:tbl>
    <w:p>
      <w:pPr>
        <w:sectPr>
          <w:pgSz w:w="11900" w:h="16838" w:orient="portrait"/>
          <w:cols w:equalWidth="0" w:num="1">
            <w:col w:w="11240"/>
          </w:cols>
          <w:pgMar w:left="320" w:top="14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2022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30, 2022</w:t>
            </w:r>
          </w:p>
        </w:tc>
        <w:tc>
          <w:tcPr>
            <w:tcW w:w="218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David Rudow</w:t>
            </w:r>
          </w:p>
        </w:tc>
      </w:tr>
      <w:tr>
        <w:trPr>
          <w:trHeight w:val="244"/>
        </w:trPr>
        <w:tc>
          <w:tcPr>
            <w:tcW w:w="37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David Rudow</w:t>
            </w:r>
          </w:p>
        </w:tc>
      </w:tr>
      <w:tr>
        <w:trPr>
          <w:trHeight w:val="258"/>
        </w:trPr>
        <w:tc>
          <w:tcPr>
            <w:tcW w:w="37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5"/>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3" Type="http://schemas.openxmlformats.org/officeDocument/2006/relationships/hyperlink" Target="https://www.sec.gov/Archives/edgar/data/1902733/000119312522005239/d246602dex31.htm" TargetMode="External"/><Relationship Id="rId84" Type="http://schemas.openxmlformats.org/officeDocument/2006/relationships/hyperlink" Target="https://www.sec.gov/Archives/edgar/data/1902733/000190273322000031/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2022-11-30T16:33:50Z</dcterms:created>
  <dcterms:modified xsi:type="dcterms:W3CDTF">2022-11-30T16:33:50Z</dcterms:modified>
</cp:coreProperties>
</file>