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386"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Washington, D.C. 20549</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10-K</w:t>
      </w:r>
    </w:p>
    <w:p>
      <w:pPr>
        <w:spacing w:after="0" w:line="370" w:lineRule="exact"/>
        <w:rPr>
          <w:sz w:val="24"/>
          <w:szCs w:val="24"/>
          <w:color w:val="auto"/>
        </w:rPr>
      </w:pPr>
    </w:p>
    <w:p>
      <w:pPr>
        <w:ind w:left="4340" w:right="1940" w:hanging="2309"/>
        <w:spacing w:after="0" w:line="249" w:lineRule="auto"/>
        <w:tabs>
          <w:tab w:leader="none" w:pos="2296"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January 31, 2021</w:t>
      </w:r>
    </w:p>
    <w:p>
      <w:pPr>
        <w:spacing w:after="0" w:line="1" w:lineRule="exact"/>
        <w:rPr>
          <w:rFonts w:ascii="MS PGothic" w:cs="MS PGothic" w:eastAsia="MS PGothic" w:hAnsi="MS PGothic"/>
          <w:sz w:val="14"/>
          <w:szCs w:val="14"/>
          <w:color w:val="auto"/>
        </w:rPr>
      </w:pPr>
    </w:p>
    <w:p>
      <w:pPr>
        <w:ind w:left="5520"/>
        <w:spacing w:after="0" w:line="237" w:lineRule="auto"/>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ind w:left="4480" w:right="1800" w:hanging="2598"/>
        <w:spacing w:after="0" w:line="244" w:lineRule="auto"/>
        <w:tabs>
          <w:tab w:leader="none" w:pos="2162"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tbl>
      <w:tblPr>
        <w:tblLayout w:type="fixed"/>
        <w:tblInd w:w="62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Commission File Number: 001-39380</w:t>
            </w:r>
          </w:p>
        </w:tc>
        <w:tc>
          <w:tcPr>
            <w:tcW w:w="2620" w:type="dxa"/>
            <w:vAlign w:val="bottom"/>
          </w:tcPr>
          <w:p>
            <w:pPr>
              <w:spacing w:after="0"/>
              <w:rPr>
                <w:sz w:val="19"/>
                <w:szCs w:val="19"/>
                <w:color w:val="auto"/>
              </w:rPr>
            </w:pPr>
          </w:p>
        </w:tc>
      </w:tr>
      <w:tr>
        <w:trPr>
          <w:trHeight w:val="601"/>
        </w:trPr>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30"/>
                <w:szCs w:val="30"/>
                <w:b w:val="1"/>
                <w:bCs w:val="1"/>
                <w:color w:val="auto"/>
                <w:w w:val="93"/>
              </w:rPr>
              <w:t>nCino, Inc.</w:t>
            </w:r>
          </w:p>
        </w:tc>
        <w:tc>
          <w:tcPr>
            <w:tcW w:w="2620" w:type="dxa"/>
            <w:vAlign w:val="bottom"/>
          </w:tcPr>
          <w:p>
            <w:pPr>
              <w:spacing w:after="0"/>
              <w:rPr>
                <w:sz w:val="24"/>
                <w:szCs w:val="24"/>
                <w:color w:val="auto"/>
              </w:rPr>
            </w:pPr>
          </w:p>
        </w:tc>
      </w:tr>
      <w:tr>
        <w:trPr>
          <w:trHeight w:val="180"/>
        </w:trPr>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4"/>
                <w:szCs w:val="14"/>
                <w:i w:val="1"/>
                <w:iCs w:val="1"/>
                <w:color w:val="auto"/>
                <w:w w:val="92"/>
              </w:rPr>
              <w:t>(Exact name of Registrant as specified in its charter)</w:t>
            </w:r>
          </w:p>
        </w:tc>
        <w:tc>
          <w:tcPr>
            <w:tcW w:w="2620" w:type="dxa"/>
            <w:vAlign w:val="bottom"/>
          </w:tcPr>
          <w:p>
            <w:pPr>
              <w:spacing w:after="0"/>
              <w:rPr>
                <w:sz w:val="15"/>
                <w:szCs w:val="15"/>
                <w:color w:val="auto"/>
              </w:rPr>
            </w:pPr>
          </w:p>
        </w:tc>
      </w:tr>
      <w:tr>
        <w:trPr>
          <w:trHeight w:val="232"/>
        </w:trPr>
        <w:tc>
          <w:tcPr>
            <w:tcW w:w="720" w:type="dxa"/>
            <w:vAlign w:val="bottom"/>
          </w:tcPr>
          <w:p>
            <w:pPr>
              <w:spacing w:after="0"/>
              <w:rPr>
                <w:sz w:val="20"/>
                <w:szCs w:val="20"/>
                <w:color w:val="auto"/>
              </w:rPr>
            </w:pPr>
          </w:p>
        </w:tc>
        <w:tc>
          <w:tcPr>
            <w:tcW w:w="220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1"/>
              </w:rPr>
              <w:t>Delaware</w:t>
            </w: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46-4353148</w:t>
            </w:r>
          </w:p>
        </w:tc>
      </w:tr>
      <w:tr>
        <w:trPr>
          <w:trHeight w:val="168"/>
        </w:trPr>
        <w:tc>
          <w:tcPr>
            <w:tcW w:w="2920" w:type="dxa"/>
            <w:vAlign w:val="bottom"/>
            <w:gridSpan w:val="3"/>
          </w:tcPr>
          <w:p>
            <w:pPr>
              <w:jc w:val="center"/>
              <w:ind w:right="420"/>
              <w:spacing w:after="0" w:line="168" w:lineRule="exact"/>
              <w:rPr>
                <w:sz w:val="20"/>
                <w:szCs w:val="20"/>
                <w:color w:val="auto"/>
              </w:rPr>
            </w:pPr>
            <w:r>
              <w:rPr>
                <w:rFonts w:ascii="Arial" w:cs="Arial" w:eastAsia="Arial" w:hAnsi="Arial"/>
                <w:sz w:val="16"/>
                <w:szCs w:val="16"/>
                <w:i w:val="1"/>
                <w:iCs w:val="1"/>
                <w:color w:val="auto"/>
                <w:w w:val="92"/>
              </w:rPr>
              <w:t>(State or other jurisdiction of</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Arial" w:cs="Arial" w:eastAsia="Arial" w:hAnsi="Arial"/>
                <w:sz w:val="16"/>
                <w:szCs w:val="16"/>
                <w:i w:val="1"/>
                <w:iCs w:val="1"/>
                <w:color w:val="auto"/>
                <w:w w:val="90"/>
              </w:rPr>
              <w:t>(I.R.S. Employer</w:t>
            </w:r>
          </w:p>
        </w:tc>
      </w:tr>
      <w:tr>
        <w:trPr>
          <w:trHeight w:val="204"/>
        </w:trPr>
        <w:tc>
          <w:tcPr>
            <w:tcW w:w="2920" w:type="dxa"/>
            <w:vAlign w:val="bottom"/>
            <w:gridSpan w:val="3"/>
          </w:tcPr>
          <w:p>
            <w:pPr>
              <w:jc w:val="center"/>
              <w:ind w:right="420"/>
              <w:spacing w:after="0"/>
              <w:rPr>
                <w:sz w:val="20"/>
                <w:szCs w:val="20"/>
                <w:color w:val="auto"/>
              </w:rPr>
            </w:pPr>
            <w:r>
              <w:rPr>
                <w:rFonts w:ascii="Arial" w:cs="Arial" w:eastAsia="Arial" w:hAnsi="Arial"/>
                <w:sz w:val="16"/>
                <w:szCs w:val="16"/>
                <w:i w:val="1"/>
                <w:iCs w:val="1"/>
                <w:color w:val="auto"/>
                <w:w w:val="95"/>
              </w:rPr>
              <w:t>incorporation or organization)</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i w:val="1"/>
                <w:iCs w:val="1"/>
                <w:color w:val="auto"/>
                <w:w w:val="94"/>
              </w:rPr>
              <w:t>Identification No.)</w:t>
            </w:r>
          </w:p>
        </w:tc>
      </w:tr>
      <w:tr>
        <w:trPr>
          <w:trHeight w:val="204"/>
        </w:trPr>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6770 Parker Farm Drive</w:t>
            </w:r>
          </w:p>
        </w:tc>
        <w:tc>
          <w:tcPr>
            <w:tcW w:w="2620" w:type="dxa"/>
            <w:vAlign w:val="bottom"/>
          </w:tcPr>
          <w:p>
            <w:pPr>
              <w:spacing w:after="0"/>
              <w:rPr>
                <w:sz w:val="17"/>
                <w:szCs w:val="17"/>
                <w:color w:val="auto"/>
              </w:rPr>
            </w:pPr>
          </w:p>
        </w:tc>
      </w:tr>
      <w:tr>
        <w:trPr>
          <w:trHeight w:val="181"/>
        </w:trPr>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520" w:type="dxa"/>
            <w:vAlign w:val="bottom"/>
            <w:gridSpan w:val="3"/>
          </w:tcPr>
          <w:p>
            <w:pPr>
              <w:jc w:val="center"/>
              <w:ind w:right="340"/>
              <w:spacing w:after="0" w:line="181" w:lineRule="exact"/>
              <w:rPr>
                <w:sz w:val="20"/>
                <w:szCs w:val="20"/>
                <w:color w:val="auto"/>
              </w:rPr>
            </w:pPr>
            <w:r>
              <w:rPr>
                <w:rFonts w:ascii="Arial" w:cs="Arial" w:eastAsia="Arial" w:hAnsi="Arial"/>
                <w:sz w:val="16"/>
                <w:szCs w:val="16"/>
                <w:b w:val="1"/>
                <w:bCs w:val="1"/>
                <w:color w:val="auto"/>
                <w:w w:val="92"/>
              </w:rPr>
              <w:t>Wilmington, North Carolina 28405</w:t>
            </w:r>
          </w:p>
        </w:tc>
        <w:tc>
          <w:tcPr>
            <w:tcW w:w="2620" w:type="dxa"/>
            <w:vAlign w:val="bottom"/>
          </w:tcPr>
          <w:p>
            <w:pPr>
              <w:spacing w:after="0"/>
              <w:rPr>
                <w:sz w:val="15"/>
                <w:szCs w:val="15"/>
                <w:color w:val="auto"/>
              </w:rPr>
            </w:pPr>
          </w:p>
        </w:tc>
      </w:tr>
      <w:tr>
        <w:trPr>
          <w:trHeight w:val="180"/>
        </w:trPr>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4"/>
                <w:szCs w:val="14"/>
                <w:i w:val="1"/>
                <w:iCs w:val="1"/>
                <w:color w:val="auto"/>
                <w:w w:val="92"/>
              </w:rPr>
              <w:t>(Address of principal executive offices including zip code)</w:t>
            </w:r>
          </w:p>
        </w:tc>
        <w:tc>
          <w:tcPr>
            <w:tcW w:w="2620" w:type="dxa"/>
            <w:vAlign w:val="bottom"/>
          </w:tcPr>
          <w:p>
            <w:pPr>
              <w:spacing w:after="0"/>
              <w:rPr>
                <w:sz w:val="15"/>
                <w:szCs w:val="15"/>
                <w:color w:val="auto"/>
              </w:rPr>
            </w:pPr>
          </w:p>
        </w:tc>
      </w:tr>
      <w:tr>
        <w:trPr>
          <w:trHeight w:val="485"/>
        </w:trPr>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40" w:type="dxa"/>
            <w:vAlign w:val="bottom"/>
            <w:gridSpan w:val="2"/>
          </w:tcPr>
          <w:p>
            <w:pPr>
              <w:jc w:val="center"/>
              <w:ind w:left="1435"/>
              <w:spacing w:after="0"/>
              <w:rPr>
                <w:sz w:val="20"/>
                <w:szCs w:val="20"/>
                <w:color w:val="auto"/>
              </w:rPr>
            </w:pPr>
            <w:r>
              <w:rPr>
                <w:rFonts w:ascii="Arial" w:cs="Arial" w:eastAsia="Arial" w:hAnsi="Arial"/>
                <w:sz w:val="16"/>
                <w:szCs w:val="16"/>
                <w:b w:val="1"/>
                <w:bCs w:val="1"/>
                <w:color w:val="auto"/>
                <w:w w:val="91"/>
              </w:rPr>
              <w:t>(888) 676-2466</w:t>
            </w:r>
          </w:p>
        </w:tc>
        <w:tc>
          <w:tcPr>
            <w:tcW w:w="18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0"/>
        </w:trPr>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4"/>
                <w:szCs w:val="14"/>
                <w:i w:val="1"/>
                <w:iCs w:val="1"/>
                <w:color w:val="auto"/>
                <w:w w:val="91"/>
              </w:rPr>
              <w:t>(Registrant’s telephone number, including area code)</w:t>
            </w:r>
          </w:p>
        </w:tc>
        <w:tc>
          <w:tcPr>
            <w:tcW w:w="2620" w:type="dxa"/>
            <w:vAlign w:val="bottom"/>
          </w:tcPr>
          <w:p>
            <w:pPr>
              <w:spacing w:after="0"/>
              <w:rPr>
                <w:sz w:val="15"/>
                <w:szCs w:val="15"/>
                <w:color w:val="auto"/>
              </w:rPr>
            </w:pPr>
          </w:p>
        </w:tc>
      </w:tr>
      <w:tr>
        <w:trPr>
          <w:trHeight w:val="465"/>
        </w:trPr>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gridSpan w:val="3"/>
          </w:tcPr>
          <w:p>
            <w:pPr>
              <w:jc w:val="center"/>
              <w:ind w:right="36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2620" w:type="dxa"/>
            <w:vAlign w:val="bottom"/>
          </w:tcPr>
          <w:p>
            <w:pPr>
              <w:spacing w:after="0"/>
              <w:rPr>
                <w:sz w:val="24"/>
                <w:szCs w:val="24"/>
                <w:color w:val="auto"/>
              </w:rPr>
            </w:pPr>
          </w:p>
        </w:tc>
      </w:tr>
      <w:tr>
        <w:trPr>
          <w:trHeight w:val="277"/>
        </w:trPr>
        <w:tc>
          <w:tcPr>
            <w:tcW w:w="720" w:type="dxa"/>
            <w:vAlign w:val="bottom"/>
          </w:tcPr>
          <w:p>
            <w:pPr>
              <w:spacing w:after="0"/>
              <w:rPr>
                <w:sz w:val="24"/>
                <w:szCs w:val="24"/>
                <w:color w:val="auto"/>
              </w:rPr>
            </w:pPr>
          </w:p>
        </w:tc>
        <w:tc>
          <w:tcPr>
            <w:tcW w:w="22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7"/>
              </w:rPr>
              <w:t>Title of each class</w:t>
            </w:r>
          </w:p>
        </w:tc>
        <w:tc>
          <w:tcPr>
            <w:tcW w:w="1520" w:type="dxa"/>
            <w:vAlign w:val="bottom"/>
          </w:tcPr>
          <w:p>
            <w:pPr>
              <w:spacing w:after="0"/>
              <w:rPr>
                <w:sz w:val="24"/>
                <w:szCs w:val="24"/>
                <w:color w:val="auto"/>
              </w:rPr>
            </w:pPr>
          </w:p>
        </w:tc>
        <w:tc>
          <w:tcPr>
            <w:tcW w:w="300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1"/>
              </w:rPr>
              <w:t>Trading Symbol(s)</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5"/>
        </w:trPr>
        <w:tc>
          <w:tcPr>
            <w:tcW w:w="2920" w:type="dxa"/>
            <w:vAlign w:val="bottom"/>
            <w:gridSpan w:val="3"/>
          </w:tcPr>
          <w:p>
            <w:pPr>
              <w:jc w:val="center"/>
              <w:ind w:right="420"/>
              <w:spacing w:after="0"/>
              <w:rPr>
                <w:sz w:val="20"/>
                <w:szCs w:val="20"/>
                <w:color w:val="auto"/>
              </w:rPr>
            </w:pPr>
            <w:r>
              <w:rPr>
                <w:rFonts w:ascii="Arial" w:cs="Arial" w:eastAsia="Arial" w:hAnsi="Arial"/>
                <w:sz w:val="14"/>
                <w:szCs w:val="14"/>
                <w:color w:val="auto"/>
                <w:w w:val="90"/>
              </w:rPr>
              <w:t>Common stock, par value $0.0005 per share</w:t>
            </w:r>
          </w:p>
        </w:tc>
        <w:tc>
          <w:tcPr>
            <w:tcW w:w="1520" w:type="dxa"/>
            <w:vAlign w:val="bottom"/>
          </w:tcPr>
          <w:p>
            <w:pPr>
              <w:spacing w:after="0"/>
              <w:rPr>
                <w:sz w:val="16"/>
                <w:szCs w:val="16"/>
                <w:color w:val="auto"/>
              </w:rPr>
            </w:pPr>
          </w:p>
        </w:tc>
        <w:tc>
          <w:tcPr>
            <w:tcW w:w="3000" w:type="dxa"/>
            <w:vAlign w:val="bottom"/>
            <w:gridSpan w:val="2"/>
          </w:tcPr>
          <w:p>
            <w:pPr>
              <w:jc w:val="center"/>
              <w:ind w:right="1880"/>
              <w:spacing w:after="0"/>
              <w:rPr>
                <w:sz w:val="20"/>
                <w:szCs w:val="20"/>
                <w:color w:val="auto"/>
              </w:rPr>
            </w:pPr>
            <w:r>
              <w:rPr>
                <w:rFonts w:ascii="Arial" w:cs="Arial" w:eastAsia="Arial" w:hAnsi="Arial"/>
                <w:sz w:val="14"/>
                <w:szCs w:val="14"/>
                <w:color w:val="auto"/>
                <w:w w:val="96"/>
              </w:rPr>
              <w:t>NCNO</w:t>
            </w:r>
          </w:p>
        </w:tc>
        <w:tc>
          <w:tcPr>
            <w:tcW w:w="262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200" w:lineRule="exact"/>
        <w:rPr>
          <w:sz w:val="24"/>
          <w:szCs w:val="24"/>
          <w:color w:val="auto"/>
        </w:rPr>
      </w:pPr>
    </w:p>
    <w:p>
      <w:pPr>
        <w:spacing w:after="0" w:line="37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3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p>
    <w:p>
      <w:pPr>
        <w:spacing w:after="0" w:line="25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63" w:lineRule="exact"/>
        <w:rPr>
          <w:sz w:val="24"/>
          <w:szCs w:val="24"/>
          <w:color w:val="auto"/>
        </w:rPr>
      </w:pPr>
    </w:p>
    <w:p>
      <w:pPr>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3" w:lineRule="exact"/>
        <w:rPr>
          <w:sz w:val="24"/>
          <w:szCs w:val="24"/>
          <w:color w:val="auto"/>
        </w:rPr>
      </w:pPr>
    </w:p>
    <w:p>
      <w:pPr>
        <w:ind w:right="18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3" w:lineRule="exact"/>
        <w:rPr>
          <w:sz w:val="24"/>
          <w:szCs w:val="24"/>
          <w:color w:val="auto"/>
        </w:rPr>
      </w:pPr>
    </w:p>
    <w:p>
      <w:pPr>
        <w:ind w:right="520"/>
        <w:spacing w:after="0" w:line="30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6"/>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2"/>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189" w:lineRule="exact"/>
        <w:rPr>
          <w:sz w:val="24"/>
          <w:szCs w:val="24"/>
          <w:color w:val="auto"/>
        </w:rPr>
      </w:pPr>
    </w:p>
    <w:p>
      <w:pPr>
        <w:jc w:val="both"/>
        <w:ind w:right="8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3" w:lineRule="exact"/>
        <w:rPr>
          <w:sz w:val="24"/>
          <w:szCs w:val="24"/>
          <w:color w:val="auto"/>
        </w:rPr>
      </w:pPr>
    </w:p>
    <w:p>
      <w:pPr>
        <w:ind w:right="140"/>
        <w:spacing w:after="0" w:line="28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7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740410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228"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a share of the registrant’s common stock on July 31, 2020, which was the last day of the registrant's most recently completed second fiscal quarter, as reported by The NASDAQ Global Select Market on such date, was $4.1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There were 94,367,482 shares of the registrant's common stock outstanding as of March 26, 2021.</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Portions of the registrant’s Definitive Proxy Statement for the 2021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2021</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7"/>
              </w:rPr>
              <w:t>TABLE OF CONTENTS</w:t>
            </w:r>
          </w:p>
        </w:tc>
        <w:tc>
          <w:tcPr>
            <w:tcW w:w="660" w:type="dxa"/>
            <w:vAlign w:val="bottom"/>
          </w:tcPr>
          <w:p>
            <w:pPr>
              <w:spacing w:after="0"/>
              <w:rPr>
                <w:sz w:val="19"/>
                <w:szCs w:val="19"/>
                <w:color w:val="auto"/>
              </w:rPr>
            </w:pPr>
          </w:p>
        </w:tc>
      </w:tr>
      <w:tr>
        <w:trPr>
          <w:trHeight w:val="393"/>
        </w:trPr>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212"/>
        </w:trPr>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Pr>
          <w:p>
            <w:pPr>
              <w:spacing w:after="0"/>
              <w:rPr>
                <w:sz w:val="18"/>
                <w:szCs w:val="18"/>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Item 1.</w:t>
            </w:r>
          </w:p>
        </w:tc>
        <w:tc>
          <w:tcPr>
            <w:tcW w:w="9060" w:type="dxa"/>
            <w:vAlign w:val="bottom"/>
            <w:gridSpan w:val="21"/>
          </w:tcPr>
          <w:p>
            <w:pPr>
              <w:spacing w:after="0" w:line="188"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660" w:type="dxa"/>
            <w:vAlign w:val="bottom"/>
          </w:tcPr>
          <w:p>
            <w:pPr>
              <w:jc w:val="right"/>
              <w:spacing w:after="0" w:line="188" w:lineRule="exact"/>
              <w:rPr>
                <w:rFonts w:ascii="Arial" w:cs="Arial" w:eastAsia="Arial" w:hAnsi="Arial"/>
                <w:sz w:val="18"/>
                <w:szCs w:val="18"/>
                <w:color w:val="auto"/>
              </w:rPr>
            </w:pPr>
            <w:hyperlink w:anchor="page6">
              <w:r>
                <w:rPr>
                  <w:rFonts w:ascii="Arial" w:cs="Arial" w:eastAsia="Arial" w:hAnsi="Arial"/>
                  <w:sz w:val="18"/>
                  <w:szCs w:val="18"/>
                  <w:color w:val="auto"/>
                </w:rPr>
                <w:t>1</w:t>
              </w:r>
            </w:hyperlink>
          </w:p>
        </w:tc>
      </w:tr>
      <w:tr>
        <w:trPr>
          <w:trHeight w:val="20"/>
        </w:trPr>
        <w:tc>
          <w:tcPr>
            <w:tcW w:w="15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1A.</w:t>
            </w:r>
          </w:p>
        </w:tc>
        <w:tc>
          <w:tcPr>
            <w:tcW w:w="9060" w:type="dxa"/>
            <w:vAlign w:val="bottom"/>
            <w:gridSpan w:val="2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66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10</w:t>
              </w:r>
            </w:hyperlink>
          </w:p>
        </w:tc>
      </w:tr>
      <w:tr>
        <w:trPr>
          <w:trHeight w:val="20"/>
        </w:trPr>
        <w:tc>
          <w:tcPr>
            <w:tcW w:w="1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1B.</w:t>
            </w:r>
          </w:p>
        </w:tc>
        <w:tc>
          <w:tcPr>
            <w:tcW w:w="906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Unresolved Staff Comments</w:t>
              </w:r>
            </w:hyperlink>
          </w:p>
        </w:tc>
        <w:tc>
          <w:tcPr>
            <w:tcW w:w="6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31</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Properties</w:t>
              </w:r>
            </w:hyperlink>
          </w:p>
        </w:tc>
        <w:tc>
          <w:tcPr>
            <w:tcW w:w="1280" w:type="dxa"/>
            <w:vAlign w:val="bottom"/>
            <w:tcBorders>
              <w:top w:val="single" w:sz="8" w:color="0000FF"/>
            </w:tcBorders>
            <w:gridSpan w:val="8"/>
          </w:tcPr>
          <w:p>
            <w:pPr>
              <w:spacing w:after="0"/>
              <w:rPr>
                <w:sz w:val="17"/>
                <w:szCs w:val="17"/>
                <w:color w:val="auto"/>
              </w:rPr>
            </w:pPr>
          </w:p>
        </w:tc>
        <w:tc>
          <w:tcPr>
            <w:tcW w:w="7060" w:type="dxa"/>
            <w:vAlign w:val="bottom"/>
            <w:gridSpan w:val="11"/>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31</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3.</w:t>
            </w:r>
          </w:p>
        </w:tc>
        <w:tc>
          <w:tcPr>
            <w:tcW w:w="906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6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31</w:t>
              </w:r>
            </w:hyperlink>
          </w:p>
        </w:tc>
      </w:tr>
      <w:tr>
        <w:trPr>
          <w:trHeight w:val="20"/>
        </w:trPr>
        <w:tc>
          <w:tcPr>
            <w:tcW w:w="1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4.</w:t>
            </w:r>
          </w:p>
        </w:tc>
        <w:tc>
          <w:tcPr>
            <w:tcW w:w="906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6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32</w:t>
              </w:r>
            </w:hyperlink>
          </w:p>
        </w:tc>
      </w:tr>
      <w:tr>
        <w:trPr>
          <w:trHeight w:val="245"/>
        </w:trPr>
        <w:tc>
          <w:tcPr>
            <w:tcW w:w="15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w w:val="99"/>
              </w:rPr>
              <w:t>PART II</w:t>
            </w:r>
          </w:p>
        </w:tc>
        <w:tc>
          <w:tcPr>
            <w:tcW w:w="660" w:type="dxa"/>
            <w:vAlign w:val="bottom"/>
          </w:tcPr>
          <w:p>
            <w:pPr>
              <w:spacing w:after="0"/>
              <w:rPr>
                <w:sz w:val="21"/>
                <w:szCs w:val="2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Item 5.</w:t>
            </w:r>
          </w:p>
        </w:tc>
        <w:tc>
          <w:tcPr>
            <w:tcW w:w="9060" w:type="dxa"/>
            <w:vAlign w:val="bottom"/>
            <w:gridSpan w:val="21"/>
          </w:tcPr>
          <w:p>
            <w:pPr>
              <w:spacing w:after="0" w:line="188" w:lineRule="exact"/>
              <w:rPr>
                <w:rFonts w:ascii="Arial" w:cs="Arial" w:eastAsia="Arial" w:hAnsi="Arial"/>
                <w:sz w:val="18"/>
                <w:szCs w:val="18"/>
                <w:color w:val="0000FF"/>
                <w:w w:val="97"/>
              </w:rPr>
            </w:pPr>
            <w:hyperlink w:anchor="page37">
              <w:r>
                <w:rPr>
                  <w:rFonts w:ascii="Arial" w:cs="Arial" w:eastAsia="Arial" w:hAnsi="Arial"/>
                  <w:sz w:val="18"/>
                  <w:szCs w:val="18"/>
                  <w:color w:val="0000FF"/>
                  <w:w w:val="97"/>
                </w:rPr>
                <w:t>Market for the Registrant’s Common Equity, Related Stockholder Matters, and Issuer Purchases of Equity Securities</w:t>
              </w:r>
            </w:hyperlink>
          </w:p>
        </w:tc>
        <w:tc>
          <w:tcPr>
            <w:tcW w:w="660" w:type="dxa"/>
            <w:vAlign w:val="bottom"/>
          </w:tcPr>
          <w:p>
            <w:pPr>
              <w:jc w:val="right"/>
              <w:spacing w:after="0" w:line="188" w:lineRule="exact"/>
              <w:rPr>
                <w:rFonts w:ascii="Arial" w:cs="Arial" w:eastAsia="Arial" w:hAnsi="Arial"/>
                <w:sz w:val="18"/>
                <w:szCs w:val="18"/>
                <w:color w:val="auto"/>
              </w:rPr>
            </w:pPr>
            <w:hyperlink w:anchor="page37">
              <w:r>
                <w:rPr>
                  <w:rFonts w:ascii="Arial" w:cs="Arial" w:eastAsia="Arial" w:hAnsi="Arial"/>
                  <w:sz w:val="18"/>
                  <w:szCs w:val="18"/>
                  <w:color w:val="auto"/>
                </w:rPr>
                <w:t>32</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Selected Financial Data</w:t>
              </w:r>
            </w:hyperlink>
          </w:p>
        </w:tc>
        <w:tc>
          <w:tcPr>
            <w:tcW w:w="6560" w:type="dxa"/>
            <w:vAlign w:val="bottom"/>
            <w:tcBorders>
              <w:top w:val="single" w:sz="8" w:color="0000FF"/>
            </w:tcBorders>
            <w:gridSpan w:val="13"/>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34</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7.</w:t>
            </w:r>
          </w:p>
        </w:tc>
        <w:tc>
          <w:tcPr>
            <w:tcW w:w="63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Management’s Discussion and Analysis of Financial Condition and Results of Operations</w:t>
              </w:r>
            </w:hyperlink>
          </w:p>
        </w:tc>
        <w:tc>
          <w:tcPr>
            <w:tcW w:w="2700" w:type="dxa"/>
            <w:vAlign w:val="bottom"/>
            <w:gridSpan w:val="4"/>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36</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7A.</w:t>
            </w:r>
          </w:p>
        </w:tc>
        <w:tc>
          <w:tcPr>
            <w:tcW w:w="9060" w:type="dxa"/>
            <w:vAlign w:val="bottom"/>
            <w:gridSpan w:val="21"/>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55</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8.</w:t>
            </w:r>
          </w:p>
        </w:tc>
        <w:tc>
          <w:tcPr>
            <w:tcW w:w="32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7"/>
              </w:rPr>
            </w:pPr>
            <w:hyperlink w:anchor="page60">
              <w:r>
                <w:rPr>
                  <w:rFonts w:ascii="Arial" w:cs="Arial" w:eastAsia="Arial" w:hAnsi="Arial"/>
                  <w:sz w:val="18"/>
                  <w:szCs w:val="18"/>
                  <w:color w:val="0000FF"/>
                  <w:w w:val="87"/>
                </w:rPr>
                <w:t>Financial Statements and Supplementary Data</w:t>
              </w:r>
            </w:hyperlink>
          </w:p>
        </w:tc>
        <w:tc>
          <w:tcPr>
            <w:tcW w:w="1000" w:type="dxa"/>
            <w:vAlign w:val="bottom"/>
            <w:tcBorders>
              <w:top w:val="single" w:sz="8" w:color="0000FF"/>
            </w:tcBorders>
            <w:gridSpan w:val="2"/>
          </w:tcPr>
          <w:p>
            <w:pPr>
              <w:spacing w:after="0"/>
              <w:rPr>
                <w:sz w:val="17"/>
                <w:szCs w:val="17"/>
                <w:color w:val="auto"/>
              </w:rPr>
            </w:pPr>
          </w:p>
        </w:tc>
        <w:tc>
          <w:tcPr>
            <w:tcW w:w="4780" w:type="dxa"/>
            <w:vAlign w:val="bottom"/>
            <w:gridSpan w:val="6"/>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55</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9.</w:t>
            </w:r>
          </w:p>
        </w:tc>
        <w:tc>
          <w:tcPr>
            <w:tcW w:w="9060" w:type="dxa"/>
            <w:vAlign w:val="bottom"/>
            <w:gridSpan w:val="2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Changes in and Disagreements With Accountants on Accounting and Financial Disclosure</w:t>
              </w:r>
            </w:hyperlink>
          </w:p>
        </w:tc>
        <w:tc>
          <w:tcPr>
            <w:tcW w:w="66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90</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6"/>
              </w:rPr>
            </w:pPr>
            <w:hyperlink w:anchor="page95">
              <w:r>
                <w:rPr>
                  <w:rFonts w:ascii="Arial" w:cs="Arial" w:eastAsia="Arial" w:hAnsi="Arial"/>
                  <w:sz w:val="18"/>
                  <w:szCs w:val="18"/>
                  <w:color w:val="0000FF"/>
                  <w:w w:val="86"/>
                </w:rPr>
                <w:t>Controls and Procedures</w:t>
              </w:r>
            </w:hyperlink>
          </w:p>
        </w:tc>
        <w:tc>
          <w:tcPr>
            <w:tcW w:w="4660" w:type="dxa"/>
            <w:vAlign w:val="bottom"/>
            <w:tcBorders>
              <w:top w:val="single" w:sz="8" w:color="0000FF"/>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90</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9B.</w:t>
            </w:r>
          </w:p>
        </w:tc>
        <w:tc>
          <w:tcPr>
            <w:tcW w:w="9060" w:type="dxa"/>
            <w:vAlign w:val="bottom"/>
            <w:gridSpan w:val="2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Other Information</w:t>
              </w:r>
            </w:hyperlink>
          </w:p>
        </w:tc>
        <w:tc>
          <w:tcPr>
            <w:tcW w:w="66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90</w:t>
              </w:r>
            </w:hyperlink>
          </w:p>
        </w:tc>
      </w:tr>
      <w:tr>
        <w:trPr>
          <w:trHeight w:val="245"/>
        </w:trPr>
        <w:tc>
          <w:tcPr>
            <w:tcW w:w="15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660" w:type="dxa"/>
            <w:vAlign w:val="bottom"/>
          </w:tcPr>
          <w:p>
            <w:pPr>
              <w:spacing w:after="0"/>
              <w:rPr>
                <w:sz w:val="21"/>
                <w:szCs w:val="2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Item 10.</w:t>
            </w:r>
          </w:p>
        </w:tc>
        <w:tc>
          <w:tcPr>
            <w:tcW w:w="9060" w:type="dxa"/>
            <w:vAlign w:val="bottom"/>
            <w:gridSpan w:val="21"/>
          </w:tcPr>
          <w:p>
            <w:pPr>
              <w:spacing w:after="0" w:line="188" w:lineRule="exact"/>
              <w:rPr>
                <w:rFonts w:ascii="Arial" w:cs="Arial" w:eastAsia="Arial" w:hAnsi="Arial"/>
                <w:sz w:val="18"/>
                <w:szCs w:val="18"/>
                <w:color w:val="0000FF"/>
              </w:rPr>
            </w:pPr>
            <w:hyperlink w:anchor="page95">
              <w:r>
                <w:rPr>
                  <w:rFonts w:ascii="Arial" w:cs="Arial" w:eastAsia="Arial" w:hAnsi="Arial"/>
                  <w:sz w:val="18"/>
                  <w:szCs w:val="18"/>
                  <w:color w:val="0000FF"/>
                </w:rPr>
                <w:t>Directors, Executive Officers, and Corporate Governance</w:t>
              </w:r>
            </w:hyperlink>
          </w:p>
        </w:tc>
        <w:tc>
          <w:tcPr>
            <w:tcW w:w="660" w:type="dxa"/>
            <w:vAlign w:val="bottom"/>
          </w:tcPr>
          <w:p>
            <w:pPr>
              <w:jc w:val="right"/>
              <w:spacing w:after="0" w:line="188" w:lineRule="exact"/>
              <w:rPr>
                <w:rFonts w:ascii="Arial" w:cs="Arial" w:eastAsia="Arial" w:hAnsi="Arial"/>
                <w:sz w:val="18"/>
                <w:szCs w:val="18"/>
                <w:color w:val="auto"/>
              </w:rPr>
            </w:pPr>
            <w:hyperlink w:anchor="page95">
              <w:r>
                <w:rPr>
                  <w:rFonts w:ascii="Arial" w:cs="Arial" w:eastAsia="Arial" w:hAnsi="Arial"/>
                  <w:sz w:val="18"/>
                  <w:szCs w:val="18"/>
                  <w:color w:val="auto"/>
                </w:rPr>
                <w:t>90</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11.</w:t>
            </w:r>
          </w:p>
        </w:tc>
        <w:tc>
          <w:tcPr>
            <w:tcW w:w="4060" w:type="dxa"/>
            <w:vAlign w:val="bottom"/>
            <w:tcBorders>
              <w:top w:val="single" w:sz="8" w:color="0000FF"/>
            </w:tcBorders>
            <w:gridSpan w:val="14"/>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Executive Compensation</w:t>
              </w:r>
            </w:hyperlink>
          </w:p>
        </w:tc>
        <w:tc>
          <w:tcPr>
            <w:tcW w:w="5000" w:type="dxa"/>
            <w:vAlign w:val="bottom"/>
            <w:gridSpan w:val="7"/>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91</w:t>
              </w:r>
            </w:hyperlink>
          </w:p>
        </w:tc>
      </w:tr>
      <w:tr>
        <w:trPr>
          <w:trHeight w:val="20"/>
        </w:trPr>
        <w:tc>
          <w:tcPr>
            <w:tcW w:w="1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12.</w:t>
            </w:r>
          </w:p>
        </w:tc>
        <w:tc>
          <w:tcPr>
            <w:tcW w:w="718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Security Ownership of Certain Beneficial Owners and Management and Related Stockholder Matters</w:t>
              </w:r>
            </w:hyperlink>
          </w:p>
        </w:tc>
        <w:tc>
          <w:tcPr>
            <w:tcW w:w="1880" w:type="dxa"/>
            <w:vAlign w:val="bottom"/>
            <w:gridSpan w:val="2"/>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91</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13.</w:t>
            </w:r>
          </w:p>
        </w:tc>
        <w:tc>
          <w:tcPr>
            <w:tcW w:w="9060" w:type="dxa"/>
            <w:vAlign w:val="bottom"/>
            <w:gridSpan w:val="2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Certain Relationships and Related Transactions, and Director Independence</w:t>
              </w:r>
            </w:hyperlink>
          </w:p>
        </w:tc>
        <w:tc>
          <w:tcPr>
            <w:tcW w:w="66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91</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14.</w:t>
            </w:r>
          </w:p>
        </w:tc>
        <w:tc>
          <w:tcPr>
            <w:tcW w:w="5360" w:type="dxa"/>
            <w:vAlign w:val="bottom"/>
            <w:tcBorders>
              <w:top w:val="single" w:sz="8" w:color="0000FF"/>
            </w:tcBorders>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Principal Accountant Fees and Services</w:t>
              </w:r>
            </w:hyperlink>
          </w:p>
        </w:tc>
        <w:tc>
          <w:tcPr>
            <w:tcW w:w="3700" w:type="dxa"/>
            <w:vAlign w:val="bottom"/>
            <w:gridSpan w:val="5"/>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91</w:t>
              </w:r>
            </w:hyperlink>
          </w:p>
        </w:tc>
      </w:tr>
      <w:tr>
        <w:trPr>
          <w:trHeight w:val="245"/>
        </w:trPr>
        <w:tc>
          <w:tcPr>
            <w:tcW w:w="15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8"/>
              </w:rPr>
              <w:t>PART IV</w:t>
            </w:r>
          </w:p>
        </w:tc>
        <w:tc>
          <w:tcPr>
            <w:tcW w:w="660" w:type="dxa"/>
            <w:vAlign w:val="bottom"/>
          </w:tcPr>
          <w:p>
            <w:pPr>
              <w:spacing w:after="0"/>
              <w:rPr>
                <w:sz w:val="21"/>
                <w:szCs w:val="2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Item 15.</w:t>
            </w:r>
          </w:p>
        </w:tc>
        <w:tc>
          <w:tcPr>
            <w:tcW w:w="9060" w:type="dxa"/>
            <w:vAlign w:val="bottom"/>
            <w:gridSpan w:val="21"/>
          </w:tcPr>
          <w:p>
            <w:pPr>
              <w:spacing w:after="0" w:line="188" w:lineRule="exact"/>
              <w:rPr>
                <w:rFonts w:ascii="Arial" w:cs="Arial" w:eastAsia="Arial" w:hAnsi="Arial"/>
                <w:sz w:val="18"/>
                <w:szCs w:val="18"/>
                <w:color w:val="0000FF"/>
              </w:rPr>
            </w:pPr>
            <w:hyperlink w:anchor="page96">
              <w:r>
                <w:rPr>
                  <w:rFonts w:ascii="Arial" w:cs="Arial" w:eastAsia="Arial" w:hAnsi="Arial"/>
                  <w:sz w:val="18"/>
                  <w:szCs w:val="18"/>
                  <w:color w:val="0000FF"/>
                </w:rPr>
                <w:t>Exhibits and Financial Statement Schedules</w:t>
              </w:r>
            </w:hyperlink>
          </w:p>
        </w:tc>
        <w:tc>
          <w:tcPr>
            <w:tcW w:w="660" w:type="dxa"/>
            <w:vAlign w:val="bottom"/>
          </w:tcPr>
          <w:p>
            <w:pPr>
              <w:jc w:val="right"/>
              <w:spacing w:after="0" w:line="188" w:lineRule="exact"/>
              <w:rPr>
                <w:rFonts w:ascii="Arial" w:cs="Arial" w:eastAsia="Arial" w:hAnsi="Arial"/>
                <w:sz w:val="18"/>
                <w:szCs w:val="18"/>
                <w:color w:val="auto"/>
              </w:rPr>
            </w:pPr>
            <w:hyperlink w:anchor="page96">
              <w:r>
                <w:rPr>
                  <w:rFonts w:ascii="Arial" w:cs="Arial" w:eastAsia="Arial" w:hAnsi="Arial"/>
                  <w:sz w:val="18"/>
                  <w:szCs w:val="18"/>
                  <w:color w:val="auto"/>
                </w:rPr>
                <w:t>91</w:t>
              </w:r>
            </w:hyperlink>
          </w:p>
        </w:tc>
      </w:tr>
      <w:tr>
        <w:trPr>
          <w:trHeight w:val="206"/>
        </w:trPr>
        <w:tc>
          <w:tcPr>
            <w:tcW w:w="1520" w:type="dxa"/>
            <w:vAlign w:val="bottom"/>
          </w:tcPr>
          <w:p>
            <w:pPr>
              <w:ind w:left="20"/>
              <w:spacing w:after="0"/>
              <w:rPr>
                <w:sz w:val="20"/>
                <w:szCs w:val="20"/>
                <w:color w:val="auto"/>
              </w:rPr>
            </w:pPr>
            <w:r>
              <w:rPr>
                <w:rFonts w:ascii="Arial" w:cs="Arial" w:eastAsia="Arial" w:hAnsi="Arial"/>
                <w:sz w:val="18"/>
                <w:szCs w:val="18"/>
                <w:color w:val="auto"/>
              </w:rPr>
              <w:t>Item 16.</w:t>
            </w:r>
          </w:p>
        </w:tc>
        <w:tc>
          <w:tcPr>
            <w:tcW w:w="15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Form 10-K Summary</w:t>
              </w:r>
            </w:hyperlink>
          </w:p>
        </w:tc>
        <w:tc>
          <w:tcPr>
            <w:tcW w:w="1580" w:type="dxa"/>
            <w:vAlign w:val="bottom"/>
            <w:tcBorders>
              <w:top w:val="single" w:sz="8" w:color="0000FF"/>
            </w:tcBorders>
            <w:gridSpan w:val="6"/>
          </w:tcPr>
          <w:p>
            <w:pPr>
              <w:spacing w:after="0"/>
              <w:rPr>
                <w:sz w:val="17"/>
                <w:szCs w:val="17"/>
                <w:color w:val="auto"/>
              </w:rPr>
            </w:pPr>
          </w:p>
        </w:tc>
        <w:tc>
          <w:tcPr>
            <w:tcW w:w="5960" w:type="dxa"/>
            <w:vAlign w:val="bottom"/>
            <w:gridSpan w:val="9"/>
          </w:tcPr>
          <w:p>
            <w:pPr>
              <w:spacing w:after="0"/>
              <w:rPr>
                <w:sz w:val="17"/>
                <w:szCs w:val="17"/>
                <w:color w:val="auto"/>
              </w:rPr>
            </w:pPr>
          </w:p>
        </w:tc>
        <w:tc>
          <w:tcPr>
            <w:tcW w:w="66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93</w:t>
              </w:r>
            </w:hyperlink>
          </w:p>
        </w:tc>
      </w:tr>
      <w:tr>
        <w:trPr>
          <w:trHeight w:val="206"/>
        </w:trPr>
        <w:tc>
          <w:tcPr>
            <w:tcW w:w="1520" w:type="dxa"/>
            <w:vAlign w:val="bottom"/>
          </w:tcPr>
          <w:p>
            <w:pPr>
              <w:spacing w:after="0"/>
              <w:rPr>
                <w:sz w:val="17"/>
                <w:szCs w:val="17"/>
                <w:color w:val="auto"/>
              </w:rPr>
            </w:pPr>
          </w:p>
        </w:tc>
        <w:tc>
          <w:tcPr>
            <w:tcW w:w="9060" w:type="dxa"/>
            <w:vAlign w:val="bottom"/>
            <w:gridSpan w:val="2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66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94</w:t>
              </w:r>
            </w:hyperlink>
          </w:p>
        </w:tc>
      </w:tr>
      <w:tr>
        <w:trPr>
          <w:trHeight w:val="1010"/>
        </w:trPr>
        <w:tc>
          <w:tcPr>
            <w:tcW w:w="15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right="20" w:firstLine="878"/>
        <w:spacing w:after="0" w:line="267" w:lineRule="auto"/>
        <w:rPr>
          <w:sz w:val="20"/>
          <w:szCs w:val="20"/>
          <w:color w:val="auto"/>
        </w:rPr>
      </w:pPr>
      <w:r>
        <w:rPr>
          <w:rFonts w:ascii="Arial" w:cs="Arial" w:eastAsia="Arial" w:hAnsi="Arial"/>
          <w:sz w:val="17"/>
          <w:szCs w:val="17"/>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 As used in this report, the terms “nCino,” the “Company,” “Registrant,” “we,” “us,” and “our” mean nCino, Inc. and its subsidiaries unless the context indicates otherwise.</w:t>
      </w:r>
    </w:p>
    <w:p>
      <w:pPr>
        <w:spacing w:after="0" w:line="180" w:lineRule="exact"/>
        <w:rPr>
          <w:sz w:val="20"/>
          <w:szCs w:val="20"/>
          <w:color w:val="auto"/>
        </w:rPr>
      </w:pPr>
    </w:p>
    <w:p>
      <w:pPr>
        <w:ind w:right="100" w:firstLine="878"/>
        <w:spacing w:after="0" w:line="251"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w:t>
      </w:r>
    </w:p>
    <w:p>
      <w:pPr>
        <w:spacing w:after="0" w:line="194" w:lineRule="exact"/>
        <w:rPr>
          <w:sz w:val="20"/>
          <w:szCs w:val="20"/>
          <w:color w:val="auto"/>
        </w:rPr>
      </w:pPr>
    </w:p>
    <w:p>
      <w:pPr>
        <w:ind w:left="1280" w:hanging="316"/>
        <w:spacing w:after="0" w:line="266" w:lineRule="auto"/>
        <w:tabs>
          <w:tab w:leader="none" w:pos="1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costs associated with research and development and building out our sales, professional services and customer support teams;</w:t>
      </w:r>
    </w:p>
    <w:p>
      <w:pPr>
        <w:spacing w:after="0" w:line="230" w:lineRule="exact"/>
        <w:rPr>
          <w:rFonts w:ascii="Arial" w:cs="Arial" w:eastAsia="Arial" w:hAnsi="Arial"/>
          <w:sz w:val="17"/>
          <w:szCs w:val="17"/>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add and retain customers;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the term of our customer contracts;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short and long-term impact of COVID-19 on our industry, business, and results of operations;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industry trends;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projected growth or trend analysis;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relationship with Salesforce and our systems integrators ("SIs");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878"/>
        <w:spacing w:after="0" w:line="264" w:lineRule="auto"/>
        <w:rPr>
          <w:sz w:val="20"/>
          <w:szCs w:val="20"/>
          <w:color w:val="auto"/>
        </w:rPr>
      </w:pPr>
      <w:r>
        <w:rPr>
          <w:rFonts w:ascii="Arial" w:cs="Arial" w:eastAsia="Arial" w:hAnsi="Arial"/>
          <w:sz w:val="17"/>
          <w:szCs w:val="17"/>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165" w:lineRule="exact"/>
        <w:rPr>
          <w:sz w:val="20"/>
          <w:szCs w:val="20"/>
          <w:color w:val="auto"/>
        </w:rPr>
      </w:pPr>
    </w:p>
    <w:p>
      <w:pPr>
        <w:ind w:firstLine="878"/>
        <w:spacing w:after="0" w:line="267"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1" w:lineRule="exact"/>
        <w:rPr>
          <w:sz w:val="20"/>
          <w:szCs w:val="20"/>
          <w:color w:val="auto"/>
        </w:rPr>
      </w:pPr>
    </w:p>
    <w:p>
      <w:pPr>
        <w:ind w:right="200" w:firstLine="878"/>
        <w:spacing w:after="0" w:line="266"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79" w:lineRule="exact"/>
        <w:rPr>
          <w:sz w:val="20"/>
          <w:szCs w:val="20"/>
          <w:color w:val="auto"/>
        </w:rPr>
      </w:pPr>
    </w:p>
    <w:p>
      <w:pPr>
        <w:ind w:left="1280" w:hanging="3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18" w:lineRule="exact"/>
        <w:rPr>
          <w:sz w:val="20"/>
          <w:szCs w:val="20"/>
          <w:color w:val="auto"/>
        </w:rPr>
      </w:pPr>
    </w:p>
    <w:p>
      <w:pPr>
        <w:ind w:right="20" w:firstLine="878"/>
        <w:spacing w:after="0" w:line="265"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85" w:lineRule="exact"/>
        <w:rPr>
          <w:sz w:val="20"/>
          <w:szCs w:val="20"/>
          <w:color w:val="auto"/>
        </w:rPr>
      </w:pPr>
    </w:p>
    <w:p>
      <w:pPr>
        <w:ind w:right="40" w:firstLine="878"/>
        <w:spacing w:after="0" w:line="284" w:lineRule="auto"/>
        <w:rPr>
          <w:sz w:val="20"/>
          <w:szCs w:val="20"/>
          <w:color w:val="auto"/>
        </w:rPr>
      </w:pPr>
      <w:r>
        <w:rPr>
          <w:rFonts w:ascii="Arial" w:cs="Arial" w:eastAsia="Arial" w:hAnsi="Arial"/>
          <w:sz w:val="16"/>
          <w:szCs w:val="16"/>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68" w:lineRule="exact"/>
        <w:rPr>
          <w:sz w:val="20"/>
          <w:szCs w:val="20"/>
          <w:color w:val="auto"/>
        </w:rPr>
      </w:pPr>
    </w:p>
    <w:p>
      <w:pPr>
        <w:ind w:right="340" w:firstLine="878"/>
        <w:spacing w:after="0" w:line="266"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4" w:lineRule="exact"/>
        <w:rPr>
          <w:sz w:val="20"/>
          <w:szCs w:val="20"/>
          <w:color w:val="auto"/>
        </w:rPr>
      </w:pPr>
    </w:p>
    <w:p>
      <w:pPr>
        <w:ind w:right="100" w:firstLine="878"/>
        <w:spacing w:after="0" w:line="249" w:lineRule="auto"/>
        <w:rPr>
          <w:sz w:val="20"/>
          <w:szCs w:val="20"/>
          <w:color w:val="auto"/>
        </w:rPr>
      </w:pPr>
      <w:r>
        <w:rPr>
          <w:rFonts w:ascii="Arial" w:cs="Arial" w:eastAsia="Arial" w:hAnsi="Arial"/>
          <w:sz w:val="18"/>
          <w:szCs w:val="18"/>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$91.5 million, $138.2 million, and $204.3 million for fiscal 2019, 2020, and 2021, respectively, representing a 49.4% compound annual growth rate. We also had recurring, subscription-based revenues of $64.5 million, $103.3 million, and $162.4 million for fiscal 2019, 2020, and 2021, respectively, representing a 58.7% compound annual growth rate. For fiscal 2019, 2020, and 2021, we had subscription revenue retention rates of 163%, 147%, and 155%, respectively. Net losses attributable to nCino for fiscal 2019, 2020, and 2021, were $22.3 million, $27.6 million, and $40.5 million,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11" w:lineRule="exact"/>
        <w:rPr>
          <w:sz w:val="20"/>
          <w:szCs w:val="20"/>
          <w:color w:val="auto"/>
        </w:rPr>
      </w:pPr>
    </w:p>
    <w:p>
      <w:pPr>
        <w:ind w:right="80" w:firstLine="878"/>
        <w:spacing w:after="0" w:line="277" w:lineRule="auto"/>
        <w:rPr>
          <w:sz w:val="20"/>
          <w:szCs w:val="20"/>
          <w:color w:val="auto"/>
        </w:rPr>
      </w:pPr>
      <w:r>
        <w:rPr>
          <w:rFonts w:ascii="Arial" w:cs="Arial" w:eastAsia="Arial" w:hAnsi="Arial"/>
          <w:sz w:val="16"/>
          <w:szCs w:val="16"/>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161" w:lineRule="exact"/>
        <w:rPr>
          <w:sz w:val="20"/>
          <w:szCs w:val="20"/>
          <w:color w:val="auto"/>
        </w:rPr>
      </w:pPr>
    </w:p>
    <w:p>
      <w:pPr>
        <w:ind w:left="1280" w:right="20" w:hanging="316"/>
        <w:spacing w:after="0" w:line="250"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Digitally Serve Their Clients Across Commercial, Small Business and Retail Lines of Business. </w:t>
      </w:r>
      <w:r>
        <w:rPr>
          <w:rFonts w:ascii="Arial" w:cs="Arial" w:eastAsia="Arial" w:hAnsi="Arial"/>
          <w:sz w:val="18"/>
          <w:szCs w:val="18"/>
          <w:color w:val="auto"/>
        </w:rPr>
        <w:t>The nCino Bank Operating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 which is a particularly attractive feature given COVID-19 limitations faced by certain of our customers.</w:t>
      </w:r>
    </w:p>
    <w:p>
      <w:pPr>
        <w:spacing w:after="0" w:line="195" w:lineRule="exact"/>
        <w:rPr>
          <w:rFonts w:ascii="Arial" w:cs="Arial" w:eastAsia="Arial" w:hAnsi="Arial"/>
          <w:sz w:val="18"/>
          <w:szCs w:val="18"/>
          <w:color w:val="auto"/>
        </w:rPr>
      </w:pPr>
    </w:p>
    <w:p>
      <w:pPr>
        <w:ind w:left="1280" w:right="40" w:hanging="316"/>
        <w:spacing w:after="0" w:line="250"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195" w:lineRule="exact"/>
        <w:rPr>
          <w:rFonts w:ascii="Arial" w:cs="Arial" w:eastAsia="Arial" w:hAnsi="Arial"/>
          <w:sz w:val="18"/>
          <w:szCs w:val="18"/>
          <w:color w:val="auto"/>
        </w:rPr>
      </w:pPr>
    </w:p>
    <w:p>
      <w:pPr>
        <w:ind w:left="1280" w:right="320" w:hanging="316"/>
        <w:spacing w:after="0" w:line="303" w:lineRule="auto"/>
        <w:tabs>
          <w:tab w:leader="none" w:pos="127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54" w:lineRule="exact"/>
        <w:rPr>
          <w:rFonts w:ascii="Arial" w:cs="Arial" w:eastAsia="Arial" w:hAnsi="Arial"/>
          <w:sz w:val="16"/>
          <w:szCs w:val="16"/>
          <w:color w:val="auto"/>
        </w:rPr>
      </w:pPr>
    </w:p>
    <w:p>
      <w:pPr>
        <w:ind w:left="1280" w:right="80" w:hanging="316"/>
        <w:spacing w:after="0" w:line="272" w:lineRule="auto"/>
        <w:tabs>
          <w:tab w:leader="none" w:pos="127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Manage Risk and Compliance More Effectively. </w:t>
      </w:r>
      <w:r>
        <w:rPr>
          <w:rFonts w:ascii="Arial" w:cs="Arial" w:eastAsia="Arial" w:hAnsi="Arial"/>
          <w:sz w:val="17"/>
          <w:szCs w:val="17"/>
          <w:color w:val="auto"/>
        </w:rPr>
        <w:t>The nCino Bank Operating System helps financial institutions reduce regulatory,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71" w:lineRule="exact"/>
        <w:rPr>
          <w:rFonts w:ascii="Arial" w:cs="Arial" w:eastAsia="Arial" w:hAnsi="Arial"/>
          <w:sz w:val="17"/>
          <w:szCs w:val="17"/>
          <w:color w:val="auto"/>
        </w:rPr>
      </w:pPr>
    </w:p>
    <w:p>
      <w:pPr>
        <w:ind w:left="1280" w:right="20" w:hanging="316"/>
        <w:spacing w:after="0" w:line="255"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open API technology framework and integrations with third-party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20"/>
        <w:spacing w:after="0" w:line="266" w:lineRule="auto"/>
        <w:rPr>
          <w:sz w:val="20"/>
          <w:szCs w:val="20"/>
          <w:color w:val="auto"/>
        </w:rPr>
      </w:pPr>
      <w:r>
        <w:rPr>
          <w:rFonts w:ascii="Arial" w:cs="Arial" w:eastAsia="Arial" w:hAnsi="Arial"/>
          <w:sz w:val="18"/>
          <w:szCs w:val="18"/>
          <w:color w:val="auto"/>
        </w:rPr>
        <w:t>deliver greater operational, portfolio, and financial intelligence, a more complete client view, improved compliance monitoring and metrics, as well as the opportunity to more successfully leverage AI/ML.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Solution Works</w:t>
      </w:r>
    </w:p>
    <w:p>
      <w:pPr>
        <w:spacing w:after="0" w:line="224" w:lineRule="exact"/>
        <w:rPr>
          <w:sz w:val="20"/>
          <w:szCs w:val="20"/>
          <w:color w:val="auto"/>
        </w:rPr>
      </w:pPr>
    </w:p>
    <w:p>
      <w:pPr>
        <w:ind w:firstLine="878"/>
        <w:spacing w:after="0" w:line="251"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1296035</wp:posOffset>
            </wp:positionH>
            <wp:positionV relativeFrom="paragraph">
              <wp:posOffset>130810</wp:posOffset>
            </wp:positionV>
            <wp:extent cx="5107940" cy="5378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07940" cy="537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nCino Applications</w:t>
      </w:r>
    </w:p>
    <w:p>
      <w:pPr>
        <w:spacing w:after="0" w:line="224" w:lineRule="exact"/>
        <w:rPr>
          <w:sz w:val="20"/>
          <w:szCs w:val="20"/>
          <w:color w:val="auto"/>
        </w:rPr>
      </w:pPr>
    </w:p>
    <w:p>
      <w:pPr>
        <w:ind w:right="240" w:firstLine="878"/>
        <w:spacing w:after="0" w:line="253" w:lineRule="auto"/>
        <w:rPr>
          <w:sz w:val="20"/>
          <w:szCs w:val="20"/>
          <w:color w:val="auto"/>
        </w:rPr>
      </w:pPr>
      <w:r>
        <w:rPr>
          <w:rFonts w:ascii="Arial" w:cs="Arial" w:eastAsia="Arial" w:hAnsi="Arial"/>
          <w:sz w:val="18"/>
          <w:szCs w:val="18"/>
          <w:b w:val="1"/>
          <w:bCs w:val="1"/>
          <w:i w:val="1"/>
          <w:iCs w:val="1"/>
          <w:color w:val="auto"/>
        </w:rPr>
        <w:t xml:space="preserve">Client Onboarding. </w:t>
      </w:r>
      <w:r>
        <w:rPr>
          <w:rFonts w:ascii="Arial" w:cs="Arial" w:eastAsia="Arial" w:hAnsi="Arial"/>
          <w:sz w:val="18"/>
          <w:szCs w:val="18"/>
          <w:color w:val="auto"/>
        </w:rPr>
        <w:t>Built into the nCino Bank Operating System is client onboarding functionality that supports the front, middle, and 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91" w:lineRule="exact"/>
        <w:rPr>
          <w:sz w:val="20"/>
          <w:szCs w:val="20"/>
          <w:color w:val="auto"/>
        </w:rPr>
      </w:pPr>
    </w:p>
    <w:p>
      <w:pPr>
        <w:ind w:right="20" w:firstLine="878"/>
        <w:spacing w:after="0" w:line="286" w:lineRule="auto"/>
        <w:rPr>
          <w:sz w:val="20"/>
          <w:szCs w:val="20"/>
          <w:color w:val="auto"/>
        </w:rPr>
      </w:pPr>
      <w:r>
        <w:rPr>
          <w:rFonts w:ascii="Arial" w:cs="Arial" w:eastAsia="Arial" w:hAnsi="Arial"/>
          <w:sz w:val="16"/>
          <w:szCs w:val="16"/>
          <w:b w:val="1"/>
          <w:bCs w:val="1"/>
          <w:i w:val="1"/>
          <w:iCs w:val="1"/>
          <w:color w:val="auto"/>
        </w:rPr>
        <w:t xml:space="preserve">Loan Origination. </w:t>
      </w:r>
      <w:r>
        <w:rPr>
          <w:rFonts w:ascii="Arial" w:cs="Arial" w:eastAsia="Arial" w:hAnsi="Arial"/>
          <w:sz w:val="16"/>
          <w:szCs w:val="16"/>
          <w:color w:val="auto"/>
        </w:rPr>
        <w:t>The loan origination functionality embedded within the nCino Bank Operating System combines an innovative and intuitive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67" w:lineRule="exact"/>
        <w:rPr>
          <w:sz w:val="20"/>
          <w:szCs w:val="20"/>
          <w:color w:val="auto"/>
        </w:rPr>
      </w:pPr>
    </w:p>
    <w:p>
      <w:pPr>
        <w:ind w:right="120" w:firstLine="878"/>
        <w:spacing w:after="0" w:line="287" w:lineRule="auto"/>
        <w:rPr>
          <w:sz w:val="20"/>
          <w:szCs w:val="20"/>
          <w:color w:val="auto"/>
        </w:rPr>
      </w:pPr>
      <w:r>
        <w:rPr>
          <w:rFonts w:ascii="Arial" w:cs="Arial" w:eastAsia="Arial" w:hAnsi="Arial"/>
          <w:sz w:val="16"/>
          <w:szCs w:val="16"/>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69" w:lineRule="exact"/>
        <w:rPr>
          <w:sz w:val="20"/>
          <w:szCs w:val="20"/>
          <w:color w:val="auto"/>
        </w:rPr>
      </w:pPr>
    </w:p>
    <w:p>
      <w:pPr>
        <w:ind w:right="20" w:firstLine="878"/>
        <w:spacing w:after="0" w:line="268" w:lineRule="auto"/>
        <w:rPr>
          <w:sz w:val="20"/>
          <w:szCs w:val="20"/>
          <w:color w:val="auto"/>
        </w:rPr>
      </w:pPr>
      <w:r>
        <w:rPr>
          <w:rFonts w:ascii="Arial" w:cs="Arial" w:eastAsia="Arial" w:hAnsi="Arial"/>
          <w:sz w:val="17"/>
          <w:szCs w:val="17"/>
          <w:b w:val="1"/>
          <w:bCs w:val="1"/>
          <w:i w:val="1"/>
          <w:iCs w:val="1"/>
          <w:color w:val="auto"/>
        </w:rPr>
        <w:t xml:space="preserve">Deposit Account Opening. </w:t>
      </w:r>
      <w:r>
        <w:rPr>
          <w:rFonts w:ascii="Arial" w:cs="Arial" w:eastAsia="Arial" w:hAnsi="Arial"/>
          <w:sz w:val="17"/>
          <w:szCs w:val="17"/>
          <w:color w:val="auto"/>
        </w:rPr>
        <w:t>The nCino Bank Operating System’s deposit account opening application optimizes the process for opening checking,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nCino Platform</w:t>
      </w:r>
    </w:p>
    <w:p>
      <w:pPr>
        <w:spacing w:after="0" w:line="224" w:lineRule="exact"/>
        <w:rPr>
          <w:sz w:val="20"/>
          <w:szCs w:val="20"/>
          <w:color w:val="auto"/>
        </w:rPr>
      </w:pPr>
    </w:p>
    <w:p>
      <w:pPr>
        <w:ind w:right="200" w:firstLine="878"/>
        <w:spacing w:after="0" w:line="266"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179" w:lineRule="exact"/>
        <w:rPr>
          <w:sz w:val="20"/>
          <w:szCs w:val="20"/>
          <w:color w:val="auto"/>
        </w:rPr>
      </w:pPr>
    </w:p>
    <w:p>
      <w:pPr>
        <w:ind w:left="1280" w:hanging="316"/>
        <w:spacing w:after="0" w:line="294" w:lineRule="auto"/>
        <w:tabs>
          <w:tab w:leader="none" w:pos="1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162" w:lineRule="exact"/>
        <w:rPr>
          <w:rFonts w:ascii="Arial" w:cs="Arial" w:eastAsia="Arial" w:hAnsi="Arial"/>
          <w:sz w:val="16"/>
          <w:szCs w:val="16"/>
          <w:color w:val="auto"/>
        </w:rPr>
      </w:pPr>
    </w:p>
    <w:p>
      <w:pPr>
        <w:ind w:left="1280" w:right="40" w:hanging="316"/>
        <w:spacing w:after="0" w:line="290" w:lineRule="auto"/>
        <w:tabs>
          <w:tab w:leader="none" w:pos="1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Current Expected Credit Losses ("CECL"), Allowance for Loan and Lease Losses (“ALLL”) and fair lending. Because the nCino platform is highly configurable, it can adjust as regulations and the institution's risk requirements evolve.</w:t>
      </w:r>
    </w:p>
    <w:p>
      <w:pPr>
        <w:spacing w:after="0" w:line="164" w:lineRule="exact"/>
        <w:rPr>
          <w:rFonts w:ascii="Arial" w:cs="Arial" w:eastAsia="Arial" w:hAnsi="Arial"/>
          <w:sz w:val="16"/>
          <w:szCs w:val="16"/>
          <w:color w:val="auto"/>
        </w:rPr>
      </w:pPr>
    </w:p>
    <w:p>
      <w:pPr>
        <w:ind w:left="1280" w:right="100" w:hanging="316"/>
        <w:spacing w:after="0" w:line="303" w:lineRule="auto"/>
        <w:tabs>
          <w:tab w:leader="none" w:pos="1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154" w:lineRule="exact"/>
        <w:rPr>
          <w:rFonts w:ascii="Arial" w:cs="Arial" w:eastAsia="Arial" w:hAnsi="Arial"/>
          <w:sz w:val="16"/>
          <w:szCs w:val="16"/>
          <w:color w:val="auto"/>
        </w:rPr>
      </w:pPr>
    </w:p>
    <w:p>
      <w:pPr>
        <w:ind w:left="1280" w:right="200" w:hanging="316"/>
        <w:spacing w:after="0" w:line="266"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80"/>
        <w:spacing w:after="0" w:line="253" w:lineRule="auto"/>
        <w:rPr>
          <w:sz w:val="20"/>
          <w:szCs w:val="20"/>
          <w:color w:val="auto"/>
        </w:rPr>
      </w:pPr>
      <w:r>
        <w:rPr>
          <w:rFonts w:ascii="Arial" w:cs="Arial" w:eastAsia="Arial" w:hAnsi="Arial"/>
          <w:sz w:val="18"/>
          <w:szCs w:val="18"/>
          <w:color w:val="auto"/>
        </w:rPr>
        <w:t>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nIQ</w:t>
      </w:r>
    </w:p>
    <w:p>
      <w:pPr>
        <w:spacing w:after="0" w:line="224" w:lineRule="exact"/>
        <w:rPr>
          <w:sz w:val="20"/>
          <w:szCs w:val="20"/>
          <w:color w:val="auto"/>
        </w:rPr>
      </w:pPr>
    </w:p>
    <w:p>
      <w:pPr>
        <w:ind w:right="20" w:firstLine="878"/>
        <w:spacing w:after="0" w:line="266" w:lineRule="auto"/>
        <w:rPr>
          <w:sz w:val="20"/>
          <w:szCs w:val="20"/>
          <w:color w:val="auto"/>
        </w:rPr>
      </w:pPr>
      <w:r>
        <w:rPr>
          <w:rFonts w:ascii="Arial" w:cs="Arial" w:eastAsia="Arial" w:hAnsi="Arial"/>
          <w:sz w:val="17"/>
          <w:szCs w:val="17"/>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 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APIs</w:t>
      </w:r>
    </w:p>
    <w:p>
      <w:pPr>
        <w:spacing w:after="0" w:line="224" w:lineRule="exact"/>
        <w:rPr>
          <w:sz w:val="20"/>
          <w:szCs w:val="20"/>
          <w:color w:val="auto"/>
        </w:rPr>
      </w:pPr>
    </w:p>
    <w:p>
      <w:pPr>
        <w:ind w:right="420" w:firstLine="878"/>
        <w:spacing w:after="0" w:line="256"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believe our position as a leading global provider of cloud banking software for financial institutions is built on a foundation of the following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strengths:</w:t>
      </w:r>
    </w:p>
    <w:p>
      <w:pPr>
        <w:spacing w:after="0" w:line="207" w:lineRule="exact"/>
        <w:rPr>
          <w:sz w:val="20"/>
          <w:szCs w:val="20"/>
          <w:color w:val="auto"/>
        </w:rPr>
      </w:pPr>
    </w:p>
    <w:p>
      <w:pPr>
        <w:ind w:left="1280" w:right="40" w:hanging="316"/>
        <w:spacing w:after="0" w:line="253"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90" w:lineRule="exact"/>
        <w:rPr>
          <w:rFonts w:ascii="Arial" w:cs="Arial" w:eastAsia="Arial" w:hAnsi="Arial"/>
          <w:sz w:val="18"/>
          <w:szCs w:val="18"/>
          <w:color w:val="auto"/>
        </w:rPr>
      </w:pPr>
    </w:p>
    <w:p>
      <w:pPr>
        <w:ind w:left="1280" w:right="260" w:hanging="316"/>
        <w:spacing w:after="0" w:line="272" w:lineRule="auto"/>
        <w:tabs>
          <w:tab w:leader="none" w:pos="127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 native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and we believe our over nine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77" w:lineRule="exact"/>
        <w:rPr>
          <w:rFonts w:ascii="Arial" w:cs="Arial" w:eastAsia="Arial" w:hAnsi="Arial"/>
          <w:sz w:val="17"/>
          <w:szCs w:val="17"/>
          <w:color w:val="auto"/>
        </w:rPr>
      </w:pPr>
    </w:p>
    <w:p>
      <w:pPr>
        <w:ind w:left="1280" w:hanging="316"/>
        <w:spacing w:after="0" w:line="253" w:lineRule="auto"/>
        <w:tabs>
          <w:tab w:leader="none" w:pos="12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190" w:lineRule="exact"/>
        <w:rPr>
          <w:rFonts w:ascii="Arial" w:cs="Arial" w:eastAsia="Arial" w:hAnsi="Arial"/>
          <w:sz w:val="18"/>
          <w:szCs w:val="18"/>
          <w:color w:val="auto"/>
        </w:rPr>
      </w:pPr>
    </w:p>
    <w:p>
      <w:pPr>
        <w:ind w:left="1280" w:right="20" w:hanging="316"/>
        <w:spacing w:after="0" w:line="267" w:lineRule="auto"/>
        <w:tabs>
          <w:tab w:leader="none" w:pos="127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20" w:hanging="316"/>
        <w:spacing w:after="0" w:line="269" w:lineRule="auto"/>
        <w:tabs>
          <w:tab w:leader="none" w:pos="127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0" w:lineRule="exact"/>
        <w:rPr>
          <w:rFonts w:ascii="Arial" w:cs="Arial" w:eastAsia="Arial" w:hAnsi="Arial"/>
          <w:sz w:val="17"/>
          <w:szCs w:val="17"/>
          <w:color w:val="auto"/>
        </w:rPr>
      </w:pPr>
    </w:p>
    <w:p>
      <w:pPr>
        <w:ind w:left="1280" w:right="20" w:hanging="316"/>
        <w:spacing w:after="0" w:line="266" w:lineRule="auto"/>
        <w:tabs>
          <w:tab w:leader="none" w:pos="127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Award-Winning Culture</w:t>
      </w:r>
      <w:r>
        <w:rPr>
          <w:rFonts w:ascii="Arial" w:cs="Arial" w:eastAsia="Arial" w:hAnsi="Arial"/>
          <w:sz w:val="17"/>
          <w:szCs w:val="17"/>
          <w:color w:val="auto"/>
        </w:rPr>
        <w:t>. We are in the business of fundamentally changing the way financial institutions operate. To transform an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 and one of the Top 25 Large Companies with the Best Culture in 2020 by Comparably.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nCino Will Grow</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18" w:lineRule="exact"/>
        <w:rPr>
          <w:sz w:val="20"/>
          <w:szCs w:val="20"/>
          <w:color w:val="auto"/>
        </w:rPr>
      </w:pPr>
    </w:p>
    <w:p>
      <w:pPr>
        <w:ind w:left="1280" w:hanging="316"/>
        <w:spacing w:after="0" w:line="256" w:lineRule="auto"/>
        <w:tabs>
          <w:tab w:leader="none" w:pos="127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base both vertically within business lines and horizontally across business lines. Our revenues from existing customers continue to grow as additional users are added, creating strong customer cohort dynamics.</w:t>
      </w:r>
    </w:p>
    <w:p>
      <w:pPr>
        <w:spacing w:after="0" w:line="188" w:lineRule="exact"/>
        <w:rPr>
          <w:rFonts w:ascii="Arial" w:cs="Arial" w:eastAsia="Arial" w:hAnsi="Arial"/>
          <w:sz w:val="18"/>
          <w:szCs w:val="18"/>
          <w:color w:val="auto"/>
        </w:rPr>
      </w:pPr>
    </w:p>
    <w:p>
      <w:pPr>
        <w:ind w:left="1280" w:right="40" w:hanging="316"/>
        <w:spacing w:after="0" w:line="287" w:lineRule="auto"/>
        <w:tabs>
          <w:tab w:leader="none" w:pos="127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Customer Base. </w:t>
      </w:r>
      <w:r>
        <w:rPr>
          <w:rFonts w:ascii="Arial" w:cs="Arial" w:eastAsia="Arial" w:hAnsi="Arial"/>
          <w:sz w:val="16"/>
          <w:szCs w:val="16"/>
          <w:color w:val="auto"/>
        </w:rPr>
        <w:t>We believe the global market for cloud banking is large and underserved. With banks and credit unions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12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169" w:lineRule="exact"/>
        <w:rPr>
          <w:rFonts w:ascii="Arial" w:cs="Arial" w:eastAsia="Arial" w:hAnsi="Arial"/>
          <w:sz w:val="16"/>
          <w:szCs w:val="16"/>
          <w:color w:val="auto"/>
        </w:rPr>
      </w:pPr>
    </w:p>
    <w:p>
      <w:pPr>
        <w:ind w:left="1280" w:hanging="316"/>
        <w:spacing w:after="0" w:line="266" w:lineRule="auto"/>
        <w:tabs>
          <w:tab w:leader="none" w:pos="127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81" w:lineRule="exact"/>
        <w:rPr>
          <w:rFonts w:ascii="Arial" w:cs="Arial" w:eastAsia="Arial" w:hAnsi="Arial"/>
          <w:sz w:val="17"/>
          <w:szCs w:val="17"/>
          <w:color w:val="auto"/>
        </w:rPr>
      </w:pPr>
    </w:p>
    <w:p>
      <w:pPr>
        <w:ind w:left="1280" w:right="80" w:hanging="316"/>
        <w:spacing w:after="0" w:line="287" w:lineRule="auto"/>
        <w:tabs>
          <w:tab w:leader="none" w:pos="127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Foster and Grow our SI and Technology Ecosystem</w:t>
      </w:r>
      <w:r>
        <w:rPr>
          <w:rFonts w:ascii="Arial" w:cs="Arial" w:eastAsia="Arial" w:hAnsi="Arial"/>
          <w:sz w:val="16"/>
          <w:szCs w:val="16"/>
          <w:color w:val="auto"/>
        </w:rPr>
        <w:t>. We have developed strong relationships with a number of leading SIs,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Accenture, Deloitte, PwC, and West Monroe Partners, that increase our capacity to onboard new customers and implement the nCino Bank Operating System, extend our global reach, and drive increased market awareness of our company and solution. To date, over 2,000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169" w:lineRule="exact"/>
        <w:rPr>
          <w:rFonts w:ascii="Arial" w:cs="Arial" w:eastAsia="Arial" w:hAnsi="Arial"/>
          <w:sz w:val="16"/>
          <w:szCs w:val="16"/>
          <w:color w:val="auto"/>
        </w:rPr>
      </w:pPr>
    </w:p>
    <w:p>
      <w:pPr>
        <w:ind w:left="1280" w:right="60" w:hanging="316"/>
        <w:spacing w:after="0" w:line="266" w:lineRule="auto"/>
        <w:tabs>
          <w:tab w:leader="none" w:pos="127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or other strategic transactions. We expect these transactions to</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140"/>
        <w:spacing w:after="0" w:line="253" w:lineRule="auto"/>
        <w:rPr>
          <w:sz w:val="20"/>
          <w:szCs w:val="20"/>
          <w:color w:val="auto"/>
        </w:rPr>
      </w:pPr>
      <w:r>
        <w:rPr>
          <w:rFonts w:ascii="Arial" w:cs="Arial" w:eastAsia="Arial" w:hAnsi="Arial"/>
          <w:sz w:val="18"/>
          <w:szCs w:val="18"/>
          <w:color w:val="auto"/>
        </w:rPr>
        <w:t>focus on innovation to help strengthen and expand the functionality and features of the nCino Bank Operating System and/or expand our global presence. For example, in fiscal 2020 we acquired Visible Equity, LLC ("Visible Equity") and FinSuite Pty Ltd ("FinSuite") as part of our strategy to build out our nIQ capabilities and we established our nCino K.K. joint venture to facilitate our entry into the Japanese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4" w:lineRule="exact"/>
        <w:rPr>
          <w:sz w:val="20"/>
          <w:szCs w:val="20"/>
          <w:color w:val="auto"/>
        </w:rPr>
      </w:pPr>
    </w:p>
    <w:p>
      <w:pPr>
        <w:ind w:firstLine="878"/>
        <w:spacing w:after="0" w:line="287" w:lineRule="auto"/>
        <w:rPr>
          <w:sz w:val="20"/>
          <w:szCs w:val="20"/>
          <w:color w:val="auto"/>
        </w:rPr>
      </w:pPr>
      <w:r>
        <w:rPr>
          <w:rFonts w:ascii="Arial" w:cs="Arial" w:eastAsia="Arial" w:hAnsi="Arial"/>
          <w:sz w:val="16"/>
          <w:szCs w:val="16"/>
          <w:color w:val="auto"/>
        </w:rPr>
        <w:t>nCino has a diverse customer base ranging from global financial institutions, such as Bank of America, Barclays, Santander Bank, and TD Bank, to enterprise banks, such as KeyBank, Allied Irish Bank, First Horizon Bank, and Truist Bank, to regional and community banks, as such ConnectOne Bank, Pacific Western Bank, and Coastal States Bank, to credit unions, such as Corning Credit Union, Navy Federal Credit Union, SAFE Credit Union, and Wright-Patt Credit Union, to new market entrants, such as challenger banks like B-North, DBT Företagslån, Recognise Financial, and Judo Bank. These companies represent a cross-section of global financial institutions, enterprise banks, regional and community banks, credit unions, and challenger banks, and each of these customers represent a substantial level of Annual Contract Value ("ACV") in its respective category.</w:t>
      </w:r>
    </w:p>
    <w:p>
      <w:pPr>
        <w:spacing w:after="0" w:line="169" w:lineRule="exact"/>
        <w:rPr>
          <w:sz w:val="20"/>
          <w:szCs w:val="20"/>
          <w:color w:val="auto"/>
        </w:rPr>
      </w:pPr>
    </w:p>
    <w:p>
      <w:pPr>
        <w:ind w:right="120" w:firstLine="878"/>
        <w:spacing w:after="0" w:line="251" w:lineRule="auto"/>
        <w:rPr>
          <w:sz w:val="20"/>
          <w:szCs w:val="20"/>
          <w:color w:val="auto"/>
        </w:rPr>
      </w:pPr>
      <w:r>
        <w:rPr>
          <w:rFonts w:ascii="Arial" w:cs="Arial" w:eastAsia="Arial" w:hAnsi="Arial"/>
          <w:sz w:val="18"/>
          <w:szCs w:val="18"/>
          <w:color w:val="auto"/>
        </w:rPr>
        <w:t>As of January 31, 2021, we had over 330 financial institutions that have contracted for the nCino Bank Operating System for client onboarding, loan origination, and/or deposit account opening, of which 224 each generated more than $100,000 in subscription revenues for the fiscal year ended January 31, 2021. In addition, we have over 930 financial institutions that have contracted for our Portfolio Analytics solution that we acquired with the Visible Equity acquisition in fiscal 2020. In total, we had over 1,260 financial institution customers as of January 31, 2021. No single customer represented more than 10% of total revenues in fiscal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Salesforce</w:t>
      </w:r>
    </w:p>
    <w:p>
      <w:pPr>
        <w:spacing w:after="0" w:line="224" w:lineRule="exact"/>
        <w:rPr>
          <w:sz w:val="20"/>
          <w:szCs w:val="20"/>
          <w:color w:val="auto"/>
        </w:rPr>
      </w:pPr>
    </w:p>
    <w:p>
      <w:pPr>
        <w:ind w:right="240" w:firstLine="878"/>
        <w:spacing w:after="0" w:line="256"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9" w:lineRule="exact"/>
        <w:rPr>
          <w:sz w:val="20"/>
          <w:szCs w:val="20"/>
          <w:color w:val="auto"/>
        </w:rPr>
      </w:pPr>
    </w:p>
    <w:p>
      <w:pPr>
        <w:ind w:right="200" w:firstLine="878"/>
        <w:spacing w:after="0" w:line="410" w:lineRule="auto"/>
        <w:rPr>
          <w:sz w:val="20"/>
          <w:szCs w:val="20"/>
          <w:color w:val="auto"/>
        </w:rPr>
      </w:pPr>
      <w:r>
        <w:rPr>
          <w:rFonts w:ascii="Arial" w:cs="Arial" w:eastAsia="Arial" w:hAnsi="Arial"/>
          <w:sz w:val="14"/>
          <w:szCs w:val="14"/>
          <w:color w:val="auto"/>
        </w:rPr>
        <w:t>Salesforce Ventures, an affiliate of Salesforce, made investments in our common stock in January 2014, March 2015, July 2017, January 2018, and September 2019. As of January 31, 2021, Salesforce was our second largest stockholder and beneficially owned 10.6% shares of our common stock.</w:t>
      </w:r>
    </w:p>
    <w:p>
      <w:pPr>
        <w:spacing w:after="0" w:line="88" w:lineRule="exact"/>
        <w:rPr>
          <w:sz w:val="20"/>
          <w:szCs w:val="20"/>
          <w:color w:val="auto"/>
        </w:rPr>
      </w:pPr>
    </w:p>
    <w:p>
      <w:pPr>
        <w:ind w:right="280" w:firstLine="878"/>
        <w:spacing w:after="0" w:line="284" w:lineRule="auto"/>
        <w:rPr>
          <w:sz w:val="20"/>
          <w:szCs w:val="20"/>
          <w:color w:val="auto"/>
        </w:rPr>
      </w:pPr>
      <w:r>
        <w:rPr>
          <w:rFonts w:ascii="Arial" w:cs="Arial" w:eastAsia="Arial" w:hAnsi="Arial"/>
          <w:sz w:val="16"/>
          <w:szCs w:val="16"/>
          <w:color w:val="auto"/>
        </w:rPr>
        <w:t>Pursuant to our agreement with Salesforce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4" w:lineRule="exact"/>
        <w:rPr>
          <w:sz w:val="20"/>
          <w:szCs w:val="20"/>
          <w:color w:val="auto"/>
        </w:rPr>
      </w:pPr>
    </w:p>
    <w:p>
      <w:pPr>
        <w:jc w:val="both"/>
        <w:ind w:right="140" w:firstLine="878"/>
        <w:spacing w:after="0" w:line="294"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162" w:lineRule="exact"/>
        <w:rPr>
          <w:sz w:val="20"/>
          <w:szCs w:val="20"/>
          <w:color w:val="auto"/>
        </w:rPr>
      </w:pPr>
    </w:p>
    <w:p>
      <w:pPr>
        <w:ind w:right="20" w:firstLine="878"/>
        <w:spacing w:after="0" w:line="253"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Success</w:t>
      </w:r>
    </w:p>
    <w:p>
      <w:pPr>
        <w:spacing w:after="0" w:line="224" w:lineRule="exact"/>
        <w:rPr>
          <w:sz w:val="20"/>
          <w:szCs w:val="20"/>
          <w:color w:val="auto"/>
        </w:rPr>
      </w:pPr>
    </w:p>
    <w:p>
      <w:pPr>
        <w:ind w:right="20" w:firstLine="878"/>
        <w:spacing w:after="0" w:line="250"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6"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94" w:lineRule="exact"/>
        <w:rPr>
          <w:sz w:val="20"/>
          <w:szCs w:val="20"/>
          <w:color w:val="auto"/>
        </w:rPr>
      </w:pPr>
    </w:p>
    <w:p>
      <w:pPr>
        <w:ind w:right="220" w:firstLine="878"/>
        <w:spacing w:after="0" w:line="294" w:lineRule="auto"/>
        <w:rPr>
          <w:sz w:val="20"/>
          <w:szCs w:val="20"/>
          <w:color w:val="auto"/>
        </w:rPr>
      </w:pPr>
      <w:r>
        <w:rPr>
          <w:rFonts w:ascii="Arial" w:cs="Arial" w:eastAsia="Arial" w:hAnsi="Arial"/>
          <w:sz w:val="16"/>
          <w:szCs w:val="16"/>
          <w:color w:val="auto"/>
        </w:rPr>
        <w:t>Over 36,000 of our customers’ employees, representing over 95% of our financial institution customers utilizing our client onboarding, loan origination, and/or deposit account opening applications, participate in our online nCino User Community. In this community, users can access over 7,500 product guides and technical documents, engage and share best practices with other users and nCino subject matter experts through over 30 unique user groups, suggest and vote for future product development ideas, and access training videos, materials and product certifications.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4"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$58.3 million or 28.5% of total revenues in fiscal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ind w:right="280" w:firstLine="878"/>
        <w:spacing w:after="0" w:line="287"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69" w:lineRule="exact"/>
        <w:rPr>
          <w:sz w:val="20"/>
          <w:szCs w:val="20"/>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hanging="31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18" w:lineRule="exact"/>
        <w:rPr>
          <w:sz w:val="20"/>
          <w:szCs w:val="20"/>
          <w:color w:val="auto"/>
        </w:rPr>
      </w:pPr>
    </w:p>
    <w:p>
      <w:pPr>
        <w:ind w:right="60" w:firstLine="878"/>
        <w:spacing w:after="0" w:line="269"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 —The markets in which we participate are intensely competitive and highly fragmented, and pricing pressure, new technologies, or other competitive dynamics could adversely affect our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ind w:right="100" w:firstLine="878"/>
        <w:spacing w:after="0" w:line="286" w:lineRule="auto"/>
        <w:rPr>
          <w:sz w:val="20"/>
          <w:szCs w:val="20"/>
          <w:color w:val="auto"/>
        </w:rPr>
      </w:pPr>
      <w:r>
        <w:rPr>
          <w:rFonts w:ascii="Arial" w:cs="Arial" w:eastAsia="Arial" w:hAnsi="Arial"/>
          <w:sz w:val="16"/>
          <w:szCs w:val="16"/>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67" w:lineRule="exact"/>
        <w:rPr>
          <w:sz w:val="20"/>
          <w:szCs w:val="20"/>
          <w:color w:val="auto"/>
        </w:rPr>
      </w:pPr>
    </w:p>
    <w:p>
      <w:pPr>
        <w:ind w:firstLine="878"/>
        <w:spacing w:after="0" w:line="256" w:lineRule="auto"/>
        <w:rPr>
          <w:sz w:val="20"/>
          <w:szCs w:val="20"/>
          <w:color w:val="auto"/>
        </w:rPr>
      </w:pPr>
      <w:r>
        <w:rPr>
          <w:rFonts w:ascii="Arial" w:cs="Arial" w:eastAsia="Arial" w:hAnsi="Arial"/>
          <w:sz w:val="18"/>
          <w:szCs w:val="18"/>
          <w:color w:val="auto"/>
        </w:rPr>
        <w:t>As of January 31, 2021, we had 12 issued U.S. patents as well as 1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4" w:lineRule="exact"/>
        <w:rPr>
          <w:sz w:val="20"/>
          <w:szCs w:val="20"/>
          <w:color w:val="auto"/>
        </w:rPr>
      </w:pPr>
    </w:p>
    <w:p>
      <w:pPr>
        <w:ind w:right="80" w:firstLine="878"/>
        <w:spacing w:after="0" w:line="286" w:lineRule="auto"/>
        <w:rPr>
          <w:sz w:val="20"/>
          <w:szCs w:val="20"/>
          <w:color w:val="auto"/>
        </w:rPr>
      </w:pPr>
      <w:r>
        <w:rPr>
          <w:rFonts w:ascii="Arial" w:cs="Arial" w:eastAsia="Arial" w:hAnsi="Arial"/>
          <w:sz w:val="16"/>
          <w:szCs w:val="16"/>
          <w:color w:val="auto"/>
        </w:rPr>
        <w:t>We are in the business of fundamentally changing the way financial institutions operate. To transform 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recognized by Comparably for having one of the Best Company Cultures (Large Companies), one of the Best Large Companies for Diversity, and one of the Best Large Companies for Women in 2020.</w:t>
      </w:r>
    </w:p>
    <w:p>
      <w:pPr>
        <w:spacing w:after="0" w:line="167" w:lineRule="exact"/>
        <w:rPr>
          <w:sz w:val="20"/>
          <w:szCs w:val="20"/>
          <w:color w:val="auto"/>
        </w:rPr>
      </w:pPr>
    </w:p>
    <w:p>
      <w:pPr>
        <w:ind w:right="180" w:firstLine="878"/>
        <w:spacing w:after="0" w:line="329" w:lineRule="auto"/>
        <w:rPr>
          <w:sz w:val="20"/>
          <w:szCs w:val="20"/>
          <w:color w:val="auto"/>
        </w:rPr>
      </w:pPr>
      <w:r>
        <w:rPr>
          <w:rFonts w:ascii="Arial" w:cs="Arial" w:eastAsia="Arial" w:hAnsi="Arial"/>
          <w:sz w:val="16"/>
          <w:szCs w:val="16"/>
          <w:color w:val="auto"/>
        </w:rPr>
        <w:t>As of January 31, 2021, we have 1,115 employees, of which approximately 85% were in the United States and 15% were in our other locations around the globe. We have not experienced work stoppages, as a result of COVID-19 or otherwise, and believe our employee relations are good.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Diversity, Community, and Inclusion</w:t>
      </w:r>
    </w:p>
    <w:p>
      <w:pPr>
        <w:spacing w:after="0" w:line="218" w:lineRule="exact"/>
        <w:rPr>
          <w:sz w:val="20"/>
          <w:szCs w:val="20"/>
          <w:color w:val="auto"/>
        </w:rPr>
      </w:pPr>
    </w:p>
    <w:p>
      <w:pPr>
        <w:ind w:right="160" w:firstLine="878"/>
        <w:spacing w:after="0" w:line="251" w:lineRule="auto"/>
        <w:rPr>
          <w:sz w:val="20"/>
          <w:szCs w:val="20"/>
          <w:color w:val="auto"/>
        </w:rPr>
      </w:pPr>
      <w:r>
        <w:rPr>
          <w:rFonts w:ascii="Arial" w:cs="Arial" w:eastAsia="Arial" w:hAnsi="Arial"/>
          <w:sz w:val="18"/>
          <w:szCs w:val="18"/>
          <w:color w:val="auto"/>
        </w:rPr>
        <w:t>nCino’s core values reflect our culture of humanity and humility; providing a place for us to be who we are, appreciate one another, and excel together. To demonstrate a commitment to a culture of inclusiveness, nCino proudly sponsors an employee-led Diversity, Equality, and Inclusion Council as well as Employee Resource Groups respectively focused on our Veteran, LGBTQ, and Diaspora employee populations. nCino has recently hired a full-time Diversity, Community, and Inclusion leader to champion these initiatives, with support and oversight from nCino’s CEO, Board of Directors, and Human Resources leadership.</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firstLine="878"/>
        <w:spacing w:after="0" w:line="294" w:lineRule="auto"/>
        <w:rPr>
          <w:sz w:val="20"/>
          <w:szCs w:val="20"/>
          <w:color w:val="auto"/>
        </w:rPr>
      </w:pPr>
      <w:r>
        <w:rPr>
          <w:rFonts w:ascii="Arial" w:cs="Arial" w:eastAsia="Arial" w:hAnsi="Arial"/>
          <w:sz w:val="16"/>
          <w:szCs w:val="16"/>
          <w:color w:val="auto"/>
        </w:rPr>
        <w:t>nCino prioritizes giving back to our communities and volunteering time by providing all global employees paid volunteer days separate from regular leave or holidays. nVolve, nCino’s employee-led volunteer and community service team, sponsors and supports projects, programs, and charitable organizations across our global communities. Committed to community service and inspiring the next generation through technology and education, nVolve makes a difference by mobilizing nCino employees when and where there is a need, dedicating thousands of volunteer hours each year.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Benefits and Well-being</w:t>
      </w:r>
    </w:p>
    <w:p>
      <w:pPr>
        <w:spacing w:after="0" w:line="218" w:lineRule="exact"/>
        <w:rPr>
          <w:sz w:val="20"/>
          <w:szCs w:val="20"/>
          <w:color w:val="auto"/>
        </w:rPr>
      </w:pPr>
    </w:p>
    <w:p>
      <w:pPr>
        <w:ind w:right="180" w:firstLine="878"/>
        <w:spacing w:after="0" w:line="266" w:lineRule="auto"/>
        <w:rPr>
          <w:sz w:val="20"/>
          <w:szCs w:val="20"/>
          <w:color w:val="auto"/>
        </w:rPr>
      </w:pPr>
      <w:r>
        <w:rPr>
          <w:rFonts w:ascii="Arial" w:cs="Arial" w:eastAsia="Arial" w:hAnsi="Arial"/>
          <w:sz w:val="17"/>
          <w:szCs w:val="17"/>
          <w:color w:val="auto"/>
        </w:rPr>
        <w:t>nCino’s future success is dependent on our ability to attract and retain highly qualified personnel. nCino offers competitive compensation, opportunities for equity ownership, and generous, country-specific benefit packages. Our retirement plans help employees invest in their future. In addition, we offer competitive parental leaves, holiday pay, and vacation time. As part of our response to COVID-19, nCino offered incremental benefits to our employees, including childcare consultations, childcare stipends, and home office allowances. Our Global Job Framework promotes transparency of career progression by levelling compensation for jobs with common expectations, competency requirements, and scope of responsibilities across geographies and business units. nCino supports healthy employee lifestyles and wellness by offering office step challenges, complimentary healthy snacks, cycle to work programs, on-site flu shots, and recreational outings. These offerings demonstrate a commitment to our employees’ well-being and play a critical role in engaging and retaining the talented individuals that comprise our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ind w:firstLine="878"/>
        <w:spacing w:after="0" w:line="251" w:lineRule="auto"/>
        <w:rPr>
          <w:sz w:val="20"/>
          <w:szCs w:val="20"/>
          <w:color w:val="auto"/>
        </w:rPr>
      </w:pPr>
      <w:r>
        <w:rPr>
          <w:rFonts w:ascii="Arial" w:cs="Arial" w:eastAsia="Arial" w:hAnsi="Arial"/>
          <w:sz w:val="18"/>
          <w:szCs w:val="18"/>
          <w:color w:val="auto"/>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i w:val="1"/>
          <w:iCs w:val="1"/>
          <w:color w:val="auto"/>
        </w:rPr>
        <w:t>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4" w:lineRule="exact"/>
        <w:rPr>
          <w:sz w:val="20"/>
          <w:szCs w:val="20"/>
          <w:color w:val="auto"/>
        </w:rPr>
      </w:pPr>
    </w:p>
    <w:p>
      <w:pPr>
        <w:ind w:right="20" w:firstLine="878"/>
        <w:spacing w:after="0" w:line="268" w:lineRule="auto"/>
        <w:rPr>
          <w:sz w:val="20"/>
          <w:szCs w:val="20"/>
          <w:color w:val="auto"/>
        </w:rPr>
      </w:pPr>
      <w:r>
        <w:rPr>
          <w:rFonts w:ascii="Arial" w:cs="Arial" w:eastAsia="Arial" w:hAnsi="Arial"/>
          <w:sz w:val="17"/>
          <w:szCs w:val="17"/>
          <w:i w:val="1"/>
          <w:iCs w:val="1"/>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179" w:lineRule="exact"/>
        <w:rPr>
          <w:sz w:val="20"/>
          <w:szCs w:val="20"/>
          <w:color w:val="auto"/>
        </w:rPr>
      </w:pPr>
    </w:p>
    <w:p>
      <w:pPr>
        <w:ind w:left="1280" w:hanging="316"/>
        <w:spacing w:after="0" w:line="266" w:lineRule="auto"/>
        <w:tabs>
          <w:tab w:leader="none" w:pos="127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179" w:lineRule="exact"/>
        <w:rPr>
          <w:rFonts w:ascii="Arial" w:cs="Arial" w:eastAsia="Arial" w:hAnsi="Arial"/>
          <w:sz w:val="18"/>
          <w:szCs w:val="18"/>
          <w:b w:val="1"/>
          <w:bCs w:val="1"/>
          <w:i w:val="1"/>
          <w:iCs w:val="1"/>
          <w:color w:val="auto"/>
        </w:rPr>
      </w:pPr>
    </w:p>
    <w:p>
      <w:pPr>
        <w:ind w:left="1280" w:hanging="316"/>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18" w:lineRule="exact"/>
        <w:rPr>
          <w:rFonts w:ascii="Arial" w:cs="Arial" w:eastAsia="Arial" w:hAnsi="Arial"/>
          <w:sz w:val="18"/>
          <w:szCs w:val="18"/>
          <w:color w:val="auto"/>
        </w:rPr>
      </w:pPr>
    </w:p>
    <w:p>
      <w:pPr>
        <w:ind w:left="1280" w:right="320" w:hanging="316"/>
        <w:spacing w:after="0" w:line="266" w:lineRule="auto"/>
        <w:tabs>
          <w:tab w:leader="none" w:pos="1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179" w:lineRule="exact"/>
        <w:rPr>
          <w:rFonts w:ascii="Arial" w:cs="Arial" w:eastAsia="Arial" w:hAnsi="Arial"/>
          <w:sz w:val="18"/>
          <w:szCs w:val="18"/>
          <w:color w:val="auto"/>
        </w:rPr>
      </w:pPr>
    </w:p>
    <w:p>
      <w:pPr>
        <w:ind w:left="1280" w:right="200" w:hanging="316"/>
        <w:spacing w:after="0" w:line="266" w:lineRule="auto"/>
        <w:tabs>
          <w:tab w:leader="none" w:pos="1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hanging="31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18" w:lineRule="exact"/>
        <w:rPr>
          <w:rFonts w:ascii="Arial" w:cs="Arial" w:eastAsia="Arial" w:hAnsi="Arial"/>
          <w:sz w:val="18"/>
          <w:szCs w:val="18"/>
          <w:color w:val="auto"/>
        </w:rPr>
      </w:pPr>
    </w:p>
    <w:p>
      <w:pPr>
        <w:ind w:left="1280" w:right="12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179" w:lineRule="exact"/>
        <w:rPr>
          <w:rFonts w:ascii="Arial" w:cs="Arial" w:eastAsia="Arial" w:hAnsi="Arial"/>
          <w:sz w:val="18"/>
          <w:szCs w:val="18"/>
          <w:color w:val="auto"/>
        </w:rPr>
      </w:pPr>
    </w:p>
    <w:p>
      <w:pPr>
        <w:ind w:left="1280" w:right="40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9" w:lineRule="exact"/>
        <w:rPr>
          <w:rFonts w:ascii="Arial" w:cs="Arial" w:eastAsia="Arial" w:hAnsi="Arial"/>
          <w:sz w:val="18"/>
          <w:szCs w:val="18"/>
          <w:color w:val="auto"/>
        </w:rPr>
      </w:pPr>
    </w:p>
    <w:p>
      <w:pPr>
        <w:ind w:left="1280" w:right="62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 to provide our solution to our customers.</w:t>
      </w:r>
    </w:p>
    <w:p>
      <w:pPr>
        <w:spacing w:after="0" w:line="179" w:lineRule="exact"/>
        <w:rPr>
          <w:rFonts w:ascii="Arial" w:cs="Arial" w:eastAsia="Arial" w:hAnsi="Arial"/>
          <w:sz w:val="18"/>
          <w:szCs w:val="18"/>
          <w:color w:val="auto"/>
        </w:rPr>
      </w:pPr>
    </w:p>
    <w:p>
      <w:pPr>
        <w:ind w:left="128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179" w:lineRule="exact"/>
        <w:rPr>
          <w:rFonts w:ascii="Arial" w:cs="Arial" w:eastAsia="Arial" w:hAnsi="Arial"/>
          <w:sz w:val="18"/>
          <w:szCs w:val="18"/>
          <w:color w:val="auto"/>
        </w:rPr>
      </w:pPr>
    </w:p>
    <w:p>
      <w:pPr>
        <w:ind w:left="128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9" w:lineRule="exact"/>
        <w:rPr>
          <w:rFonts w:ascii="Arial" w:cs="Arial" w:eastAsia="Arial" w:hAnsi="Arial"/>
          <w:sz w:val="18"/>
          <w:szCs w:val="18"/>
          <w:color w:val="auto"/>
        </w:rPr>
      </w:pPr>
    </w:p>
    <w:p>
      <w:pPr>
        <w:ind w:left="1280" w:right="420" w:hanging="316"/>
        <w:spacing w:after="0" w:line="26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w:t>
      </w:r>
    </w:p>
    <w:p>
      <w:pPr>
        <w:spacing w:after="0" w:line="179" w:lineRule="exact"/>
        <w:rPr>
          <w:rFonts w:ascii="Arial" w:cs="Arial" w:eastAsia="Arial" w:hAnsi="Arial"/>
          <w:sz w:val="18"/>
          <w:szCs w:val="18"/>
          <w:color w:val="auto"/>
        </w:rPr>
      </w:pPr>
    </w:p>
    <w:p>
      <w:pPr>
        <w:ind w:left="1280" w:right="680" w:hanging="316"/>
        <w:spacing w:after="0" w:line="296" w:lineRule="auto"/>
        <w:tabs>
          <w:tab w:leader="none" w:pos="12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depend on data centers operated by or on behalf of Salesforce, Amazon Web Services ("AWS") and other third parties, and any disruption in the operation of these facilities could adversely affect our business and subject us to liability.</w:t>
      </w:r>
    </w:p>
    <w:p>
      <w:pPr>
        <w:spacing w:after="0" w:line="156" w:lineRule="exact"/>
        <w:rPr>
          <w:rFonts w:ascii="Arial" w:cs="Arial" w:eastAsia="Arial" w:hAnsi="Arial"/>
          <w:sz w:val="17"/>
          <w:szCs w:val="17"/>
          <w:color w:val="auto"/>
        </w:rPr>
      </w:pPr>
    </w:p>
    <w:p>
      <w:pPr>
        <w:jc w:val="both"/>
        <w:ind w:left="1280" w:hanging="316"/>
        <w:spacing w:after="0" w:line="25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8" w:lineRule="exact"/>
        <w:rPr>
          <w:rFonts w:ascii="Arial" w:cs="Arial" w:eastAsia="Arial" w:hAnsi="Arial"/>
          <w:sz w:val="18"/>
          <w:szCs w:val="18"/>
          <w:color w:val="auto"/>
        </w:rPr>
      </w:pPr>
    </w:p>
    <w:p>
      <w:pPr>
        <w:jc w:val="both"/>
        <w:ind w:left="1280" w:right="160" w:hanging="316"/>
        <w:spacing w:after="0" w:line="25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two of our stockholders collectively hold a substantial amount of our total outstanding common stock, the influence of our public stockholders over significant corporate actions will be limited and sales by either of these stockholders could adversely affect the value of our common stock.</w:t>
      </w:r>
    </w:p>
    <w:p>
      <w:pPr>
        <w:spacing w:after="0" w:line="188" w:lineRule="exact"/>
        <w:rPr>
          <w:rFonts w:ascii="Arial" w:cs="Arial" w:eastAsia="Arial" w:hAnsi="Arial"/>
          <w:sz w:val="18"/>
          <w:szCs w:val="18"/>
          <w:color w:val="auto"/>
        </w:rPr>
      </w:pPr>
    </w:p>
    <w:p>
      <w:pPr>
        <w:ind w:left="1280" w:right="400" w:hanging="316"/>
        <w:spacing w:after="0" w:line="25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8" w:lineRule="exact"/>
        <w:rPr>
          <w:rFonts w:ascii="Arial" w:cs="Arial" w:eastAsia="Arial" w:hAnsi="Arial"/>
          <w:sz w:val="18"/>
          <w:szCs w:val="18"/>
          <w:color w:val="auto"/>
        </w:rPr>
      </w:pPr>
    </w:p>
    <w:p>
      <w:pPr>
        <w:jc w:val="both"/>
        <w:ind w:left="1280" w:hanging="316"/>
        <w:spacing w:after="0" w:line="256" w:lineRule="auto"/>
        <w:tabs>
          <w:tab w:leader="none" w:pos="1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presently subject to a government investigation and a civil suit involving alleged violations of antitrust laws relating to our hiring and wage practices. These matters or future litigation against us could adversely affect our operations and prospects, damage our reputation, and be costly and time-consuming to defend.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4"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9" w:lineRule="exact"/>
        <w:rPr>
          <w:sz w:val="20"/>
          <w:szCs w:val="20"/>
          <w:color w:val="auto"/>
        </w:rPr>
      </w:pPr>
    </w:p>
    <w:p>
      <w:pPr>
        <w:ind w:right="60" w:firstLine="878"/>
        <w:spacing w:after="0" w:line="251" w:lineRule="auto"/>
        <w:rPr>
          <w:sz w:val="20"/>
          <w:szCs w:val="20"/>
          <w:color w:val="auto"/>
        </w:rPr>
      </w:pPr>
      <w:r>
        <w:rPr>
          <w:rFonts w:ascii="Arial" w:cs="Arial" w:eastAsia="Arial" w:hAnsi="Arial"/>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18" w:lineRule="exact"/>
        <w:rPr>
          <w:sz w:val="20"/>
          <w:szCs w:val="20"/>
          <w:color w:val="auto"/>
        </w:rPr>
      </w:pPr>
    </w:p>
    <w:p>
      <w:pPr>
        <w:ind w:firstLine="878"/>
        <w:spacing w:after="0" w:line="265" w:lineRule="auto"/>
        <w:rPr>
          <w:sz w:val="20"/>
          <w:szCs w:val="20"/>
          <w:color w:val="auto"/>
        </w:rPr>
      </w:pPr>
      <w:r>
        <w:rPr>
          <w:rFonts w:ascii="Arial" w:cs="Arial" w:eastAsia="Arial" w:hAnsi="Arial"/>
          <w:sz w:val="17"/>
          <w:szCs w:val="17"/>
          <w:color w:val="auto"/>
        </w:rPr>
        <w:t>We began operations in late 2011 and have experienced net losses since inception. We generated net losses attributable to nCino of $22.3 million, $27.6 million, and $40.5 million for the fiscal years ended January 31, 2019, 2020, and 2021, respectively. We had an accumulated deficit of $161.1 million at January 31, 2021.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and the expansion of our customer base and have seen increased costs in becoming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8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9" w:lineRule="exact"/>
        <w:rPr>
          <w:sz w:val="20"/>
          <w:szCs w:val="20"/>
          <w:color w:val="auto"/>
        </w:rPr>
      </w:pPr>
    </w:p>
    <w:p>
      <w:pPr>
        <w:ind w:right="40" w:firstLine="878"/>
        <w:spacing w:after="0" w:line="283" w:lineRule="auto"/>
        <w:rPr>
          <w:sz w:val="20"/>
          <w:szCs w:val="20"/>
          <w:color w:val="auto"/>
        </w:rPr>
      </w:pPr>
      <w:r>
        <w:rPr>
          <w:rFonts w:ascii="Arial" w:cs="Arial" w:eastAsia="Arial" w:hAnsi="Arial"/>
          <w:sz w:val="16"/>
          <w:szCs w:val="16"/>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9" w:lineRule="exact"/>
        <w:rPr>
          <w:sz w:val="20"/>
          <w:szCs w:val="20"/>
          <w:color w:val="auto"/>
        </w:rPr>
      </w:pPr>
    </w:p>
    <w:p>
      <w:pPr>
        <w:ind w:right="40" w:firstLine="878"/>
        <w:spacing w:after="0" w:line="264" w:lineRule="auto"/>
        <w:rPr>
          <w:sz w:val="20"/>
          <w:szCs w:val="20"/>
          <w:color w:val="auto"/>
        </w:rPr>
      </w:pPr>
      <w:r>
        <w:rPr>
          <w:rFonts w:ascii="Arial" w:cs="Arial" w:eastAsia="Arial" w:hAnsi="Arial"/>
          <w:sz w:val="17"/>
          <w:szCs w:val="17"/>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18" w:lineRule="exact"/>
        <w:rPr>
          <w:sz w:val="20"/>
          <w:szCs w:val="20"/>
          <w:color w:val="auto"/>
        </w:rPr>
      </w:pPr>
    </w:p>
    <w:p>
      <w:pPr>
        <w:ind w:right="40" w:firstLine="878"/>
        <w:spacing w:after="0" w:line="268" w:lineRule="auto"/>
        <w:rPr>
          <w:sz w:val="20"/>
          <w:szCs w:val="20"/>
          <w:color w:val="auto"/>
        </w:rPr>
      </w:pPr>
      <w:r>
        <w:rPr>
          <w:rFonts w:ascii="Arial" w:cs="Arial" w:eastAsia="Arial" w:hAnsi="Arial"/>
          <w:sz w:val="17"/>
          <w:szCs w:val="17"/>
          <w:color w:val="auto"/>
        </w:rPr>
        <w:t>Our revenues increased from $91.5 million for fiscal 2019 to $138.2 million for fiscal 2020 to $204.3 million for fiscal 2021.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economic conditions. If we are unable to maintain consistent revenue growth, the price of our common stock could decline or otherwise be volatile and it may be difficult for us to achieve and maintain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18" w:lineRule="exact"/>
        <w:rPr>
          <w:sz w:val="20"/>
          <w:szCs w:val="20"/>
          <w:color w:val="auto"/>
        </w:rPr>
      </w:pPr>
    </w:p>
    <w:p>
      <w:pPr>
        <w:ind w:right="40" w:firstLine="878"/>
        <w:spacing w:after="0" w:line="319" w:lineRule="auto"/>
        <w:rPr>
          <w:sz w:val="20"/>
          <w:szCs w:val="20"/>
          <w:color w:val="auto"/>
        </w:rPr>
      </w:pPr>
      <w:r>
        <w:rPr>
          <w:rFonts w:ascii="Arial" w:cs="Arial" w:eastAsia="Arial" w:hAnsi="Arial"/>
          <w:sz w:val="14"/>
          <w:szCs w:val="14"/>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purchases of our Paycheck Protection Program ("PPP") solution during the COVID pandemic may have had the effect of accelerating demand that might have otherwise materialized as new business in later periods as well as accelerating the activation of the licenses and recognition of subscription revenues associated with the</w:t>
      </w:r>
    </w:p>
    <w:p>
      <w:pPr>
        <w:spacing w:after="0" w:line="4" w:lineRule="exact"/>
        <w:rPr>
          <w:sz w:val="20"/>
          <w:szCs w:val="20"/>
          <w:color w:val="auto"/>
        </w:rPr>
      </w:pPr>
    </w:p>
    <w:p>
      <w:pPr>
        <w:ind w:right="120" w:firstLine="6"/>
        <w:spacing w:after="0" w:line="28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solution. Further, while subscriptions with our customers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169" w:lineRule="exact"/>
        <w:rPr>
          <w:rFonts w:ascii="Arial" w:cs="Arial" w:eastAsia="Arial" w:hAnsi="Arial"/>
          <w:sz w:val="16"/>
          <w:szCs w:val="16"/>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05"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activation, delay in activation, or cancellation of large blocks of users by customers;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41" w:lineRule="exact"/>
        <w:rPr>
          <w:rFonts w:ascii="Arial" w:cs="Arial" w:eastAsia="Arial" w:hAnsi="Arial"/>
          <w:sz w:val="16"/>
          <w:szCs w:val="16"/>
          <w:color w:val="auto"/>
        </w:rPr>
      </w:pPr>
    </w:p>
    <w:p>
      <w:pPr>
        <w:ind w:left="1280" w:hanging="316"/>
        <w:spacing w:after="0"/>
        <w:tabs>
          <w:tab w:leader="none" w:pos="12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30" w:lineRule="exact"/>
        <w:rPr>
          <w:rFonts w:ascii="Arial" w:cs="Arial" w:eastAsia="Arial" w:hAnsi="Arial"/>
          <w:sz w:val="17"/>
          <w:szCs w:val="17"/>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timing and amount of litigation and litigation-related expenses;</w:t>
      </w:r>
    </w:p>
    <w:p>
      <w:pPr>
        <w:spacing w:after="0" w:line="218" w:lineRule="exact"/>
        <w:rPr>
          <w:rFonts w:ascii="Arial" w:cs="Arial" w:eastAsia="Arial" w:hAnsi="Arial"/>
          <w:sz w:val="18"/>
          <w:szCs w:val="18"/>
          <w:color w:val="auto"/>
        </w:rPr>
      </w:pPr>
    </w:p>
    <w:p>
      <w:pPr>
        <w:ind w:left="1280" w:right="500" w:hanging="316"/>
        <w:spacing w:after="0" w:line="266" w:lineRule="auto"/>
        <w:tabs>
          <w:tab w:leader="none" w:pos="12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79" w:lineRule="exact"/>
        <w:rPr>
          <w:rFonts w:ascii="Arial" w:cs="Arial" w:eastAsia="Arial" w:hAnsi="Arial"/>
          <w:sz w:val="18"/>
          <w:szCs w:val="18"/>
          <w:color w:val="auto"/>
        </w:rPr>
      </w:pPr>
    </w:p>
    <w:p>
      <w:pPr>
        <w:ind w:left="1280" w:right="160" w:hanging="316"/>
        <w:spacing w:after="0" w:line="266" w:lineRule="auto"/>
        <w:tabs>
          <w:tab w:leader="none" w:pos="127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9"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79" w:lineRule="exact"/>
        <w:rPr>
          <w:sz w:val="20"/>
          <w:szCs w:val="20"/>
          <w:color w:val="auto"/>
        </w:rPr>
      </w:pPr>
    </w:p>
    <w:p>
      <w:pPr>
        <w:ind w:right="380" w:firstLine="878"/>
        <w:spacing w:after="0" w:line="294" w:lineRule="auto"/>
        <w:rPr>
          <w:sz w:val="20"/>
          <w:szCs w:val="20"/>
          <w:color w:val="auto"/>
        </w:rPr>
      </w:pPr>
      <w:r>
        <w:rPr>
          <w:rFonts w:ascii="Arial" w:cs="Arial" w:eastAsia="Arial" w:hAnsi="Arial"/>
          <w:sz w:val="16"/>
          <w:szCs w:val="16"/>
          <w:color w:val="auto"/>
        </w:rPr>
        <w:t>Additionally, as the markets for the nCino Bank Operating System develop, we may be unable to attract new customers based on the same subscription model we have used historically. Moreover, large or 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6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9" w:lineRule="exact"/>
        <w:rPr>
          <w:sz w:val="20"/>
          <w:szCs w:val="20"/>
          <w:color w:val="auto"/>
        </w:rPr>
      </w:pPr>
    </w:p>
    <w:p>
      <w:pPr>
        <w:ind w:firstLine="878"/>
        <w:spacing w:after="0" w:line="281" w:lineRule="auto"/>
        <w:rPr>
          <w:sz w:val="20"/>
          <w:szCs w:val="20"/>
          <w:color w:val="auto"/>
        </w:rPr>
      </w:pPr>
      <w:r>
        <w:rPr>
          <w:rFonts w:ascii="Arial" w:cs="Arial" w:eastAsia="Arial" w:hAnsi="Arial"/>
          <w:sz w:val="16"/>
          <w:szCs w:val="16"/>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and our third party service providers, frequently defend against and respond to data security incidents.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continued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75" w:lineRule="exact"/>
        <w:rPr>
          <w:sz w:val="20"/>
          <w:szCs w:val="20"/>
          <w:color w:val="auto"/>
        </w:rPr>
      </w:pPr>
    </w:p>
    <w:p>
      <w:pPr>
        <w:ind w:firstLine="878"/>
        <w:spacing w:after="0" w:line="264" w:lineRule="auto"/>
        <w:rPr>
          <w:sz w:val="20"/>
          <w:szCs w:val="20"/>
          <w:color w:val="auto"/>
        </w:rPr>
      </w:pPr>
      <w:r>
        <w:rPr>
          <w:rFonts w:ascii="Arial" w:cs="Arial" w:eastAsia="Arial" w:hAnsi="Arial"/>
          <w:sz w:val="17"/>
          <w:szCs w:val="17"/>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83" w:lineRule="exact"/>
        <w:rPr>
          <w:sz w:val="20"/>
          <w:szCs w:val="20"/>
          <w:color w:val="auto"/>
        </w:rPr>
      </w:pPr>
    </w:p>
    <w:p>
      <w:pPr>
        <w:ind w:right="180" w:firstLine="878"/>
        <w:spacing w:after="0" w:line="266" w:lineRule="auto"/>
        <w:rPr>
          <w:sz w:val="20"/>
          <w:szCs w:val="20"/>
          <w:color w:val="auto"/>
        </w:rPr>
      </w:pPr>
      <w:r>
        <w:rPr>
          <w:rFonts w:ascii="Arial" w:cs="Arial" w:eastAsia="Arial" w:hAnsi="Arial"/>
          <w:sz w:val="18"/>
          <w:szCs w:val="18"/>
          <w:color w:val="auto"/>
        </w:rPr>
        <w:t>Federal and state regulations may require us or our customers to notify individuals of data security incidents involving certain types of personal data or information technology systems, and those laws and regulations continue to evolve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 or subject us to third-party lawsuits, regulatory fines, or other actions or liabilities, which could materially and adversely affect our business and results of operations.</w:t>
      </w:r>
    </w:p>
    <w:p>
      <w:pPr>
        <w:spacing w:after="0" w:line="194" w:lineRule="exact"/>
        <w:rPr>
          <w:sz w:val="20"/>
          <w:szCs w:val="20"/>
          <w:color w:val="auto"/>
        </w:rPr>
      </w:pPr>
    </w:p>
    <w:p>
      <w:pPr>
        <w:ind w:right="20" w:firstLine="878"/>
        <w:spacing w:after="0" w:line="282" w:lineRule="auto"/>
        <w:rPr>
          <w:sz w:val="20"/>
          <w:szCs w:val="20"/>
          <w:color w:val="auto"/>
        </w:rPr>
      </w:pPr>
      <w:r>
        <w:rPr>
          <w:rFonts w:ascii="Arial" w:cs="Arial" w:eastAsia="Arial" w:hAnsi="Arial"/>
          <w:sz w:val="16"/>
          <w:szCs w:val="16"/>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9" w:lineRule="exact"/>
        <w:rPr>
          <w:sz w:val="20"/>
          <w:szCs w:val="20"/>
          <w:color w:val="auto"/>
        </w:rPr>
      </w:pPr>
    </w:p>
    <w:p>
      <w:pPr>
        <w:ind w:right="280" w:firstLine="878"/>
        <w:spacing w:after="0" w:line="253"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the Salesforce Agreement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91" w:lineRule="exact"/>
        <w:rPr>
          <w:sz w:val="20"/>
          <w:szCs w:val="20"/>
          <w:color w:val="auto"/>
        </w:rPr>
      </w:pPr>
    </w:p>
    <w:p>
      <w:pPr>
        <w:ind w:firstLine="878"/>
        <w:spacing w:after="0" w:line="265" w:lineRule="auto"/>
        <w:rPr>
          <w:sz w:val="20"/>
          <w:szCs w:val="20"/>
          <w:color w:val="auto"/>
        </w:rPr>
      </w:pPr>
      <w:r>
        <w:rPr>
          <w:rFonts w:ascii="Arial" w:cs="Arial" w:eastAsia="Arial" w:hAnsi="Arial"/>
          <w:sz w:val="17"/>
          <w:szCs w:val="17"/>
          <w:color w:val="auto"/>
        </w:rPr>
        <w:t>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82" w:lineRule="exact"/>
        <w:rPr>
          <w:sz w:val="20"/>
          <w:szCs w:val="20"/>
          <w:color w:val="auto"/>
        </w:rPr>
      </w:pPr>
    </w:p>
    <w:p>
      <w:pPr>
        <w:ind w:right="40" w:firstLine="878"/>
        <w:spacing w:after="0" w:line="253"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Salesforce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91" w:lineRule="exact"/>
        <w:rPr>
          <w:sz w:val="20"/>
          <w:szCs w:val="20"/>
          <w:color w:val="auto"/>
        </w:rPr>
      </w:pPr>
    </w:p>
    <w:p>
      <w:pPr>
        <w:ind w:right="80" w:firstLine="878"/>
        <w:spacing w:after="0" w:line="269" w:lineRule="auto"/>
        <w:rPr>
          <w:sz w:val="20"/>
          <w:szCs w:val="20"/>
          <w:color w:val="auto"/>
        </w:rPr>
      </w:pPr>
      <w:r>
        <w:rPr>
          <w:rFonts w:ascii="Arial" w:cs="Arial" w:eastAsia="Arial" w:hAnsi="Arial"/>
          <w:sz w:val="17"/>
          <w:szCs w:val="17"/>
          <w:color w:val="auto"/>
        </w:rPr>
        <w:t>An expiration or termination of the Salesforce Agreement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the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1" w:lineRule="exact"/>
        <w:rPr>
          <w:sz w:val="20"/>
          <w:szCs w:val="20"/>
          <w:color w:val="auto"/>
        </w:rPr>
      </w:pPr>
    </w:p>
    <w:p>
      <w:pPr>
        <w:ind w:right="280" w:firstLine="878"/>
        <w:spacing w:after="0" w:line="266" w:lineRule="auto"/>
        <w:rPr>
          <w:sz w:val="20"/>
          <w:szCs w:val="20"/>
          <w:color w:val="auto"/>
        </w:rPr>
      </w:pPr>
      <w:r>
        <w:rPr>
          <w:rFonts w:ascii="Arial" w:cs="Arial" w:eastAsia="Arial" w:hAnsi="Arial"/>
          <w:sz w:val="18"/>
          <w:szCs w:val="18"/>
          <w:color w:val="auto"/>
        </w:rPr>
        <w:t>Furthermore, there are no exclusivity arrangements in place with Salesforce that would prevent them from developing their own offerings that compete directly with ours, acquiring a company with offerings similar to ours, or investing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greater resources in our competitors. While we believe our relationship with Salesforce is strong, Salesforce competing with us could materially and adversely affect our business and results of operations.</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79" w:lineRule="exact"/>
        <w:rPr>
          <w:sz w:val="20"/>
          <w:szCs w:val="20"/>
          <w:color w:val="auto"/>
        </w:rPr>
      </w:pPr>
    </w:p>
    <w:p>
      <w:pPr>
        <w:ind w:right="20" w:firstLine="878"/>
        <w:spacing w:after="0" w:line="294"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62" w:lineRule="exact"/>
        <w:rPr>
          <w:sz w:val="20"/>
          <w:szCs w:val="20"/>
          <w:color w:val="auto"/>
        </w:rPr>
      </w:pPr>
    </w:p>
    <w:p>
      <w:pPr>
        <w:ind w:right="20" w:firstLine="878"/>
        <w:spacing w:after="0" w:line="279" w:lineRule="auto"/>
        <w:rPr>
          <w:sz w:val="20"/>
          <w:szCs w:val="20"/>
          <w:color w:val="auto"/>
        </w:rPr>
      </w:pPr>
      <w:r>
        <w:rPr>
          <w:rFonts w:ascii="Arial" w:cs="Arial" w:eastAsia="Arial" w:hAnsi="Arial"/>
          <w:sz w:val="16"/>
          <w:szCs w:val="16"/>
          <w:color w:val="auto"/>
        </w:rPr>
        <w:t>We expect that there will continue to be new proposed and adopted laws, regulations, and industry standards concerning privacy, data protection, and information security in the United States, the EU, and other jurisdictions in which we operate. For instance, the California Consumer Privacy Act (CCPA) became effective on January 1, 2020. The CCPA 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civil penalties for violations, as well as a private right of action for data breaches that is expected to increase data breach litigation. Although there are exemptions for certain personal information and the CCPA’s implementation standards and enforcement practices are likely to remain uncertain for the foreseeable future, the CCPA may increase our compliance costs and potential legal privacy and cybersecurity risks. Additionally, a new California ballot initiative, the California Privacy Rights Act (CPRA), passed in November 2020.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been proposed in other states and at the federal level, and if passed, such laws will require additional resources to ensure compliance, and may have potentially conflicting requirements that would make compliance challenging.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In July 2020, the Court of Justice of the European Union (“CJEU”) issued its Schrems II decision that invalidated the EU-U.S. Privacy Shield Framework as set forth by the U.S. Department of Commerce that provided one basis for the transfer of personal data from the European Union to the United States under the GDPR. The CJEU decision also requires additional safeguards be considered for the use of standard contractual clauses. nCino participates in and has certified to the EU-U.S. Privacy Shield Framework, but is also implementing alternative transfer mechanisms, such as standard contractual clauses, following the Schrems II decision. We continue to evaluate the impact of the Schrems II decision and any additional steps needed to continue to safeguard data and comply with evolving data transfer requirements under applicable regulations and regulatory guidance. Additional GDPR interpretations and guidance have been and may continue to be issued related to the recent CJEU decision, as well as with regard to the GDPR and other European data protection requirements. These evolving legal and regulatory requirements may require us to modify our practices and policies and incur substantial costs and expenses in an effort to comply or to adjust to changes in the law or EU member state implementing legislation. The E.U. has also proposed the draft ePrivacy Regulation, which will replace both the ePrivacy Directive and all the national laws implementing this Directive. The ePrivacy Regulation, as proposed, would impose strict opt-in marketing rules, change rules about cookies, web beacons, and related technologies, and significantly increase penalties for violations. It would also retain the additional consent conditions under the EU GDPR. Such regulations may have a negative effect on businesses, including ours, that collect, process, and use personal data, including online usage information for consumer acquisition and marketing and may increase the potential civil liability and cost of operating a business that collects, processes, or uses such information and undertakes online marketing.</w:t>
      </w:r>
    </w:p>
    <w:p>
      <w:pPr>
        <w:spacing w:after="0" w:line="178"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firstLine="878"/>
        <w:spacing w:after="0" w:line="251"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9" w:lineRule="exact"/>
        <w:rPr>
          <w:sz w:val="20"/>
          <w:szCs w:val="20"/>
          <w:color w:val="auto"/>
        </w:rPr>
      </w:pPr>
    </w:p>
    <w:p>
      <w:pPr>
        <w:ind w:right="160" w:firstLine="878"/>
        <w:spacing w:after="0" w:line="269"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 in future quarters. Accordingly, the effect of significant downturns in sales or market acceptance of our solution may not be reflected in our results of operations until future periods.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9" w:lineRule="exact"/>
        <w:rPr>
          <w:sz w:val="20"/>
          <w:szCs w:val="20"/>
          <w:color w:val="auto"/>
        </w:rPr>
      </w:pPr>
    </w:p>
    <w:p>
      <w:pPr>
        <w:ind w:firstLine="878"/>
        <w:spacing w:after="0" w:line="282" w:lineRule="auto"/>
        <w:rPr>
          <w:sz w:val="20"/>
          <w:szCs w:val="20"/>
          <w:color w:val="auto"/>
        </w:rPr>
      </w:pPr>
      <w:r>
        <w:rPr>
          <w:rFonts w:ascii="Arial" w:cs="Arial" w:eastAsia="Arial" w:hAnsi="Arial"/>
          <w:sz w:val="16"/>
          <w:szCs w:val="16"/>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 banking applications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75"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9" w:lineRule="exact"/>
        <w:rPr>
          <w:sz w:val="20"/>
          <w:szCs w:val="20"/>
          <w:color w:val="auto"/>
        </w:rPr>
      </w:pPr>
    </w:p>
    <w:p>
      <w:pPr>
        <w:ind w:right="120" w:firstLine="878"/>
        <w:spacing w:after="0" w:line="290"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5" w:lineRule="exact"/>
        <w:rPr>
          <w:sz w:val="20"/>
          <w:szCs w:val="20"/>
          <w:color w:val="auto"/>
        </w:rPr>
      </w:pPr>
    </w:p>
    <w:p>
      <w:pPr>
        <w:ind w:right="60" w:firstLine="878"/>
        <w:spacing w:after="0" w:line="269" w:lineRule="auto"/>
        <w:rPr>
          <w:sz w:val="20"/>
          <w:szCs w:val="20"/>
          <w:color w:val="auto"/>
        </w:rPr>
      </w:pPr>
      <w:r>
        <w:rPr>
          <w:rFonts w:ascii="Arial" w:cs="Arial" w:eastAsia="Arial" w:hAnsi="Arial"/>
          <w:sz w:val="17"/>
          <w:szCs w:val="17"/>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81" w:lineRule="exact"/>
        <w:rPr>
          <w:sz w:val="20"/>
          <w:szCs w:val="20"/>
          <w:color w:val="auto"/>
        </w:rPr>
      </w:pPr>
    </w:p>
    <w:p>
      <w:pPr>
        <w:jc w:val="both"/>
        <w:ind w:right="100" w:firstLine="878"/>
        <w:spacing w:after="0" w:line="278" w:lineRule="auto"/>
        <w:rPr>
          <w:sz w:val="20"/>
          <w:szCs w:val="20"/>
          <w:color w:val="auto"/>
        </w:rPr>
      </w:pPr>
      <w:r>
        <w:rPr>
          <w:rFonts w:ascii="Arial" w:cs="Arial" w:eastAsia="Arial" w:hAnsi="Arial"/>
          <w:sz w:val="17"/>
          <w:szCs w:val="17"/>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Amazon Web Services ("AWS"), and other third parties, and any disruption in the operation of these facilities could adversely affect our business and subject us to liability.</w:t>
      </w:r>
    </w:p>
    <w:p>
      <w:pPr>
        <w:spacing w:after="0" w:line="179" w:lineRule="exact"/>
        <w:rPr>
          <w:sz w:val="20"/>
          <w:szCs w:val="20"/>
          <w:color w:val="auto"/>
        </w:rPr>
      </w:pPr>
    </w:p>
    <w:p>
      <w:pPr>
        <w:ind w:firstLine="878"/>
        <w:spacing w:after="0" w:line="253"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9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9" w:lineRule="exact"/>
        <w:rPr>
          <w:sz w:val="20"/>
          <w:szCs w:val="20"/>
          <w:color w:val="auto"/>
        </w:rPr>
      </w:pPr>
    </w:p>
    <w:p>
      <w:pPr>
        <w:ind w:right="40" w:firstLine="878"/>
        <w:spacing w:after="0" w:line="265" w:lineRule="auto"/>
        <w:rPr>
          <w:sz w:val="20"/>
          <w:szCs w:val="20"/>
          <w:color w:val="auto"/>
        </w:rPr>
      </w:pPr>
      <w:r>
        <w:rPr>
          <w:rFonts w:ascii="Arial" w:cs="Arial" w:eastAsia="Arial" w:hAnsi="Arial"/>
          <w:sz w:val="17"/>
          <w:szCs w:val="17"/>
          <w:color w:val="auto"/>
        </w:rPr>
        <w:t>From time to time, we consider potential strategic transactions, including acquisitions of, or investments in, businesses, technologies, services, solutions, and other assets. For example, in fiscal 2020, we acquired Visible Equity and FinSuite and established our nCino K.K. joint venture in Japan.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spacing w:after="0" w:line="185" w:lineRule="exact"/>
        <w:rPr>
          <w:sz w:val="20"/>
          <w:szCs w:val="20"/>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05"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18" w:lineRule="exact"/>
        <w:rPr>
          <w:rFonts w:ascii="Arial" w:cs="Arial" w:eastAsia="Arial" w:hAnsi="Arial"/>
          <w:sz w:val="18"/>
          <w:szCs w:val="18"/>
          <w:color w:val="auto"/>
        </w:rPr>
      </w:pPr>
    </w:p>
    <w:p>
      <w:pPr>
        <w:ind w:left="1280" w:right="380" w:hanging="316"/>
        <w:spacing w:after="0" w:line="266" w:lineRule="auto"/>
        <w:tabs>
          <w:tab w:leader="none" w:pos="1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solutions and infrastructure of the acquired business;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41" w:lineRule="exact"/>
        <w:rPr>
          <w:rFonts w:ascii="Arial" w:cs="Arial" w:eastAsia="Arial" w:hAnsi="Arial"/>
          <w:sz w:val="16"/>
          <w:szCs w:val="16"/>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18" w:lineRule="exact"/>
        <w:rPr>
          <w:sz w:val="20"/>
          <w:szCs w:val="20"/>
          <w:color w:val="auto"/>
        </w:rPr>
      </w:pPr>
    </w:p>
    <w:p>
      <w:pPr>
        <w:ind w:right="20" w:firstLine="878"/>
        <w:spacing w:after="0" w:line="266"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do not yield expected returns, we may be required to take charges to our operating results based on this impairment assessment process, which could adversely affect our results of operations.</w:t>
      </w:r>
    </w:p>
    <w:p>
      <w:pPr>
        <w:spacing w:after="0" w:line="179" w:lineRule="exact"/>
        <w:rPr>
          <w:sz w:val="20"/>
          <w:szCs w:val="20"/>
          <w:color w:val="auto"/>
        </w:rPr>
      </w:pPr>
    </w:p>
    <w:p>
      <w:pPr>
        <w:ind w:right="180"/>
        <w:spacing w:after="0" w:line="410" w:lineRule="auto"/>
        <w:rPr>
          <w:sz w:val="20"/>
          <w:szCs w:val="20"/>
          <w:color w:val="auto"/>
        </w:rPr>
      </w:pPr>
      <w:r>
        <w:rPr>
          <w:rFonts w:ascii="Arial" w:cs="Arial" w:eastAsia="Arial" w:hAnsi="Arial"/>
          <w:sz w:val="14"/>
          <w:szCs w:val="14"/>
          <w:b w:val="1"/>
          <w:bCs w:val="1"/>
          <w:i w:val="1"/>
          <w:iCs w:val="1"/>
          <w:color w:val="auto"/>
        </w:rPr>
        <w:t>Because two of our stockholders collectively hold a substantial amount of our total outstanding common stock, the influence of our public stockholders over significant corporate actions will be limited and sales by either of these stockholders could adversely affect the value of our common stock.</w:t>
      </w:r>
    </w:p>
    <w:p>
      <w:pPr>
        <w:spacing w:after="0" w:line="88" w:lineRule="exact"/>
        <w:rPr>
          <w:sz w:val="20"/>
          <w:szCs w:val="20"/>
          <w:color w:val="auto"/>
        </w:rPr>
      </w:pPr>
    </w:p>
    <w:p>
      <w:pPr>
        <w:ind w:right="80" w:firstLine="878"/>
        <w:spacing w:after="0" w:line="265" w:lineRule="auto"/>
        <w:rPr>
          <w:sz w:val="20"/>
          <w:szCs w:val="20"/>
          <w:color w:val="auto"/>
        </w:rPr>
      </w:pPr>
      <w:r>
        <w:rPr>
          <w:rFonts w:ascii="Arial" w:cs="Arial" w:eastAsia="Arial" w:hAnsi="Arial"/>
          <w:sz w:val="17"/>
          <w:szCs w:val="17"/>
          <w:color w:val="auto"/>
        </w:rPr>
        <w:t>Based on the total number of shares of our common stock outstanding as of January 31, 2021, entities affiliated with Insight Partners (“Insight Partners”) and Salesforce hold 33.3% and 10.6% of our total outstanding common stock, respectively. As a result, Insight Partners by itself, and to a lesser degree, Salesforce,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 Sales of our common stock by Insight or Salesforce could have an immediate and substantial adverse effect on the value of our common stock.</w:t>
      </w:r>
    </w:p>
    <w:p>
      <w:pPr>
        <w:spacing w:after="0" w:line="18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9" w:lineRule="exact"/>
        <w:rPr>
          <w:sz w:val="20"/>
          <w:szCs w:val="20"/>
          <w:color w:val="auto"/>
        </w:rPr>
      </w:pPr>
    </w:p>
    <w:p>
      <w:pPr>
        <w:ind w:firstLine="878"/>
        <w:spacing w:after="0" w:line="281"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have been, and expect to continue to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8" w:lineRule="exact"/>
        <w:rPr>
          <w:sz w:val="20"/>
          <w:szCs w:val="20"/>
          <w:color w:val="auto"/>
        </w:rPr>
      </w:pPr>
    </w:p>
    <w:p>
      <w:pPr>
        <w:ind w:right="220" w:firstLine="878"/>
        <w:spacing w:after="0" w:line="253"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9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i w:val="1"/>
          <w:iCs w:val="1"/>
          <w:color w:val="auto"/>
        </w:rPr>
        <w:t>Any legal proceedings against us could adversely affect our operations and prospects, damage our reputation, and be costly and time-consuming to defend.</w:t>
      </w:r>
    </w:p>
    <w:p>
      <w:pPr>
        <w:spacing w:after="0" w:line="179" w:lineRule="exact"/>
        <w:rPr>
          <w:sz w:val="20"/>
          <w:szCs w:val="20"/>
          <w:color w:val="auto"/>
        </w:rPr>
      </w:pPr>
    </w:p>
    <w:p>
      <w:pPr>
        <w:ind w:right="40" w:firstLine="878"/>
        <w:spacing w:after="0" w:line="266" w:lineRule="auto"/>
        <w:rPr>
          <w:sz w:val="20"/>
          <w:szCs w:val="20"/>
          <w:color w:val="auto"/>
        </w:rPr>
      </w:pPr>
      <w:r>
        <w:rPr>
          <w:rFonts w:ascii="Arial" w:cs="Arial" w:eastAsia="Arial" w:hAnsi="Arial"/>
          <w:sz w:val="17"/>
          <w:szCs w:val="17"/>
          <w:color w:val="auto"/>
        </w:rPr>
        <w:t>We are presently subject to a government investigation and a putative class action civil suit involving alleged violations of antitrust laws. We may, in the future, become subject, from time to time, to other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 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reducing our results of operations and leading analysts or potential investors to reduce their expectations of our performance, which could reduce the value of our common stock.</w:t>
      </w:r>
    </w:p>
    <w:p>
      <w:pPr>
        <w:spacing w:after="0" w:line="17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9" w:lineRule="exact"/>
        <w:rPr>
          <w:sz w:val="20"/>
          <w:szCs w:val="20"/>
          <w:color w:val="auto"/>
        </w:rPr>
      </w:pPr>
    </w:p>
    <w:p>
      <w:pPr>
        <w:ind w:right="60" w:firstLine="878"/>
        <w:spacing w:after="0" w:line="253" w:lineRule="auto"/>
        <w:rPr>
          <w:sz w:val="20"/>
          <w:szCs w:val="20"/>
          <w:color w:val="auto"/>
        </w:rPr>
      </w:pPr>
      <w:r>
        <w:rPr>
          <w:rFonts w:ascii="Arial" w:cs="Arial" w:eastAsia="Arial" w:hAnsi="Arial"/>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9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9" w:lineRule="exact"/>
        <w:rPr>
          <w:sz w:val="20"/>
          <w:szCs w:val="20"/>
          <w:color w:val="auto"/>
        </w:rPr>
      </w:pPr>
    </w:p>
    <w:p>
      <w:pPr>
        <w:ind w:right="20" w:firstLine="878"/>
        <w:spacing w:after="0" w:line="281" w:lineRule="auto"/>
        <w:rPr>
          <w:sz w:val="20"/>
          <w:szCs w:val="20"/>
          <w:color w:val="auto"/>
        </w:rPr>
      </w:pPr>
      <w:r>
        <w:rPr>
          <w:rFonts w:ascii="Arial" w:cs="Arial" w:eastAsia="Arial" w:hAnsi="Arial"/>
          <w:sz w:val="16"/>
          <w:szCs w:val="16"/>
          <w:color w:val="auto"/>
        </w:rPr>
        <w:t>We may face unexpected challenges related to the complexity of our customers’ implementation and configuration requirements. Implementation of our solution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 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9" w:lineRule="exact"/>
        <w:rPr>
          <w:sz w:val="20"/>
          <w:szCs w:val="20"/>
          <w:color w:val="auto"/>
        </w:rPr>
      </w:pPr>
    </w:p>
    <w:p>
      <w:pPr>
        <w:ind w:firstLine="878"/>
        <w:spacing w:after="0" w:line="264" w:lineRule="auto"/>
        <w:rPr>
          <w:sz w:val="20"/>
          <w:szCs w:val="20"/>
          <w:color w:val="auto"/>
        </w:rPr>
      </w:pPr>
      <w:r>
        <w:rPr>
          <w:rFonts w:ascii="Arial" w:cs="Arial" w:eastAsia="Arial" w:hAnsi="Arial"/>
          <w:sz w:val="17"/>
          <w:szCs w:val="17"/>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$91.5 million for fiscal 2019 to $138.2 million for fiscal 2020 to $204.3 million for fiscal 2021. Our total number of employees increased from 436 as of January 31, 2018 to 1,115 as of January 31, 2021.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8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9" w:lineRule="exact"/>
        <w:rPr>
          <w:sz w:val="20"/>
          <w:szCs w:val="20"/>
          <w:color w:val="auto"/>
        </w:rPr>
      </w:pPr>
    </w:p>
    <w:p>
      <w:pPr>
        <w:ind w:right="140" w:firstLine="878"/>
        <w:spacing w:after="0" w:line="253" w:lineRule="auto"/>
        <w:rPr>
          <w:sz w:val="20"/>
          <w:szCs w:val="20"/>
          <w:color w:val="auto"/>
        </w:rPr>
      </w:pPr>
      <w:r>
        <w:rPr>
          <w:rFonts w:ascii="Arial" w:cs="Arial" w:eastAsia="Arial" w:hAnsi="Arial"/>
          <w:sz w:val="18"/>
          <w:szCs w:val="18"/>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19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9" w:lineRule="exact"/>
        <w:rPr>
          <w:sz w:val="20"/>
          <w:szCs w:val="20"/>
          <w:color w:val="auto"/>
        </w:rPr>
      </w:pPr>
    </w:p>
    <w:p>
      <w:pPr>
        <w:ind w:firstLine="878"/>
        <w:spacing w:after="0" w:line="283" w:lineRule="auto"/>
        <w:rPr>
          <w:sz w:val="20"/>
          <w:szCs w:val="20"/>
          <w:color w:val="auto"/>
        </w:rPr>
      </w:pPr>
      <w:r>
        <w:rPr>
          <w:rFonts w:ascii="Arial" w:cs="Arial" w:eastAsia="Arial" w:hAnsi="Arial"/>
          <w:sz w:val="16"/>
          <w:szCs w:val="16"/>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7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54" w:lineRule="exact"/>
        <w:rPr>
          <w:sz w:val="20"/>
          <w:szCs w:val="20"/>
          <w:color w:val="auto"/>
        </w:rPr>
      </w:pPr>
    </w:p>
    <w:p>
      <w:pPr>
        <w:ind w:right="40" w:firstLine="878"/>
        <w:spacing w:after="0" w:line="284" w:lineRule="auto"/>
        <w:rPr>
          <w:sz w:val="20"/>
          <w:szCs w:val="20"/>
          <w:color w:val="auto"/>
        </w:rPr>
      </w:pPr>
      <w:r>
        <w:rPr>
          <w:rFonts w:ascii="Arial" w:cs="Arial" w:eastAsia="Arial" w:hAnsi="Arial"/>
          <w:sz w:val="16"/>
          <w:szCs w:val="16"/>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6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9" w:lineRule="exact"/>
        <w:rPr>
          <w:sz w:val="20"/>
          <w:szCs w:val="20"/>
          <w:color w:val="auto"/>
        </w:rPr>
      </w:pPr>
    </w:p>
    <w:p>
      <w:pPr>
        <w:ind w:firstLine="878"/>
        <w:spacing w:after="0" w:line="290" w:lineRule="auto"/>
        <w:rPr>
          <w:sz w:val="20"/>
          <w:szCs w:val="20"/>
          <w:color w:val="auto"/>
        </w:rPr>
      </w:pPr>
      <w:r>
        <w:rPr>
          <w:rFonts w:ascii="Arial" w:cs="Arial" w:eastAsia="Arial" w:hAnsi="Arial"/>
          <w:sz w:val="16"/>
          <w:szCs w:val="16"/>
          <w:color w:val="auto"/>
        </w:rPr>
        <w:t>For the fiscal years ended January 31, 2020 and 2021, sales to customers outside the United States accounted for 8.0% and 11.4%, respectively,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65" w:lineRule="exact"/>
        <w:rPr>
          <w:sz w:val="20"/>
          <w:szCs w:val="20"/>
          <w:color w:val="auto"/>
        </w:rPr>
      </w:pPr>
    </w:p>
    <w:p>
      <w:pPr>
        <w:ind w:firstLine="878"/>
        <w:spacing w:after="0" w:line="294" w:lineRule="auto"/>
        <w:rPr>
          <w:sz w:val="20"/>
          <w:szCs w:val="20"/>
          <w:color w:val="auto"/>
        </w:rPr>
      </w:pPr>
      <w:r>
        <w:rPr>
          <w:rFonts w:ascii="Arial" w:cs="Arial" w:eastAsia="Arial" w:hAnsi="Arial"/>
          <w:sz w:val="16"/>
          <w:szCs w:val="16"/>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filing of an encryption registration. Changes in 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9"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18" w:lineRule="exact"/>
        <w:rPr>
          <w:sz w:val="20"/>
          <w:szCs w:val="20"/>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05"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18" w:lineRule="exact"/>
        <w:rPr>
          <w:rFonts w:ascii="Arial" w:cs="Arial" w:eastAsia="Arial" w:hAnsi="Arial"/>
          <w:sz w:val="18"/>
          <w:szCs w:val="18"/>
          <w:color w:val="auto"/>
        </w:rPr>
      </w:pPr>
    </w:p>
    <w:p>
      <w:pPr>
        <w:ind w:left="1280" w:right="120" w:hanging="316"/>
        <w:spacing w:after="0" w:line="266" w:lineRule="auto"/>
        <w:tabs>
          <w:tab w:leader="none" w:pos="1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18" w:lineRule="exact"/>
        <w:rPr>
          <w:rFonts w:ascii="Arial" w:cs="Arial" w:eastAsia="Arial" w:hAnsi="Arial"/>
          <w:sz w:val="18"/>
          <w:szCs w:val="18"/>
          <w:color w:val="auto"/>
        </w:rPr>
      </w:pPr>
    </w:p>
    <w:p>
      <w:pPr>
        <w:ind w:left="1280" w:right="540" w:hanging="316"/>
        <w:spacing w:after="0" w:line="266" w:lineRule="auto"/>
        <w:tabs>
          <w:tab w:leader="none" w:pos="1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18" w:lineRule="exact"/>
        <w:rPr>
          <w:sz w:val="20"/>
          <w:szCs w:val="20"/>
          <w:color w:val="auto"/>
        </w:rPr>
      </w:pPr>
    </w:p>
    <w:p>
      <w:pPr>
        <w:ind w:right="160" w:firstLine="878"/>
        <w:spacing w:after="0" w:line="278" w:lineRule="auto"/>
        <w:rPr>
          <w:sz w:val="20"/>
          <w:szCs w:val="20"/>
          <w:color w:val="auto"/>
        </w:rPr>
      </w:pPr>
      <w:r>
        <w:rPr>
          <w:rFonts w:ascii="Arial" w:cs="Arial" w:eastAsia="Arial" w:hAnsi="Arial"/>
          <w:sz w:val="17"/>
          <w:szCs w:val="17"/>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18"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18" w:lineRule="exact"/>
        <w:rPr>
          <w:sz w:val="20"/>
          <w:szCs w:val="20"/>
          <w:color w:val="auto"/>
        </w:rPr>
      </w:pPr>
    </w:p>
    <w:p>
      <w:pPr>
        <w:ind w:right="20" w:firstLine="878"/>
        <w:spacing w:after="0" w:line="286"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January 31, 2020 to January 31, 2021, our sales and marketing teams increased from 221 to 258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9"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81"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56" w:lineRule="exact"/>
        <w:rPr>
          <w:sz w:val="20"/>
          <w:szCs w:val="20"/>
          <w:color w:val="auto"/>
        </w:rPr>
      </w:pPr>
    </w:p>
    <w:p>
      <w:pPr>
        <w:ind w:right="60" w:firstLine="878"/>
        <w:spacing w:after="0" w:line="290" w:lineRule="auto"/>
        <w:rPr>
          <w:sz w:val="20"/>
          <w:szCs w:val="20"/>
          <w:color w:val="auto"/>
        </w:rPr>
      </w:pPr>
      <w:r>
        <w:rPr>
          <w:rFonts w:ascii="Arial" w:cs="Arial" w:eastAsia="Arial" w:hAnsi="Arial"/>
          <w:sz w:val="16"/>
          <w:szCs w:val="16"/>
          <w:color w:val="auto"/>
        </w:rPr>
        <w:t>The nCino Bank Operating System integrates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18" w:lineRule="exact"/>
        <w:rPr>
          <w:sz w:val="20"/>
          <w:szCs w:val="20"/>
          <w:color w:val="auto"/>
        </w:rPr>
      </w:pPr>
    </w:p>
    <w:p>
      <w:pPr>
        <w:ind w:firstLine="878"/>
        <w:spacing w:after="0" w:line="249" w:lineRule="auto"/>
        <w:rPr>
          <w:sz w:val="20"/>
          <w:szCs w:val="20"/>
          <w:color w:val="auto"/>
        </w:rPr>
      </w:pPr>
      <w:r>
        <w:rPr>
          <w:rFonts w:ascii="Arial" w:cs="Arial" w:eastAsia="Arial" w:hAnsi="Arial"/>
          <w:sz w:val="18"/>
          <w:szCs w:val="18"/>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adversely affect our business and results of operations.</w:t>
      </w:r>
    </w:p>
    <w:p>
      <w:pPr>
        <w:spacing w:after="0" w:line="230" w:lineRule="exact"/>
        <w:rPr>
          <w:sz w:val="20"/>
          <w:szCs w:val="20"/>
          <w:color w:val="auto"/>
        </w:rPr>
      </w:pPr>
    </w:p>
    <w:p>
      <w:pPr>
        <w:jc w:val="both"/>
        <w:ind w:right="260" w:firstLine="878"/>
        <w:spacing w:after="0" w:line="303"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54" w:lineRule="exact"/>
        <w:rPr>
          <w:sz w:val="20"/>
          <w:szCs w:val="20"/>
          <w:color w:val="auto"/>
        </w:rPr>
      </w:pPr>
    </w:p>
    <w:p>
      <w:pPr>
        <w:ind w:right="100" w:firstLine="878"/>
        <w:spacing w:after="0" w:line="266" w:lineRule="auto"/>
        <w:rPr>
          <w:sz w:val="20"/>
          <w:szCs w:val="20"/>
          <w:color w:val="auto"/>
        </w:rPr>
      </w:pPr>
      <w:r>
        <w:rPr>
          <w:rFonts w:ascii="Arial" w:cs="Arial" w:eastAsia="Arial" w:hAnsi="Arial"/>
          <w:sz w:val="18"/>
          <w:szCs w:val="18"/>
          <w:color w:val="auto"/>
        </w:rPr>
        <w:t>As of January 31, 2021, we had 12 issued patents and one patent application pending relating to the nCino Bank Operating System in the United States. We cannot assure you that any patents will issue from any patent applications, that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5" w:lineRule="exact"/>
        <w:rPr>
          <w:sz w:val="20"/>
          <w:szCs w:val="20"/>
          <w:color w:val="auto"/>
        </w:rPr>
      </w:pPr>
    </w:p>
    <w:p>
      <w:pPr>
        <w:ind w:right="80" w:firstLine="878"/>
        <w:spacing w:after="0" w:line="284"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173" w:lineRule="exact"/>
        <w:rPr>
          <w:sz w:val="20"/>
          <w:szCs w:val="20"/>
          <w:color w:val="auto"/>
        </w:rPr>
      </w:pPr>
    </w:p>
    <w:p>
      <w:pPr>
        <w:ind w:right="440"/>
        <w:spacing w:after="0" w:line="329"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34" w:lineRule="exact"/>
        <w:rPr>
          <w:sz w:val="20"/>
          <w:szCs w:val="20"/>
          <w:color w:val="auto"/>
        </w:rPr>
      </w:pPr>
    </w:p>
    <w:p>
      <w:pPr>
        <w:ind w:right="40" w:firstLine="878"/>
        <w:spacing w:after="0" w:line="250" w:lineRule="auto"/>
        <w:rPr>
          <w:sz w:val="20"/>
          <w:szCs w:val="20"/>
          <w:color w:val="auto"/>
        </w:rPr>
      </w:pPr>
      <w:r>
        <w:rPr>
          <w:rFonts w:ascii="Arial" w:cs="Arial" w:eastAsia="Arial" w:hAnsi="Arial"/>
          <w:sz w:val="18"/>
          <w:szCs w:val="18"/>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96" w:lineRule="exact"/>
        <w:rPr>
          <w:sz w:val="20"/>
          <w:szCs w:val="20"/>
          <w:color w:val="auto"/>
        </w:rPr>
      </w:pPr>
    </w:p>
    <w:p>
      <w:pPr>
        <w:ind w:right="20" w:firstLine="878"/>
        <w:spacing w:after="0" w:line="284" w:lineRule="auto"/>
        <w:rPr>
          <w:sz w:val="20"/>
          <w:szCs w:val="20"/>
          <w:color w:val="auto"/>
        </w:rPr>
      </w:pPr>
      <w:r>
        <w:rPr>
          <w:rFonts w:ascii="Arial" w:cs="Arial" w:eastAsia="Arial" w:hAnsi="Arial"/>
          <w:sz w:val="16"/>
          <w:szCs w:val="16"/>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7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9"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can be no assurance that we will successfully defend third-party intellectual property claims. An adverse outcome of a dispute may require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us to:</w:t>
      </w:r>
    </w:p>
    <w:p>
      <w:pPr>
        <w:spacing w:after="0" w:line="207" w:lineRule="exact"/>
        <w:rPr>
          <w:sz w:val="20"/>
          <w:szCs w:val="20"/>
          <w:color w:val="auto"/>
        </w:rPr>
      </w:pPr>
    </w:p>
    <w:p>
      <w:pPr>
        <w:ind w:left="1280" w:hanging="316"/>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 substantial damages, including treble damages, if we are found to have willfully infringed a third party’s patents or copyrights;</w:t>
      </w:r>
    </w:p>
    <w:p>
      <w:pPr>
        <w:spacing w:after="0" w:line="216" w:lineRule="exact"/>
        <w:rPr>
          <w:rFonts w:ascii="Arial" w:cs="Arial" w:eastAsia="Arial" w:hAnsi="Arial"/>
          <w:sz w:val="17"/>
          <w:szCs w:val="17"/>
          <w:color w:val="auto"/>
        </w:rPr>
      </w:pPr>
    </w:p>
    <w:p>
      <w:pPr>
        <w:ind w:left="1280" w:right="80" w:hanging="316"/>
        <w:spacing w:after="0" w:line="266"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179" w:lineRule="exact"/>
        <w:rPr>
          <w:rFonts w:ascii="Arial" w:cs="Arial" w:eastAsia="Arial" w:hAnsi="Arial"/>
          <w:sz w:val="18"/>
          <w:szCs w:val="18"/>
          <w:color w:val="auto"/>
        </w:rPr>
      </w:pPr>
    </w:p>
    <w:p>
      <w:pPr>
        <w:ind w:left="1280" w:right="400" w:hanging="316"/>
        <w:spacing w:after="0" w:line="266"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179" w:lineRule="exact"/>
        <w:rPr>
          <w:rFonts w:ascii="Arial" w:cs="Arial" w:eastAsia="Arial" w:hAnsi="Arial"/>
          <w:sz w:val="18"/>
          <w:szCs w:val="18"/>
          <w:color w:val="auto"/>
        </w:rPr>
      </w:pPr>
    </w:p>
    <w:p>
      <w:pPr>
        <w:ind w:left="1280" w:right="240" w:hanging="316"/>
        <w:spacing w:after="0" w:line="266"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18" w:lineRule="exact"/>
        <w:rPr>
          <w:sz w:val="20"/>
          <w:szCs w:val="20"/>
          <w:color w:val="auto"/>
        </w:rPr>
      </w:pPr>
    </w:p>
    <w:p>
      <w:pPr>
        <w:ind w:right="700" w:firstLine="878"/>
        <w:spacing w:after="0" w:line="296"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9" w:lineRule="exact"/>
        <w:rPr>
          <w:sz w:val="20"/>
          <w:szCs w:val="20"/>
          <w:color w:val="auto"/>
        </w:rPr>
      </w:pPr>
    </w:p>
    <w:p>
      <w:pPr>
        <w:ind w:right="20" w:firstLine="878"/>
        <w:spacing w:after="0" w:line="265" w:lineRule="auto"/>
        <w:rPr>
          <w:sz w:val="20"/>
          <w:szCs w:val="20"/>
          <w:color w:val="auto"/>
        </w:rPr>
      </w:pPr>
      <w:r>
        <w:rPr>
          <w:rFonts w:ascii="Arial" w:cs="Arial" w:eastAsia="Arial" w:hAnsi="Arial"/>
          <w:sz w:val="17"/>
          <w:szCs w:val="17"/>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 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18" w:lineRule="exact"/>
        <w:rPr>
          <w:sz w:val="20"/>
          <w:szCs w:val="20"/>
          <w:color w:val="auto"/>
        </w:rPr>
      </w:pPr>
    </w:p>
    <w:p>
      <w:pPr>
        <w:ind w:firstLine="878"/>
        <w:spacing w:after="0" w:line="283" w:lineRule="auto"/>
        <w:rPr>
          <w:sz w:val="20"/>
          <w:szCs w:val="20"/>
          <w:color w:val="auto"/>
        </w:rPr>
      </w:pPr>
      <w:r>
        <w:rPr>
          <w:rFonts w:ascii="Arial" w:cs="Arial" w:eastAsia="Arial" w:hAnsi="Arial"/>
          <w:sz w:val="16"/>
          <w:szCs w:val="16"/>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tax years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pre-change tax attributes and any net unrealized built-in losses to offset its post-change taxable income or taxes may be limited. The applicable rules generally operate by focusing on changes in ownership among stockholders considered by the rules 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pre-change tax attributes or deductions to offset our future taxable income, if any.</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9" w:lineRule="exact"/>
        <w:rPr>
          <w:sz w:val="20"/>
          <w:szCs w:val="20"/>
          <w:color w:val="auto"/>
        </w:rPr>
      </w:pPr>
    </w:p>
    <w:p>
      <w:pPr>
        <w:ind w:firstLine="878"/>
        <w:spacing w:after="0" w:line="282"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the CARES Act was signed into law,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and CARES Act still require guidance through the issuance and/or finalization of regulations by the U.S. Treasury Department in order to fully assess their effects, and there may be substantial delays before such regulations are promulgated and/or finalized, increasing the uncertainty as to the ultimate effects of the Tax Cuts and Jobs Act and CARES Act on us and our stockholders. There also may be technical corrections legislation or other legislative changes proposed with respect to the Tax Cuts and Jobs Act and CARES Act, the effects of which cannot be predicted and may be adverse to us or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79" w:lineRule="exact"/>
        <w:rPr>
          <w:sz w:val="20"/>
          <w:szCs w:val="20"/>
          <w:color w:val="auto"/>
        </w:rPr>
      </w:pPr>
    </w:p>
    <w:p>
      <w:pPr>
        <w:ind w:right="320" w:firstLine="878"/>
        <w:spacing w:after="0" w:line="266"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79" w:lineRule="exact"/>
        <w:rPr>
          <w:sz w:val="20"/>
          <w:szCs w:val="20"/>
          <w:color w:val="auto"/>
        </w:rPr>
      </w:pPr>
    </w:p>
    <w:p>
      <w:pPr>
        <w:ind w:left="1280" w:hanging="316"/>
        <w:spacing w:after="0"/>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variations between our actual operating results and the expectations of securities analysts, investors, and the financial community;</w:t>
      </w:r>
    </w:p>
    <w:p>
      <w:pPr>
        <w:spacing w:after="0" w:line="216" w:lineRule="exact"/>
        <w:rPr>
          <w:rFonts w:ascii="Arial" w:cs="Arial" w:eastAsia="Arial" w:hAnsi="Arial"/>
          <w:sz w:val="17"/>
          <w:szCs w:val="17"/>
          <w:color w:val="auto"/>
        </w:rPr>
      </w:pPr>
    </w:p>
    <w:p>
      <w:pPr>
        <w:ind w:left="1280" w:right="20" w:hanging="316"/>
        <w:spacing w:after="0" w:line="266" w:lineRule="auto"/>
        <w:tabs>
          <w:tab w:leader="none" w:pos="1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79" w:lineRule="exact"/>
        <w:rPr>
          <w:rFonts w:ascii="Arial" w:cs="Arial" w:eastAsia="Arial" w:hAnsi="Arial"/>
          <w:sz w:val="18"/>
          <w:szCs w:val="18"/>
          <w:color w:val="auto"/>
        </w:rPr>
      </w:pPr>
    </w:p>
    <w:p>
      <w:pPr>
        <w:ind w:left="1280" w:right="180" w:hanging="316"/>
        <w:spacing w:after="0" w:line="266" w:lineRule="auto"/>
        <w:tabs>
          <w:tab w:leader="none" w:pos="1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additional shares of our common stock being sold into the market by us or our existing stockholders, or the anticipation of such sales;</w:t>
      </w:r>
    </w:p>
    <w:p>
      <w:pPr>
        <w:spacing w:after="0" w:line="241" w:lineRule="exact"/>
        <w:rPr>
          <w:rFonts w:ascii="Arial" w:cs="Arial" w:eastAsia="Arial" w:hAnsi="Arial"/>
          <w:sz w:val="16"/>
          <w:szCs w:val="16"/>
          <w:color w:val="auto"/>
        </w:rPr>
      </w:pPr>
    </w:p>
    <w:p>
      <w:pPr>
        <w:ind w:left="1280" w:hanging="3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218" w:lineRule="exact"/>
        <w:rPr>
          <w:rFonts w:ascii="Arial" w:cs="Arial" w:eastAsia="Arial" w:hAnsi="Arial"/>
          <w:sz w:val="18"/>
          <w:szCs w:val="18"/>
          <w:color w:val="auto"/>
        </w:rPr>
      </w:pPr>
    </w:p>
    <w:p>
      <w:pPr>
        <w:ind w:left="1280" w:right="80" w:hanging="316"/>
        <w:spacing w:after="0" w:line="266" w:lineRule="auto"/>
        <w:tabs>
          <w:tab w:leader="none" w:pos="1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400" w:hanging="316"/>
        <w:spacing w:after="0" w:line="266" w:lineRule="auto"/>
        <w:tabs>
          <w:tab w:leader="none" w:pos="12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79" w:lineRule="exact"/>
        <w:rPr>
          <w:rFonts w:ascii="Arial" w:cs="Arial" w:eastAsia="Arial" w:hAnsi="Arial"/>
          <w:sz w:val="18"/>
          <w:szCs w:val="18"/>
          <w:color w:val="auto"/>
        </w:rPr>
      </w:pPr>
    </w:p>
    <w:p>
      <w:pPr>
        <w:ind w:left="1280" w:right="340" w:hanging="316"/>
        <w:spacing w:after="0" w:line="266" w:lineRule="auto"/>
        <w:tabs>
          <w:tab w:leader="none" w:pos="12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9"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78" w:lineRule="exact"/>
        <w:rPr>
          <w:sz w:val="20"/>
          <w:szCs w:val="20"/>
          <w:color w:val="auto"/>
        </w:rPr>
      </w:pPr>
    </w:p>
    <w:p>
      <w:pPr>
        <w:ind w:right="40" w:firstLine="878"/>
        <w:spacing w:after="0" w:line="250"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6" w:lineRule="exact"/>
        <w:rPr>
          <w:sz w:val="20"/>
          <w:szCs w:val="20"/>
          <w:color w:val="auto"/>
        </w:rPr>
      </w:pPr>
    </w:p>
    <w:p>
      <w:pPr>
        <w:ind w:right="800"/>
        <w:spacing w:after="0" w:line="26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9" w:lineRule="exact"/>
        <w:rPr>
          <w:sz w:val="20"/>
          <w:szCs w:val="20"/>
          <w:color w:val="auto"/>
        </w:rPr>
      </w:pPr>
    </w:p>
    <w:p>
      <w:pPr>
        <w:ind w:right="120" w:firstLine="878"/>
        <w:spacing w:after="0" w:line="272"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0" w:lineRule="exact"/>
        <w:rPr>
          <w:sz w:val="20"/>
          <w:szCs w:val="20"/>
          <w:color w:val="auto"/>
        </w:rPr>
      </w:pPr>
    </w:p>
    <w:p>
      <w:pPr>
        <w:ind w:right="140" w:firstLine="878"/>
        <w:spacing w:after="0" w:line="268"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7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79" w:lineRule="exact"/>
        <w:rPr>
          <w:sz w:val="20"/>
          <w:szCs w:val="20"/>
          <w:color w:val="auto"/>
        </w:rPr>
      </w:pPr>
    </w:p>
    <w:p>
      <w:pPr>
        <w:ind w:right="20" w:firstLine="878"/>
        <w:spacing w:after="0" w:line="256" w:lineRule="auto"/>
        <w:rPr>
          <w:sz w:val="20"/>
          <w:szCs w:val="20"/>
          <w:color w:val="auto"/>
        </w:rPr>
      </w:pPr>
      <w:r>
        <w:rPr>
          <w:rFonts w:ascii="Arial" w:cs="Arial" w:eastAsia="Arial" w:hAnsi="Arial"/>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89" w:lineRule="exact"/>
        <w:rPr>
          <w:sz w:val="20"/>
          <w:szCs w:val="20"/>
          <w:color w:val="auto"/>
        </w:rPr>
      </w:pPr>
    </w:p>
    <w:p>
      <w:pPr>
        <w:ind w:left="1280" w:hanging="316"/>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05" w:lineRule="exact"/>
        <w:rPr>
          <w:rFonts w:ascii="Arial" w:cs="Arial" w:eastAsia="Arial" w:hAnsi="Arial"/>
          <w:sz w:val="18"/>
          <w:szCs w:val="18"/>
          <w:color w:val="auto"/>
        </w:rPr>
      </w:pPr>
    </w:p>
    <w:p>
      <w:pPr>
        <w:ind w:left="1280" w:hanging="316"/>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bylaws;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hanging="316"/>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230" w:lineRule="exact"/>
        <w:rPr>
          <w:rFonts w:ascii="Arial" w:cs="Arial" w:eastAsia="Arial" w:hAnsi="Arial"/>
          <w:sz w:val="17"/>
          <w:szCs w:val="17"/>
          <w:color w:val="auto"/>
        </w:rPr>
      </w:pPr>
    </w:p>
    <w:p>
      <w:pPr>
        <w:ind w:left="1280" w:hanging="316"/>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230" w:lineRule="exact"/>
        <w:rPr>
          <w:rFonts w:ascii="Arial" w:cs="Arial" w:eastAsia="Arial" w:hAnsi="Arial"/>
          <w:sz w:val="17"/>
          <w:szCs w:val="17"/>
          <w:color w:val="auto"/>
        </w:rPr>
      </w:pPr>
    </w:p>
    <w:p>
      <w:pPr>
        <w:ind w:left="1280" w:hanging="316"/>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18" w:lineRule="exact"/>
        <w:rPr>
          <w:rFonts w:ascii="Arial" w:cs="Arial" w:eastAsia="Arial" w:hAnsi="Arial"/>
          <w:sz w:val="18"/>
          <w:szCs w:val="18"/>
          <w:color w:val="auto"/>
        </w:rPr>
      </w:pPr>
    </w:p>
    <w:p>
      <w:pPr>
        <w:ind w:left="1280" w:right="40" w:hanging="316"/>
        <w:spacing w:after="0" w:line="266" w:lineRule="auto"/>
        <w:tabs>
          <w:tab w:leader="none" w:pos="1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9" w:lineRule="exact"/>
        <w:rPr>
          <w:sz w:val="20"/>
          <w:szCs w:val="20"/>
          <w:color w:val="auto"/>
        </w:rPr>
      </w:pPr>
    </w:p>
    <w:p>
      <w:pPr>
        <w:jc w:val="both"/>
        <w:ind w:right="120" w:firstLine="878"/>
        <w:spacing w:after="0" w:line="256" w:lineRule="auto"/>
        <w:rPr>
          <w:sz w:val="20"/>
          <w:szCs w:val="20"/>
          <w:color w:val="auto"/>
        </w:rPr>
      </w:pPr>
      <w:r>
        <w:rPr>
          <w:rFonts w:ascii="Arial" w:cs="Arial" w:eastAsia="Arial" w:hAnsi="Arial"/>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9"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81" w:lineRule="exact"/>
        <w:rPr>
          <w:sz w:val="20"/>
          <w:szCs w:val="20"/>
          <w:color w:val="auto"/>
        </w:rPr>
      </w:pPr>
    </w:p>
    <w:p>
      <w:pPr>
        <w:ind w:right="180" w:firstLine="878"/>
        <w:spacing w:after="0" w:line="296" w:lineRule="auto"/>
        <w:rPr>
          <w:sz w:val="20"/>
          <w:szCs w:val="20"/>
          <w:color w:val="auto"/>
        </w:rPr>
      </w:pPr>
      <w:r>
        <w:rPr>
          <w:rFonts w:ascii="Arial" w:cs="Arial" w:eastAsia="Arial" w:hAnsi="Arial"/>
          <w:sz w:val="17"/>
          <w:szCs w:val="17"/>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56" w:lineRule="exact"/>
        <w:rPr>
          <w:sz w:val="20"/>
          <w:szCs w:val="20"/>
          <w:color w:val="auto"/>
        </w:rPr>
      </w:pPr>
    </w:p>
    <w:p>
      <w:pPr>
        <w:ind w:right="40" w:firstLine="878"/>
        <w:spacing w:after="0" w:line="294"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62" w:lineRule="exact"/>
        <w:rPr>
          <w:sz w:val="20"/>
          <w:szCs w:val="20"/>
          <w:color w:val="auto"/>
        </w:rPr>
      </w:pPr>
    </w:p>
    <w:p>
      <w:pPr>
        <w:ind w:right="40" w:firstLine="878"/>
        <w:spacing w:after="0" w:line="290"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 or weakened economic conditions, including as a result of COVID-19, may adversely affect our industry, business, and results of operations.</w:t>
      </w:r>
    </w:p>
    <w:p>
      <w:pPr>
        <w:spacing w:after="0" w:line="264" w:lineRule="exact"/>
        <w:rPr>
          <w:sz w:val="20"/>
          <w:szCs w:val="20"/>
          <w:color w:val="auto"/>
        </w:rPr>
      </w:pPr>
    </w:p>
    <w:p>
      <w:pPr>
        <w:ind w:right="400" w:firstLine="878"/>
        <w:spacing w:after="0" w:line="266" w:lineRule="auto"/>
        <w:rPr>
          <w:sz w:val="20"/>
          <w:szCs w:val="20"/>
          <w:color w:val="auto"/>
        </w:rPr>
      </w:pPr>
      <w:r>
        <w:rPr>
          <w:rFonts w:ascii="Arial" w:cs="Arial" w:eastAsia="Arial" w:hAnsi="Arial"/>
          <w:sz w:val="18"/>
          <w:szCs w:val="18"/>
          <w:color w:val="auto"/>
        </w:rPr>
        <w:t>Our overall performance depends on economic conditions, which may be challenging at various times in the future. Financial developments seemingly unrelated to us or our industry may adversely affect us. Domestic and international</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7" w:lineRule="exact"/>
        <w:rPr>
          <w:sz w:val="20"/>
          <w:szCs w:val="20"/>
          <w:color w:val="auto"/>
        </w:rPr>
      </w:pPr>
    </w:p>
    <w:p>
      <w:pPr>
        <w:ind w:right="140" w:firstLine="878"/>
        <w:spacing w:after="0" w:line="256" w:lineRule="auto"/>
        <w:rPr>
          <w:sz w:val="20"/>
          <w:szCs w:val="20"/>
          <w:color w:val="auto"/>
        </w:rPr>
      </w:pPr>
      <w:r>
        <w:rPr>
          <w:rFonts w:ascii="Arial" w:cs="Arial" w:eastAsia="Arial" w:hAnsi="Arial"/>
          <w:sz w:val="18"/>
          <w:szCs w:val="18"/>
          <w:color w:val="auto"/>
        </w:rPr>
        <w:t>The COVID-19 pandemic has also caused us to continue to impose restrictions on our normal business practices. Among other effects, substantially, all of our employees are working remote, our conferences and other marketing events continue to be virtual, and we have limited work-related travel.</w:t>
      </w:r>
    </w:p>
    <w:p>
      <w:pPr>
        <w:spacing w:after="0" w:line="189"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9" w:lineRule="exact"/>
        <w:rPr>
          <w:sz w:val="20"/>
          <w:szCs w:val="20"/>
          <w:color w:val="auto"/>
        </w:rPr>
      </w:pPr>
    </w:p>
    <w:p>
      <w:pPr>
        <w:ind w:right="20" w:firstLine="878"/>
        <w:spacing w:after="0" w:line="281"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9" w:lineRule="exact"/>
        <w:rPr>
          <w:sz w:val="20"/>
          <w:szCs w:val="20"/>
          <w:color w:val="auto"/>
        </w:rPr>
      </w:pPr>
    </w:p>
    <w:p>
      <w:pPr>
        <w:ind w:firstLine="878"/>
        <w:spacing w:after="0" w:line="290" w:lineRule="auto"/>
        <w:rPr>
          <w:sz w:val="20"/>
          <w:szCs w:val="20"/>
          <w:color w:val="auto"/>
        </w:rPr>
      </w:pPr>
      <w:r>
        <w:rPr>
          <w:rFonts w:ascii="Arial" w:cs="Arial" w:eastAsia="Arial" w:hAnsi="Arial"/>
          <w:sz w:val="16"/>
          <w:szCs w:val="16"/>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79" w:lineRule="exact"/>
        <w:rPr>
          <w:sz w:val="20"/>
          <w:szCs w:val="20"/>
          <w:color w:val="auto"/>
        </w:rPr>
      </w:pPr>
    </w:p>
    <w:p>
      <w:pPr>
        <w:ind w:right="240" w:firstLine="878"/>
        <w:spacing w:after="0" w:line="329"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34" w:lineRule="exact"/>
        <w:rPr>
          <w:sz w:val="20"/>
          <w:szCs w:val="20"/>
          <w:color w:val="auto"/>
        </w:rPr>
      </w:pPr>
    </w:p>
    <w:p>
      <w:pPr>
        <w:ind w:left="1280" w:right="520" w:hanging="316"/>
        <w:spacing w:after="0" w:line="250" w:lineRule="auto"/>
        <w:tabs>
          <w:tab w:leader="none" w:pos="12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80" w:lineRule="exact"/>
        <w:rPr>
          <w:rFonts w:ascii="Arial" w:cs="Arial" w:eastAsia="Arial" w:hAnsi="Arial"/>
          <w:sz w:val="18"/>
          <w:szCs w:val="18"/>
          <w:color w:val="auto"/>
        </w:rPr>
      </w:pPr>
    </w:p>
    <w:p>
      <w:pPr>
        <w:ind w:left="1280" w:hanging="316"/>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right="460" w:hanging="316"/>
        <w:spacing w:after="0" w:line="266" w:lineRule="auto"/>
        <w:tabs>
          <w:tab w:leader="none" w:pos="1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9" w:lineRule="exact"/>
        <w:rPr>
          <w:sz w:val="20"/>
          <w:szCs w:val="20"/>
          <w:color w:val="auto"/>
        </w:rPr>
      </w:pPr>
    </w:p>
    <w:p>
      <w:pPr>
        <w:ind w:firstLine="878"/>
        <w:spacing w:after="0" w:line="267"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from our initial public offering ("IPO"),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0" w:lineRule="exact"/>
        <w:rPr>
          <w:sz w:val="20"/>
          <w:szCs w:val="20"/>
          <w:color w:val="auto"/>
        </w:rPr>
      </w:pPr>
    </w:p>
    <w:p>
      <w:pPr>
        <w:ind w:right="400" w:firstLine="878"/>
        <w:spacing w:after="0" w:line="290"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65"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34" w:lineRule="exact"/>
        <w:rPr>
          <w:sz w:val="20"/>
          <w:szCs w:val="20"/>
          <w:color w:val="auto"/>
        </w:rPr>
      </w:pPr>
    </w:p>
    <w:p>
      <w:pPr>
        <w:ind w:right="340" w:firstLine="878"/>
        <w:spacing w:after="0" w:line="268"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9" w:lineRule="exact"/>
        <w:rPr>
          <w:sz w:val="20"/>
          <w:szCs w:val="20"/>
          <w:color w:val="auto"/>
        </w:rPr>
      </w:pPr>
    </w:p>
    <w:p>
      <w:pPr>
        <w:ind w:right="140" w:firstLine="878"/>
        <w:spacing w:after="0" w:line="253"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91" w:lineRule="exact"/>
        <w:rPr>
          <w:sz w:val="20"/>
          <w:szCs w:val="20"/>
          <w:color w:val="auto"/>
        </w:rPr>
      </w:pPr>
    </w:p>
    <w:p>
      <w:pPr>
        <w:ind w:right="260" w:firstLine="878"/>
        <w:spacing w:after="0" w:line="284"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w:t>
      </w:r>
    </w:p>
    <w:p>
      <w:pPr>
        <w:spacing w:after="0" w:line="218" w:lineRule="exact"/>
        <w:rPr>
          <w:sz w:val="20"/>
          <w:szCs w:val="20"/>
          <w:color w:val="auto"/>
        </w:rPr>
      </w:pPr>
    </w:p>
    <w:p>
      <w:pPr>
        <w:ind w:right="40" w:firstLine="878"/>
        <w:spacing w:after="0" w:line="250" w:lineRule="auto"/>
        <w:rPr>
          <w:sz w:val="20"/>
          <w:szCs w:val="20"/>
          <w:color w:val="auto"/>
        </w:rPr>
      </w:pPr>
      <w:r>
        <w:rPr>
          <w:rFonts w:ascii="Arial" w:cs="Arial" w:eastAsia="Arial" w:hAnsi="Arial"/>
          <w:sz w:val="18"/>
          <w:szCs w:val="18"/>
          <w:color w:val="auto"/>
        </w:rPr>
        <w:t>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have established and maintain effective disclosure and financial controls and made changes to our corporate governance practices. Compliance with these requirements has and will continue to increase our legal and financial compliance costs and will make some activities more time-consuming.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40" w:firstLine="878"/>
        <w:spacing w:after="0" w:line="253" w:lineRule="auto"/>
        <w:rPr>
          <w:sz w:val="20"/>
          <w:szCs w:val="20"/>
          <w:color w:val="auto"/>
        </w:rPr>
      </w:pPr>
      <w:r>
        <w:rPr>
          <w:rFonts w:ascii="Arial" w:cs="Arial" w:eastAsia="Arial" w:hAnsi="Arial"/>
          <w:sz w:val="18"/>
          <w:szCs w:val="18"/>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4" w:lineRule="exact"/>
        <w:rPr>
          <w:sz w:val="20"/>
          <w:szCs w:val="20"/>
          <w:color w:val="auto"/>
        </w:rPr>
      </w:pPr>
    </w:p>
    <w:p>
      <w:pPr>
        <w:ind w:right="120" w:firstLine="878"/>
        <w:spacing w:after="0" w:line="303" w:lineRule="auto"/>
        <w:rPr>
          <w:sz w:val="20"/>
          <w:szCs w:val="20"/>
          <w:color w:val="auto"/>
        </w:rPr>
      </w:pPr>
      <w:r>
        <w:rPr>
          <w:rFonts w:ascii="Arial" w:cs="Arial" w:eastAsia="Arial" w:hAnsi="Arial"/>
          <w:sz w:val="16"/>
          <w:szCs w:val="16"/>
          <w:color w:val="auto"/>
        </w:rPr>
        <w:t>Our headquarters are located in Wilmington, North Carolina where, in addition to the square footage noted below, we occupy facilities encompassing approximately 57,000 square feet. We also have offices in Salt Lake City, London, Sydney, Melbourne, Toronto, and Tokyo. All of our offices are leased and we do not own any real property. These leases range in expiration from November 2023 to July 2028, each with a right of renewal.</w:t>
      </w:r>
    </w:p>
    <w:p>
      <w:pPr>
        <w:spacing w:after="0" w:line="154" w:lineRule="exact"/>
        <w:rPr>
          <w:sz w:val="20"/>
          <w:szCs w:val="20"/>
          <w:color w:val="auto"/>
        </w:rPr>
      </w:pPr>
    </w:p>
    <w:p>
      <w:pPr>
        <w:ind w:right="100" w:firstLine="878"/>
        <w:spacing w:after="0" w:line="303" w:lineRule="auto"/>
        <w:rPr>
          <w:sz w:val="20"/>
          <w:szCs w:val="20"/>
          <w:color w:val="auto"/>
        </w:rPr>
      </w:pPr>
      <w:r>
        <w:rPr>
          <w:rFonts w:ascii="Arial" w:cs="Arial" w:eastAsia="Arial" w:hAnsi="Arial"/>
          <w:sz w:val="16"/>
          <w:szCs w:val="16"/>
          <w:color w:val="auto"/>
        </w:rPr>
        <w:t>In November 2020, we entered into a new lease agreement with a new lessor for our primary headquarters property. As a result of a purchase option in the lease, the Company is deemed to have continuing involvement of our headquarters and accordingly, is considered for accounting purposes to be the owner. As such, we have excluded the square footage of approximately 90,000 square feet from the total leased space disclosed above.</w:t>
      </w:r>
    </w:p>
    <w:p>
      <w:pPr>
        <w:spacing w:after="0" w:line="154" w:lineRule="exact"/>
        <w:rPr>
          <w:sz w:val="20"/>
          <w:szCs w:val="20"/>
          <w:color w:val="auto"/>
        </w:rPr>
      </w:pPr>
    </w:p>
    <w:p>
      <w:pPr>
        <w:ind w:firstLine="878"/>
        <w:spacing w:after="0" w:line="267" w:lineRule="auto"/>
        <w:rPr>
          <w:sz w:val="20"/>
          <w:szCs w:val="20"/>
          <w:color w:val="auto"/>
        </w:rPr>
      </w:pPr>
      <w:r>
        <w:rPr>
          <w:rFonts w:ascii="Arial" w:cs="Arial" w:eastAsia="Arial" w:hAnsi="Arial"/>
          <w:sz w:val="17"/>
          <w:szCs w:val="17"/>
          <w:color w:val="auto"/>
        </w:rPr>
        <w:t>The Company also entered into an agreement for a parking deck in January 2021 which is an addition to the existing headquarters property. Due to the Company also being deemed to be the owner of the parking deck for accounting purposes, the costs associated with the construction of the parking deck will be capitalized as construction in progress with a corresponding construction liability through construction which is estimated to be approximately $18.0 million. Upon completion of the parking deck, the construction liability will be recorded as a financing obligation. Upon expiration of the purchase option in the lease, the lease will be analyzed for applicable lease accounting. The construction in progress and corresponding construction liability at January 31, 2021 was de minimis. See Note 14, Commitments and Contingencies of the notes to our consolidated financial statements included in Part II, Item 8 of this Annual Report on Form 10-K for the full description.</w:t>
      </w:r>
    </w:p>
    <w:p>
      <w:pPr>
        <w:spacing w:after="0" w:line="180" w:lineRule="exact"/>
        <w:rPr>
          <w:sz w:val="20"/>
          <w:szCs w:val="20"/>
          <w:color w:val="auto"/>
        </w:rPr>
      </w:pPr>
    </w:p>
    <w:p>
      <w:pPr>
        <w:ind w:right="500" w:firstLine="878"/>
        <w:spacing w:after="0" w:line="266" w:lineRule="auto"/>
        <w:rPr>
          <w:sz w:val="20"/>
          <w:szCs w:val="20"/>
          <w:color w:val="auto"/>
        </w:rPr>
      </w:pPr>
      <w:r>
        <w:rPr>
          <w:rFonts w:ascii="Arial" w:cs="Arial" w:eastAsia="Arial" w:hAnsi="Arial"/>
          <w:sz w:val="18"/>
          <w:szCs w:val="18"/>
          <w:color w:val="auto"/>
        </w:rPr>
        <w:t>We are currently in negotiations to expand our facilities capacity in Wilmington, North Carolina under what we believe to be commercially reasonable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From time to time, we may become involved in legal proceedings or be subject to claims including the following:</w:t>
      </w:r>
    </w:p>
    <w:p>
      <w:pPr>
        <w:spacing w:after="0" w:line="218" w:lineRule="exact"/>
        <w:rPr>
          <w:sz w:val="20"/>
          <w:szCs w:val="20"/>
          <w:color w:val="auto"/>
        </w:rPr>
      </w:pPr>
    </w:p>
    <w:p>
      <w:pPr>
        <w:jc w:val="both"/>
        <w:ind w:right="60" w:firstLine="878"/>
        <w:spacing w:after="0" w:line="294"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62" w:lineRule="exact"/>
        <w:rPr>
          <w:sz w:val="20"/>
          <w:szCs w:val="20"/>
          <w:color w:val="auto"/>
        </w:rPr>
      </w:pPr>
    </w:p>
    <w:p>
      <w:pPr>
        <w:ind w:right="60" w:firstLine="878"/>
        <w:spacing w:after="0" w:line="287"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sole class representative in the suit is one individual alleging a contract, combination or conspiracy between and among the Company, Live Oak Bancshares, Inc. and Apiture LLC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Although there can be no assurance with respect to the outcome of this matter, the Company believes the alleged claims are not meritorious and intends to defend itself vigorously.</w:t>
      </w:r>
    </w:p>
    <w:p>
      <w:pPr>
        <w:spacing w:after="0" w:line="169" w:lineRule="exact"/>
        <w:rPr>
          <w:sz w:val="20"/>
          <w:szCs w:val="20"/>
          <w:color w:val="auto"/>
        </w:rPr>
      </w:pPr>
    </w:p>
    <w:p>
      <w:pPr>
        <w:jc w:val="both"/>
        <w:ind w:right="200" w:firstLine="878"/>
        <w:spacing w:after="0" w:line="256"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us because of the related expenses, diversion of management resources, and other factors.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ind w:right="2080"/>
        <w:spacing w:after="0" w:line="4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40" w:firstLine="878"/>
        <w:spacing w:after="0" w:line="266" w:lineRule="auto"/>
        <w:rPr>
          <w:sz w:val="20"/>
          <w:szCs w:val="20"/>
          <w:color w:val="auto"/>
        </w:rPr>
      </w:pPr>
      <w:r>
        <w:rPr>
          <w:rFonts w:ascii="Arial" w:cs="Arial" w:eastAsia="Arial" w:hAnsi="Arial"/>
          <w:sz w:val="18"/>
          <w:szCs w:val="18"/>
          <w:color w:val="auto"/>
        </w:rPr>
        <w:t>Our common stock is listed on The Nasdaq Global Select Market under the symbol “NCNO” since July 14, 2020. Prior to that date, there was no public trading market for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4" w:lineRule="exact"/>
        <w:rPr>
          <w:sz w:val="20"/>
          <w:szCs w:val="20"/>
          <w:color w:val="auto"/>
        </w:rPr>
      </w:pPr>
    </w:p>
    <w:p>
      <w:pPr>
        <w:ind w:right="440" w:firstLine="878"/>
        <w:spacing w:after="0" w:line="329" w:lineRule="auto"/>
        <w:rPr>
          <w:sz w:val="20"/>
          <w:szCs w:val="20"/>
          <w:color w:val="auto"/>
        </w:rPr>
      </w:pPr>
      <w:r>
        <w:rPr>
          <w:rFonts w:ascii="Arial" w:cs="Arial" w:eastAsia="Arial" w:hAnsi="Arial"/>
          <w:sz w:val="16"/>
          <w:szCs w:val="16"/>
          <w:color w:val="auto"/>
        </w:rPr>
        <w:t>As of January 31, 2021, there were 288 holders of record of our common stock. Because many of such shares are held by brokers and other institutions on behalf of stockholders, we are unable to estimate the total number of stockholders represented by these record 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Policy</w:t>
      </w:r>
    </w:p>
    <w:p>
      <w:pPr>
        <w:spacing w:after="0" w:line="224" w:lineRule="exact"/>
        <w:rPr>
          <w:sz w:val="20"/>
          <w:szCs w:val="20"/>
          <w:color w:val="auto"/>
        </w:rPr>
      </w:pPr>
    </w:p>
    <w:p>
      <w:pPr>
        <w:ind w:firstLine="878"/>
        <w:spacing w:after="0" w:line="290"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4" w:lineRule="exact"/>
        <w:rPr>
          <w:sz w:val="20"/>
          <w:szCs w:val="20"/>
          <w:color w:val="auto"/>
        </w:rPr>
      </w:pPr>
    </w:p>
    <w:p>
      <w:pPr>
        <w:jc w:val="both"/>
        <w:ind w:right="120" w:firstLine="878"/>
        <w:spacing w:after="0" w:line="256"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189" w:lineRule="exact"/>
        <w:rPr>
          <w:sz w:val="20"/>
          <w:szCs w:val="20"/>
          <w:color w:val="auto"/>
        </w:rPr>
      </w:pPr>
    </w:p>
    <w:p>
      <w:pPr>
        <w:ind w:right="240" w:firstLine="878"/>
        <w:spacing w:after="0" w:line="256" w:lineRule="auto"/>
        <w:rPr>
          <w:sz w:val="20"/>
          <w:szCs w:val="20"/>
          <w:color w:val="auto"/>
        </w:rPr>
      </w:pPr>
      <w:r>
        <w:rPr>
          <w:rFonts w:ascii="Arial" w:cs="Arial" w:eastAsia="Arial" w:hAnsi="Arial"/>
          <w:sz w:val="18"/>
          <w:szCs w:val="18"/>
          <w:color w:val="auto"/>
        </w:rPr>
        <w:t>The graph below compares the cumulative total return to our stockholders on our common stock between July 14, 2020 (the date our common stock commenced trading on the NASDAQ Global Select Market) through January 31, 2021 in comparison to the S&amp;P 500 Index and the S&amp;P 500 Application Software Index. The graph assumes $100 was invested in our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common stock on July 14, 2020, the S&amp;P 500 Index and the S&amp;P 500 Application Software Index, and assumes reinvestment of any dividends.</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Comparison of Cumulative Total Return of nCino,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150495</wp:posOffset>
            </wp:positionV>
            <wp:extent cx="5741035" cy="320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1035" cy="320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4" w:lineRule="exact"/>
        <w:rPr>
          <w:sz w:val="20"/>
          <w:szCs w:val="20"/>
          <w:color w:val="auto"/>
        </w:rPr>
      </w:pPr>
    </w:p>
    <w:p>
      <w:pPr>
        <w:jc w:val="both"/>
        <w:ind w:right="100" w:firstLine="878"/>
        <w:spacing w:after="0" w:line="256" w:lineRule="auto"/>
        <w:rPr>
          <w:sz w:val="20"/>
          <w:szCs w:val="20"/>
          <w:color w:val="auto"/>
        </w:rPr>
      </w:pPr>
      <w:r>
        <w:rPr>
          <w:rFonts w:ascii="Arial" w:cs="Arial" w:eastAsia="Arial" w:hAnsi="Arial"/>
          <w:sz w:val="18"/>
          <w:szCs w:val="18"/>
          <w:color w:val="auto"/>
        </w:rPr>
        <w:t xml:space="preserve">The information required by this item is incorporated by reference from the section entitled </w:t>
      </w: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 xml:space="preserve"> from our Proxy Statement relating to our 2021 Annual Meeting of Shareholders which will be filed with the SEC within 120 days of the fiscal year ended January 31, 2021</w:t>
      </w:r>
      <w:r>
        <w:rPr>
          <w:rFonts w:ascii="Arial" w:cs="Arial" w:eastAsia="Arial" w:hAnsi="Arial"/>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4"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In October 2020 and in November 2020, 142,846 shares of common stock were earned as the share portion of contingent consideration in connection with our acquisition of FinSuite. These 285,692 shares of common stock issued in November 2020 were made to non-U.S. persons (as that term is defined in Regulation S of the Securities Act of 1933), in an offshore transaction relying on Regulation S of the Securities Act of 1933, as amended. See Note 7, Business Combinations of the notes to our consolidated financial statements included in Part II, Item 8 of this Annual Report on Form 10-K for further information regarding the share portion of contingent consideration regarding this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 Issuances</w:t>
      </w:r>
    </w:p>
    <w:p>
      <w:pPr>
        <w:spacing w:after="0" w:line="218" w:lineRule="exact"/>
        <w:rPr>
          <w:sz w:val="20"/>
          <w:szCs w:val="20"/>
          <w:color w:val="auto"/>
        </w:rPr>
      </w:pPr>
    </w:p>
    <w:p>
      <w:pPr>
        <w:ind w:firstLine="878"/>
        <w:spacing w:after="0" w:line="329" w:lineRule="auto"/>
        <w:rPr>
          <w:sz w:val="20"/>
          <w:szCs w:val="20"/>
          <w:color w:val="auto"/>
        </w:rPr>
      </w:pPr>
      <w:r>
        <w:rPr>
          <w:rFonts w:ascii="Arial" w:cs="Arial" w:eastAsia="Arial" w:hAnsi="Arial"/>
          <w:sz w:val="16"/>
          <w:szCs w:val="16"/>
          <w:color w:val="auto"/>
        </w:rPr>
        <w:t>From January 31, 2020 through June 8, 2020, we granted to our directors, officers, employees, consultants, and other service providers 1,120,054 RSUs under our equity compensation plans at weighted average grant date fair value ranging from approximately $20.00 to $21.50 per share.</w:t>
      </w:r>
    </w:p>
    <w:p>
      <w:pPr>
        <w:spacing w:after="0" w:line="134" w:lineRule="exact"/>
        <w:rPr>
          <w:sz w:val="20"/>
          <w:szCs w:val="20"/>
          <w:color w:val="auto"/>
        </w:rPr>
      </w:pPr>
    </w:p>
    <w:p>
      <w:pPr>
        <w:ind w:right="20" w:firstLine="878"/>
        <w:spacing w:after="0" w:line="250" w:lineRule="auto"/>
        <w:rPr>
          <w:sz w:val="20"/>
          <w:szCs w:val="20"/>
          <w:color w:val="auto"/>
        </w:rPr>
      </w:pPr>
      <w:r>
        <w:rPr>
          <w:rFonts w:ascii="Arial" w:cs="Arial" w:eastAsia="Arial" w:hAnsi="Arial"/>
          <w:sz w:val="18"/>
          <w:szCs w:val="18"/>
          <w:color w:val="auto"/>
        </w:rPr>
        <w:t>The RSU issuances described above were exempt from registration under the Securities Act under either (1) 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w:t>
      </w:r>
    </w:p>
    <w:p>
      <w:pPr>
        <w:spacing w:after="0" w:line="224" w:lineRule="exact"/>
        <w:rPr>
          <w:sz w:val="20"/>
          <w:szCs w:val="20"/>
          <w:color w:val="auto"/>
        </w:rPr>
      </w:pPr>
    </w:p>
    <w:p>
      <w:pPr>
        <w:ind w:right="20" w:firstLine="878"/>
        <w:spacing w:after="0" w:line="294" w:lineRule="auto"/>
        <w:rPr>
          <w:sz w:val="20"/>
          <w:szCs w:val="20"/>
          <w:color w:val="auto"/>
        </w:rPr>
      </w:pPr>
      <w:r>
        <w:rPr>
          <w:rFonts w:ascii="Arial" w:cs="Arial" w:eastAsia="Arial" w:hAnsi="Arial"/>
          <w:sz w:val="16"/>
          <w:szCs w:val="16"/>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Nos. 333-239335 and 333-239844), which was declared effective by the SEC on July 13, 2020. We raised approximately $268.4 million in net proceeds after deducting underwriting discounts and commissions of approximately $18.9 million.</w:t>
      </w:r>
    </w:p>
    <w:p>
      <w:pPr>
        <w:spacing w:after="0" w:line="162"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color w:val="auto"/>
        </w:rPr>
        <w:t>We intend to use the net proceeds from the IPO for general corporate purposes, including working capital and capital expenditures such as additional office facilities. We may also use a portion of the net proceeds to acquire, invest in, or obtain rights to complementary technologies, products, services, or businesses. The lead underwriters of the offering were BofA Securities, Inc. and Barclays Capital Inc. No payments were made by us to directors, officers, or persons owning ten percent or more of our common stock, or to their associates, or to our affiliates, other than payments in the ordinary course of business to officers for salaries.</w:t>
      </w:r>
    </w:p>
    <w:p>
      <w:pPr>
        <w:spacing w:after="0" w:line="194" w:lineRule="exact"/>
        <w:rPr>
          <w:sz w:val="20"/>
          <w:szCs w:val="20"/>
          <w:color w:val="auto"/>
        </w:rPr>
      </w:pPr>
    </w:p>
    <w:p>
      <w:pPr>
        <w:ind w:right="280" w:firstLine="878"/>
        <w:spacing w:after="0" w:line="266"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the IPO dated July 13, 2020 and filed with the SEC on July 14, 2020, pursuant to Rule 424(b) of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4" w:lineRule="exact"/>
        <w:rPr>
          <w:sz w:val="20"/>
          <w:szCs w:val="20"/>
          <w:color w:val="auto"/>
        </w:rPr>
      </w:pPr>
    </w:p>
    <w:p>
      <w:pPr>
        <w:ind w:right="100" w:firstLine="878"/>
        <w:spacing w:after="0" w:line="251" w:lineRule="auto"/>
        <w:rPr>
          <w:sz w:val="20"/>
          <w:szCs w:val="20"/>
          <w:color w:val="auto"/>
        </w:rPr>
      </w:pPr>
      <w:r>
        <w:rPr>
          <w:rFonts w:ascii="Arial" w:cs="Arial" w:eastAsia="Arial" w:hAnsi="Arial"/>
          <w:sz w:val="18"/>
          <w:szCs w:val="18"/>
          <w:color w:val="auto"/>
        </w:rPr>
        <w:t>The following tables set forth our selected consolidated financial data. The selected consolidated statement of operations data for the fiscal years ended January 31, 2019, 2020, and 2021 and the selected consolidated balance sheet data as of January 31, 2020 and 2021 are each derived from our audited consolidated financial statements appearing elsewhere in this Annual Report on Form 10-K. The consolidated balance sheet data as of January 31, 2019 is derived from our audited consolidated financial statements not included in this Annual Report on Form 10-K. Our historical results are not necessarily indicative of the results to be expected in the future.</w:t>
      </w:r>
    </w:p>
    <w:p>
      <w:pPr>
        <w:spacing w:after="0" w:line="194"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18"/>
          <w:szCs w:val="18"/>
          <w:color w:val="auto"/>
        </w:rPr>
        <w:t>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Annual Report on Form 10-K.</w:t>
      </w:r>
    </w:p>
    <w:p>
      <w:pPr>
        <w:spacing w:after="0" w:line="189" w:lineRule="exact"/>
        <w:rPr>
          <w:sz w:val="20"/>
          <w:szCs w:val="20"/>
          <w:color w:val="auto"/>
        </w:rPr>
      </w:pPr>
    </w:p>
    <w:p>
      <w:pPr>
        <w:jc w:val="both"/>
        <w:ind w:right="160" w:firstLine="878"/>
        <w:spacing w:after="0" w:line="278" w:lineRule="auto"/>
        <w:rPr>
          <w:sz w:val="20"/>
          <w:szCs w:val="20"/>
          <w:color w:val="auto"/>
        </w:rPr>
      </w:pPr>
      <w:r>
        <w:rPr>
          <w:rFonts w:ascii="Arial" w:cs="Arial" w:eastAsia="Arial" w:hAnsi="Arial"/>
          <w:sz w:val="17"/>
          <w:szCs w:val="17"/>
          <w:color w:val="auto"/>
        </w:rPr>
        <w:t>On February 1, 2019, the beginning of our fiscal year 2020, we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rPr>
              <w:t>Fiscal Year Ended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1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162,439</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19"/>
        </w:trPr>
        <w:tc>
          <w:tcPr>
            <w:tcW w:w="516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204,293</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tcPr>
          <w:p>
            <w:pPr>
              <w:ind w:left="340"/>
              <w:spacing w:after="0" w:line="226" w:lineRule="exact"/>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47,969</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 of revenues</w:t>
            </w: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88,135</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116,158</w:t>
            </w:r>
          </w:p>
        </w:tc>
        <w:tc>
          <w:tcPr>
            <w:tcW w:w="0" w:type="dxa"/>
            <w:vAlign w:val="bottom"/>
          </w:tcPr>
          <w:p>
            <w:pPr>
              <w:spacing w:after="0"/>
              <w:rPr>
                <w:sz w:val="1"/>
                <w:szCs w:val="1"/>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0" w:type="dxa"/>
            <w:vAlign w:val="bottom"/>
          </w:tcPr>
          <w:p>
            <w:pPr>
              <w:spacing w:after="0"/>
              <w:rPr>
                <w:sz w:val="1"/>
                <w:szCs w:val="1"/>
                <w:color w:val="auto"/>
              </w:rPr>
            </w:pPr>
          </w:p>
        </w:tc>
      </w:tr>
      <w:tr>
        <w:trPr>
          <w:trHeight w:val="226"/>
        </w:trPr>
        <w:tc>
          <w:tcPr>
            <w:tcW w:w="5160" w:type="dxa"/>
            <w:vAlign w:val="bottom"/>
          </w:tcPr>
          <w:p>
            <w:pPr>
              <w:ind w:left="340"/>
              <w:spacing w:after="0" w:line="22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158,766</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Loss from operations</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51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9"/>
        </w:trPr>
        <w:tc>
          <w:tcPr>
            <w:tcW w:w="5160" w:type="dxa"/>
            <w:vAlign w:val="bottom"/>
          </w:tcPr>
          <w:p>
            <w:pPr>
              <w:ind w:left="1000"/>
              <w:spacing w:after="0"/>
              <w:rPr>
                <w:sz w:val="20"/>
                <w:szCs w:val="20"/>
                <w:color w:val="auto"/>
              </w:rPr>
            </w:pPr>
            <w:r>
              <w:rPr>
                <w:rFonts w:ascii="Arial" w:cs="Arial" w:eastAsia="Arial" w:hAnsi="Arial"/>
                <w:sz w:val="18"/>
                <w:szCs w:val="18"/>
                <w:b w:val="1"/>
                <w:bCs w:val="1"/>
                <w:color w:val="auto"/>
              </w:rPr>
              <w:t>Loss before income tax expense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9"/>
        </w:trPr>
        <w:tc>
          <w:tcPr>
            <w:tcW w:w="5160" w:type="dxa"/>
            <w:vAlign w:val="bottom"/>
          </w:tcPr>
          <w:p>
            <w:pPr>
              <w:ind w:left="1000"/>
              <w:spacing w:after="0"/>
              <w:rPr>
                <w:sz w:val="20"/>
                <w:szCs w:val="20"/>
                <w:color w:val="auto"/>
              </w:rPr>
            </w:pPr>
            <w:r>
              <w:rPr>
                <w:rFonts w:ascii="Arial" w:cs="Arial" w:eastAsia="Arial" w:hAnsi="Arial"/>
                <w:sz w:val="18"/>
                <w:szCs w:val="18"/>
                <w:b w:val="1"/>
                <w:bCs w:val="1"/>
                <w:color w:val="auto"/>
              </w:rPr>
              <w:t>Net loss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(41,270)</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redeemable non-controlling interest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7"/>
              </w:rPr>
              <w:t>Adjustment attributable to redeemable non-controlling interest</w:t>
            </w: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0"/>
        </w:trPr>
        <w:tc>
          <w:tcPr>
            <w:tcW w:w="51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Net loss attributable to nCino, Inc.</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1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74,593,709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78,316,794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87,678,323</w:t>
            </w:r>
          </w:p>
        </w:tc>
        <w:tc>
          <w:tcPr>
            <w:tcW w:w="0" w:type="dxa"/>
            <w:vAlign w:val="bottom"/>
          </w:tcPr>
          <w:p>
            <w:pPr>
              <w:spacing w:after="0"/>
              <w:rPr>
                <w:sz w:val="1"/>
                <w:szCs w:val="1"/>
                <w:color w:val="auto"/>
              </w:rPr>
            </w:pPr>
          </w:p>
        </w:tc>
      </w:tr>
      <w:tr>
        <w:trPr>
          <w:trHeight w:val="494"/>
        </w:trPr>
        <w:tc>
          <w:tcPr>
            <w:tcW w:w="516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4"/>
                <w:szCs w:val="14"/>
                <w:b w:val="1"/>
                <w:bCs w:val="1"/>
                <w:color w:val="auto"/>
              </w:rPr>
              <w:t>Fiscal Year Ended January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20"/>
        </w:trPr>
        <w:tc>
          <w:tcPr>
            <w:tcW w:w="51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4,095</w:t>
            </w: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5,745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80" w:type="dxa"/>
            <w:vAlign w:val="bottom"/>
            <w:vMerge w:val="restart"/>
          </w:tcPr>
          <w:p>
            <w:pPr>
              <w:jc w:val="right"/>
              <w:ind w:right="93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51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January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2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371,425</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563,401</w:t>
            </w:r>
          </w:p>
        </w:tc>
      </w:tr>
      <w:tr>
        <w:trPr>
          <w:trHeight w:val="227"/>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Financing obligation, noncurrent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134,431</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(161,064)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563,401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Amount is financing obligation for leased facility for fiscal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4" w:lineRule="exact"/>
        <w:rPr>
          <w:sz w:val="20"/>
          <w:szCs w:val="20"/>
          <w:color w:val="auto"/>
        </w:rPr>
      </w:pPr>
    </w:p>
    <w:p>
      <w:pPr>
        <w:ind w:right="100" w:firstLine="878"/>
        <w:spacing w:after="0" w:line="28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"fiscal 2021" refer to the fiscal year ended January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120" w:firstLine="878"/>
        <w:spacing w:after="0" w:line="266"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1" w:lineRule="exact"/>
        <w:rPr>
          <w:sz w:val="20"/>
          <w:szCs w:val="20"/>
          <w:color w:val="auto"/>
        </w:rPr>
      </w:pPr>
    </w:p>
    <w:p>
      <w:pPr>
        <w:ind w:right="200" w:firstLine="878"/>
        <w:spacing w:after="0" w:line="266"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79" w:lineRule="exact"/>
        <w:rPr>
          <w:sz w:val="20"/>
          <w:szCs w:val="20"/>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18"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191" w:lineRule="exact"/>
        <w:rPr>
          <w:sz w:val="20"/>
          <w:szCs w:val="20"/>
          <w:color w:val="auto"/>
        </w:rPr>
      </w:pPr>
    </w:p>
    <w:p>
      <w:pPr>
        <w:ind w:right="80" w:firstLine="878"/>
        <w:spacing w:after="0" w:line="266"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2021, we had a subscription revenue retention rate of 155%. See Item 7 of this Annual Report on Form 10-K, “Management’s Discussion and Analysis of Financial Condition and Results of Operations—Factors Affecting Our Operating Results—Subscription Revenue Retention Rate” for additional information on subscription revenue retention rates.</w:t>
      </w:r>
    </w:p>
    <w:p>
      <w:pPr>
        <w:spacing w:after="0" w:line="181" w:lineRule="exact"/>
        <w:rPr>
          <w:sz w:val="20"/>
          <w:szCs w:val="20"/>
          <w:color w:val="auto"/>
        </w:rPr>
      </w:pPr>
    </w:p>
    <w:p>
      <w:pPr>
        <w:ind w:firstLine="878"/>
        <w:spacing w:after="0" w:line="290" w:lineRule="auto"/>
        <w:rPr>
          <w:sz w:val="20"/>
          <w:szCs w:val="20"/>
          <w:color w:val="auto"/>
        </w:rPr>
      </w:pPr>
      <w:r>
        <w:rPr>
          <w:rFonts w:ascii="Arial" w:cs="Arial" w:eastAsia="Arial" w:hAnsi="Arial"/>
          <w:sz w:val="16"/>
          <w:szCs w:val="16"/>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January 31, 2021, we had 156 sales and sales support personnel in the United States, and 64 sales and support personnel in offices outside the United States.</w:t>
      </w:r>
    </w:p>
    <w:p>
      <w:pPr>
        <w:spacing w:after="0" w:line="165" w:lineRule="exact"/>
        <w:rPr>
          <w:sz w:val="20"/>
          <w:szCs w:val="20"/>
          <w:color w:val="auto"/>
        </w:rPr>
      </w:pPr>
    </w:p>
    <w:p>
      <w:pPr>
        <w:ind w:right="80" w:firstLine="878"/>
        <w:spacing w:after="0" w:line="290"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65" w:lineRule="exact"/>
        <w:rPr>
          <w:sz w:val="20"/>
          <w:szCs w:val="20"/>
          <w:color w:val="auto"/>
        </w:rPr>
      </w:pPr>
    </w:p>
    <w:p>
      <w:pPr>
        <w:ind w:right="60" w:firstLine="878"/>
        <w:spacing w:after="0" w:line="290" w:lineRule="auto"/>
        <w:rPr>
          <w:sz w:val="20"/>
          <w:szCs w:val="20"/>
          <w:color w:val="auto"/>
        </w:rPr>
      </w:pPr>
      <w:r>
        <w:rPr>
          <w:rFonts w:ascii="Arial" w:cs="Arial" w:eastAsia="Arial" w:hAnsi="Arial"/>
          <w:sz w:val="16"/>
          <w:szCs w:val="16"/>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65" w:lineRule="exact"/>
        <w:rPr>
          <w:sz w:val="20"/>
          <w:szCs w:val="20"/>
          <w:color w:val="auto"/>
        </w:rPr>
      </w:pPr>
    </w:p>
    <w:p>
      <w:pPr>
        <w:ind w:right="280" w:firstLine="878"/>
        <w:spacing w:after="0" w:line="251" w:lineRule="auto"/>
        <w:rPr>
          <w:sz w:val="20"/>
          <w:szCs w:val="20"/>
          <w:color w:val="auto"/>
        </w:rPr>
      </w:pPr>
      <w:r>
        <w:rPr>
          <w:rFonts w:ascii="Arial" w:cs="Arial" w:eastAsia="Arial" w:hAnsi="Arial"/>
          <w:sz w:val="18"/>
          <w:szCs w:val="18"/>
          <w:color w:val="auto"/>
        </w:rPr>
        <w:t>Our total revenues were $91.5 million, $138.2 million, and $204.3 million for fiscal 2019, 2020, and 2021, respectively, representing a 49.4% compound annual growth rate. Our subscription revenues in fiscal 2019 were $64.5 million or 70.4% of total revenues, $103.3 million or 74.7% of total revenues in fiscal 2020, and $162.4 million or 79.5% of total revenues in fiscal 2021, representing a 58.7% compound annual growth rate. Due to our continuing investment in growth, we recorded net losses attributable to nCino in fiscal 2019, 2020, and 2021 of $22.3 million, $27.6 million, and $40.5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4" w:lineRule="exact"/>
        <w:rPr>
          <w:sz w:val="20"/>
          <w:szCs w:val="20"/>
          <w:color w:val="auto"/>
        </w:rPr>
      </w:pPr>
    </w:p>
    <w:p>
      <w:pPr>
        <w:ind w:right="60" w:firstLine="878"/>
        <w:spacing w:after="0" w:line="253" w:lineRule="auto"/>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On July 13, 2020, our Registration Statement on Form S-1 relating to the IPO of our common stock was declared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by the SEC. In connection with the IPO, we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January 31, 2021).</w:t>
      </w:r>
    </w:p>
    <w:p>
      <w:pPr>
        <w:spacing w:after="0" w:line="191" w:lineRule="exact"/>
        <w:rPr>
          <w:sz w:val="20"/>
          <w:szCs w:val="20"/>
          <w:color w:val="auto"/>
        </w:rPr>
      </w:pPr>
    </w:p>
    <w:p>
      <w:pPr>
        <w:ind w:right="100" w:firstLine="878"/>
        <w:spacing w:after="0" w:line="253" w:lineRule="auto"/>
        <w:rPr>
          <w:sz w:val="20"/>
          <w:szCs w:val="20"/>
          <w:color w:val="auto"/>
        </w:rPr>
      </w:pPr>
      <w:r>
        <w:rPr>
          <w:rFonts w:ascii="Arial" w:cs="Arial" w:eastAsia="Arial" w:hAnsi="Arial"/>
          <w:sz w:val="18"/>
          <w:szCs w:val="18"/>
          <w:b w:val="1"/>
          <w:bCs w:val="1"/>
          <w:i w:val="1"/>
          <w:iCs w:val="1"/>
          <w:color w:val="auto"/>
        </w:rPr>
        <w:t xml:space="preserve">Secondary Public Offering. </w:t>
      </w:r>
      <w:r>
        <w:rPr>
          <w:rFonts w:ascii="Arial" w:cs="Arial" w:eastAsia="Arial" w:hAnsi="Arial"/>
          <w:sz w:val="18"/>
          <w:szCs w:val="18"/>
          <w:color w:val="auto"/>
        </w:rPr>
        <w:t>On October 13, 2020, the Company completed a secondary public offering ("the Secondary Offering").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did not offer any shares of common stock in the Secondary Offering and did not receive any proceeds from the sale of the shares of common stock by the selling stockholders. The Company incurred costs of approximately $1.0 million in relation to the Secondary Offering for fiscal 2021 and such costs are recorded as a component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general and administrative expenses on the consolidated statements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4" w:lineRule="exact"/>
        <w:rPr>
          <w:sz w:val="20"/>
          <w:szCs w:val="20"/>
          <w:color w:val="auto"/>
        </w:rPr>
      </w:pPr>
    </w:p>
    <w:p>
      <w:pPr>
        <w:ind w:right="20" w:firstLine="878"/>
        <w:spacing w:after="0" w:line="282" w:lineRule="auto"/>
        <w:rPr>
          <w:sz w:val="20"/>
          <w:szCs w:val="20"/>
          <w:color w:val="auto"/>
        </w:rPr>
      </w:pPr>
      <w:r>
        <w:rPr>
          <w:rFonts w:ascii="Arial" w:cs="Arial" w:eastAsia="Arial" w:hAnsi="Arial"/>
          <w:sz w:val="16"/>
          <w:szCs w:val="16"/>
          <w:b w:val="1"/>
          <w:bCs w:val="1"/>
          <w:i w:val="1"/>
          <w:iCs w:val="1"/>
          <w:color w:val="auto"/>
        </w:rPr>
        <w:t>Market Adoption of Our Solution</w:t>
      </w:r>
      <w:r>
        <w:rPr>
          <w:rFonts w:ascii="Arial" w:cs="Arial" w:eastAsia="Arial" w:hAnsi="Arial"/>
          <w:sz w:val="16"/>
          <w:szCs w:val="16"/>
          <w:color w:val="auto"/>
        </w:rPr>
        <w:t>. Our future growth depends on our ability to expand our reach to new financial institution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markets accounted for 11.4% of total revenues for fiscal 2021.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75"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the nCino Bank Operating System by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9" w:lineRule="exact"/>
        <w:rPr>
          <w:sz w:val="20"/>
          <w:szCs w:val="20"/>
          <w:color w:val="auto"/>
        </w:rPr>
      </w:pPr>
    </w:p>
    <w:p>
      <w:pPr>
        <w:ind w:right="20" w:firstLine="878"/>
        <w:spacing w:after="0" w:line="249" w:lineRule="auto"/>
        <w:rPr>
          <w:sz w:val="20"/>
          <w:szCs w:val="20"/>
          <w:color w:val="auto"/>
        </w:rPr>
      </w:pPr>
      <w:r>
        <w:rPr>
          <w:rFonts w:ascii="Arial" w:cs="Arial" w:eastAsia="Arial" w:hAnsi="Arial"/>
          <w:sz w:val="18"/>
          <w:szCs w:val="18"/>
          <w:b w:val="1"/>
          <w:bCs w:val="1"/>
          <w:i w:val="1"/>
          <w:iCs w:val="1"/>
          <w:color w:val="auto"/>
        </w:rPr>
        <w:t>Subscription Revenue Retention Rate</w:t>
      </w:r>
      <w:r>
        <w:rPr>
          <w:rFonts w:ascii="Arial" w:cs="Arial" w:eastAsia="Arial" w:hAnsi="Arial"/>
          <w:sz w:val="18"/>
          <w:szCs w:val="18"/>
          <w:color w:val="auto"/>
        </w:rPr>
        <w:t>. We believe that our ability to retain and grow subscription revenues from our existing customers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contracted for any of our solutions as of January 31 of the prior fiscal year, expressed as a percentage of total subscription revenues for the prior fiscal year. Subscription revenues from customers obtained through an acquisition will be included in the calculation for the periods they were a customer of nCino. Our subscription revenue retention rate provides insight into the impact on current year subscription revenues of:</w:t>
      </w:r>
    </w:p>
    <w:p>
      <w:pPr>
        <w:spacing w:after="0" w:line="199" w:lineRule="exact"/>
        <w:rPr>
          <w:sz w:val="20"/>
          <w:szCs w:val="20"/>
          <w:color w:val="auto"/>
        </w:rPr>
      </w:pPr>
    </w:p>
    <w:p>
      <w:pPr>
        <w:ind w:left="1280" w:right="240" w:hanging="316"/>
        <w:spacing w:after="0" w:line="266"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179" w:lineRule="exact"/>
        <w:rPr>
          <w:rFonts w:ascii="Arial" w:cs="Arial" w:eastAsia="Arial" w:hAnsi="Arial"/>
          <w:sz w:val="18"/>
          <w:szCs w:val="18"/>
          <w:color w:val="auto"/>
        </w:rPr>
      </w:pPr>
    </w:p>
    <w:p>
      <w:pPr>
        <w:ind w:left="1280" w:right="360" w:hanging="316"/>
        <w:spacing w:after="0" w:line="266"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179" w:lineRule="exact"/>
        <w:rPr>
          <w:rFonts w:ascii="Arial" w:cs="Arial" w:eastAsia="Arial" w:hAnsi="Arial"/>
          <w:sz w:val="18"/>
          <w:szCs w:val="18"/>
          <w:color w:val="auto"/>
        </w:rPr>
      </w:pPr>
    </w:p>
    <w:p>
      <w:pPr>
        <w:ind w:left="1280" w:hanging="316"/>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18" w:lineRule="exact"/>
        <w:rPr>
          <w:sz w:val="20"/>
          <w:szCs w:val="20"/>
          <w:color w:val="auto"/>
        </w:rPr>
      </w:pPr>
    </w:p>
    <w:p>
      <w:pPr>
        <w:ind w:right="40" w:firstLine="878"/>
        <w:spacing w:after="0" w:line="265" w:lineRule="auto"/>
        <w:rPr>
          <w:sz w:val="20"/>
          <w:szCs w:val="20"/>
          <w:color w:val="auto"/>
        </w:rPr>
      </w:pPr>
      <w:r>
        <w:rPr>
          <w:rFonts w:ascii="Arial" w:cs="Arial" w:eastAsia="Arial" w:hAnsi="Arial"/>
          <w:sz w:val="17"/>
          <w:szCs w:val="17"/>
          <w:color w:val="auto"/>
        </w:rPr>
        <w:t>For fiscal 2019, 2020, and 2021, we had subscription revenue retention rates of 163%, 147%, and 155%,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expanded in recent years, we have seen some moderation of our subscription revenue retention rate. In the future,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the market. The increase in our subscription revenue retention rate for fiscal 2021 was primarily due to accelerated activation of licenses sold in the year for our PPP and Coronavirus Business Interruption Loan Scheme solutions. Our use of subscription revenue retention rate has limitations as an analytical tool, and investors should not consider it in isolation. Other companies in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our or adjacent markets may calculate subscription revenue retention rates or similar metrics differently, which reduces its usefulness as a comparative measure.</w:t>
      </w:r>
    </w:p>
    <w:p>
      <w:pPr>
        <w:spacing w:after="0" w:line="179" w:lineRule="exact"/>
        <w:rPr>
          <w:sz w:val="20"/>
          <w:szCs w:val="20"/>
          <w:color w:val="auto"/>
        </w:rPr>
      </w:pPr>
    </w:p>
    <w:p>
      <w:pPr>
        <w:ind w:firstLine="878"/>
        <w:spacing w:after="0" w:line="267" w:lineRule="auto"/>
        <w:rPr>
          <w:sz w:val="20"/>
          <w:szCs w:val="20"/>
          <w:color w:val="auto"/>
        </w:rPr>
      </w:pPr>
      <w:r>
        <w:rPr>
          <w:rFonts w:ascii="Arial" w:cs="Arial" w:eastAsia="Arial" w:hAnsi="Arial"/>
          <w:sz w:val="17"/>
          <w:szCs w:val="17"/>
          <w:b w:val="1"/>
          <w:bCs w:val="1"/>
          <w:i w:val="1"/>
          <w:iCs w:val="1"/>
          <w:color w:val="auto"/>
        </w:rPr>
        <w:t>Long-term ACV Expansion</w:t>
      </w:r>
      <w:r>
        <w:rPr>
          <w:rFonts w:ascii="Arial" w:cs="Arial" w:eastAsia="Arial" w:hAnsi="Arial"/>
          <w:sz w:val="17"/>
          <w:szCs w:val="17"/>
          <w:color w:val="auto"/>
        </w:rPr>
        <w:t>. A key element of our growth strategy is to expand our deployed footprint with a customer after initial adoption.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 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could suffer and our operating results could be adversely affected.</w:t>
      </w:r>
    </w:p>
    <w:p>
      <w:pPr>
        <w:spacing w:after="0" w:line="180" w:lineRule="exact"/>
        <w:rPr>
          <w:sz w:val="20"/>
          <w:szCs w:val="20"/>
          <w:color w:val="auto"/>
        </w:rPr>
      </w:pPr>
    </w:p>
    <w:p>
      <w:pPr>
        <w:ind w:right="80" w:firstLine="878"/>
        <w:spacing w:after="0" w:line="286" w:lineRule="auto"/>
        <w:rPr>
          <w:sz w:val="20"/>
          <w:szCs w:val="20"/>
          <w:color w:val="auto"/>
        </w:rPr>
      </w:pPr>
      <w:r>
        <w:rPr>
          <w:rFonts w:ascii="Arial" w:cs="Arial" w:eastAsia="Arial" w:hAnsi="Arial"/>
          <w:sz w:val="16"/>
          <w:szCs w:val="16"/>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 While we expect ACV-based net retention to increase over time for each respective cohort as we execute our land and expand strategy, occasionally ACV-based net retention can moderate from one period to the next, from customer consolidation for example.</w:t>
      </w:r>
    </w:p>
    <w:p>
      <w:pPr>
        <w:spacing w:after="0" w:line="167" w:lineRule="exact"/>
        <w:rPr>
          <w:sz w:val="20"/>
          <w:szCs w:val="20"/>
          <w:color w:val="auto"/>
        </w:rPr>
      </w:pPr>
    </w:p>
    <w:p>
      <w:pPr>
        <w:ind w:right="720" w:firstLine="878"/>
        <w:spacing w:after="0" w:line="266"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17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Annual Contract Value ("ACV")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150495</wp:posOffset>
            </wp:positionV>
            <wp:extent cx="5040630" cy="3790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40630" cy="379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878"/>
        <w:spacing w:after="0" w:line="303" w:lineRule="auto"/>
        <w:rPr>
          <w:sz w:val="20"/>
          <w:szCs w:val="20"/>
          <w:color w:val="auto"/>
        </w:rPr>
      </w:pPr>
      <w:r>
        <w:rPr>
          <w:rFonts w:ascii="Arial" w:cs="Arial" w:eastAsia="Arial" w:hAnsi="Arial"/>
          <w:sz w:val="16"/>
          <w:szCs w:val="16"/>
          <w:b w:val="1"/>
          <w:bCs w:val="1"/>
          <w:i w:val="1"/>
          <w:iCs w:val="1"/>
          <w:color w:val="auto"/>
        </w:rPr>
        <w:t>COVID-19 Effects on Demand for Our Solution</w:t>
      </w:r>
      <w:r>
        <w:rPr>
          <w:rFonts w:ascii="Arial" w:cs="Arial" w:eastAsia="Arial" w:hAnsi="Arial"/>
          <w:sz w:val="16"/>
          <w:szCs w:val="16"/>
          <w:color w:val="auto"/>
        </w:rPr>
        <w:t>. To help our customers service demand for PPP loans under the CARES Act beginning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154" w:lineRule="exact"/>
        <w:rPr>
          <w:sz w:val="20"/>
          <w:szCs w:val="20"/>
          <w:color w:val="auto"/>
        </w:rPr>
      </w:pPr>
    </w:p>
    <w:p>
      <w:pPr>
        <w:ind w:right="20" w:firstLine="878"/>
        <w:spacing w:after="0" w:line="267" w:lineRule="auto"/>
        <w:rPr>
          <w:sz w:val="20"/>
          <w:szCs w:val="20"/>
          <w:color w:val="auto"/>
        </w:rPr>
      </w:pPr>
      <w:r>
        <w:rPr>
          <w:rFonts w:ascii="Arial" w:cs="Arial" w:eastAsia="Arial" w:hAnsi="Arial"/>
          <w:sz w:val="17"/>
          <w:szCs w:val="17"/>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80" w:lineRule="exact"/>
        <w:rPr>
          <w:sz w:val="20"/>
          <w:szCs w:val="20"/>
          <w:color w:val="auto"/>
        </w:rPr>
      </w:pPr>
    </w:p>
    <w:p>
      <w:pPr>
        <w:ind w:right="100" w:firstLine="878"/>
        <w:spacing w:after="0" w:line="287"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4" w:lineRule="exact"/>
        <w:rPr>
          <w:sz w:val="20"/>
          <w:szCs w:val="20"/>
          <w:color w:val="auto"/>
        </w:rPr>
      </w:pPr>
    </w:p>
    <w:p>
      <w:pPr>
        <w:ind w:right="120" w:firstLine="878"/>
        <w:spacing w:after="0" w:line="250" w:lineRule="auto"/>
        <w:rPr>
          <w:sz w:val="20"/>
          <w:szCs w:val="20"/>
          <w:color w:val="auto"/>
        </w:rPr>
      </w:pPr>
      <w:r>
        <w:rPr>
          <w:rFonts w:ascii="Arial" w:cs="Arial" w:eastAsia="Arial" w:hAnsi="Arial"/>
          <w:sz w:val="18"/>
          <w:szCs w:val="18"/>
          <w:color w:val="auto"/>
        </w:rPr>
        <w:t>In addition to providing financial measurements based on generally accepted accounting principles in the United States of America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96"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9" w:lineRule="exact"/>
        <w:rPr>
          <w:sz w:val="20"/>
          <w:szCs w:val="20"/>
          <w:color w:val="auto"/>
        </w:rPr>
      </w:pPr>
    </w:p>
    <w:p>
      <w:pPr>
        <w:ind w:right="80" w:firstLine="878"/>
        <w:spacing w:after="0" w:line="294"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consolidated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62" w:lineRule="exact"/>
        <w:rPr>
          <w:sz w:val="20"/>
          <w:szCs w:val="20"/>
          <w:color w:val="auto"/>
        </w:rPr>
      </w:pPr>
    </w:p>
    <w:p>
      <w:pPr>
        <w:ind w:right="120" w:firstLine="878"/>
        <w:spacing w:after="0" w:line="290"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firstLine="878"/>
        <w:spacing w:after="0" w:line="266"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r>
      <w:tr>
        <w:trPr>
          <w:trHeight w:val="225"/>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25,208</w:t>
            </w:r>
          </w:p>
        </w:tc>
      </w:tr>
      <w:tr>
        <w:trPr>
          <w:trHeight w:val="219"/>
        </w:trPr>
        <w:tc>
          <w:tcPr>
            <w:tcW w:w="6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28,413</w:t>
            </w:r>
          </w:p>
        </w:tc>
      </w:tr>
      <w:tr>
        <w:trPr>
          <w:trHeight w:val="22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18" w:lineRule="exact"/>
        <w:rPr>
          <w:sz w:val="20"/>
          <w:szCs w:val="20"/>
          <w:color w:val="auto"/>
        </w:rPr>
      </w:pPr>
    </w:p>
    <w:p>
      <w:pPr>
        <w:ind w:right="20" w:firstLine="878"/>
        <w:spacing w:after="0" w:line="256"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that we offer under non-cancellable multi-year contracts, which typically range from three to five years. Specifically, we offer:</w:t>
      </w:r>
    </w:p>
    <w:p>
      <w:pPr>
        <w:spacing w:after="0" w:line="189" w:lineRule="exact"/>
        <w:rPr>
          <w:sz w:val="20"/>
          <w:szCs w:val="20"/>
          <w:color w:val="auto"/>
        </w:rPr>
      </w:pPr>
    </w:p>
    <w:p>
      <w:pPr>
        <w:ind w:left="1280" w:right="640" w:hanging="316"/>
        <w:spacing w:after="0" w:line="266" w:lineRule="auto"/>
        <w:tabs>
          <w:tab w:leader="none" w:pos="1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9" w:lineRule="exact"/>
        <w:rPr>
          <w:rFonts w:ascii="Arial" w:cs="Arial" w:eastAsia="Arial" w:hAnsi="Arial"/>
          <w:sz w:val="18"/>
          <w:szCs w:val="18"/>
          <w:color w:val="auto"/>
        </w:rPr>
      </w:pPr>
    </w:p>
    <w:p>
      <w:pPr>
        <w:ind w:left="1280" w:right="20" w:hanging="316"/>
        <w:spacing w:after="0" w:line="303" w:lineRule="auto"/>
        <w:tabs>
          <w:tab w:leader="none" w:pos="12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154" w:lineRule="exact"/>
        <w:rPr>
          <w:rFonts w:ascii="Arial" w:cs="Arial" w:eastAsia="Arial" w:hAnsi="Arial"/>
          <w:sz w:val="16"/>
          <w:szCs w:val="16"/>
          <w:color w:val="auto"/>
        </w:rPr>
      </w:pPr>
    </w:p>
    <w:p>
      <w:pPr>
        <w:ind w:left="1280" w:right="280" w:hanging="316"/>
        <w:spacing w:after="0" w:line="266" w:lineRule="auto"/>
        <w:tabs>
          <w:tab w:leader="none" w:pos="1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9" w:lineRule="exact"/>
        <w:rPr>
          <w:sz w:val="20"/>
          <w:szCs w:val="20"/>
          <w:color w:val="auto"/>
        </w:rPr>
      </w:pPr>
    </w:p>
    <w:p>
      <w:pPr>
        <w:ind w:right="60" w:firstLine="878"/>
        <w:spacing w:after="0" w:line="284"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73" w:lineRule="exact"/>
        <w:rPr>
          <w:sz w:val="20"/>
          <w:szCs w:val="20"/>
          <w:color w:val="auto"/>
        </w:rPr>
      </w:pPr>
    </w:p>
    <w:p>
      <w:pPr>
        <w:ind w:right="60" w:firstLine="878"/>
        <w:spacing w:after="0" w:line="284" w:lineRule="auto"/>
        <w:rPr>
          <w:sz w:val="20"/>
          <w:szCs w:val="20"/>
          <w:color w:val="auto"/>
        </w:rPr>
      </w:pPr>
      <w:r>
        <w:rPr>
          <w:rFonts w:ascii="Arial" w:cs="Arial" w:eastAsia="Arial" w:hAnsi="Arial"/>
          <w:sz w:val="16"/>
          <w:szCs w:val="16"/>
          <w:i w:val="1"/>
          <w:iCs w:val="1"/>
          <w:color w:val="auto"/>
        </w:rPr>
        <w:t>Professional Services Revenues</w:t>
      </w:r>
      <w:r>
        <w:rPr>
          <w:rFonts w:ascii="Arial" w:cs="Arial" w:eastAsia="Arial" w:hAnsi="Arial"/>
          <w:sz w:val="16"/>
          <w:szCs w:val="16"/>
          <w:color w:val="auto"/>
        </w:rPr>
        <w:t>. Professional services revenues consist of fees for implementation and configuration assistance, training,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18" w:lineRule="exact"/>
        <w:rPr>
          <w:sz w:val="20"/>
          <w:szCs w:val="20"/>
          <w:color w:val="auto"/>
        </w:rPr>
      </w:pPr>
    </w:p>
    <w:p>
      <w:pPr>
        <w:ind w:firstLine="878"/>
        <w:spacing w:after="0" w:line="287"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9" w:lineRule="exact"/>
        <w:rPr>
          <w:sz w:val="20"/>
          <w:szCs w:val="20"/>
          <w:color w:val="auto"/>
        </w:rPr>
      </w:pPr>
    </w:p>
    <w:p>
      <w:pPr>
        <w:ind w:right="20" w:firstLine="878"/>
        <w:spacing w:after="0" w:line="250" w:lineRule="auto"/>
        <w:rPr>
          <w:sz w:val="20"/>
          <w:szCs w:val="20"/>
          <w:color w:val="auto"/>
        </w:rPr>
      </w:pPr>
      <w:r>
        <w:rPr>
          <w:rFonts w:ascii="Arial" w:cs="Arial" w:eastAsia="Arial" w:hAnsi="Arial"/>
          <w:sz w:val="18"/>
          <w:szCs w:val="18"/>
          <w:i w:val="1"/>
          <w:iCs w:val="1"/>
          <w:color w:val="auto"/>
        </w:rPr>
        <w:t>Cost of Professional Services Revenues</w:t>
      </w:r>
      <w:r>
        <w:rPr>
          <w:rFonts w:ascii="Arial" w:cs="Arial" w:eastAsia="Arial" w:hAnsi="Arial"/>
          <w:sz w:val="18"/>
          <w:szCs w:val="18"/>
          <w:color w:val="auto"/>
        </w:rPr>
        <w:t>. Cost of professional services revenues consists primarily of personnel-related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8" w:lineRule="exact"/>
        <w:rPr>
          <w:sz w:val="20"/>
          <w:szCs w:val="20"/>
          <w:color w:val="auto"/>
        </w:rPr>
      </w:pPr>
    </w:p>
    <w:p>
      <w:pPr>
        <w:ind w:right="20" w:firstLine="878"/>
        <w:spacing w:after="0" w:line="265"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primarily of personnel costs of our sales and marketing employees,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four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85" w:lineRule="exact"/>
        <w:rPr>
          <w:sz w:val="20"/>
          <w:szCs w:val="20"/>
          <w:color w:val="auto"/>
        </w:rPr>
      </w:pPr>
    </w:p>
    <w:p>
      <w:pPr>
        <w:ind w:right="100" w:firstLine="878"/>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consist primarily of salaries, benefits and stock-based compensation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78"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benefits and stock-based compensation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8"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7"/>
          <w:szCs w:val="17"/>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the liquidity-based vesting condition was satisfied upon the IPO. For fiscal 2021, we recognized $21.5 million of stock-based based compensation expense, related to RSUs being recognized upon the effective date of the IPO and additional vesting of RSUs since such time ($12.2 million of which was recognized on the effective date of the IPO). In the future, stock-based compensation expense for both stock options and RSUs will be recognized as the time-based vesting conditions under such awards are met.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jc w:val="both"/>
        <w:ind w:right="220" w:firstLine="878"/>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Annual Report on Form 10-K. The following tables present our selected consolidated statements of operations data for fiscal 2019, 2020, and 2021 in both dollars and as a percentage of total revenues, except as noted.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1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340"/>
              <w:spacing w:after="0"/>
              <w:rPr>
                <w:sz w:val="20"/>
                <w:szCs w:val="20"/>
                <w:color w:val="auto"/>
              </w:rPr>
            </w:pPr>
            <w:r>
              <w:rPr>
                <w:rFonts w:ascii="Arial" w:cs="Arial" w:eastAsia="Arial" w:hAnsi="Arial"/>
                <w:sz w:val="18"/>
                <w:szCs w:val="18"/>
                <w:color w:val="auto"/>
              </w:rPr>
              <w:t>Subscription revenues</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103,265</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162,439</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revenues</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19"/>
        </w:trPr>
        <w:tc>
          <w:tcPr>
            <w:tcW w:w="484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204,293</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40" w:type="dxa"/>
            <w:vAlign w:val="bottom"/>
          </w:tcPr>
          <w:p>
            <w:pPr>
              <w:ind w:left="340"/>
              <w:spacing w:after="0" w:line="226" w:lineRule="exact"/>
              <w:rPr>
                <w:sz w:val="20"/>
                <w:szCs w:val="20"/>
                <w:color w:val="auto"/>
              </w:rPr>
            </w:pPr>
            <w:r>
              <w:rPr>
                <w:rFonts w:ascii="Arial" w:cs="Arial" w:eastAsia="Arial" w:hAnsi="Arial"/>
                <w:sz w:val="18"/>
                <w:szCs w:val="18"/>
                <w:color w:val="auto"/>
              </w:rPr>
              <w:t>Cost of subscription revenues</w:t>
            </w:r>
            <w:r>
              <w:rPr>
                <w:rFonts w:ascii="Arial" w:cs="Arial" w:eastAsia="Arial" w:hAnsi="Arial"/>
                <w:sz w:val="23"/>
                <w:szCs w:val="23"/>
                <w:color w:val="auto"/>
                <w:vertAlign w:val="superscript"/>
              </w:rPr>
              <w:t>1</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47,969</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Cost of professional services revenues</w:t>
            </w:r>
            <w:r>
              <w:rPr>
                <w:rFonts w:ascii="Arial" w:cs="Arial" w:eastAsia="Arial" w:hAnsi="Arial"/>
                <w:sz w:val="23"/>
                <w:szCs w:val="23"/>
                <w:color w:val="auto"/>
                <w:vertAlign w:val="superscript"/>
              </w:rPr>
              <w:t>1</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 of revenues</w:t>
            </w: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88,135</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116,158</w:t>
            </w:r>
          </w:p>
        </w:tc>
        <w:tc>
          <w:tcPr>
            <w:tcW w:w="0" w:type="dxa"/>
            <w:vAlign w:val="bottom"/>
          </w:tcPr>
          <w:p>
            <w:pPr>
              <w:spacing w:after="0"/>
              <w:rPr>
                <w:sz w:val="1"/>
                <w:szCs w:val="1"/>
                <w:color w:val="auto"/>
              </w:rPr>
            </w:pPr>
          </w:p>
        </w:tc>
      </w:tr>
      <w:tr>
        <w:trPr>
          <w:trHeight w:val="205"/>
        </w:trPr>
        <w:tc>
          <w:tcPr>
            <w:tcW w:w="4840" w:type="dxa"/>
            <w:vAlign w:val="bottom"/>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0" w:type="dxa"/>
            <w:vAlign w:val="bottom"/>
          </w:tcPr>
          <w:p>
            <w:pPr>
              <w:spacing w:after="0"/>
              <w:rPr>
                <w:sz w:val="1"/>
                <w:szCs w:val="1"/>
                <w:color w:val="auto"/>
              </w:rPr>
            </w:pPr>
          </w:p>
        </w:tc>
      </w:tr>
      <w:tr>
        <w:trPr>
          <w:trHeight w:val="226"/>
        </w:trPr>
        <w:tc>
          <w:tcPr>
            <w:tcW w:w="4840" w:type="dxa"/>
            <w:vAlign w:val="bottom"/>
          </w:tcPr>
          <w:p>
            <w:pPr>
              <w:ind w:left="340"/>
              <w:spacing w:after="0" w:line="22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Loss from operations</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5"/>
        </w:trPr>
        <w:tc>
          <w:tcPr>
            <w:tcW w:w="4840" w:type="dxa"/>
            <w:vAlign w:val="bottom"/>
          </w:tcPr>
          <w:p>
            <w:pPr>
              <w:ind w:left="20"/>
              <w:spacing w:after="0" w:line="205" w:lineRule="exact"/>
              <w:rPr>
                <w:sz w:val="20"/>
                <w:szCs w:val="20"/>
                <w:color w:val="auto"/>
              </w:rPr>
            </w:pPr>
            <w:r>
              <w:rPr>
                <w:rFonts w:ascii="Arial" w:cs="Arial" w:eastAsia="Arial" w:hAnsi="Arial"/>
                <w:sz w:val="18"/>
                <w:szCs w:val="18"/>
                <w:color w:val="auto"/>
              </w:rPr>
              <w:t>Non-operating income (expense):</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48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9"/>
        </w:trPr>
        <w:tc>
          <w:tcPr>
            <w:tcW w:w="4840" w:type="dxa"/>
            <w:vAlign w:val="bottom"/>
          </w:tcPr>
          <w:p>
            <w:pPr>
              <w:ind w:left="980"/>
              <w:spacing w:after="0"/>
              <w:rPr>
                <w:sz w:val="20"/>
                <w:szCs w:val="20"/>
                <w:color w:val="auto"/>
              </w:rPr>
            </w:pPr>
            <w:r>
              <w:rPr>
                <w:rFonts w:ascii="Arial" w:cs="Arial" w:eastAsia="Arial" w:hAnsi="Arial"/>
                <w:sz w:val="18"/>
                <w:szCs w:val="18"/>
                <w:color w:val="auto"/>
              </w:rPr>
              <w:t>Loss before income tax expense</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9"/>
        </w:trPr>
        <w:tc>
          <w:tcPr>
            <w:tcW w:w="4840" w:type="dxa"/>
            <w:vAlign w:val="bottom"/>
          </w:tcPr>
          <w:p>
            <w:pPr>
              <w:ind w:left="980"/>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(41,270)</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1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0"/>
        </w:trPr>
        <w:tc>
          <w:tcPr>
            <w:tcW w:w="48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loss attributable to nCino, Inc.</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4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4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74,593,709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78,316,794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87,678,323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2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5,745</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25,208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900" w:type="dxa"/>
            <w:vAlign w:val="bottom"/>
            <w:vMerge w:val="restart"/>
          </w:tcPr>
          <w:p>
            <w:pPr>
              <w:jc w:val="right"/>
              <w:ind w:right="931"/>
              <w:spacing w:after="0"/>
              <w:rPr>
                <w:sz w:val="20"/>
                <w:szCs w:val="20"/>
                <w:color w:val="auto"/>
              </w:rPr>
            </w:pPr>
            <w:r>
              <w:rPr>
                <w:rFonts w:ascii="Arial" w:cs="Arial" w:eastAsia="Arial" w:hAnsi="Arial"/>
                <w:sz w:val="18"/>
                <w:szCs w:val="18"/>
                <w:color w:val="auto"/>
              </w:rPr>
              <w:t>43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48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recognized amortization expense as follows: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Ended January 31,</w:t>
            </w:r>
          </w:p>
        </w:tc>
        <w:tc>
          <w:tcPr>
            <w:tcW w:w="1080" w:type="dxa"/>
            <w:vAlign w:val="bottom"/>
            <w:tcBorders>
              <w:bottom w:val="single" w:sz="8" w:color="auto"/>
            </w:tcBorders>
          </w:tcPr>
          <w:p>
            <w:pPr>
              <w:spacing w:after="0"/>
              <w:rPr>
                <w:sz w:val="16"/>
                <w:szCs w:val="16"/>
                <w:color w:val="auto"/>
              </w:rPr>
            </w:pPr>
          </w:p>
        </w:tc>
      </w:tr>
      <w:tr>
        <w:trPr>
          <w:trHeight w:val="184"/>
        </w:trPr>
        <w:tc>
          <w:tcPr>
            <w:tcW w:w="67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100" w:type="dxa"/>
            <w:vAlign w:val="bottom"/>
          </w:tcPr>
          <w:p>
            <w:pPr>
              <w:jc w:val="right"/>
              <w:ind w:right="169"/>
              <w:spacing w:after="0"/>
              <w:rPr>
                <w:sz w:val="20"/>
                <w:szCs w:val="20"/>
                <w:color w:val="auto"/>
              </w:rPr>
            </w:pPr>
            <w:r>
              <w:rPr>
                <w:rFonts w:ascii="Arial" w:cs="Arial" w:eastAsia="Arial" w:hAnsi="Arial"/>
                <w:sz w:val="14"/>
                <w:szCs w:val="14"/>
                <w:b w:val="1"/>
                <w:bCs w:val="1"/>
                <w:color w:val="auto"/>
              </w:rPr>
              <w:t>2019</w:t>
            </w:r>
          </w:p>
        </w:tc>
        <w:tc>
          <w:tcPr>
            <w:tcW w:w="2320" w:type="dxa"/>
            <w:vAlign w:val="bottom"/>
          </w:tcPr>
          <w:p>
            <w:pPr>
              <w:jc w:val="right"/>
              <w:ind w:right="949"/>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660" w:type="dxa"/>
            <w:vAlign w:val="bottom"/>
            <w:tcBorders>
              <w:top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674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Pr>
          <w:p>
            <w:pPr>
              <w:jc w:val="right"/>
              <w:ind w:right="451"/>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9"/>
                <w:szCs w:val="19"/>
                <w:color w:val="auto"/>
              </w:rPr>
            </w:pPr>
          </w:p>
        </w:tc>
        <w:tc>
          <w:tcPr>
            <w:tcW w:w="540" w:type="dxa"/>
            <w:vAlign w:val="bottom"/>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3,205</w:t>
            </w:r>
          </w:p>
        </w:tc>
      </w:tr>
      <w:tr>
        <w:trPr>
          <w:trHeight w:val="20"/>
        </w:trPr>
        <w:tc>
          <w:tcPr>
            <w:tcW w:w="6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rPr>
              <w:t>Fiscal Year Ended January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Subscription revenues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revenues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9"/>
        </w:trPr>
        <w:tc>
          <w:tcPr>
            <w:tcW w:w="510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Cost of revenues (percentage shown in comparison to related revenues):</w:t>
            </w: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Cost of subscription revenues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professional services revenues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 of revenues</w:t>
            </w:r>
          </w:p>
        </w:tc>
        <w:tc>
          <w:tcPr>
            <w:tcW w:w="4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(25.4)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(20.4)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line="205" w:lineRule="exact"/>
              <w:rPr>
                <w:sz w:val="20"/>
                <w:szCs w:val="20"/>
                <w:color w:val="auto"/>
              </w:rPr>
            </w:pPr>
            <w:r>
              <w:rPr>
                <w:rFonts w:ascii="Arial" w:cs="Arial" w:eastAsia="Arial" w:hAnsi="Arial"/>
                <w:sz w:val="18"/>
                <w:szCs w:val="18"/>
                <w:color w:val="auto"/>
              </w:rPr>
              <w:t>Non-operating income (expense)</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80" w:type="dxa"/>
            <w:vAlign w:val="bottom"/>
            <w:gridSpan w:val="5"/>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9"/>
        </w:trPr>
        <w:tc>
          <w:tcPr>
            <w:tcW w:w="5100" w:type="dxa"/>
            <w:vAlign w:val="bottom"/>
          </w:tcPr>
          <w:p>
            <w:pPr>
              <w:ind w:left="1100"/>
              <w:spacing w:after="0"/>
              <w:rPr>
                <w:sz w:val="20"/>
                <w:szCs w:val="20"/>
                <w:color w:val="auto"/>
              </w:rPr>
            </w:pPr>
            <w:r>
              <w:rPr>
                <w:rFonts w:ascii="Arial" w:cs="Arial" w:eastAsia="Arial" w:hAnsi="Arial"/>
                <w:sz w:val="18"/>
                <w:szCs w:val="18"/>
                <w:color w:val="auto"/>
              </w:rPr>
              <w:t>Loss before income tax expense</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89"/>
              </w:rPr>
              <w:t>(24.2)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(19.7)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0"/>
        </w:trPr>
        <w:tc>
          <w:tcPr>
            <w:tcW w:w="5100" w:type="dxa"/>
            <w:vAlign w:val="bottom"/>
          </w:tcPr>
          <w:p>
            <w:pPr>
              <w:ind w:left="110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(20.1)%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w w:val="90"/>
              </w:rPr>
              <w:t>Comparison of the Fiscal Years Ended January 31, 2020 and 2021</w:t>
            </w: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1"/>
          </w:tcPr>
          <w:p>
            <w:pPr>
              <w:jc w:val="right"/>
              <w:ind w:right="1000"/>
              <w:spacing w:after="0"/>
              <w:rPr>
                <w:sz w:val="20"/>
                <w:szCs w:val="20"/>
                <w:color w:val="auto"/>
              </w:rPr>
            </w:pPr>
            <w:r>
              <w:rPr>
                <w:rFonts w:ascii="Arial" w:cs="Arial" w:eastAsia="Arial" w:hAnsi="Arial"/>
                <w:sz w:val="14"/>
                <w:szCs w:val="14"/>
                <w:b w:val="1"/>
                <w:bCs w:val="1"/>
                <w:color w:val="auto"/>
              </w:rPr>
              <w:t>Fiscal Year Ended January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Subscription revenues</w:t>
            </w: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103,265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revenues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0"/>
        </w:trPr>
        <w:tc>
          <w:tcPr>
            <w:tcW w:w="5100" w:type="dxa"/>
            <w:vAlign w:val="bottom"/>
          </w:tcPr>
          <w:p>
            <w:pPr>
              <w:ind w:left="110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Subscription Revenues</w:t>
      </w:r>
    </w:p>
    <w:p>
      <w:pPr>
        <w:spacing w:after="0" w:line="218" w:lineRule="exact"/>
        <w:rPr>
          <w:sz w:val="20"/>
          <w:szCs w:val="20"/>
          <w:color w:val="auto"/>
        </w:rPr>
      </w:pPr>
    </w:p>
    <w:p>
      <w:pPr>
        <w:ind w:right="20" w:firstLine="878"/>
        <w:spacing w:after="0" w:line="290" w:lineRule="auto"/>
        <w:rPr>
          <w:sz w:val="20"/>
          <w:szCs w:val="20"/>
          <w:color w:val="auto"/>
        </w:rPr>
      </w:pPr>
      <w:r>
        <w:rPr>
          <w:rFonts w:ascii="Arial" w:cs="Arial" w:eastAsia="Arial" w:hAnsi="Arial"/>
          <w:sz w:val="16"/>
          <w:szCs w:val="16"/>
          <w:color w:val="auto"/>
        </w:rPr>
        <w:t>Subscription revenues increased $59.2 million for fiscal 2021 compared to fiscal 2020, due to initial revenues from customers who did not contribute to subscription revenues during the prior period, including customers added as a result of our acquisitions of Visible Equity and FinSuite, and growth from existing customers within and across lines of business. Of the increase, 85.5% was attributable to increased revenues from existing customers as additional seats were activated in accordance with contractual terms and customers expanded their adoption of our solution, 8.9% was attributable to revenues from Visible Equity and FinSuite, and 5.6% was attributable to initial revenues from customers who did not contribute to subscription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revenues during the prior period. Subscription revenues were 79.5% of total revenues for fiscal 2021 compared to 74.7% of total revenues for fiscal 2020, reflecting the growth in our installed base.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Professional Services Revenues</w:t>
      </w:r>
    </w:p>
    <w:p>
      <w:pPr>
        <w:spacing w:after="0" w:line="218" w:lineRule="exact"/>
        <w:rPr>
          <w:sz w:val="20"/>
          <w:szCs w:val="20"/>
          <w:color w:val="auto"/>
        </w:rPr>
      </w:pPr>
    </w:p>
    <w:p>
      <w:pPr>
        <w:ind w:right="140" w:firstLine="878"/>
        <w:spacing w:after="0" w:line="253" w:lineRule="auto"/>
        <w:rPr>
          <w:sz w:val="20"/>
          <w:szCs w:val="20"/>
          <w:color w:val="auto"/>
        </w:rPr>
      </w:pPr>
      <w:r>
        <w:rPr>
          <w:rFonts w:ascii="Arial" w:cs="Arial" w:eastAsia="Arial" w:hAnsi="Arial"/>
          <w:sz w:val="18"/>
          <w:szCs w:val="18"/>
          <w:color w:val="auto"/>
        </w:rPr>
        <w:t>Professional services revenues increased $6.9 million for fiscal 2021 compared to fiscal 2020, primarily due to the addition of new customers as well as expanded adoption by existing customers within and across lines of business where implementation, configuration, and training services were required. For fiscal 2021, $0.4 million of professional services revenue was reimbursable travel and expense related to professional services projects at customer locations compared to $2.9 million for fiscal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Fiscal Year Ended January 31,</w:t>
            </w: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91"/>
              <w:spacing w:after="0"/>
              <w:rPr>
                <w:sz w:val="20"/>
                <w:szCs w:val="20"/>
                <w:color w:val="auto"/>
              </w:rPr>
            </w:pPr>
            <w:r>
              <w:rPr>
                <w:rFonts w:ascii="Arial" w:cs="Arial" w:eastAsia="Arial" w:hAnsi="Arial"/>
                <w:sz w:val="14"/>
                <w:szCs w:val="14"/>
                <w:b w:val="1"/>
                <w:bCs w:val="1"/>
                <w:color w:val="auto"/>
                <w:w w:val="89"/>
              </w:rPr>
              <w:t>2021</w:t>
            </w:r>
          </w:p>
        </w:tc>
      </w:tr>
      <w:tr>
        <w:trPr>
          <w:trHeight w:val="155"/>
        </w:trPr>
        <w:tc>
          <w:tcPr>
            <w:tcW w:w="50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Cost of revenues (percentage shown in comparison to related</w:t>
            </w: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25"/>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Cost of subscription revenues</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31,062</w:t>
            </w:r>
          </w:p>
        </w:tc>
        <w:tc>
          <w:tcPr>
            <w:tcW w:w="50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89"/>
              </w:rPr>
              <w:t>30.1 %</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47,969</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w w:val="89"/>
              </w:rPr>
              <w:t>29.5 %</w:t>
            </w:r>
          </w:p>
        </w:tc>
      </w:tr>
      <w:tr>
        <w:trPr>
          <w:trHeight w:val="22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professional services revenues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40,166</w:t>
            </w:r>
          </w:p>
        </w:tc>
        <w:tc>
          <w:tcPr>
            <w:tcW w:w="40" w:type="dxa"/>
            <w:vAlign w:val="bottom"/>
            <w:tcBorders>
              <w:bottom w:val="single" w:sz="8" w:color="auto"/>
            </w:tcBorders>
            <w:shd w:val="clear" w:color="auto" w:fill="CCEEFF"/>
          </w:tcPr>
          <w:p>
            <w:pPr>
              <w:spacing w:after="0"/>
              <w:rPr>
                <w:sz w:val="19"/>
                <w:szCs w:val="19"/>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96.0</w:t>
            </w:r>
          </w:p>
        </w:tc>
      </w:tr>
      <w:tr>
        <w:trPr>
          <w:trHeight w:val="220"/>
        </w:trPr>
        <w:tc>
          <w:tcPr>
            <w:tcW w:w="5080" w:type="dxa"/>
            <w:vAlign w:val="bottom"/>
          </w:tcPr>
          <w:p>
            <w:pPr>
              <w:ind w:left="660"/>
              <w:spacing w:after="0"/>
              <w:rPr>
                <w:sz w:val="20"/>
                <w:szCs w:val="20"/>
                <w:color w:val="auto"/>
              </w:rPr>
            </w:pPr>
            <w:r>
              <w:rPr>
                <w:rFonts w:ascii="Arial" w:cs="Arial" w:eastAsia="Arial" w:hAnsi="Arial"/>
                <w:sz w:val="18"/>
                <w:szCs w:val="18"/>
                <w:color w:val="auto"/>
              </w:rPr>
              <w:t>Total cost of revenues</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64,070</w:t>
            </w:r>
          </w:p>
        </w:tc>
        <w:tc>
          <w:tcPr>
            <w:tcW w:w="500" w:type="dxa"/>
            <w:vAlign w:val="bottom"/>
          </w:tcPr>
          <w:p>
            <w:pPr>
              <w:spacing w:after="0"/>
              <w:rPr>
                <w:sz w:val="19"/>
                <w:szCs w:val="19"/>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88,135</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43.1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239"/>
        </w:trPr>
        <w:tc>
          <w:tcPr>
            <w:tcW w:w="50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9"/>
              </w:rPr>
              <w:t>53.6 %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116,158</w:t>
            </w:r>
          </w:p>
        </w:tc>
        <w:tc>
          <w:tcPr>
            <w:tcW w:w="16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56.9 %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 of Subscription Revenues</w:t>
      </w:r>
    </w:p>
    <w:p>
      <w:pPr>
        <w:spacing w:after="0" w:line="218" w:lineRule="exact"/>
        <w:rPr>
          <w:sz w:val="20"/>
          <w:szCs w:val="20"/>
          <w:color w:val="auto"/>
        </w:rPr>
      </w:pPr>
    </w:p>
    <w:p>
      <w:pPr>
        <w:ind w:right="40" w:firstLine="878"/>
        <w:spacing w:after="0" w:line="266" w:lineRule="auto"/>
        <w:rPr>
          <w:sz w:val="20"/>
          <w:szCs w:val="20"/>
          <w:color w:val="auto"/>
        </w:rPr>
      </w:pPr>
      <w:r>
        <w:rPr>
          <w:rFonts w:ascii="Arial" w:cs="Arial" w:eastAsia="Arial" w:hAnsi="Arial"/>
          <w:sz w:val="17"/>
          <w:szCs w:val="17"/>
          <w:color w:val="auto"/>
        </w:rPr>
        <w:t>Cost of subscription revenues increased $16.9 million for fiscal 2021 compared to fiscal 2020, generating a gross margin for subscription revenues of 70.5% compared to a gross margin of 69.9% for fiscal 2020. Costs related to Salesforce user fees increased $12.0 million as we continued to add new customers and sell additional functionality to existing customers, and personnel costs increased $2.3 million as we added new employees. Stock-based compensation expense for RSUs increased $0.4 million, mostly attributable to RSUs being recognized upon the effective date of the IPO and also additional vesting of RSUs since the effective date of the IPO. Amortization expense for acquired developed technology related to the acquisitions of Visible Equity and FinSuite increased $0.8 million due to amortization expense during the full period for fiscal 2021. Other costs of subscription revenues increased $1.2 million due to data services purchased for resale. We expect the cost of subscription revenues will continue to increase in absolute dollars as the number of users of the nCino Bank Operating System grows.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18" w:lineRule="exact"/>
        <w:rPr>
          <w:sz w:val="20"/>
          <w:szCs w:val="20"/>
          <w:color w:val="auto"/>
        </w:rPr>
      </w:pPr>
    </w:p>
    <w:p>
      <w:pPr>
        <w:ind w:right="20" w:firstLine="878"/>
        <w:spacing w:after="0" w:line="283" w:lineRule="auto"/>
        <w:rPr>
          <w:sz w:val="20"/>
          <w:szCs w:val="20"/>
          <w:color w:val="auto"/>
        </w:rPr>
      </w:pPr>
      <w:r>
        <w:rPr>
          <w:rFonts w:ascii="Arial" w:cs="Arial" w:eastAsia="Arial" w:hAnsi="Arial"/>
          <w:sz w:val="16"/>
          <w:szCs w:val="16"/>
          <w:color w:val="auto"/>
        </w:rPr>
        <w:t>Cost of professional services revenues increased $7.2 million for fiscal 2021 compared to fiscal 2020, generating a gross margin for professional services of 4.0% compared to a gross margin of 5.5% for fiscal 2020. Excluding the effect of additional stock-based compensation expense, mostly attributable to RSUs being recognized upon the effective date of the IPO and also additional vesting of RSUs since the effective date of the IPO, gross margin for professional services for fiscal 2021 was 12.2%. For fiscal 2021, personnel costs increased $6.6 million for the professional services team compared to the prior year period due to increased headcount. Stock-based compensation expense for RSUs increased $3.4 million mostly attributable to RSUs being recognized upon the effective date of the IPO and also additional vesting of RSUs since the effective date of the IPO. Allocated overhead costs increased $0.7 million compared to the prior year period due to growth supporting our continued business expansion. These increases were partially offset by a $2.5 million decrease in reimbursable, and a $0.9 million decrease in non-reimbursable, travel and related expenses for the professional service organization due to COVID-19-related travel restrictions. Without the effect of the additional stock-based compensation expense, our professional services gross margin increase for fiscal 2021 was primarily due to the decrease in non-reimbursable travel aforementioned and effective billing rates.</w:t>
      </w:r>
    </w:p>
    <w:p>
      <w:pPr>
        <w:spacing w:after="0" w:line="171" w:lineRule="exact"/>
        <w:rPr>
          <w:sz w:val="20"/>
          <w:szCs w:val="20"/>
          <w:color w:val="auto"/>
        </w:rPr>
      </w:pPr>
    </w:p>
    <w:p>
      <w:pPr>
        <w:ind w:right="360" w:firstLine="878"/>
        <w:spacing w:after="0" w:line="266" w:lineRule="auto"/>
        <w:rPr>
          <w:sz w:val="20"/>
          <w:szCs w:val="20"/>
          <w:color w:val="auto"/>
        </w:rPr>
      </w:pPr>
      <w:r>
        <w:rPr>
          <w:rFonts w:ascii="Arial" w:cs="Arial" w:eastAsia="Arial" w:hAnsi="Arial"/>
          <w:sz w:val="18"/>
          <w:szCs w:val="18"/>
          <w:color w:val="auto"/>
        </w:rPr>
        <w:t>Excluding the effect of IPO associated expenses related to RSUs, we expect the cost of professional services revenues to increase in absolute dollars in the near term as we add new customer subscriptions where we provide professional services.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Fiscal Year Ended January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91"/>
              <w:spacing w:after="0"/>
              <w:rPr>
                <w:sz w:val="20"/>
                <w:szCs w:val="20"/>
                <w:color w:val="auto"/>
              </w:rPr>
            </w:pPr>
            <w:r>
              <w:rPr>
                <w:rFonts w:ascii="Arial" w:cs="Arial" w:eastAsia="Arial" w:hAnsi="Arial"/>
                <w:sz w:val="14"/>
                <w:szCs w:val="14"/>
                <w:b w:val="1"/>
                <w:bCs w:val="1"/>
                <w:color w:val="auto"/>
                <w:w w:val="83"/>
              </w:rPr>
              <w:t>2021</w:t>
            </w:r>
          </w:p>
        </w:tc>
      </w:tr>
      <w:tr>
        <w:trPr>
          <w:trHeight w:val="207"/>
        </w:trPr>
        <w:tc>
          <w:tcPr>
            <w:tcW w:w="51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2"/>
              </w:rPr>
              <w:t>32.2 %</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59,731</w:t>
            </w:r>
          </w:p>
        </w:tc>
        <w:tc>
          <w:tcPr>
            <w:tcW w:w="1660" w:type="dxa"/>
            <w:vAlign w:val="bottom"/>
            <w:gridSpan w:val="3"/>
          </w:tcPr>
          <w:p>
            <w:pPr>
              <w:ind w:left="1140"/>
              <w:spacing w:after="0"/>
              <w:rPr>
                <w:sz w:val="20"/>
                <w:szCs w:val="20"/>
                <w:color w:val="auto"/>
              </w:rPr>
            </w:pPr>
            <w:r>
              <w:rPr>
                <w:rFonts w:ascii="Arial" w:cs="Arial" w:eastAsia="Arial" w:hAnsi="Arial"/>
                <w:sz w:val="18"/>
                <w:szCs w:val="18"/>
                <w:color w:val="auto"/>
                <w:w w:val="89"/>
              </w:rPr>
              <w:t>29.2 %</w:t>
            </w: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66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28.5</w:t>
            </w:r>
          </w:p>
        </w:tc>
      </w:tr>
      <w:tr>
        <w:trPr>
          <w:trHeight w:val="225"/>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20.0</w:t>
            </w:r>
          </w:p>
        </w:tc>
      </w:tr>
      <w:tr>
        <w:trPr>
          <w:trHeight w:val="219"/>
        </w:trPr>
        <w:tc>
          <w:tcPr>
            <w:tcW w:w="5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77.7</w:t>
            </w:r>
          </w:p>
        </w:tc>
      </w:tr>
      <w:tr>
        <w:trPr>
          <w:trHeight w:val="220"/>
        </w:trPr>
        <w:tc>
          <w:tcPr>
            <w:tcW w:w="5100" w:type="dxa"/>
            <w:vAlign w:val="bottom"/>
          </w:tcPr>
          <w:p>
            <w:pPr>
              <w:ind w:left="110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(28,170)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w w:val="91"/>
              </w:rPr>
              <w:t>(20.4)%</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(42,608)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5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p>
      <w:pPr>
        <w:ind w:right="60" w:firstLine="878"/>
        <w:spacing w:after="0" w:line="266" w:lineRule="auto"/>
        <w:rPr>
          <w:sz w:val="20"/>
          <w:szCs w:val="20"/>
          <w:color w:val="auto"/>
        </w:rPr>
      </w:pPr>
      <w:r>
        <w:rPr>
          <w:rFonts w:ascii="Arial" w:cs="Arial" w:eastAsia="Arial" w:hAnsi="Arial"/>
          <w:sz w:val="17"/>
          <w:szCs w:val="17"/>
          <w:color w:val="auto"/>
        </w:rPr>
        <w:t>Sales and marketing expenses increased $15.3 million for fiscal 2021 compared to fiscal 2020, primarily due to an increase of $12.7 million in personnel costs resulting from an increase in headcount on the sales and marketing teams. Stock-based compensation expense for RSUs increased $5.1 million, mostly attributable to RSUs being recognized upon the effective date of the IPO and also additional vesting of RSUs from the effective date of the IPO. The increase in sales and marketing expenses also included a $1.1 million increase in allocated overhead costs and a $0.7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fiscal 2021. The increase in sales and marketing expenses for fiscal 2021 was partially offset by a decrease of $0.7 million in marketing costs and a decrease of $4.3 million in sales-related travel costs due to COVID-19-related travel restrictions.</w:t>
      </w:r>
    </w:p>
    <w:p>
      <w:pPr>
        <w:spacing w:after="0" w:line="181" w:lineRule="exact"/>
        <w:rPr>
          <w:sz w:val="20"/>
          <w:szCs w:val="20"/>
          <w:color w:val="auto"/>
        </w:rPr>
      </w:pPr>
    </w:p>
    <w:p>
      <w:pPr>
        <w:jc w:val="both"/>
        <w:ind w:right="420" w:firstLine="878"/>
        <w:spacing w:after="0" w:line="410" w:lineRule="auto"/>
        <w:rPr>
          <w:sz w:val="20"/>
          <w:szCs w:val="20"/>
          <w:color w:val="auto"/>
        </w:rPr>
      </w:pPr>
      <w:r>
        <w:rPr>
          <w:rFonts w:ascii="Arial" w:cs="Arial" w:eastAsia="Arial" w:hAnsi="Arial"/>
          <w:sz w:val="14"/>
          <w:szCs w:val="14"/>
          <w:color w:val="auto"/>
        </w:rPr>
        <w:t>Our sales and marketing headcount grew by 37 from January 31, 2020 to January 31, 2021. Excluding the effect of IPO associated expenses related to RSUs, we expect sales and marketing expenses to increase in absolute dollars as we invest in expanding our customer base and user adoption.</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p>
      <w:pPr>
        <w:ind w:right="160" w:firstLine="878"/>
        <w:spacing w:after="0" w:line="287" w:lineRule="auto"/>
        <w:rPr>
          <w:sz w:val="20"/>
          <w:szCs w:val="20"/>
          <w:color w:val="auto"/>
        </w:rPr>
      </w:pPr>
      <w:r>
        <w:rPr>
          <w:rFonts w:ascii="Arial" w:cs="Arial" w:eastAsia="Arial" w:hAnsi="Arial"/>
          <w:sz w:val="16"/>
          <w:szCs w:val="16"/>
          <w:color w:val="auto"/>
        </w:rPr>
        <w:t>Research and development expenses increased $23.0 million for fiscal 2021 compared to fiscal 2020, primarily due to an increase of $14.6 million in personnel costs resulting from a continued increase in headcount and a $1.8 million increase in allocated overhead costs due to growth supporting our continued business expansion. Stock-based compensation expense for RSUs increased $4.5 million, mostly attributable to RSUs being recognized upon the effective date of the IPO and also additional vesting of RSUs since the effective date of the IPO. Third party professional fees increased $2.5 million for fiscal 2021 compared to the fiscal 2020, attributable to an increase of contract research and development spend. The increase in research and development expenses for fiscal 2021 was partially offset by a decrease of $0.4 million in travel costs due to COVID-19-related travel restrictions.</w:t>
      </w:r>
    </w:p>
    <w:p>
      <w:pPr>
        <w:spacing w:after="0" w:line="169" w:lineRule="exact"/>
        <w:rPr>
          <w:sz w:val="20"/>
          <w:szCs w:val="20"/>
          <w:color w:val="auto"/>
        </w:rPr>
      </w:pPr>
    </w:p>
    <w:p>
      <w:pPr>
        <w:ind w:right="260" w:firstLine="878"/>
        <w:spacing w:after="0" w:line="256" w:lineRule="auto"/>
        <w:rPr>
          <w:sz w:val="20"/>
          <w:szCs w:val="20"/>
          <w:color w:val="auto"/>
        </w:rPr>
      </w:pPr>
      <w:r>
        <w:rPr>
          <w:rFonts w:ascii="Arial" w:cs="Arial" w:eastAsia="Arial" w:hAnsi="Arial"/>
          <w:sz w:val="18"/>
          <w:szCs w:val="18"/>
          <w:color w:val="auto"/>
        </w:rPr>
        <w:t>Our research and development headcount grew by 114 from January 31, 2020 to January 31, 2021. Excluding the effect of IPO associated expenses related to RSUs, we expect research and development expenses to increase in absolute dollars due to higher headcount as we continue to develop new applications and further enhance the nCino Bank Operating System.</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p>
      <w:pPr>
        <w:ind w:right="80" w:firstLine="878"/>
        <w:spacing w:after="0" w:line="265" w:lineRule="auto"/>
        <w:rPr>
          <w:sz w:val="20"/>
          <w:szCs w:val="20"/>
          <w:color w:val="auto"/>
        </w:rPr>
      </w:pPr>
      <w:r>
        <w:rPr>
          <w:rFonts w:ascii="Arial" w:cs="Arial" w:eastAsia="Arial" w:hAnsi="Arial"/>
          <w:sz w:val="17"/>
          <w:szCs w:val="17"/>
          <w:color w:val="auto"/>
        </w:rPr>
        <w:t>General and administrative expenses increased $18.2 million for fiscal 2021 compared to fiscal 2020, primarily due to stock-based compensation expense for RSUs of $8.1 million mostly attributable to RSUs being recognized upon the effective date of the IPO and also additional vesting of RSUs since the effective date of the IPO, partially offset by $1.2 million of stock-based compensation expense for the accelerated vesting of an executive's stock options for the fiscal 2020 that did not occur for fiscal 2021. Personnel costs increased $4.7 million from increased headcount as we continued to scale our business. Third party professional fees increased $2.3 million for fiscal 2021 compared to the fiscal 2020, mostly attributable to costs related to the IPO, Secondary Offering and costs associated with being a public company. Allocated overhead and other general and administrative costs increased $5.1 million, which consisted primarily of a $2.7 million increase in insurance costs associated with being a public company, tax related fees and assessments, license fees, charitable contributions, and bad debt expense. The increase in general and administrative expenses for fiscal 2021 was partially offset by a decrease of $0.7 million in travel costs due to COVID-19-related travel restrictions.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878"/>
        <w:spacing w:after="0" w:line="278" w:lineRule="auto"/>
        <w:rPr>
          <w:sz w:val="20"/>
          <w:szCs w:val="20"/>
          <w:color w:val="auto"/>
        </w:rPr>
      </w:pPr>
      <w:r>
        <w:rPr>
          <w:rFonts w:ascii="Arial" w:cs="Arial" w:eastAsia="Arial" w:hAnsi="Arial"/>
          <w:sz w:val="17"/>
          <w:szCs w:val="17"/>
          <w:color w:val="auto"/>
        </w:rPr>
        <w:t>Our general and administrative headcount grew by 23 from January 31, 2020 to January 31, 2021.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Effects of COVID-19</w:t>
      </w:r>
    </w:p>
    <w:p>
      <w:pPr>
        <w:spacing w:after="0" w:line="218" w:lineRule="exact"/>
        <w:rPr>
          <w:sz w:val="20"/>
          <w:szCs w:val="20"/>
          <w:color w:val="auto"/>
        </w:rPr>
      </w:pPr>
    </w:p>
    <w:p>
      <w:pPr>
        <w:ind w:firstLine="878"/>
        <w:spacing w:after="0" w:line="281"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recently eased some of these restrictions, but substantially all employees continue to work remotely and work-related travel remains very limited. In addition, we shifted our conferences and other marketing events to virtual-only for the foreseeable future. We expect these restrictions to stay in effect into future periods.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Item 7 of this Annual Report on Form 10-K, “Management’s Discussion and Analysis of Financial Condition and Results of Operations—Factors Affecting Our Operating Results—COVID-19 Effects on Demand for Our Solutions,” and Item 1A in Part I of this Annual Report on Form 10-K,“Risk Factors—Uncertain or weakened economic conditions, including as a result of COVID-19, may adversely affect our industry,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January 31, 2019 and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Fiscal Year Ended January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91"/>
              <w:spacing w:after="0"/>
              <w:rPr>
                <w:sz w:val="20"/>
                <w:szCs w:val="20"/>
                <w:color w:val="auto"/>
              </w:rPr>
            </w:pPr>
            <w:r>
              <w:rPr>
                <w:rFonts w:ascii="Arial" w:cs="Arial" w:eastAsia="Arial" w:hAnsi="Arial"/>
                <w:sz w:val="14"/>
                <w:szCs w:val="14"/>
                <w:b w:val="1"/>
                <w:bCs w:val="1"/>
                <w:color w:val="auto"/>
                <w:w w:val="89"/>
              </w:rPr>
              <w:t>2020</w:t>
            </w:r>
          </w:p>
        </w:tc>
      </w:tr>
      <w:tr>
        <w:trPr>
          <w:trHeight w:val="207"/>
        </w:trPr>
        <w:tc>
          <w:tcPr>
            <w:tcW w:w="50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Subscription revenues</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103,265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74.7 %</w:t>
            </w:r>
          </w:p>
        </w:tc>
      </w:tr>
      <w:tr>
        <w:trPr>
          <w:trHeight w:val="22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revenues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25.3</w:t>
            </w:r>
          </w:p>
        </w:tc>
      </w:tr>
      <w:tr>
        <w:trPr>
          <w:trHeight w:val="220"/>
        </w:trPr>
        <w:tc>
          <w:tcPr>
            <w:tcW w:w="5080" w:type="dxa"/>
            <w:vAlign w:val="bottom"/>
          </w:tcPr>
          <w:p>
            <w:pPr>
              <w:ind w:left="1100"/>
              <w:spacing w:after="0"/>
              <w:rPr>
                <w:sz w:val="20"/>
                <w:szCs w:val="20"/>
                <w:color w:val="auto"/>
              </w:rPr>
            </w:pPr>
            <w:r>
              <w:rPr>
                <w:rFonts w:ascii="Arial" w:cs="Arial" w:eastAsia="Arial" w:hAnsi="Arial"/>
                <w:sz w:val="18"/>
                <w:szCs w:val="18"/>
                <w:color w:val="auto"/>
              </w:rPr>
              <w:t>Total revenues</w:t>
            </w: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91,534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138,180</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Subscription Revenues</w:t>
      </w:r>
    </w:p>
    <w:p>
      <w:pPr>
        <w:spacing w:after="0" w:line="218" w:lineRule="exact"/>
        <w:rPr>
          <w:sz w:val="20"/>
          <w:szCs w:val="20"/>
          <w:color w:val="auto"/>
        </w:rPr>
      </w:pPr>
    </w:p>
    <w:p>
      <w:pPr>
        <w:ind w:right="80" w:firstLine="878"/>
        <w:spacing w:after="0" w:line="249" w:lineRule="auto"/>
        <w:rPr>
          <w:sz w:val="20"/>
          <w:szCs w:val="20"/>
          <w:color w:val="auto"/>
        </w:rPr>
      </w:pPr>
      <w:r>
        <w:rPr>
          <w:rFonts w:ascii="Arial" w:cs="Arial" w:eastAsia="Arial" w:hAnsi="Arial"/>
          <w:sz w:val="18"/>
          <w:szCs w:val="18"/>
          <w:color w:val="auto"/>
        </w:rPr>
        <w:t>Subscription revenues increased $38.8 million for fiscal 2020 compared to fiscal 2019, due to initial revenues from customers who did not contribute to subscription revenues during the prior period, including customers added as a result of our acquisitions of Visible Equity and FinSuite, and growth from existing customers within and across lines of business.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initial revenues from customers who did not contribute to subscription revenues during the prior period. Subscription revenues were 74.7% of total revenues for fiscal 2020, compared to 70.4% of total revenues for fiscal 2019, reflecting the growth in our installed base.</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Professional Services Revenues</w:t>
      </w:r>
    </w:p>
    <w:p>
      <w:pPr>
        <w:spacing w:after="0" w:line="218" w:lineRule="exact"/>
        <w:rPr>
          <w:sz w:val="20"/>
          <w:szCs w:val="20"/>
          <w:color w:val="auto"/>
        </w:rPr>
      </w:pPr>
    </w:p>
    <w:p>
      <w:pPr>
        <w:ind w:right="100" w:firstLine="878"/>
        <w:spacing w:after="0" w:line="253"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 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Fiscal Year Ended January 31,</w:t>
            </w: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91"/>
              <w:spacing w:after="0"/>
              <w:rPr>
                <w:sz w:val="20"/>
                <w:szCs w:val="20"/>
                <w:color w:val="auto"/>
              </w:rPr>
            </w:pPr>
            <w:r>
              <w:rPr>
                <w:rFonts w:ascii="Arial" w:cs="Arial" w:eastAsia="Arial" w:hAnsi="Arial"/>
                <w:sz w:val="14"/>
                <w:szCs w:val="14"/>
                <w:b w:val="1"/>
                <w:bCs w:val="1"/>
                <w:color w:val="auto"/>
                <w:w w:val="89"/>
              </w:rPr>
              <w:t>2020</w:t>
            </w:r>
          </w:p>
        </w:tc>
      </w:tr>
      <w:tr>
        <w:trPr>
          <w:trHeight w:val="155"/>
        </w:trPr>
        <w:tc>
          <w:tcPr>
            <w:tcW w:w="51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Cost of revenues (percentage shown in comparison to related</w:t>
            </w: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25"/>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Cost of subscription revenues</w:t>
            </w: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19,995</w:t>
            </w:r>
          </w:p>
        </w:tc>
        <w:tc>
          <w:tcPr>
            <w:tcW w:w="50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2"/>
              </w:rPr>
              <w:t>31.0 %</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31,062</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w w:val="89"/>
              </w:rPr>
              <w:t>30.1 %</w:t>
            </w:r>
          </w:p>
        </w:tc>
      </w:tr>
      <w:tr>
        <w:trPr>
          <w:trHeight w:val="226"/>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professional services revenues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40" w:type="dxa"/>
            <w:vAlign w:val="bottom"/>
            <w:tcBorders>
              <w:bottom w:val="single" w:sz="8" w:color="auto"/>
            </w:tcBorders>
            <w:shd w:val="clear" w:color="auto" w:fill="CCEEFF"/>
          </w:tcPr>
          <w:p>
            <w:pPr>
              <w:spacing w:after="0"/>
              <w:rPr>
                <w:sz w:val="19"/>
                <w:szCs w:val="19"/>
                <w:color w:val="auto"/>
              </w:rPr>
            </w:pPr>
          </w:p>
        </w:tc>
        <w:tc>
          <w:tcPr>
            <w:tcW w:w="16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94.5</w:t>
            </w:r>
          </w:p>
        </w:tc>
      </w:tr>
      <w:tr>
        <w:trPr>
          <w:trHeight w:val="220"/>
        </w:trPr>
        <w:tc>
          <w:tcPr>
            <w:tcW w:w="5100" w:type="dxa"/>
            <w:vAlign w:val="bottom"/>
          </w:tcPr>
          <w:p>
            <w:pPr>
              <w:ind w:left="660"/>
              <w:spacing w:after="0"/>
              <w:rPr>
                <w:sz w:val="20"/>
                <w:szCs w:val="20"/>
                <w:color w:val="auto"/>
              </w:rPr>
            </w:pPr>
            <w:r>
              <w:rPr>
                <w:rFonts w:ascii="Arial" w:cs="Arial" w:eastAsia="Arial" w:hAnsi="Arial"/>
                <w:sz w:val="18"/>
                <w:szCs w:val="18"/>
                <w:color w:val="auto"/>
              </w:rPr>
              <w:t>Total cost of revenues</w:t>
            </w: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46,451</w:t>
            </w:r>
          </w:p>
        </w:tc>
        <w:tc>
          <w:tcPr>
            <w:tcW w:w="50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64,070</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46.4</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239"/>
        </w:trPr>
        <w:tc>
          <w:tcPr>
            <w:tcW w:w="51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45,083</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49.3 %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16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53.6 %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 of Subscription Revenues</w:t>
      </w:r>
    </w:p>
    <w:p>
      <w:pPr>
        <w:spacing w:after="0" w:line="218" w:lineRule="exact"/>
        <w:rPr>
          <w:sz w:val="20"/>
          <w:szCs w:val="20"/>
          <w:color w:val="auto"/>
        </w:rPr>
      </w:pPr>
    </w:p>
    <w:p>
      <w:pPr>
        <w:ind w:right="200" w:firstLine="878"/>
        <w:spacing w:after="0" w:line="290"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18" w:lineRule="exact"/>
        <w:rPr>
          <w:sz w:val="20"/>
          <w:szCs w:val="20"/>
          <w:color w:val="auto"/>
        </w:rPr>
      </w:pPr>
    </w:p>
    <w:p>
      <w:pPr>
        <w:ind w:right="60" w:firstLine="878"/>
        <w:spacing w:after="0" w:line="286" w:lineRule="auto"/>
        <w:rPr>
          <w:sz w:val="20"/>
          <w:szCs w:val="20"/>
          <w:color w:val="auto"/>
        </w:rPr>
      </w:pPr>
      <w:r>
        <w:rPr>
          <w:rFonts w:ascii="Arial" w:cs="Arial" w:eastAsia="Arial" w:hAnsi="Arial"/>
          <w:sz w:val="16"/>
          <w:szCs w:val="16"/>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Fiscal Year Ended January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8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91"/>
              <w:spacing w:after="0"/>
              <w:rPr>
                <w:sz w:val="20"/>
                <w:szCs w:val="20"/>
                <w:color w:val="auto"/>
              </w:rPr>
            </w:pPr>
            <w:r>
              <w:rPr>
                <w:rFonts w:ascii="Arial" w:cs="Arial" w:eastAsia="Arial" w:hAnsi="Arial"/>
                <w:sz w:val="14"/>
                <w:szCs w:val="14"/>
                <w:b w:val="1"/>
                <w:bCs w:val="1"/>
                <w:color w:val="auto"/>
                <w:w w:val="83"/>
              </w:rPr>
              <w:t>2020</w:t>
            </w:r>
          </w:p>
        </w:tc>
      </w:tr>
      <w:tr>
        <w:trPr>
          <w:trHeight w:val="207"/>
        </w:trPr>
        <w:tc>
          <w:tcPr>
            <w:tcW w:w="51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5"/>
        </w:trPr>
        <w:tc>
          <w:tcPr>
            <w:tcW w:w="5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234"/>
              <w:spacing w:after="0"/>
              <w:rPr>
                <w:sz w:val="20"/>
                <w:szCs w:val="20"/>
                <w:color w:val="auto"/>
              </w:rPr>
            </w:pPr>
            <w:r>
              <w:rPr>
                <w:rFonts w:ascii="Arial" w:cs="Arial" w:eastAsia="Arial" w:hAnsi="Arial"/>
                <w:sz w:val="18"/>
                <w:szCs w:val="18"/>
                <w:color w:val="auto"/>
                <w:w w:val="87"/>
              </w:rPr>
              <w:t>31,278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2"/>
              </w:rPr>
              <w:t>34.2 %</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44,440</w:t>
            </w:r>
          </w:p>
        </w:tc>
        <w:tc>
          <w:tcPr>
            <w:tcW w:w="1660" w:type="dxa"/>
            <w:vAlign w:val="bottom"/>
            <w:gridSpan w:val="3"/>
          </w:tcPr>
          <w:p>
            <w:pPr>
              <w:ind w:left="1140"/>
              <w:spacing w:after="0"/>
              <w:rPr>
                <w:sz w:val="20"/>
                <w:szCs w:val="20"/>
                <w:color w:val="auto"/>
              </w:rPr>
            </w:pPr>
            <w:r>
              <w:rPr>
                <w:rFonts w:ascii="Arial" w:cs="Arial" w:eastAsia="Arial" w:hAnsi="Arial"/>
                <w:sz w:val="18"/>
                <w:szCs w:val="18"/>
                <w:color w:val="auto"/>
                <w:w w:val="89"/>
              </w:rPr>
              <w:t>32.2 %</w:t>
            </w:r>
          </w:p>
        </w:tc>
      </w:tr>
      <w:tr>
        <w:trPr>
          <w:trHeight w:val="227"/>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87"/>
              </w:rPr>
              <w:t>22,230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166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25.5</w:t>
            </w:r>
          </w:p>
        </w:tc>
      </w:tr>
      <w:tr>
        <w:trPr>
          <w:trHeight w:val="225"/>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87"/>
              </w:rPr>
              <w:t>14,791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16.3</w:t>
            </w:r>
          </w:p>
        </w:tc>
      </w:tr>
      <w:tr>
        <w:trPr>
          <w:trHeight w:val="219"/>
        </w:trPr>
        <w:tc>
          <w:tcPr>
            <w:tcW w:w="5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color w:val="auto"/>
                <w:w w:val="87"/>
              </w:rPr>
              <w:t>68,299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74.0</w:t>
            </w:r>
          </w:p>
        </w:tc>
      </w:tr>
      <w:tr>
        <w:trPr>
          <w:trHeight w:val="220"/>
        </w:trPr>
        <w:tc>
          <w:tcPr>
            <w:tcW w:w="5100" w:type="dxa"/>
            <w:vAlign w:val="bottom"/>
          </w:tcPr>
          <w:p>
            <w:pPr>
              <w:ind w:left="1100"/>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194"/>
              <w:spacing w:after="0"/>
              <w:rPr>
                <w:sz w:val="20"/>
                <w:szCs w:val="20"/>
                <w:color w:val="auto"/>
              </w:rPr>
            </w:pPr>
            <w:r>
              <w:rPr>
                <w:rFonts w:ascii="Arial" w:cs="Arial" w:eastAsia="Arial" w:hAnsi="Arial"/>
                <w:sz w:val="18"/>
                <w:szCs w:val="18"/>
                <w:color w:val="auto"/>
                <w:w w:val="89"/>
              </w:rPr>
              <w:t>(23,216)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w w:val="91"/>
              </w:rPr>
              <w:t>(25.4)%</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(28,170)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5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 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p>
      <w:pPr>
        <w:ind w:right="60" w:firstLine="878"/>
        <w:spacing w:after="0" w:line="251"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p>
      <w:pPr>
        <w:ind w:right="100" w:firstLine="878"/>
        <w:spacing w:after="0" w:line="287" w:lineRule="auto"/>
        <w:rPr>
          <w:sz w:val="20"/>
          <w:szCs w:val="20"/>
          <w:color w:val="auto"/>
        </w:rPr>
      </w:pPr>
      <w:r>
        <w:rPr>
          <w:rFonts w:ascii="Arial" w:cs="Arial" w:eastAsia="Arial" w:hAnsi="Arial"/>
          <w:sz w:val="16"/>
          <w:szCs w:val="16"/>
          <w:color w:val="auto"/>
        </w:rPr>
        <w:t>General and administrative expenses increased $7.7 million for fiscal 2020 compared to fiscal 2019, primarily due to an increase of $4.4 million in personnel costs as we continued to scale our business. Our general and administrative headcount grew from 63 at January 31, 2019 to 102 at January 31, 2020. Third party professional fees increased $3.7 million from fiscal 2019 to fiscal 2020, including $1.7 million of transaction-related costs incurred related to acquisitions and our IPO.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ind w:right="200" w:firstLine="878"/>
        <w:spacing w:after="0" w:line="303" w:lineRule="auto"/>
        <w:rPr>
          <w:sz w:val="20"/>
          <w:szCs w:val="20"/>
          <w:color w:val="auto"/>
        </w:rPr>
      </w:pPr>
      <w:r>
        <w:rPr>
          <w:rFonts w:ascii="Arial" w:cs="Arial" w:eastAsia="Arial" w:hAnsi="Arial"/>
          <w:sz w:val="16"/>
          <w:szCs w:val="16"/>
          <w:color w:val="auto"/>
        </w:rPr>
        <w:t>As of January 31, 2021, we had $371.4 million in cash and cash equivalents, and an accumulated deficit of $161.1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54" w:lineRule="exact"/>
        <w:rPr>
          <w:sz w:val="20"/>
          <w:szCs w:val="20"/>
          <w:color w:val="auto"/>
        </w:rPr>
      </w:pPr>
    </w:p>
    <w:p>
      <w:pPr>
        <w:ind w:right="60" w:firstLine="878"/>
        <w:spacing w:after="0" w:line="286" w:lineRule="auto"/>
        <w:rPr>
          <w:sz w:val="20"/>
          <w:szCs w:val="20"/>
          <w:color w:val="auto"/>
        </w:rPr>
      </w:pPr>
      <w:r>
        <w:rPr>
          <w:rFonts w:ascii="Arial" w:cs="Arial" w:eastAsia="Arial" w:hAnsi="Arial"/>
          <w:sz w:val="16"/>
          <w:szCs w:val="16"/>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$2.8 million in additional IPO related costs during fiscal 2021.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believe that current cash and cash equivalents will be sufficient to fund our operations and capital requirements for at least the next</w:t>
      </w:r>
    </w:p>
    <w:p>
      <w:pPr>
        <w:spacing w:after="0" w:line="2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1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January 31, 2021, the redeemable non-controlling interest was $4.4 million and $3.8 million, respectively.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Summary Cash Flow information for fiscal 2019, 2020, and 2021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91"/>
              </w:rPr>
              <w:t>(4,589)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center"/>
              <w:ind w:left="458"/>
              <w:spacing w:after="0"/>
              <w:rPr>
                <w:sz w:val="20"/>
                <w:szCs w:val="20"/>
                <w:color w:val="auto"/>
              </w:rPr>
            </w:pPr>
            <w:r>
              <w:rPr>
                <w:rFonts w:ascii="Arial" w:cs="Arial" w:eastAsia="Arial" w:hAnsi="Arial"/>
                <w:sz w:val="18"/>
                <w:szCs w:val="18"/>
                <w:color w:val="auto"/>
                <w:w w:val="91"/>
              </w:rPr>
              <w:t>(7,965)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(4,338)</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98"/>
              <w:spacing w:after="0"/>
              <w:rPr>
                <w:sz w:val="20"/>
                <w:szCs w:val="20"/>
                <w:color w:val="auto"/>
              </w:rPr>
            </w:pPr>
            <w:r>
              <w:rPr>
                <w:rFonts w:ascii="Arial" w:cs="Arial" w:eastAsia="Arial" w:hAnsi="Arial"/>
                <w:sz w:val="18"/>
                <w:szCs w:val="18"/>
                <w:color w:val="auto"/>
                <w:w w:val="88"/>
              </w:rPr>
              <w:t>6,260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274,121</w:t>
            </w: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18" w:lineRule="exact"/>
        <w:rPr>
          <w:sz w:val="20"/>
          <w:szCs w:val="20"/>
          <w:color w:val="auto"/>
        </w:rPr>
      </w:pPr>
    </w:p>
    <w:p>
      <w:pPr>
        <w:ind w:right="20" w:firstLine="878"/>
        <w:spacing w:after="0" w:line="249" w:lineRule="auto"/>
        <w:rPr>
          <w:sz w:val="20"/>
          <w:szCs w:val="20"/>
          <w:color w:val="auto"/>
        </w:rPr>
      </w:pPr>
      <w:r>
        <w:rPr>
          <w:rFonts w:ascii="Arial" w:cs="Arial" w:eastAsia="Arial" w:hAnsi="Arial"/>
          <w:sz w:val="18"/>
          <w:szCs w:val="18"/>
          <w:color w:val="auto"/>
        </w:rPr>
        <w:t>The $9.2 million provided by operating activities in fiscal 2021 reflects our net loss of $41.3 million, offset by $35.9 million in non-cash charges and $14.6 million generated by changes in working capital accounts. Non-cash charges primarily consisted of stock-based compensation, depreciation and amortization, and amortization of costs capitalized to obtain revenue contracts, partially offset by foreign currency gains related to intercompany loans and transactions. Cash generated by working capital accounts was principally a function of a $30.3 million increase in deferred revenue, as we expanded our customer base and renewed existing customers, and a $8.0 million increase in accounts payable and accrued expenses and other liabilities. The cash generated by working capital accounts was partially offset by a $11.4 million increase in accounts receivable due to the timing of collections from customers, payments of $9.0 million of capitalized costs to obtain revenue contracts, which consisted primarily of sales commissions, and a $3.3 million increase in prepaid expenses and other assets.</w:t>
      </w:r>
    </w:p>
    <w:p>
      <w:pPr>
        <w:spacing w:after="0" w:line="197"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The $9.0 million we used in operating activities in fiscal 2020 was driven by our net loss of $27.7 million, partially offset by $13.7 million in non-cash charges and $5.1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$22.0 million increase in deferred revenue, as we expanded our customer base and renewed existing customers, and a $3.5 million increase in accounts payable and accrued expenses and other liabilities. The cash generated by working capital accounts was partially offset by an increase of $14.2 million in accounts receivable due to the timing of collections from customers, payments of $5.6 million of capitalized costs to obtain revenue contracts, which consisted primarily of sales commissions, and a $1.6 million increase in prepaid expenses and other assets.</w:t>
      </w:r>
    </w:p>
    <w:p>
      <w:pPr>
        <w:spacing w:after="0" w:line="167" w:lineRule="exact"/>
        <w:rPr>
          <w:sz w:val="20"/>
          <w:szCs w:val="20"/>
          <w:color w:val="auto"/>
        </w:rPr>
      </w:pPr>
    </w:p>
    <w:p>
      <w:pPr>
        <w:ind w:right="60" w:firstLine="878"/>
        <w:spacing w:after="0" w:line="269" w:lineRule="auto"/>
        <w:rPr>
          <w:sz w:val="20"/>
          <w:szCs w:val="20"/>
          <w:color w:val="auto"/>
        </w:rPr>
      </w:pPr>
      <w:r>
        <w:rPr>
          <w:rFonts w:ascii="Arial" w:cs="Arial" w:eastAsia="Arial" w:hAnsi="Arial"/>
          <w:sz w:val="17"/>
          <w:szCs w:val="17"/>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18" w:lineRule="exact"/>
        <w:rPr>
          <w:sz w:val="20"/>
          <w:szCs w:val="20"/>
          <w:color w:val="auto"/>
        </w:rPr>
      </w:pPr>
    </w:p>
    <w:p>
      <w:pPr>
        <w:ind w:right="60" w:firstLine="878"/>
        <w:spacing w:after="0" w:line="251" w:lineRule="auto"/>
        <w:rPr>
          <w:sz w:val="20"/>
          <w:szCs w:val="20"/>
          <w:color w:val="auto"/>
        </w:rPr>
      </w:pPr>
      <w:r>
        <w:rPr>
          <w:rFonts w:ascii="Arial" w:cs="Arial" w:eastAsia="Arial" w:hAnsi="Arial"/>
          <w:sz w:val="18"/>
          <w:szCs w:val="18"/>
          <w:color w:val="auto"/>
        </w:rPr>
        <w:t>We used $4.3 million in investing activities in fiscal 2021 for the purchase of property and equipment and leasehold improvements to support the expansion of our business. The $58.0 million used in investing activities in fiscal 2020 comprised of $5.8 million used for the purchase of property and equipment and leasehold improvements to support the expansion of our business and $52.3 million used in the acquisitions of Visible Equity and FinSuite. We used $8.0 million in investing activities in fiscal 2019 for the purchase of property and equipment and leasehold improvements to support the expansion of our business.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18" w:lineRule="exact"/>
        <w:rPr>
          <w:sz w:val="20"/>
          <w:szCs w:val="20"/>
          <w:color w:val="auto"/>
        </w:rPr>
      </w:pPr>
    </w:p>
    <w:p>
      <w:pPr>
        <w:ind w:right="40" w:firstLine="878"/>
        <w:spacing w:after="0" w:line="249" w:lineRule="auto"/>
        <w:rPr>
          <w:sz w:val="20"/>
          <w:szCs w:val="20"/>
          <w:color w:val="auto"/>
        </w:rPr>
      </w:pPr>
      <w:r>
        <w:rPr>
          <w:rFonts w:ascii="Arial" w:cs="Arial" w:eastAsia="Arial" w:hAnsi="Arial"/>
          <w:sz w:val="18"/>
          <w:szCs w:val="18"/>
          <w:color w:val="auto"/>
        </w:rPr>
        <w:t>The $274.1 million provided by financing activities in fiscal 2021 was comprised $268.4 million in proceeds from the IPO in July 2020, net of underwriting discounts and commissions, and $8.7 million of proceeds from the exercise of stock options. The cash provided by financing activities was partially reduced by payments of $2.8 million in costs related to the IPO and payments of $0.2 million in November 2020 for the cash portion of contingent consideration related to our acquisition of FinSuite in fiscal 2020. 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$6.3 million provided by financing activities in fiscal 2019 was comprised of proceeds from the exercise of stock options.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4" w:lineRule="exact"/>
        <w:rPr>
          <w:sz w:val="20"/>
          <w:szCs w:val="20"/>
          <w:color w:val="auto"/>
        </w:rPr>
      </w:pPr>
    </w:p>
    <w:p>
      <w:pPr>
        <w:ind w:right="660" w:firstLine="878"/>
        <w:spacing w:after="0" w:line="329" w:lineRule="auto"/>
        <w:rPr>
          <w:sz w:val="20"/>
          <w:szCs w:val="20"/>
          <w:color w:val="auto"/>
        </w:rPr>
      </w:pPr>
      <w:r>
        <w:rPr>
          <w:rFonts w:ascii="Arial" w:cs="Arial" w:eastAsia="Arial" w:hAnsi="Arial"/>
          <w:sz w:val="16"/>
          <w:szCs w:val="16"/>
          <w:color w:val="auto"/>
        </w:rPr>
        <w:t>Our principal commitments consist of future minimum lease payments under non-cancelable operating leases related to our facilities and equipment and various service agreements. The following table summarizes our contractual obligations and commitments as of January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4"/>
                <w:szCs w:val="14"/>
                <w:b w:val="1"/>
                <w:bCs w:val="1"/>
                <w:color w:val="auto"/>
                <w:w w:val="90"/>
              </w:rPr>
              <w:t>Payment due by period (in thousands)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8"/>
              </w:rPr>
              <w:t>Less than</w:t>
            </w:r>
          </w:p>
        </w:tc>
        <w:tc>
          <w:tcPr>
            <w:tcW w:w="320" w:type="dxa"/>
            <w:vAlign w:val="bottom"/>
          </w:tcPr>
          <w:p>
            <w:pPr>
              <w:spacing w:after="0"/>
              <w:rPr>
                <w:sz w:val="11"/>
                <w:szCs w:val="11"/>
                <w:color w:val="auto"/>
              </w:rPr>
            </w:pPr>
          </w:p>
        </w:tc>
        <w:tc>
          <w:tcPr>
            <w:tcW w:w="1200" w:type="dxa"/>
            <w:vAlign w:val="bottom"/>
            <w:gridSpan w:val="2"/>
          </w:tcPr>
          <w:p>
            <w:pPr>
              <w:ind w:left="220"/>
              <w:spacing w:after="0" w:line="132" w:lineRule="exact"/>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1"/>
                <w:szCs w:val="11"/>
                <w:color w:val="auto"/>
              </w:rPr>
            </w:pPr>
          </w:p>
        </w:tc>
        <w:tc>
          <w:tcPr>
            <w:tcW w:w="1200" w:type="dxa"/>
            <w:vAlign w:val="bottom"/>
            <w:gridSpan w:val="2"/>
          </w:tcPr>
          <w:p>
            <w:pPr>
              <w:jc w:val="center"/>
              <w:ind w:right="440"/>
              <w:spacing w:after="0" w:line="132" w:lineRule="exact"/>
              <w:rPr>
                <w:sz w:val="20"/>
                <w:szCs w:val="20"/>
                <w:color w:val="auto"/>
              </w:rPr>
            </w:pPr>
            <w:r>
              <w:rPr>
                <w:rFonts w:ascii="Arial" w:cs="Arial" w:eastAsia="Arial" w:hAnsi="Arial"/>
                <w:sz w:val="14"/>
                <w:szCs w:val="14"/>
                <w:b w:val="1"/>
                <w:bCs w:val="1"/>
                <w:color w:val="auto"/>
                <w:w w:val="87"/>
              </w:rPr>
              <w:t>3 to 5</w:t>
            </w:r>
          </w:p>
        </w:tc>
        <w:tc>
          <w:tcPr>
            <w:tcW w:w="34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Arial" w:cs="Arial" w:eastAsia="Arial" w:hAnsi="Arial"/>
                <w:sz w:val="14"/>
                <w:szCs w:val="14"/>
                <w:b w:val="1"/>
                <w:bCs w:val="1"/>
                <w:color w:val="auto"/>
                <w:w w:val="94"/>
              </w:rPr>
              <w:t>More than 5</w:t>
            </w:r>
          </w:p>
        </w:tc>
        <w:tc>
          <w:tcPr>
            <w:tcW w:w="340" w:type="dxa"/>
            <w:vAlign w:val="bottom"/>
          </w:tcPr>
          <w:p>
            <w:pPr>
              <w:spacing w:after="0"/>
              <w:rPr>
                <w:sz w:val="11"/>
                <w:szCs w:val="11"/>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1 year</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Financing obligation - leased facility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20"/>
        </w:trPr>
        <w:tc>
          <w:tcPr>
            <w:tcW w:w="368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878"/>
        <w:spacing w:after="0" w:line="265" w:lineRule="auto"/>
        <w:rPr>
          <w:sz w:val="20"/>
          <w:szCs w:val="20"/>
          <w:color w:val="auto"/>
        </w:rPr>
      </w:pPr>
      <w:r>
        <w:rPr>
          <w:rFonts w:ascii="Arial" w:cs="Arial" w:eastAsia="Arial" w:hAnsi="Arial"/>
          <w:sz w:val="17"/>
          <w:szCs w:val="17"/>
          <w:color w:val="auto"/>
        </w:rPr>
        <w:t>The financing obligation above represents the total obligation for the new lease we entered into in November 2020 for our headquarters. Due to a purchase option contained in the lease, the Company is deemed to have continuing involvement and is considered to be the owner of our headquarters for accounting purposes. As a result, the Company did not meet the criteria to apply sale-leaseback accounting and therefore, recorded an asset and corresponding financing obligation for $16.3 million at inception of the lease. The Company also entered into an agreement for a parking deck in January 2021 which is an addition to the existing headquarters building. Due to the Company also being deemed to be the owner of the parking deck for accounting purposes, the costs associated with the construction of the parking deck will be capitalized as construction in progress with a corresponding construction liability through construction which is estimated to be approximately $18.0 million. Upon completion of the parking deck, the construction liability will be recorded as a financing obligation. Upon expiration of the purchase option in the lease, the lease will be analyzed for applicable lease accounting. The construction in progress and corresponding construction liability at January 31, 2021 was de minimis.</w:t>
      </w:r>
    </w:p>
    <w:p>
      <w:pPr>
        <w:spacing w:after="0" w:line="185" w:lineRule="exact"/>
        <w:rPr>
          <w:sz w:val="20"/>
          <w:szCs w:val="20"/>
          <w:color w:val="auto"/>
        </w:rPr>
      </w:pPr>
    </w:p>
    <w:p>
      <w:pPr>
        <w:ind w:right="80" w:firstLine="878"/>
        <w:spacing w:after="0" w:line="278"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right="240" w:firstLine="878"/>
        <w:spacing w:after="0" w:line="303"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right="20" w:firstLine="878"/>
        <w:spacing w:after="0" w:line="290"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65" w:lineRule="exact"/>
        <w:rPr>
          <w:sz w:val="20"/>
          <w:szCs w:val="20"/>
          <w:color w:val="auto"/>
        </w:rPr>
      </w:pPr>
    </w:p>
    <w:p>
      <w:pPr>
        <w:ind w:right="60" w:firstLine="878"/>
        <w:spacing w:after="0" w:line="249"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8" w:lineRule="exact"/>
        <w:rPr>
          <w:sz w:val="20"/>
          <w:szCs w:val="20"/>
          <w:color w:val="auto"/>
        </w:rPr>
      </w:pPr>
    </w:p>
    <w:p>
      <w:pPr>
        <w:ind w:right="200" w:firstLine="878"/>
        <w:spacing w:after="0" w:line="256" w:lineRule="auto"/>
        <w:rPr>
          <w:sz w:val="20"/>
          <w:szCs w:val="20"/>
          <w:color w:val="auto"/>
        </w:rPr>
      </w:pPr>
      <w:r>
        <w:rPr>
          <w:rFonts w:ascii="Arial" w:cs="Arial" w:eastAsia="Arial" w:hAnsi="Arial"/>
          <w:sz w:val="18"/>
          <w:szCs w:val="18"/>
          <w:color w:val="auto"/>
        </w:rPr>
        <w:t>Effective February 1, 2019, we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w:t>
      </w:r>
    </w:p>
    <w:p>
      <w:pPr>
        <w:spacing w:after="0" w:line="189" w:lineRule="exact"/>
        <w:rPr>
          <w:sz w:val="20"/>
          <w:szCs w:val="20"/>
          <w:color w:val="auto"/>
        </w:rPr>
      </w:pPr>
    </w:p>
    <w:p>
      <w:pPr>
        <w:ind w:firstLine="878"/>
        <w:spacing w:after="0" w:line="250" w:lineRule="auto"/>
        <w:rPr>
          <w:sz w:val="20"/>
          <w:szCs w:val="20"/>
          <w:color w:val="auto"/>
        </w:rPr>
      </w:pPr>
      <w:r>
        <w:rPr>
          <w:rFonts w:ascii="Arial" w:cs="Arial" w:eastAsia="Arial" w:hAnsi="Arial"/>
          <w:sz w:val="18"/>
          <w:szCs w:val="18"/>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18" w:lineRule="exact"/>
        <w:rPr>
          <w:sz w:val="20"/>
          <w:szCs w:val="20"/>
          <w:color w:val="auto"/>
        </w:rPr>
      </w:pPr>
    </w:p>
    <w:p>
      <w:pPr>
        <w:ind w:left="1280" w:hanging="316"/>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Subscription Revenues</w:t>
      </w:r>
    </w:p>
    <w:p>
      <w:pPr>
        <w:spacing w:after="0" w:line="218" w:lineRule="exact"/>
        <w:rPr>
          <w:sz w:val="20"/>
          <w:szCs w:val="20"/>
          <w:color w:val="auto"/>
        </w:rPr>
      </w:pPr>
    </w:p>
    <w:p>
      <w:pPr>
        <w:ind w:right="60" w:firstLine="878"/>
        <w:spacing w:after="0" w:line="280"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w:t>
      </w:r>
    </w:p>
    <w:p>
      <w:pPr>
        <w:spacing w:after="0" w:line="2"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Professional Services Revenues</w:t>
      </w:r>
    </w:p>
    <w:p>
      <w:pPr>
        <w:spacing w:after="0" w:line="218" w:lineRule="exact"/>
        <w:rPr>
          <w:sz w:val="20"/>
          <w:szCs w:val="20"/>
          <w:color w:val="auto"/>
        </w:rPr>
      </w:pPr>
    </w:p>
    <w:p>
      <w:pPr>
        <w:ind w:right="180" w:firstLine="878"/>
        <w:spacing w:after="0" w:line="253"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8" w:lineRule="exact"/>
        <w:rPr>
          <w:sz w:val="20"/>
          <w:szCs w:val="20"/>
          <w:color w:val="auto"/>
        </w:rPr>
      </w:pPr>
    </w:p>
    <w:p>
      <w:pPr>
        <w:ind w:firstLine="878"/>
        <w:spacing w:after="0" w:line="250"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40" w:firstLine="878"/>
        <w:spacing w:after="0" w:line="256"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9" w:lineRule="exact"/>
        <w:rPr>
          <w:sz w:val="20"/>
          <w:szCs w:val="20"/>
          <w:color w:val="auto"/>
        </w:rPr>
      </w:pPr>
    </w:p>
    <w:p>
      <w:pPr>
        <w:ind w:right="220" w:firstLine="878"/>
        <w:spacing w:after="0" w:line="290" w:lineRule="auto"/>
        <w:rPr>
          <w:sz w:val="20"/>
          <w:szCs w:val="20"/>
          <w:color w:val="auto"/>
        </w:rPr>
      </w:pPr>
      <w:r>
        <w:rPr>
          <w:rFonts w:ascii="Arial" w:cs="Arial" w:eastAsia="Arial" w:hAnsi="Arial"/>
          <w:sz w:val="16"/>
          <w:szCs w:val="16"/>
          <w:color w:val="auto"/>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8" w:lineRule="exact"/>
        <w:rPr>
          <w:sz w:val="20"/>
          <w:szCs w:val="20"/>
          <w:color w:val="auto"/>
        </w:rPr>
      </w:pPr>
    </w:p>
    <w:p>
      <w:pPr>
        <w:ind w:right="260" w:firstLine="878"/>
        <w:spacing w:after="0" w:line="266"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9" w:lineRule="exact"/>
        <w:rPr>
          <w:sz w:val="20"/>
          <w:szCs w:val="20"/>
          <w:color w:val="auto"/>
        </w:rPr>
      </w:pPr>
    </w:p>
    <w:p>
      <w:pPr>
        <w:ind w:right="60" w:firstLine="878"/>
        <w:spacing w:after="0" w:line="256" w:lineRule="auto"/>
        <w:rPr>
          <w:sz w:val="20"/>
          <w:szCs w:val="20"/>
          <w:color w:val="auto"/>
        </w:rPr>
      </w:pPr>
      <w:r>
        <w:rPr>
          <w:rFonts w:ascii="Arial" w:cs="Arial" w:eastAsia="Arial" w:hAnsi="Arial"/>
          <w:sz w:val="18"/>
          <w:szCs w:val="18"/>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89" w:lineRule="exact"/>
        <w:rPr>
          <w:sz w:val="20"/>
          <w:szCs w:val="20"/>
          <w:color w:val="auto"/>
        </w:rPr>
      </w:pPr>
    </w:p>
    <w:p>
      <w:pPr>
        <w:ind w:right="20" w:firstLine="878"/>
        <w:spacing w:after="0" w:line="268"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2021, we determined that it is more likely than not that the majority of our deferred tax assets will not be realized and as such, recorded a valuation allowance of $70.1 million against our deferred tax assets of $80.0 million as of that date.</w:t>
      </w:r>
    </w:p>
    <w:p>
      <w:pPr>
        <w:spacing w:after="0" w:line="179" w:lineRule="exact"/>
        <w:rPr>
          <w:sz w:val="20"/>
          <w:szCs w:val="20"/>
          <w:color w:val="auto"/>
        </w:rPr>
      </w:pPr>
    </w:p>
    <w:p>
      <w:pPr>
        <w:ind w:right="100" w:firstLine="878"/>
        <w:spacing w:after="0" w:line="269"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 Options</w:t>
      </w:r>
    </w:p>
    <w:p>
      <w:pPr>
        <w:spacing w:after="0" w:line="218" w:lineRule="exact"/>
        <w:rPr>
          <w:sz w:val="20"/>
          <w:szCs w:val="20"/>
          <w:color w:val="auto"/>
        </w:rPr>
      </w:pPr>
    </w:p>
    <w:p>
      <w:pPr>
        <w:ind w:firstLine="878"/>
        <w:spacing w:after="0" w:line="294" w:lineRule="auto"/>
        <w:rPr>
          <w:sz w:val="20"/>
          <w:szCs w:val="20"/>
          <w:color w:val="auto"/>
        </w:rPr>
      </w:pPr>
      <w:r>
        <w:rPr>
          <w:rFonts w:ascii="Arial" w:cs="Arial" w:eastAsia="Arial" w:hAnsi="Arial"/>
          <w:sz w:val="16"/>
          <w:szCs w:val="16"/>
          <w:color w:val="auto"/>
        </w:rPr>
        <w:t>Stock-based compensation expense related to employees is measured based on the grant-date fair value of the awards. We establish fair value as the measurement objective in accounting for share-based payment 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62" w:lineRule="exact"/>
        <w:rPr>
          <w:sz w:val="20"/>
          <w:szCs w:val="20"/>
          <w:color w:val="auto"/>
        </w:rPr>
      </w:pPr>
    </w:p>
    <w:p>
      <w:pPr>
        <w:ind w:right="180" w:firstLine="878"/>
        <w:spacing w:after="0" w:line="294" w:lineRule="auto"/>
        <w:rPr>
          <w:sz w:val="20"/>
          <w:szCs w:val="20"/>
          <w:color w:val="auto"/>
        </w:rPr>
      </w:pPr>
      <w:r>
        <w:rPr>
          <w:rFonts w:ascii="Arial" w:cs="Arial" w:eastAsia="Arial" w:hAnsi="Arial"/>
          <w:sz w:val="16"/>
          <w:szCs w:val="16"/>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162" w:lineRule="exact"/>
        <w:rPr>
          <w:sz w:val="20"/>
          <w:szCs w:val="20"/>
          <w:color w:val="auto"/>
        </w:rPr>
      </w:pPr>
    </w:p>
    <w:p>
      <w:pPr>
        <w:ind w:left="1280" w:right="280" w:hanging="316"/>
        <w:spacing w:after="0" w:line="256" w:lineRule="auto"/>
        <w:tabs>
          <w:tab w:leader="none" w:pos="12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For stock options issued prior to the IPO, due to the stock not being publicly traded, we estimated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common stock based on contemporaneous valuations and other factors deemed relevant by management. No stock options have been issued since the IPO.</w:t>
      </w:r>
    </w:p>
    <w:p>
      <w:pPr>
        <w:spacing w:after="0" w:line="188" w:lineRule="exact"/>
        <w:rPr>
          <w:rFonts w:ascii="Arial" w:cs="Arial" w:eastAsia="Arial" w:hAnsi="Arial"/>
          <w:sz w:val="18"/>
          <w:szCs w:val="18"/>
          <w:color w:val="auto"/>
        </w:rPr>
      </w:pPr>
    </w:p>
    <w:p>
      <w:pPr>
        <w:ind w:left="1280" w:right="300" w:hanging="316"/>
        <w:spacing w:after="0" w:line="266" w:lineRule="auto"/>
        <w:tabs>
          <w:tab w:leader="none" w:pos="12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employee stock options reflects the period for which the Company believes the option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To determine the expected term, we generally apply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80" w:right="300"/>
        <w:spacing w:after="0" w:line="266" w:lineRule="auto"/>
        <w:rPr>
          <w:sz w:val="20"/>
          <w:szCs w:val="20"/>
          <w:color w:val="auto"/>
        </w:rPr>
      </w:pPr>
      <w:r>
        <w:rPr>
          <w:rFonts w:ascii="Arial" w:cs="Arial" w:eastAsia="Arial" w:hAnsi="Arial"/>
          <w:sz w:val="18"/>
          <w:szCs w:val="18"/>
          <w:color w:val="auto"/>
        </w:rPr>
        <w:t>simplified approach in which the expected term of an award is presumed to be the mid-point between the vesting date and the expiration date of the award.</w:t>
      </w:r>
    </w:p>
    <w:p>
      <w:pPr>
        <w:spacing w:after="0" w:line="179" w:lineRule="exact"/>
        <w:rPr>
          <w:sz w:val="20"/>
          <w:szCs w:val="20"/>
          <w:color w:val="auto"/>
        </w:rPr>
      </w:pPr>
    </w:p>
    <w:p>
      <w:pPr>
        <w:jc w:val="both"/>
        <w:ind w:left="1280" w:right="20" w:hanging="316"/>
        <w:spacing w:after="0" w:line="256"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We base expected future volatility on the historical and implied volatility of comparable publicly traded companies over a similar expected term.</w:t>
      </w:r>
    </w:p>
    <w:p>
      <w:pPr>
        <w:spacing w:after="0" w:line="188" w:lineRule="exact"/>
        <w:rPr>
          <w:rFonts w:ascii="Arial" w:cs="Arial" w:eastAsia="Arial" w:hAnsi="Arial"/>
          <w:sz w:val="18"/>
          <w:szCs w:val="18"/>
          <w:color w:val="auto"/>
        </w:rPr>
      </w:pPr>
    </w:p>
    <w:p>
      <w:pPr>
        <w:ind w:left="1280" w:right="520" w:hanging="316"/>
        <w:spacing w:after="0" w:line="266"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179" w:lineRule="exact"/>
        <w:rPr>
          <w:rFonts w:ascii="Arial" w:cs="Arial" w:eastAsia="Arial" w:hAnsi="Arial"/>
          <w:sz w:val="18"/>
          <w:szCs w:val="18"/>
          <w:color w:val="auto"/>
        </w:rPr>
      </w:pPr>
    </w:p>
    <w:p>
      <w:pPr>
        <w:ind w:left="1280" w:right="560" w:hanging="316"/>
        <w:spacing w:after="0" w:line="266"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79" w:lineRule="exact"/>
        <w:rPr>
          <w:sz w:val="20"/>
          <w:szCs w:val="20"/>
          <w:color w:val="auto"/>
        </w:rPr>
      </w:pPr>
    </w:p>
    <w:p>
      <w:pPr>
        <w:ind w:right="400" w:firstLine="878"/>
        <w:spacing w:after="0" w:line="266" w:lineRule="auto"/>
        <w:rPr>
          <w:sz w:val="20"/>
          <w:szCs w:val="20"/>
          <w:color w:val="auto"/>
        </w:rPr>
      </w:pPr>
      <w:r>
        <w:rPr>
          <w:rFonts w:ascii="Arial" w:cs="Arial" w:eastAsia="Arial" w:hAnsi="Arial"/>
          <w:sz w:val="18"/>
          <w:szCs w:val="18"/>
          <w:color w:val="auto"/>
        </w:rPr>
        <w:t>The following table reflects the weighted average assumptions used to estimate the fair value of options granted during fiscal 2019 and 2020 (there were no options granted in fiscal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Fiscal Year Ended January 31,</w:t>
            </w:r>
          </w:p>
        </w:tc>
      </w:tr>
      <w:tr>
        <w:trPr>
          <w:trHeight w:val="184"/>
        </w:trPr>
        <w:tc>
          <w:tcPr>
            <w:tcW w:w="82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 from vesting)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6.10 - 6.25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40% - 41%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2.07% - 2.27%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1.63% - 2.59%</w:t>
            </w:r>
          </w:p>
        </w:tc>
      </w:tr>
    </w:tbl>
    <w:p>
      <w:pPr>
        <w:spacing w:after="0" w:line="202"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67" w:lineRule="exact"/>
        <w:rPr>
          <w:sz w:val="20"/>
          <w:szCs w:val="20"/>
          <w:color w:val="auto"/>
        </w:rPr>
      </w:pPr>
    </w:p>
    <w:p>
      <w:pPr>
        <w:ind w:right="200" w:firstLine="878"/>
        <w:spacing w:after="0" w:line="272"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Restricted Stock Units</w:t>
      </w:r>
    </w:p>
    <w:p>
      <w:pPr>
        <w:spacing w:after="0" w:line="218" w:lineRule="exact"/>
        <w:rPr>
          <w:sz w:val="20"/>
          <w:szCs w:val="20"/>
          <w:color w:val="auto"/>
        </w:rPr>
      </w:pPr>
    </w:p>
    <w:p>
      <w:pPr>
        <w:jc w:val="both"/>
        <w:ind w:right="340" w:firstLine="878"/>
        <w:spacing w:after="0" w:line="303" w:lineRule="auto"/>
        <w:rPr>
          <w:sz w:val="20"/>
          <w:szCs w:val="20"/>
          <w:color w:val="auto"/>
        </w:rPr>
      </w:pPr>
      <w:r>
        <w:rPr>
          <w:rFonts w:ascii="Arial" w:cs="Arial" w:eastAsia="Arial" w:hAnsi="Arial"/>
          <w:sz w:val="16"/>
          <w:szCs w:val="16"/>
          <w:color w:val="auto"/>
        </w:rPr>
        <w:t>RSUs issued prior to our IPO were subject to time-based and performance-based vesting conditions. RSUs issued subsequent to our IPO vest upon the satisfaction of a time-based condition only. These RSUs are generally earned over a service period of four years and the compensation expense related to these awards is based on the grant date fair value of the RSUs and is recognized on a ratable basis over the applicable service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ind w:right="220" w:firstLine="878"/>
        <w:spacing w:after="0" w:line="329" w:lineRule="auto"/>
        <w:rPr>
          <w:sz w:val="20"/>
          <w:szCs w:val="20"/>
          <w:color w:val="auto"/>
        </w:rPr>
      </w:pPr>
      <w:r>
        <w:rPr>
          <w:rFonts w:ascii="Arial" w:cs="Arial" w:eastAsia="Arial" w:hAnsi="Arial"/>
          <w:sz w:val="16"/>
          <w:szCs w:val="16"/>
          <w:color w:val="auto"/>
        </w:rPr>
        <w:t>See Note 2, Summary of Significant Accounting Policies of the notes to our consolidated financial statements included in Part II, Item 8 of this Annual Report on Form 10-K for recently adopted accounting pronouncements and recently issued accounting pronouncements not yet adopted.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4" w:lineRule="exact"/>
        <w:rPr>
          <w:sz w:val="20"/>
          <w:szCs w:val="20"/>
          <w:color w:val="auto"/>
        </w:rPr>
      </w:pPr>
    </w:p>
    <w:p>
      <w:pPr>
        <w:ind w:right="160" w:firstLine="878"/>
        <w:spacing w:after="0" w:line="266"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4" w:lineRule="exact"/>
        <w:rPr>
          <w:sz w:val="20"/>
          <w:szCs w:val="20"/>
          <w:color w:val="auto"/>
        </w:rPr>
      </w:pPr>
    </w:p>
    <w:p>
      <w:pPr>
        <w:jc w:val="both"/>
        <w:ind w:right="500" w:firstLine="878"/>
        <w:spacing w:after="0" w:line="256"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8" w:lineRule="exact"/>
        <w:rPr>
          <w:sz w:val="20"/>
          <w:szCs w:val="20"/>
          <w:color w:val="auto"/>
        </w:rPr>
      </w:pPr>
    </w:p>
    <w:p>
      <w:pPr>
        <w:ind w:right="200" w:firstLine="878"/>
        <w:spacing w:after="0" w:line="294" w:lineRule="auto"/>
        <w:rPr>
          <w:sz w:val="20"/>
          <w:szCs w:val="20"/>
          <w:color w:val="auto"/>
        </w:rPr>
      </w:pPr>
      <w:r>
        <w:rPr>
          <w:rFonts w:ascii="Arial" w:cs="Arial" w:eastAsia="Arial" w:hAnsi="Arial"/>
          <w:sz w:val="16"/>
          <w:szCs w:val="16"/>
          <w:color w:val="auto"/>
        </w:rPr>
        <w:t>At January 31, 2021, we had cash and cash equivalents of $371.4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Annual Report on Form 10-K. We do not enter into investments for trading or speculative purposes and have not used any derivative financial instruments to manage our interest rate risk exposure.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8" w:lineRule="exact"/>
        <w:rPr>
          <w:sz w:val="20"/>
          <w:szCs w:val="20"/>
          <w:color w:val="auto"/>
        </w:rPr>
      </w:pPr>
    </w:p>
    <w:p>
      <w:pPr>
        <w:ind w:right="20" w:firstLine="878"/>
        <w:spacing w:after="0" w:line="265"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Page</w:t>
            </w:r>
          </w:p>
        </w:tc>
      </w:tr>
      <w:tr>
        <w:trPr>
          <w:trHeight w:val="186"/>
        </w:trPr>
        <w:tc>
          <w:tcPr>
            <w:tcW w:w="20" w:type="dxa"/>
            <w:vAlign w:val="bottom"/>
          </w:tcPr>
          <w:p>
            <w:pPr>
              <w:spacing w:after="0"/>
              <w:rPr>
                <w:sz w:val="16"/>
                <w:szCs w:val="16"/>
                <w:color w:val="auto"/>
              </w:rPr>
            </w:pPr>
          </w:p>
        </w:tc>
        <w:tc>
          <w:tcPr>
            <w:tcW w:w="4160" w:type="dxa"/>
            <w:vAlign w:val="bottom"/>
            <w:tcBorders>
              <w:bottom w:val="single" w:sz="8" w:color="0000FF"/>
            </w:tcBorders>
            <w:gridSpan w:val="7"/>
          </w:tcPr>
          <w:p>
            <w:pPr>
              <w:spacing w:after="0" w:line="186"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Report of Independent Registered Public Accounting Firm</w:t>
              </w:r>
            </w:hyperlink>
          </w:p>
        </w:tc>
        <w:tc>
          <w:tcPr>
            <w:tcW w:w="680" w:type="dxa"/>
            <w:vAlign w:val="bottom"/>
          </w:tcPr>
          <w:p>
            <w:pPr>
              <w:spacing w:after="0"/>
              <w:rPr>
                <w:sz w:val="16"/>
                <w:szCs w:val="16"/>
                <w:color w:val="auto"/>
              </w:rPr>
            </w:pPr>
          </w:p>
        </w:tc>
        <w:tc>
          <w:tcPr>
            <w:tcW w:w="6380" w:type="dxa"/>
            <w:vAlign w:val="bottom"/>
            <w:gridSpan w:val="2"/>
          </w:tcPr>
          <w:p>
            <w:pPr>
              <w:jc w:val="right"/>
              <w:spacing w:after="0" w:line="186" w:lineRule="exact"/>
              <w:rPr>
                <w:rFonts w:ascii="Arial" w:cs="Arial" w:eastAsia="Arial" w:hAnsi="Arial"/>
                <w:sz w:val="18"/>
                <w:szCs w:val="18"/>
                <w:color w:val="auto"/>
              </w:rPr>
            </w:pPr>
            <w:hyperlink w:anchor="page60">
              <w:r>
                <w:rPr>
                  <w:rFonts w:ascii="Arial" w:cs="Arial" w:eastAsia="Arial" w:hAnsi="Arial"/>
                  <w:sz w:val="18"/>
                  <w:szCs w:val="18"/>
                  <w:color w:val="auto"/>
                </w:rPr>
                <w:t>56</w:t>
              </w:r>
            </w:hyperlink>
          </w:p>
        </w:tc>
      </w:tr>
      <w:tr>
        <w:trPr>
          <w:trHeight w:val="206"/>
        </w:trPr>
        <w:tc>
          <w:tcPr>
            <w:tcW w:w="20" w:type="dxa"/>
            <w:vAlign w:val="bottom"/>
          </w:tcPr>
          <w:p>
            <w:pPr>
              <w:spacing w:after="0"/>
              <w:rPr>
                <w:sz w:val="17"/>
                <w:szCs w:val="17"/>
                <w:color w:val="auto"/>
              </w:rPr>
            </w:pPr>
          </w:p>
        </w:tc>
        <w:tc>
          <w:tcPr>
            <w:tcW w:w="4840" w:type="dxa"/>
            <w:vAlign w:val="bottom"/>
            <w:gridSpan w:val="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Balance Sheets</w:t>
              </w:r>
            </w:hyperlink>
          </w:p>
        </w:tc>
        <w:tc>
          <w:tcPr>
            <w:tcW w:w="6380" w:type="dxa"/>
            <w:vAlign w:val="bottom"/>
            <w:gridSpan w:val="2"/>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57</w:t>
              </w:r>
            </w:hyperlink>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7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62">
              <w:r>
                <w:rPr>
                  <w:rFonts w:ascii="Arial" w:cs="Arial" w:eastAsia="Arial" w:hAnsi="Arial"/>
                  <w:sz w:val="18"/>
                  <w:szCs w:val="18"/>
                  <w:color w:val="0000FF"/>
                  <w:w w:val="87"/>
                </w:rPr>
                <w:t>Consolidated Statements of Operations</w:t>
              </w:r>
            </w:hyperlink>
          </w:p>
        </w:tc>
        <w:tc>
          <w:tcPr>
            <w:tcW w:w="2060" w:type="dxa"/>
            <w:vAlign w:val="bottom"/>
            <w:gridSpan w:val="6"/>
          </w:tcPr>
          <w:p>
            <w:pPr>
              <w:spacing w:after="0"/>
              <w:rPr>
                <w:sz w:val="17"/>
                <w:szCs w:val="17"/>
                <w:color w:val="auto"/>
              </w:rPr>
            </w:pPr>
          </w:p>
        </w:tc>
        <w:tc>
          <w:tcPr>
            <w:tcW w:w="6380" w:type="dxa"/>
            <w:vAlign w:val="bottom"/>
            <w:gridSpan w:val="2"/>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58</w:t>
              </w:r>
            </w:hyperlink>
          </w:p>
        </w:tc>
      </w:tr>
      <w:tr>
        <w:trPr>
          <w:trHeight w:val="206"/>
        </w:trPr>
        <w:tc>
          <w:tcPr>
            <w:tcW w:w="20" w:type="dxa"/>
            <w:vAlign w:val="bottom"/>
          </w:tcPr>
          <w:p>
            <w:pPr>
              <w:spacing w:after="0"/>
              <w:rPr>
                <w:sz w:val="17"/>
                <w:szCs w:val="17"/>
                <w:color w:val="auto"/>
              </w:rPr>
            </w:pPr>
          </w:p>
        </w:tc>
        <w:tc>
          <w:tcPr>
            <w:tcW w:w="3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Consolidated Statements of Comprehensive Loss</w:t>
              </w:r>
            </w:hyperlink>
          </w:p>
        </w:tc>
        <w:tc>
          <w:tcPr>
            <w:tcW w:w="1340" w:type="dxa"/>
            <w:vAlign w:val="bottom"/>
            <w:gridSpan w:val="2"/>
          </w:tcPr>
          <w:p>
            <w:pPr>
              <w:spacing w:after="0"/>
              <w:rPr>
                <w:sz w:val="17"/>
                <w:szCs w:val="17"/>
                <w:color w:val="auto"/>
              </w:rPr>
            </w:pPr>
          </w:p>
        </w:tc>
        <w:tc>
          <w:tcPr>
            <w:tcW w:w="6380" w:type="dxa"/>
            <w:vAlign w:val="bottom"/>
            <w:gridSpan w:val="2"/>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206"/>
        </w:trPr>
        <w:tc>
          <w:tcPr>
            <w:tcW w:w="20" w:type="dxa"/>
            <w:vAlign w:val="bottom"/>
          </w:tcPr>
          <w:p>
            <w:pPr>
              <w:spacing w:after="0"/>
              <w:rPr>
                <w:sz w:val="17"/>
                <w:szCs w:val="17"/>
                <w:color w:val="auto"/>
              </w:rPr>
            </w:pPr>
          </w:p>
        </w:tc>
        <w:tc>
          <w:tcPr>
            <w:tcW w:w="34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Consolidated Statements of Stockholders' Equity</w:t>
              </w:r>
            </w:hyperlink>
          </w:p>
        </w:tc>
        <w:tc>
          <w:tcPr>
            <w:tcW w:w="1360" w:type="dxa"/>
            <w:vAlign w:val="bottom"/>
            <w:gridSpan w:val="3"/>
          </w:tcPr>
          <w:p>
            <w:pPr>
              <w:spacing w:after="0"/>
              <w:rPr>
                <w:sz w:val="17"/>
                <w:szCs w:val="17"/>
                <w:color w:val="auto"/>
              </w:rPr>
            </w:pPr>
          </w:p>
        </w:tc>
        <w:tc>
          <w:tcPr>
            <w:tcW w:w="6380" w:type="dxa"/>
            <w:vAlign w:val="bottom"/>
            <w:gridSpan w:val="2"/>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60</w:t>
              </w:r>
            </w:hyperlink>
          </w:p>
        </w:tc>
      </w:tr>
      <w:tr>
        <w:trPr>
          <w:trHeight w:val="206"/>
        </w:trPr>
        <w:tc>
          <w:tcPr>
            <w:tcW w:w="20" w:type="dxa"/>
            <w:vAlign w:val="bottom"/>
          </w:tcPr>
          <w:p>
            <w:pPr>
              <w:spacing w:after="0"/>
              <w:rPr>
                <w:sz w:val="17"/>
                <w:szCs w:val="17"/>
                <w:color w:val="auto"/>
              </w:rPr>
            </w:pPr>
          </w:p>
        </w:tc>
        <w:tc>
          <w:tcPr>
            <w:tcW w:w="4840" w:type="dxa"/>
            <w:vAlign w:val="bottom"/>
            <w:gridSpan w:val="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Consolidated Statements of Cash Flows</w:t>
              </w:r>
            </w:hyperlink>
          </w:p>
        </w:tc>
        <w:tc>
          <w:tcPr>
            <w:tcW w:w="6380" w:type="dxa"/>
            <w:vAlign w:val="bottom"/>
            <w:gridSpan w:val="2"/>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61</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Notes to Consolidated Financial Statements</w:t>
              </w:r>
            </w:hyperlink>
          </w:p>
        </w:tc>
        <w:tc>
          <w:tcPr>
            <w:tcW w:w="6380" w:type="dxa"/>
            <w:vAlign w:val="bottom"/>
            <w:gridSpan w:val="2"/>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62</w:t>
              </w:r>
            </w:hyperlink>
          </w:p>
        </w:tc>
      </w:tr>
      <w:tr>
        <w:trPr>
          <w:trHeight w:val="816"/>
        </w:trPr>
        <w:tc>
          <w:tcPr>
            <w:tcW w:w="20" w:type="dxa"/>
            <w:vAlign w:val="bottom"/>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20" w:type="dxa"/>
            <w:vAlign w:val="bottom"/>
          </w:tcPr>
          <w:p>
            <w:pPr>
              <w:jc w:val="right"/>
              <w:ind w:right="4771"/>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7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333333"/>
        </w:rPr>
        <w:t>To the Stockholders and the Board of Directors of nCino,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3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333333"/>
        </w:rPr>
        <w:t xml:space="preserve">We have audited the accompanying consolidated balance sheets of nCino, Inc. (the Company) as of January 31, 2021 and 2020, the related consolidated statements of operations, comprehensive loss, changes in stockholders' equity and cash flows for each of the three years in the period ended January 31, 2021, and the related notes, </w:t>
      </w:r>
      <w:r>
        <w:rPr>
          <w:rFonts w:ascii="Arial" w:cs="Arial" w:eastAsia="Arial" w:hAnsi="Arial"/>
          <w:sz w:val="18"/>
          <w:szCs w:val="18"/>
          <w:color w:val="000000"/>
        </w:rPr>
        <w:t>as well as the financial statement schedule listed in the Index at Item 15.2. (collectively referred to as the “consolidated financial</w:t>
      </w:r>
      <w:r>
        <w:rPr>
          <w:rFonts w:ascii="Arial" w:cs="Arial" w:eastAsia="Arial" w:hAnsi="Arial"/>
          <w:sz w:val="18"/>
          <w:szCs w:val="18"/>
          <w:color w:val="333333"/>
        </w:rPr>
        <w:t xml:space="preserve"> </w:t>
      </w:r>
      <w:r>
        <w:rPr>
          <w:rFonts w:ascii="Arial" w:cs="Arial" w:eastAsia="Arial" w:hAnsi="Arial"/>
          <w:sz w:val="18"/>
          <w:szCs w:val="18"/>
          <w:color w:val="000000"/>
        </w:rPr>
        <w:t>statements”)</w:t>
      </w:r>
      <w:r>
        <w:rPr>
          <w:rFonts w:ascii="Arial" w:cs="Arial" w:eastAsia="Arial" w:hAnsi="Arial"/>
          <w:sz w:val="18"/>
          <w:szCs w:val="18"/>
          <w:color w:val="333333"/>
        </w:rPr>
        <w:t>. In our opinion, the consolidated financial statements present fairly, in all material respects, the financial position of the Company at January 31,</w:t>
      </w:r>
      <w:r>
        <w:rPr>
          <w:rFonts w:ascii="Arial" w:cs="Arial" w:eastAsia="Arial" w:hAnsi="Arial"/>
          <w:sz w:val="18"/>
          <w:szCs w:val="18"/>
          <w:color w:val="000000"/>
        </w:rPr>
        <w:t xml:space="preserve"> </w:t>
      </w:r>
      <w:r>
        <w:rPr>
          <w:rFonts w:ascii="Arial" w:cs="Arial" w:eastAsia="Arial" w:hAnsi="Arial"/>
          <w:sz w:val="18"/>
          <w:szCs w:val="18"/>
          <w:color w:val="333333"/>
        </w:rPr>
        <w:t>2021 and 2020, and the results of its operations and its cash flows for each of the three years in the period ended January 31, 2021, in conformity with U.S. generally accepted accounting principles.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8" w:lineRule="auto"/>
        <w:rPr>
          <w:sz w:val="20"/>
          <w:szCs w:val="20"/>
          <w:color w:val="auto"/>
        </w:rPr>
      </w:pPr>
      <w:r>
        <w:rPr>
          <w:rFonts w:ascii="Arial" w:cs="Arial" w:eastAsia="Arial" w:hAnsi="Arial"/>
          <w:sz w:val="18"/>
          <w:szCs w:val="18"/>
          <w:color w:val="auto"/>
        </w:rPr>
        <w:t>Raleigh,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March 31,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2020</w:t>
            </w: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January 31, 2021</w:t>
            </w:r>
          </w:p>
        </w:tc>
        <w:tc>
          <w:tcPr>
            <w:tcW w:w="0" w:type="dxa"/>
            <w:vAlign w:val="bottom"/>
          </w:tcPr>
          <w:p>
            <w:pPr>
              <w:spacing w:after="0"/>
              <w:rPr>
                <w:sz w:val="1"/>
                <w:szCs w:val="1"/>
                <w:color w:val="auto"/>
              </w:rPr>
            </w:pPr>
          </w:p>
        </w:tc>
      </w:tr>
      <w:tr>
        <w:trPr>
          <w:trHeight w:val="212"/>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Cash and cash equivalents (VIE: $8,892 and $7,425 at January 31, 2020 and January 31, 2021,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371,425</w:t>
            </w:r>
          </w:p>
        </w:tc>
        <w:tc>
          <w:tcPr>
            <w:tcW w:w="0" w:type="dxa"/>
            <w:vAlign w:val="bottom"/>
          </w:tcPr>
          <w:p>
            <w:pPr>
              <w:spacing w:after="0"/>
              <w:rPr>
                <w:sz w:val="1"/>
                <w:szCs w:val="1"/>
                <w:color w:val="auto"/>
              </w:rPr>
            </w:pPr>
          </w:p>
        </w:tc>
      </w:tr>
      <w:tr>
        <w:trPr>
          <w:trHeight w:val="174"/>
        </w:trPr>
        <w:tc>
          <w:tcPr>
            <w:tcW w:w="8280" w:type="dxa"/>
            <w:vAlign w:val="bottom"/>
          </w:tcPr>
          <w:p>
            <w:pPr>
              <w:ind w:left="440"/>
              <w:spacing w:after="0" w:line="174" w:lineRule="exact"/>
              <w:rPr>
                <w:sz w:val="20"/>
                <w:szCs w:val="20"/>
                <w:color w:val="auto"/>
              </w:rPr>
            </w:pPr>
            <w:r>
              <w:rPr>
                <w:rFonts w:ascii="Arial" w:cs="Arial" w:eastAsia="Arial" w:hAnsi="Arial"/>
                <w:sz w:val="18"/>
                <w:szCs w:val="18"/>
                <w:color w:val="auto"/>
                <w:w w:val="89"/>
              </w:rPr>
              <w:t>Accounts receivable, less allowance for doubtful accounts of $0 and $88 at January 31, 2020 and January 31,</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34,205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55,517</w:t>
            </w:r>
          </w:p>
        </w:tc>
        <w:tc>
          <w:tcPr>
            <w:tcW w:w="0" w:type="dxa"/>
            <w:vAlign w:val="bottom"/>
          </w:tcPr>
          <w:p>
            <w:pPr>
              <w:spacing w:after="0"/>
              <w:rPr>
                <w:sz w:val="1"/>
                <w:szCs w:val="1"/>
                <w:color w:val="auto"/>
              </w:rPr>
            </w:pPr>
          </w:p>
        </w:tc>
      </w:tr>
      <w:tr>
        <w:trPr>
          <w:trHeight w:val="225"/>
        </w:trPr>
        <w:tc>
          <w:tcPr>
            <w:tcW w:w="8280" w:type="dxa"/>
            <w:vAlign w:val="bottom"/>
          </w:tcPr>
          <w:p>
            <w:pPr>
              <w:ind w:left="600"/>
              <w:spacing w:after="0"/>
              <w:rPr>
                <w:sz w:val="20"/>
                <w:szCs w:val="20"/>
                <w:color w:val="auto"/>
              </w:rPr>
            </w:pPr>
            <w:r>
              <w:rPr>
                <w:rFonts w:ascii="Arial" w:cs="Arial" w:eastAsia="Arial" w:hAnsi="Arial"/>
                <w:sz w:val="18"/>
                <w:szCs w:val="18"/>
                <w:color w:val="auto"/>
              </w:rPr>
              <w:t>2021, respectively</w:t>
            </w: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related parties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442,231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Costs capitalized to obtain revenue contracts, noncurrent,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0"/>
        </w:trPr>
        <w:tc>
          <w:tcPr>
            <w:tcW w:w="828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563,401</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Accounts payable, related parties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commissions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current portion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89,141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current portion, related parties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Financing obligation, current portion</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0"/>
        </w:trPr>
        <w:tc>
          <w:tcPr>
            <w:tcW w:w="828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115,692</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Deferred income taxes, noncurrent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 obligation, noncurrent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134,431</w:t>
            </w:r>
          </w:p>
        </w:tc>
        <w:tc>
          <w:tcPr>
            <w:tcW w:w="0" w:type="dxa"/>
            <w:vAlign w:val="bottom"/>
          </w:tcPr>
          <w:p>
            <w:pPr>
              <w:spacing w:after="0"/>
              <w:rPr>
                <w:sz w:val="1"/>
                <w:szCs w:val="1"/>
                <w:color w:val="auto"/>
              </w:rPr>
            </w:pPr>
          </w:p>
        </w:tc>
      </w:tr>
      <w:tr>
        <w:trPr>
          <w:trHeight w:val="205"/>
        </w:trPr>
        <w:tc>
          <w:tcPr>
            <w:tcW w:w="8280" w:type="dxa"/>
            <w:vAlign w:val="bottom"/>
          </w:tcPr>
          <w:p>
            <w:pPr>
              <w:ind w:left="20"/>
              <w:spacing w:after="0" w:line="205" w:lineRule="exact"/>
              <w:rPr>
                <w:sz w:val="20"/>
                <w:szCs w:val="20"/>
                <w:color w:val="auto"/>
              </w:rPr>
            </w:pPr>
            <w:r>
              <w:rPr>
                <w:rFonts w:ascii="Arial" w:cs="Arial" w:eastAsia="Arial" w:hAnsi="Arial"/>
                <w:sz w:val="18"/>
                <w:szCs w:val="18"/>
                <w:color w:val="auto"/>
              </w:rPr>
              <w:t>Commitments and contingencies (Notes 9, 14 and 15)</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440"/>
              <w:spacing w:after="0" w:line="175" w:lineRule="exact"/>
              <w:rPr>
                <w:sz w:val="20"/>
                <w:szCs w:val="20"/>
                <w:color w:val="auto"/>
              </w:rPr>
            </w:pPr>
            <w:r>
              <w:rPr>
                <w:rFonts w:ascii="Arial" w:cs="Arial" w:eastAsia="Arial" w:hAnsi="Arial"/>
                <w:sz w:val="18"/>
                <w:szCs w:val="18"/>
                <w:color w:val="auto"/>
                <w:w w:val="91"/>
              </w:rPr>
              <w:t>Preferred stock, $0.001 par value; 1,000,000 and 10,000,000 shares authorized as of January 31, 2020 and</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80" w:type="dxa"/>
            <w:vAlign w:val="bottom"/>
            <w:shd w:val="clear" w:color="auto" w:fill="CCEEFF"/>
          </w:tcPr>
          <w:p>
            <w:pPr>
              <w:ind w:left="600"/>
              <w:spacing w:after="0" w:line="173" w:lineRule="exact"/>
              <w:rPr>
                <w:sz w:val="20"/>
                <w:szCs w:val="20"/>
                <w:color w:val="auto"/>
              </w:rPr>
            </w:pPr>
            <w:r>
              <w:rPr>
                <w:rFonts w:ascii="Arial" w:cs="Arial" w:eastAsia="Arial" w:hAnsi="Arial"/>
                <w:sz w:val="18"/>
                <w:szCs w:val="18"/>
                <w:color w:val="auto"/>
                <w:w w:val="91"/>
              </w:rPr>
              <w:t>January 31, 2021, respectively; and none issued and outstanding as of January 31, 2020 and January 31,</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2021, respectively</w:t>
            </w: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tcPr>
          <w:p>
            <w:pPr>
              <w:ind w:left="440"/>
              <w:spacing w:after="0" w:line="174" w:lineRule="exact"/>
              <w:rPr>
                <w:sz w:val="20"/>
                <w:szCs w:val="20"/>
                <w:color w:val="auto"/>
              </w:rPr>
            </w:pPr>
            <w:r>
              <w:rPr>
                <w:rFonts w:ascii="Arial" w:cs="Arial" w:eastAsia="Arial" w:hAnsi="Arial"/>
                <w:sz w:val="18"/>
                <w:szCs w:val="18"/>
                <w:color w:val="auto"/>
                <w:w w:val="97"/>
              </w:rPr>
              <w:t>Common stock, $0.0005 par value; 0 and 500,000,000 shares authorized as of January 31, 2020 and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600"/>
              <w:spacing w:after="0" w:line="173" w:lineRule="exact"/>
              <w:rPr>
                <w:sz w:val="20"/>
                <w:szCs w:val="20"/>
                <w:color w:val="auto"/>
              </w:rPr>
            </w:pPr>
            <w:r>
              <w:rPr>
                <w:rFonts w:ascii="Arial" w:cs="Arial" w:eastAsia="Arial" w:hAnsi="Arial"/>
                <w:sz w:val="18"/>
                <w:szCs w:val="18"/>
                <w:color w:val="auto"/>
                <w:w w:val="88"/>
              </w:rPr>
              <w:t>January 31, 2021, respectively; 0 and 93,643,759 shares issued and outstanding as of January 31, 2020 and</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8280" w:type="dxa"/>
            <w:vAlign w:val="bottom"/>
          </w:tcPr>
          <w:p>
            <w:pPr>
              <w:ind w:left="600"/>
              <w:spacing w:after="0"/>
              <w:rPr>
                <w:sz w:val="20"/>
                <w:szCs w:val="20"/>
                <w:color w:val="auto"/>
              </w:rPr>
            </w:pPr>
            <w:r>
              <w:rPr>
                <w:rFonts w:ascii="Arial" w:cs="Arial" w:eastAsia="Arial" w:hAnsi="Arial"/>
                <w:sz w:val="18"/>
                <w:szCs w:val="18"/>
                <w:color w:val="auto"/>
              </w:rPr>
              <w:t>January 31, 2021, respectively</w:t>
            </w: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440"/>
              <w:spacing w:after="0" w:line="175" w:lineRule="exact"/>
              <w:rPr>
                <w:sz w:val="20"/>
                <w:szCs w:val="20"/>
                <w:color w:val="auto"/>
              </w:rPr>
            </w:pPr>
            <w:r>
              <w:rPr>
                <w:rFonts w:ascii="Arial" w:cs="Arial" w:eastAsia="Arial" w:hAnsi="Arial"/>
                <w:sz w:val="18"/>
                <w:szCs w:val="18"/>
                <w:color w:val="auto"/>
                <w:w w:val="92"/>
              </w:rPr>
              <w:t>Voting common stock, $0.0005 par value; 99,708,247 and 0 shares authorized as of January 31, 2020 and</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80" w:type="dxa"/>
            <w:vAlign w:val="bottom"/>
            <w:shd w:val="clear" w:color="auto" w:fill="CCEEFF"/>
          </w:tcPr>
          <w:p>
            <w:pPr>
              <w:ind w:left="600"/>
              <w:spacing w:after="0" w:line="173" w:lineRule="exact"/>
              <w:rPr>
                <w:sz w:val="20"/>
                <w:szCs w:val="20"/>
                <w:color w:val="auto"/>
              </w:rPr>
            </w:pPr>
            <w:r>
              <w:rPr>
                <w:rFonts w:ascii="Arial" w:cs="Arial" w:eastAsia="Arial" w:hAnsi="Arial"/>
                <w:sz w:val="18"/>
                <w:szCs w:val="18"/>
                <w:color w:val="auto"/>
                <w:w w:val="88"/>
              </w:rPr>
              <w:t>January 31, 2021, respectively; 75,596,007 and 0 shares issued and outstanding as of January 31, 2020 and</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January 31, 2021, respectively</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tcPr>
          <w:p>
            <w:pPr>
              <w:ind w:left="440"/>
              <w:spacing w:after="0" w:line="174" w:lineRule="exact"/>
              <w:rPr>
                <w:sz w:val="20"/>
                <w:szCs w:val="20"/>
                <w:color w:val="auto"/>
              </w:rPr>
            </w:pPr>
            <w:r>
              <w:rPr>
                <w:rFonts w:ascii="Arial" w:cs="Arial" w:eastAsia="Arial" w:hAnsi="Arial"/>
                <w:sz w:val="18"/>
                <w:szCs w:val="18"/>
                <w:color w:val="auto"/>
                <w:w w:val="92"/>
              </w:rPr>
              <w:t>Non-voting common stock, $0.0005 par value; 10,291,753 and 0 shares authorized as of January 31, 2020</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600"/>
              <w:spacing w:after="0" w:line="173" w:lineRule="exact"/>
              <w:rPr>
                <w:sz w:val="20"/>
                <w:szCs w:val="20"/>
                <w:color w:val="auto"/>
              </w:rPr>
            </w:pPr>
            <w:r>
              <w:rPr>
                <w:rFonts w:ascii="Arial" w:cs="Arial" w:eastAsia="Arial" w:hAnsi="Arial"/>
                <w:sz w:val="18"/>
                <w:szCs w:val="18"/>
                <w:color w:val="auto"/>
                <w:w w:val="89"/>
              </w:rPr>
              <w:t>and January 31, 2021, respectively; 5,931,319 and 0 shares issued and outstanding as of January 31, 2020</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tcPr>
          <w:p>
            <w:pPr>
              <w:ind w:left="600"/>
              <w:spacing w:after="0"/>
              <w:rPr>
                <w:sz w:val="20"/>
                <w:szCs w:val="20"/>
                <w:color w:val="auto"/>
              </w:rPr>
            </w:pPr>
            <w:r>
              <w:rPr>
                <w:rFonts w:ascii="Arial" w:cs="Arial" w:eastAsia="Arial" w:hAnsi="Arial"/>
                <w:sz w:val="18"/>
                <w:szCs w:val="18"/>
                <w:color w:val="auto"/>
              </w:rPr>
              <w:t>and January 31, 2021, respectively</w:t>
            </w: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585,956</w:t>
            </w:r>
          </w:p>
        </w:tc>
        <w:tc>
          <w:tcPr>
            <w:tcW w:w="0" w:type="dxa"/>
            <w:vAlign w:val="bottom"/>
          </w:tcPr>
          <w:p>
            <w:pPr>
              <w:spacing w:after="0"/>
              <w:rPr>
                <w:sz w:val="1"/>
                <w:szCs w:val="1"/>
                <w:color w:val="auto"/>
              </w:rPr>
            </w:pPr>
          </w:p>
        </w:tc>
      </w:tr>
      <w:tr>
        <w:trPr>
          <w:trHeight w:val="225"/>
        </w:trPr>
        <w:tc>
          <w:tcPr>
            <w:tcW w:w="8280" w:type="dxa"/>
            <w:vAlign w:val="bottom"/>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(161,064)</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425,179</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7"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2"/>
              </w:rPr>
              <w:t>Fiscal Year Ended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340"/>
              <w:spacing w:after="0"/>
              <w:rPr>
                <w:sz w:val="20"/>
                <w:szCs w:val="20"/>
                <w:color w:val="auto"/>
              </w:rPr>
            </w:pPr>
            <w:r>
              <w:rPr>
                <w:rFonts w:ascii="Arial" w:cs="Arial" w:eastAsia="Arial" w:hAnsi="Arial"/>
                <w:sz w:val="18"/>
                <w:szCs w:val="18"/>
                <w:color w:val="auto"/>
              </w:rPr>
              <w:t>Subscription (related parties $7,929, $7,768, and $2,439, respectively)</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103,265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162,439</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19"/>
        </w:trPr>
        <w:tc>
          <w:tcPr>
            <w:tcW w:w="690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204,293</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tcPr>
          <w:p>
            <w:pPr>
              <w:ind w:left="340"/>
              <w:spacing w:after="0" w:line="226" w:lineRule="exact"/>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(related party $15,373, $22,844, and $34,831, respectively)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47,969</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19"/>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88,135</w:t>
            </w:r>
          </w:p>
        </w:tc>
        <w:tc>
          <w:tcPr>
            <w:tcW w:w="0" w:type="dxa"/>
            <w:vAlign w:val="bottom"/>
          </w:tcPr>
          <w:p>
            <w:pPr>
              <w:spacing w:after="0"/>
              <w:rPr>
                <w:sz w:val="1"/>
                <w:szCs w:val="1"/>
                <w:color w:val="auto"/>
              </w:rPr>
            </w:pPr>
          </w:p>
        </w:tc>
      </w:tr>
      <w:tr>
        <w:trPr>
          <w:trHeight w:val="220"/>
        </w:trPr>
        <w:tc>
          <w:tcPr>
            <w:tcW w:w="690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116,158</w:t>
            </w:r>
          </w:p>
        </w:tc>
        <w:tc>
          <w:tcPr>
            <w:tcW w:w="0" w:type="dxa"/>
            <w:vAlign w:val="bottom"/>
          </w:tcPr>
          <w:p>
            <w:pPr>
              <w:spacing w:after="0"/>
              <w:rPr>
                <w:sz w:val="1"/>
                <w:szCs w:val="1"/>
                <w:color w:val="auto"/>
              </w:rPr>
            </w:pPr>
          </w:p>
        </w:tc>
      </w:tr>
      <w:tr>
        <w:trPr>
          <w:trHeight w:val="206"/>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0" w:type="dxa"/>
            <w:vAlign w:val="bottom"/>
          </w:tcPr>
          <w:p>
            <w:pPr>
              <w:spacing w:after="0"/>
              <w:rPr>
                <w:sz w:val="1"/>
                <w:szCs w:val="1"/>
                <w:color w:val="auto"/>
              </w:rPr>
            </w:pPr>
          </w:p>
        </w:tc>
      </w:tr>
      <w:tr>
        <w:trPr>
          <w:trHeight w:val="226"/>
        </w:trPr>
        <w:tc>
          <w:tcPr>
            <w:tcW w:w="6900" w:type="dxa"/>
            <w:vAlign w:val="bottom"/>
          </w:tcPr>
          <w:p>
            <w:pPr>
              <w:ind w:left="340"/>
              <w:spacing w:after="0" w:line="22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340"/>
              <w:spacing w:after="0" w:line="22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19"/>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158,766</w:t>
            </w:r>
          </w:p>
        </w:tc>
        <w:tc>
          <w:tcPr>
            <w:tcW w:w="0" w:type="dxa"/>
            <w:vAlign w:val="bottom"/>
          </w:tcPr>
          <w:p>
            <w:pPr>
              <w:spacing w:after="0"/>
              <w:rPr>
                <w:sz w:val="1"/>
                <w:szCs w:val="1"/>
                <w:color w:val="auto"/>
              </w:rPr>
            </w:pPr>
          </w:p>
        </w:tc>
      </w:tr>
      <w:tr>
        <w:trPr>
          <w:trHeight w:val="220"/>
        </w:trPr>
        <w:tc>
          <w:tcPr>
            <w:tcW w:w="690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6"/>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69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9"/>
        </w:trPr>
        <w:tc>
          <w:tcPr>
            <w:tcW w:w="6900" w:type="dxa"/>
            <w:vAlign w:val="bottom"/>
          </w:tcPr>
          <w:p>
            <w:pPr>
              <w:ind w:left="1000"/>
              <w:spacing w:after="0"/>
              <w:rPr>
                <w:sz w:val="20"/>
                <w:szCs w:val="20"/>
                <w:color w:val="auto"/>
              </w:rPr>
            </w:pPr>
            <w:r>
              <w:rPr>
                <w:rFonts w:ascii="Arial" w:cs="Arial" w:eastAsia="Arial" w:hAnsi="Arial"/>
                <w:sz w:val="18"/>
                <w:szCs w:val="18"/>
                <w:b w:val="1"/>
                <w:bCs w:val="1"/>
                <w:color w:val="auto"/>
              </w:rPr>
              <w:t>Loss before income tax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9"/>
        </w:trPr>
        <w:tc>
          <w:tcPr>
            <w:tcW w:w="6900" w:type="dxa"/>
            <w:vAlign w:val="bottom"/>
          </w:tcPr>
          <w:p>
            <w:pPr>
              <w:ind w:left="100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(41,270)</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5"/>
        </w:trPr>
        <w:tc>
          <w:tcPr>
            <w:tcW w:w="6900" w:type="dxa"/>
            <w:vAlign w:val="bottom"/>
          </w:tcPr>
          <w:p>
            <w:pPr>
              <w:ind w:left="44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5"/>
        </w:trPr>
        <w:tc>
          <w:tcPr>
            <w:tcW w:w="690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Net loss attributable to nCino, Inc.</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74,593,709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78,316,794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87,678,323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2"/>
              </w:rPr>
              <w:t>Fiscal Year Ended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Cost of professional services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20"/>
        </w:trPr>
        <w:tc>
          <w:tcPr>
            <w:tcW w:w="69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rPr>
              <w:t>Fiscal Year Ended January 31,</w:t>
            </w:r>
          </w:p>
        </w:tc>
        <w:tc>
          <w:tcPr>
            <w:tcW w:w="1040" w:type="dxa"/>
            <w:vAlign w:val="bottom"/>
            <w:tcBorders>
              <w:bottom w:val="single" w:sz="8" w:color="auto"/>
            </w:tcBorders>
          </w:tcPr>
          <w:p>
            <w:pPr>
              <w:spacing w:after="0"/>
              <w:rPr>
                <w:sz w:val="16"/>
                <w:szCs w:val="16"/>
                <w:color w:val="auto"/>
              </w:rPr>
            </w:pPr>
          </w:p>
        </w:tc>
      </w:tr>
      <w:tr>
        <w:trPr>
          <w:trHeight w:val="184"/>
        </w:trPr>
        <w:tc>
          <w:tcPr>
            <w:tcW w:w="6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(41,270)</w:t>
            </w:r>
          </w:p>
        </w:tc>
      </w:tr>
      <w:tr>
        <w:trPr>
          <w:trHeight w:val="226"/>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19"/>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20"/>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(40,453)</w:t>
            </w:r>
          </w:p>
        </w:tc>
      </w:tr>
      <w:tr>
        <w:trPr>
          <w:trHeight w:val="206"/>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5"/>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47"/>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19"/>
        </w:trPr>
        <w:tc>
          <w:tcPr>
            <w:tcW w:w="6900" w:type="dxa"/>
            <w:vAlign w:val="bottom"/>
          </w:tcPr>
          <w:p>
            <w:pPr>
              <w:ind w:left="660"/>
              <w:spacing w:after="0"/>
              <w:rPr>
                <w:sz w:val="20"/>
                <w:szCs w:val="20"/>
                <w:color w:val="auto"/>
              </w:rPr>
            </w:pPr>
            <w:r>
              <w:rPr>
                <w:rFonts w:ascii="Arial" w:cs="Arial" w:eastAsia="Arial" w:hAnsi="Arial"/>
                <w:sz w:val="18"/>
                <w:szCs w:val="18"/>
                <w:b w:val="1"/>
                <w:bCs w:val="1"/>
                <w:color w:val="auto"/>
              </w:rPr>
              <w:t>Comprehensive loss attributable to nCino, Inc.</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(39,492)</w:t>
            </w: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660"/>
              <w:spacing w:after="0"/>
              <w:rPr>
                <w:sz w:val="20"/>
                <w:szCs w:val="20"/>
                <w:color w:val="auto"/>
              </w:rPr>
            </w:pPr>
            <w:r>
              <w:rPr>
                <w:rFonts w:ascii="Arial" w:cs="Arial" w:eastAsia="Arial" w:hAnsi="Arial"/>
                <w:sz w:val="14"/>
                <w:szCs w:val="14"/>
                <w:b w:val="1"/>
                <w:bCs w:val="1"/>
                <w:color w:val="auto"/>
              </w:rPr>
              <w:t>Voting</w:t>
            </w:r>
          </w:p>
        </w:tc>
        <w:tc>
          <w:tcPr>
            <w:tcW w:w="1760" w:type="dxa"/>
            <w:vAlign w:val="bottom"/>
            <w:gridSpan w:val="5"/>
          </w:tcPr>
          <w:p>
            <w:pPr>
              <w:ind w:left="48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60" w:type="dxa"/>
            <w:vAlign w:val="bottom"/>
          </w:tcPr>
          <w:p>
            <w:pPr>
              <w:spacing w:after="0"/>
              <w:rPr>
                <w:sz w:val="6"/>
                <w:szCs w:val="6"/>
                <w:color w:val="auto"/>
              </w:rPr>
            </w:pPr>
          </w:p>
        </w:tc>
        <w:tc>
          <w:tcPr>
            <w:tcW w:w="168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6"/>
                <w:szCs w:val="6"/>
                <w:color w:val="auto"/>
              </w:rPr>
            </w:pPr>
          </w:p>
        </w:tc>
        <w:tc>
          <w:tcPr>
            <w:tcW w:w="1720" w:type="dxa"/>
            <w:vAlign w:val="bottom"/>
            <w:gridSpan w:val="4"/>
            <w:vMerge w:val="restart"/>
          </w:tcPr>
          <w:p>
            <w:pPr>
              <w:jc w:val="right"/>
              <w:ind w:right="32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6"/>
                <w:szCs w:val="6"/>
                <w:color w:val="auto"/>
              </w:rPr>
            </w:pPr>
          </w:p>
        </w:tc>
        <w:tc>
          <w:tcPr>
            <w:tcW w:w="1680" w:type="dxa"/>
            <w:vAlign w:val="bottom"/>
            <w:gridSpan w:val="4"/>
            <w:vMerge w:val="restart"/>
          </w:tcPr>
          <w:p>
            <w:pPr>
              <w:jc w:val="right"/>
              <w:ind w:right="309"/>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80"/>
              <w:spacing w:after="0" w:line="106" w:lineRule="exact"/>
              <w:rPr>
                <w:sz w:val="20"/>
                <w:szCs w:val="20"/>
                <w:color w:val="auto"/>
              </w:rPr>
            </w:pPr>
            <w:r>
              <w:rPr>
                <w:rFonts w:ascii="Arial" w:cs="Arial" w:eastAsia="Arial" w:hAnsi="Arial"/>
                <w:sz w:val="12"/>
                <w:szCs w:val="12"/>
                <w:b w:val="1"/>
                <w:bCs w:val="1"/>
                <w:color w:val="auto"/>
              </w:rPr>
              <w:t>Paid-in</w:t>
            </w:r>
          </w:p>
        </w:tc>
        <w:tc>
          <w:tcPr>
            <w:tcW w:w="106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3"/>
          </w:tcPr>
          <w:p>
            <w:pPr>
              <w:ind w:left="40"/>
              <w:spacing w:after="0" w:line="106"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68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67,340,707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5,701,435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160,418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(82,446)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78,014</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2,845,482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6,260</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Net loss attributable to</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(22,306)</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nCino, Inc.</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60" w:type="dxa"/>
            <w:vAlign w:val="bottom"/>
          </w:tcPr>
          <w:p>
            <w:pPr>
              <w:ind w:left="20"/>
              <w:spacing w:after="0"/>
              <w:rPr>
                <w:sz w:val="20"/>
                <w:szCs w:val="20"/>
                <w:color w:val="auto"/>
              </w:rPr>
            </w:pPr>
            <w:r>
              <w:rPr>
                <w:rFonts w:ascii="Arial" w:cs="Arial" w:eastAsia="Arial" w:hAnsi="Arial"/>
                <w:sz w:val="14"/>
                <w:szCs w:val="14"/>
                <w:color w:val="auto"/>
              </w:rPr>
              <w:t>Balance, January 31,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70,186,189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5,701,435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170,771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(104,752)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66,036</w:t>
            </w: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w w:val="93"/>
              </w:rPr>
              <w:t>Cumulative-effect adjustment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500"/>
              <w:spacing w:after="0" w:line="133" w:lineRule="exact"/>
              <w:rPr>
                <w:sz w:val="20"/>
                <w:szCs w:val="20"/>
                <w:color w:val="auto"/>
              </w:rPr>
            </w:pPr>
            <w:r>
              <w:rPr>
                <w:rFonts w:ascii="Arial" w:cs="Arial" w:eastAsia="Arial" w:hAnsi="Arial"/>
                <w:sz w:val="14"/>
                <w:szCs w:val="14"/>
                <w:color w:val="auto"/>
              </w:rPr>
              <w:t>from adoption of</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11,422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11,422</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accounting standard</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rPr>
              <w:t>Stock issuance, net of</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3,448,276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229,885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79,946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79,948</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issuance costs of $52</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Stock issuance related to</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1,502,772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25,204</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business combinations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rPr>
              <w:t>Contingent consideration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rPr>
              <w:t>related to business</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5,857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5,857</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combinations</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5,745</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rPr>
              <w:t>Net loss attributable to</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(27,594)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(27,594)</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nCino, Inc.</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75,596,007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5,931,319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288,564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167,273</w:t>
            </w: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w w:val="94"/>
              </w:rPr>
              <w:t>Issuance of common stock in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500"/>
              <w:spacing w:after="0" w:line="133" w:lineRule="exact"/>
              <w:rPr>
                <w:sz w:val="20"/>
                <w:szCs w:val="20"/>
                <w:color w:val="auto"/>
              </w:rPr>
            </w:pPr>
            <w:r>
              <w:rPr>
                <w:rFonts w:ascii="Arial" w:cs="Arial" w:eastAsia="Arial" w:hAnsi="Arial"/>
                <w:sz w:val="14"/>
                <w:szCs w:val="14"/>
                <w:color w:val="auto"/>
              </w:rPr>
              <w:t>connection with initial</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500"/>
              <w:spacing w:after="0" w:line="133" w:lineRule="exact"/>
              <w:rPr>
                <w:sz w:val="20"/>
                <w:szCs w:val="20"/>
                <w:color w:val="auto"/>
              </w:rPr>
            </w:pPr>
            <w:r>
              <w:rPr>
                <w:rFonts w:ascii="Arial" w:cs="Arial" w:eastAsia="Arial" w:hAnsi="Arial"/>
                <w:sz w:val="14"/>
                <w:szCs w:val="14"/>
                <w:color w:val="auto"/>
              </w:rPr>
              <w:t>public offering,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500"/>
              <w:spacing w:after="0" w:line="133" w:lineRule="exact"/>
              <w:rPr>
                <w:sz w:val="20"/>
                <w:szCs w:val="20"/>
                <w:color w:val="auto"/>
              </w:rPr>
            </w:pPr>
            <w:r>
              <w:rPr>
                <w:rFonts w:ascii="Arial" w:cs="Arial" w:eastAsia="Arial" w:hAnsi="Arial"/>
                <w:sz w:val="14"/>
                <w:szCs w:val="14"/>
                <w:color w:val="auto"/>
              </w:rPr>
              <w:t>underwriting discounts</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268,370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268,375</w:t>
            </w:r>
          </w:p>
        </w:tc>
        <w:tc>
          <w:tcPr>
            <w:tcW w:w="0" w:type="dxa"/>
            <w:vAlign w:val="bottom"/>
          </w:tcPr>
          <w:p>
            <w:pPr>
              <w:spacing w:after="0"/>
              <w:rPr>
                <w:sz w:val="1"/>
                <w:szCs w:val="1"/>
                <w:color w:val="auto"/>
              </w:rPr>
            </w:pPr>
          </w:p>
        </w:tc>
      </w:tr>
      <w:tr>
        <w:trPr>
          <w:trHeight w:val="183"/>
        </w:trPr>
        <w:tc>
          <w:tcPr>
            <w:tcW w:w="2060" w:type="dxa"/>
            <w:vAlign w:val="bottom"/>
          </w:tcPr>
          <w:p>
            <w:pPr>
              <w:ind w:left="500"/>
              <w:spacing w:after="0"/>
              <w:rPr>
                <w:sz w:val="20"/>
                <w:szCs w:val="20"/>
                <w:color w:val="auto"/>
              </w:rPr>
            </w:pPr>
            <w:r>
              <w:rPr>
                <w:rFonts w:ascii="Arial" w:cs="Arial" w:eastAsia="Arial" w:hAnsi="Arial"/>
                <w:sz w:val="14"/>
                <w:szCs w:val="14"/>
                <w:color w:val="auto"/>
              </w:rPr>
              <w:t>and commissions</w:t>
            </w: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Costs in connection with</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initial public offering</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4"/>
                <w:szCs w:val="14"/>
                <w:color w:val="auto"/>
              </w:rPr>
              <w:t>1,983,169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325,530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8,745</w:t>
            </w: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rPr>
              <w:t>Reclassification of voting</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500"/>
              <w:spacing w:after="0" w:line="133" w:lineRule="exact"/>
              <w:rPr>
                <w:sz w:val="20"/>
                <w:szCs w:val="20"/>
                <w:color w:val="auto"/>
              </w:rPr>
            </w:pPr>
            <w:r>
              <w:rPr>
                <w:rFonts w:ascii="Arial" w:cs="Arial" w:eastAsia="Arial" w:hAnsi="Arial"/>
                <w:sz w:val="14"/>
                <w:szCs w:val="14"/>
                <w:color w:val="auto"/>
              </w:rPr>
              <w:t>and non-voting 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(75,921,537)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(5,931,319)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w w:val="95"/>
              </w:rPr>
              <w:t>Stock issuance upon vesting</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253,042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of restricted stock units</w:t>
            </w: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color w:val="auto"/>
                <w:w w:val="92"/>
              </w:rPr>
              <w:t>Stock issuance for contingent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285,692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consideration</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25,208</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Other comprehensive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33"/>
        </w:trPr>
        <w:tc>
          <w:tcPr>
            <w:tcW w:w="2060" w:type="dxa"/>
            <w:vAlign w:val="bottom"/>
          </w:tcPr>
          <w:p>
            <w:pPr>
              <w:ind w:left="340"/>
              <w:spacing w:after="0" w:line="133" w:lineRule="exact"/>
              <w:rPr>
                <w:sz w:val="20"/>
                <w:szCs w:val="20"/>
                <w:color w:val="auto"/>
              </w:rPr>
            </w:pPr>
            <w:r>
              <w:rPr>
                <w:rFonts w:ascii="Arial" w:cs="Arial" w:eastAsia="Arial" w:hAnsi="Arial"/>
                <w:sz w:val="14"/>
                <w:szCs w:val="14"/>
                <w:color w:val="auto"/>
              </w:rPr>
              <w:t>Net loss attributable to</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500"/>
              <w:spacing w:after="0" w:line="133" w:lineRule="exact"/>
              <w:rPr>
                <w:sz w:val="20"/>
                <w:szCs w:val="20"/>
                <w:color w:val="auto"/>
              </w:rPr>
            </w:pPr>
            <w:r>
              <w:rPr>
                <w:rFonts w:ascii="Arial" w:cs="Arial" w:eastAsia="Arial" w:hAnsi="Arial"/>
                <w:sz w:val="14"/>
                <w:szCs w:val="14"/>
                <w:color w:val="auto"/>
              </w:rPr>
              <w:t>nCino, Inc., including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500"/>
              <w:spacing w:after="0" w:line="133" w:lineRule="exact"/>
              <w:rPr>
                <w:sz w:val="20"/>
                <w:szCs w:val="20"/>
                <w:color w:val="auto"/>
              </w:rPr>
            </w:pPr>
            <w:r>
              <w:rPr>
                <w:rFonts w:ascii="Arial" w:cs="Arial" w:eastAsia="Arial" w:hAnsi="Arial"/>
                <w:sz w:val="14"/>
                <w:szCs w:val="14"/>
                <w:color w:val="auto"/>
                <w:w w:val="95"/>
              </w:rPr>
              <w:t>adjustment to redeemable</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(40,140)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(40,536)</w:t>
            </w:r>
          </w:p>
        </w:tc>
        <w:tc>
          <w:tcPr>
            <w:tcW w:w="0" w:type="dxa"/>
            <w:vAlign w:val="bottom"/>
          </w:tcPr>
          <w:p>
            <w:pPr>
              <w:spacing w:after="0"/>
              <w:rPr>
                <w:sz w:val="1"/>
                <w:szCs w:val="1"/>
                <w:color w:val="auto"/>
              </w:rPr>
            </w:pPr>
          </w:p>
        </w:tc>
      </w:tr>
      <w:tr>
        <w:trPr>
          <w:trHeight w:val="183"/>
        </w:trPr>
        <w:tc>
          <w:tcPr>
            <w:tcW w:w="2060" w:type="dxa"/>
            <w:vAlign w:val="bottom"/>
          </w:tcPr>
          <w:p>
            <w:pPr>
              <w:ind w:left="500"/>
              <w:spacing w:after="0"/>
              <w:rPr>
                <w:sz w:val="20"/>
                <w:szCs w:val="20"/>
                <w:color w:val="auto"/>
              </w:rPr>
            </w:pPr>
            <w:r>
              <w:rPr>
                <w:rFonts w:ascii="Arial" w:cs="Arial" w:eastAsia="Arial" w:hAnsi="Arial"/>
                <w:sz w:val="14"/>
                <w:szCs w:val="14"/>
                <w:color w:val="auto"/>
              </w:rPr>
              <w:t>non-controlling interest</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31, 2021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93,643,759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425,179</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5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6"/>
                <w:szCs w:val="16"/>
                <w:color w:val="auto"/>
              </w:rPr>
              <w:t>Net loss attributable to nCino, Inc.</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(22,306)</w:t>
            </w:r>
          </w:p>
        </w:tc>
        <w:tc>
          <w:tcPr>
            <w:tcW w:w="8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(27,594)</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(40,536)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7"/>
        </w:trPr>
        <w:tc>
          <w:tcPr>
            <w:tcW w:w="8240" w:type="dxa"/>
            <w:vAlign w:val="bottom"/>
          </w:tcPr>
          <w:p>
            <w:pPr>
              <w:ind w:left="340"/>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(22,306)</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(27,735)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(41,270)</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costs capitalized to obtain revenue contracts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w:t>
            </w: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4,095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25,208</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Provision for (recovery of) bad debt</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foreign currency gains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10"/>
        </w:trPr>
        <w:tc>
          <w:tcPr>
            <w:tcW w:w="8240" w:type="dxa"/>
            <w:vAlign w:val="bottom"/>
          </w:tcPr>
          <w:p>
            <w:pPr>
              <w:ind w:left="660"/>
              <w:spacing w:after="0"/>
              <w:rPr>
                <w:sz w:val="20"/>
                <w:szCs w:val="20"/>
                <w:color w:val="auto"/>
              </w:rPr>
            </w:pPr>
            <w:r>
              <w:rPr>
                <w:rFonts w:ascii="Arial" w:cs="Arial" w:eastAsia="Arial" w:hAnsi="Arial"/>
                <w:sz w:val="16"/>
                <w:szCs w:val="16"/>
                <w:color w:val="auto"/>
              </w:rPr>
              <w:t>Change in operating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(20,614)</w:t>
            </w:r>
          </w:p>
        </w:tc>
        <w:tc>
          <w:tcPr>
            <w:tcW w:w="0" w:type="dxa"/>
            <w:vAlign w:val="bottom"/>
          </w:tcPr>
          <w:p>
            <w:pPr>
              <w:spacing w:after="0"/>
              <w:rPr>
                <w:sz w:val="1"/>
                <w:szCs w:val="1"/>
                <w:color w:val="auto"/>
              </w:rPr>
            </w:pPr>
          </w:p>
        </w:tc>
      </w:tr>
      <w:tr>
        <w:trPr>
          <w:trHeight w:val="237"/>
        </w:trPr>
        <w:tc>
          <w:tcPr>
            <w:tcW w:w="8240" w:type="dxa"/>
            <w:vAlign w:val="bottom"/>
          </w:tcPr>
          <w:p>
            <w:pPr>
              <w:ind w:left="980"/>
              <w:spacing w:after="0"/>
              <w:rPr>
                <w:sz w:val="20"/>
                <w:szCs w:val="20"/>
                <w:color w:val="auto"/>
              </w:rPr>
            </w:pPr>
            <w:r>
              <w:rPr>
                <w:rFonts w:ascii="Arial" w:cs="Arial" w:eastAsia="Arial" w:hAnsi="Arial"/>
                <w:sz w:val="16"/>
                <w:szCs w:val="16"/>
                <w:color w:val="auto"/>
              </w:rPr>
              <w:t>Accounts receivable, related parties</w:t>
            </w: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4,557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9,201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Costs capitalized to obtain revenue contracts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(8,967)</w:t>
            </w:r>
          </w:p>
        </w:tc>
        <w:tc>
          <w:tcPr>
            <w:tcW w:w="0" w:type="dxa"/>
            <w:vAlign w:val="bottom"/>
          </w:tcPr>
          <w:p>
            <w:pPr>
              <w:spacing w:after="0"/>
              <w:rPr>
                <w:sz w:val="1"/>
                <w:szCs w:val="1"/>
                <w:color w:val="auto"/>
              </w:rPr>
            </w:pPr>
          </w:p>
        </w:tc>
      </w:tr>
      <w:tr>
        <w:trPr>
          <w:trHeight w:val="237"/>
        </w:trPr>
        <w:tc>
          <w:tcPr>
            <w:tcW w:w="8240" w:type="dxa"/>
            <w:vAlign w:val="bottom"/>
          </w:tcPr>
          <w:p>
            <w:pPr>
              <w:ind w:left="9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Accounts payable and accrued expenses and other liabilities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7,086</w:t>
            </w:r>
          </w:p>
        </w:tc>
        <w:tc>
          <w:tcPr>
            <w:tcW w:w="0" w:type="dxa"/>
            <w:vAlign w:val="bottom"/>
          </w:tcPr>
          <w:p>
            <w:pPr>
              <w:spacing w:after="0"/>
              <w:rPr>
                <w:sz w:val="1"/>
                <w:szCs w:val="1"/>
                <w:color w:val="auto"/>
              </w:rPr>
            </w:pPr>
          </w:p>
        </w:tc>
      </w:tr>
      <w:tr>
        <w:trPr>
          <w:trHeight w:val="210"/>
        </w:trPr>
        <w:tc>
          <w:tcPr>
            <w:tcW w:w="8240" w:type="dxa"/>
            <w:vAlign w:val="bottom"/>
          </w:tcPr>
          <w:p>
            <w:pPr>
              <w:ind w:left="980"/>
              <w:spacing w:after="0"/>
              <w:rPr>
                <w:sz w:val="20"/>
                <w:szCs w:val="20"/>
                <w:color w:val="auto"/>
              </w:rPr>
            </w:pPr>
            <w:r>
              <w:rPr>
                <w:rFonts w:ascii="Arial" w:cs="Arial" w:eastAsia="Arial" w:hAnsi="Arial"/>
                <w:sz w:val="16"/>
                <w:szCs w:val="16"/>
                <w:color w:val="auto"/>
              </w:rPr>
              <w:t>Accounts payable, related parties</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Deferred rent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8240" w:type="dxa"/>
            <w:vAlign w:val="bottom"/>
          </w:tcPr>
          <w:p>
            <w:pPr>
              <w:ind w:left="9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38,339</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Deferred revenue, related parties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130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9,222</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130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268,375</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Payments of costs related to initial public offering</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Investment from redeemable non-controlling interest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Proceeds from stock issuance</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Stock issuance costs</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Payments of deferred costs</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6,260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8,745</w:t>
            </w: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Contingent consideration payments</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6"/>
                <w:szCs w:val="16"/>
                <w:color w:val="auto"/>
              </w:rPr>
              <w:t>Principal payments on financing obligation</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2"/>
        </w:trPr>
        <w:tc>
          <w:tcPr>
            <w:tcW w:w="8240" w:type="dxa"/>
            <w:vAlign w:val="bottom"/>
            <w:tcBorders>
              <w:top w:val="single" w:sz="8" w:color="CCEEFF"/>
            </w:tcBorders>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84,091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274,121</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280,241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80,676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74,347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91,184</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74,347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paid during the year for taxes, net of refunds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6"/>
                <w:szCs w:val="16"/>
                <w:color w:val="auto"/>
              </w:rPr>
              <w:t>Cash paid during the year for interest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660"/>
              <w:spacing w:after="0"/>
              <w:rPr>
                <w:sz w:val="20"/>
                <w:szCs w:val="20"/>
                <w:color w:val="auto"/>
              </w:rPr>
            </w:pPr>
            <w:r>
              <w:rPr>
                <w:rFonts w:ascii="Arial" w:cs="Arial" w:eastAsia="Arial" w:hAnsi="Arial"/>
                <w:sz w:val="16"/>
                <w:szCs w:val="16"/>
                <w:color w:val="auto"/>
              </w:rPr>
              <w:t>Purchase of property and equipment, accrued but not paid</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Building-leased facility acquired through financing obligation</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6"/>
                <w:szCs w:val="16"/>
                <w:color w:val="auto"/>
              </w:rPr>
              <w:t>Deferred costs, accrued but not paid</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6"/>
                <w:szCs w:val="16"/>
                <w:color w:val="auto"/>
              </w:rPr>
              <w:t>Costs related to initial public offering, reclassified from other long term assets to equity</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5,857</w:t>
            </w:r>
          </w:p>
        </w:tc>
        <w:tc>
          <w:tcPr>
            <w:tcW w:w="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18" w:lineRule="exact"/>
        <w:rPr>
          <w:sz w:val="20"/>
          <w:szCs w:val="20"/>
          <w:color w:val="auto"/>
        </w:rPr>
      </w:pPr>
    </w:p>
    <w:p>
      <w:pPr>
        <w:ind w:right="120" w:firstLine="878"/>
        <w:spacing w:after="0" w:line="259"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streamline employee and client interactions. The Company is headquartered in Wilmington, North Carolina and has offices in Salt Lake City, Utah; London, United Kingdom; Sydney, Australia; Melbourne, Australia; Toronto, Canada; and Tokyo, Japan.</w:t>
      </w:r>
    </w:p>
    <w:p>
      <w:pPr>
        <w:spacing w:after="0" w:line="187" w:lineRule="exact"/>
        <w:rPr>
          <w:sz w:val="20"/>
          <w:szCs w:val="20"/>
          <w:color w:val="auto"/>
        </w:rPr>
      </w:pPr>
    </w:p>
    <w:p>
      <w:pPr>
        <w:ind w:right="140" w:firstLine="878"/>
        <w:spacing w:after="0" w:line="266" w:lineRule="auto"/>
        <w:rPr>
          <w:sz w:val="20"/>
          <w:szCs w:val="20"/>
          <w:color w:val="auto"/>
        </w:rPr>
      </w:pPr>
      <w:r>
        <w:rPr>
          <w:rFonts w:ascii="Arial" w:cs="Arial" w:eastAsia="Arial" w:hAnsi="Arial"/>
          <w:sz w:val="18"/>
          <w:szCs w:val="18"/>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73" w:lineRule="exact"/>
        <w:rPr>
          <w:sz w:val="20"/>
          <w:szCs w:val="20"/>
          <w:color w:val="auto"/>
        </w:rPr>
      </w:pPr>
    </w:p>
    <w:p>
      <w:pPr>
        <w:ind w:firstLine="878"/>
        <w:spacing w:after="0" w:line="331" w:lineRule="auto"/>
        <w:rPr>
          <w:sz w:val="20"/>
          <w:szCs w:val="20"/>
          <w:color w:val="auto"/>
        </w:rPr>
      </w:pPr>
      <w:r>
        <w:rPr>
          <w:rFonts w:ascii="Arial" w:cs="Arial" w:eastAsia="Arial" w:hAnsi="Arial"/>
          <w:sz w:val="14"/>
          <w:szCs w:val="14"/>
          <w:b w:val="1"/>
          <w:bCs w:val="1"/>
          <w:color w:val="auto"/>
        </w:rPr>
        <w:t xml:space="preserve">Initial Public Offering: </w:t>
      </w:r>
      <w:r>
        <w:rPr>
          <w:rFonts w:ascii="Arial" w:cs="Arial" w:eastAsia="Arial" w:hAnsi="Arial"/>
          <w:sz w:val="14"/>
          <w:szCs w:val="14"/>
          <w:color w:val="auto"/>
        </w:rPr>
        <w:t>On July 13, 2020, the Company's Registration Statement on Form S-1 relating to the initial public offering ("IPO") of its</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authorized to issue,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w:t>
      </w:r>
    </w:p>
    <w:p>
      <w:pPr>
        <w:spacing w:after="0" w:line="144" w:lineRule="exact"/>
        <w:rPr>
          <w:sz w:val="20"/>
          <w:szCs w:val="20"/>
          <w:color w:val="auto"/>
        </w:rPr>
      </w:pPr>
    </w:p>
    <w:p>
      <w:pPr>
        <w:ind w:firstLine="878"/>
        <w:spacing w:after="0" w:line="256" w:lineRule="auto"/>
        <w:rPr>
          <w:sz w:val="20"/>
          <w:szCs w:val="20"/>
          <w:color w:val="auto"/>
        </w:rPr>
      </w:pPr>
      <w:r>
        <w:rPr>
          <w:rFonts w:ascii="Arial" w:cs="Arial" w:eastAsia="Arial" w:hAnsi="Arial"/>
          <w:sz w:val="18"/>
          <w:szCs w:val="18"/>
          <w:color w:val="auto"/>
        </w:rPr>
        <w:t>Prior to the IPO, deferred offering costs, which consisted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83" w:lineRule="exact"/>
        <w:rPr>
          <w:sz w:val="20"/>
          <w:szCs w:val="20"/>
          <w:color w:val="auto"/>
        </w:rPr>
      </w:pPr>
    </w:p>
    <w:p>
      <w:pPr>
        <w:ind w:right="20" w:firstLine="878"/>
        <w:spacing w:after="0" w:line="284" w:lineRule="auto"/>
        <w:rPr>
          <w:sz w:val="20"/>
          <w:szCs w:val="20"/>
          <w:color w:val="auto"/>
        </w:rPr>
      </w:pPr>
      <w:r>
        <w:rPr>
          <w:rFonts w:ascii="Arial" w:cs="Arial" w:eastAsia="Arial" w:hAnsi="Arial"/>
          <w:sz w:val="16"/>
          <w:szCs w:val="16"/>
          <w:b w:val="1"/>
          <w:bCs w:val="1"/>
          <w:color w:val="auto"/>
        </w:rPr>
        <w:t xml:space="preserve">Secondary Public Offering: </w:t>
      </w:r>
      <w:r>
        <w:rPr>
          <w:rFonts w:ascii="Arial" w:cs="Arial" w:eastAsia="Arial" w:hAnsi="Arial"/>
          <w:sz w:val="16"/>
          <w:szCs w:val="16"/>
          <w:color w:val="auto"/>
        </w:rPr>
        <w:t>On October 13, 2020, the Company completed an underwritten secondary public offering of 7,712,985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shares issued pursuant to the exercise in full of the underwriters' option to purchase additional shares) (the "Secondary Offering") held by certain stockholders of the Company (the "Selling Stockholders"). The Company did not offer any shares of common stock in the Secondary Offering and did not receive any proceeds from the sale of the shares of common stock by the Selling Stockholders. The Company incurred costs of $1.0 million in relation to the Secondary Offering for the fiscal year ended January 31, 2021 and such costs are recorded as a component of general and administrative expenses on the consolidated statements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8" w:lineRule="exact"/>
        <w:rPr>
          <w:sz w:val="20"/>
          <w:szCs w:val="20"/>
          <w:color w:val="auto"/>
        </w:rPr>
      </w:pPr>
    </w:p>
    <w:p>
      <w:pPr>
        <w:jc w:val="both"/>
        <w:ind w:right="40" w:firstLine="878"/>
        <w:spacing w:after="0" w:line="271"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 accompanying consolidated financial statements have been prepared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generally accepted accounting principles in the United States of 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firstLine="878"/>
        <w:spacing w:after="0" w:line="256"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9" w:lineRule="exact"/>
        <w:rPr>
          <w:sz w:val="20"/>
          <w:szCs w:val="20"/>
          <w:color w:val="auto"/>
        </w:rPr>
      </w:pPr>
    </w:p>
    <w:p>
      <w:pPr>
        <w:ind w:right="360" w:firstLine="878"/>
        <w:spacing w:after="0" w:line="256"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w:t>
      </w:r>
    </w:p>
    <w:p>
      <w:pPr>
        <w:spacing w:after="0" w:line="183" w:lineRule="exact"/>
        <w:rPr>
          <w:sz w:val="20"/>
          <w:szCs w:val="20"/>
          <w:color w:val="auto"/>
        </w:rPr>
      </w:pPr>
    </w:p>
    <w:p>
      <w:pPr>
        <w:ind w:right="40" w:firstLine="878"/>
        <w:spacing w:after="0" w:line="265"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 or</w:t>
      </w:r>
      <w:r>
        <w:rPr>
          <w:rFonts w:ascii="Arial" w:cs="Arial" w:eastAsia="Arial" w:hAnsi="Arial"/>
          <w:sz w:val="17"/>
          <w:szCs w:val="17"/>
          <w:b w:val="1"/>
          <w:bCs w:val="1"/>
          <w:color w:val="auto"/>
        </w:rPr>
        <w:t xml:space="preserve"> </w:t>
      </w:r>
      <w:r>
        <w:rPr>
          <w:rFonts w:ascii="Arial" w:cs="Arial" w:eastAsia="Arial" w:hAnsi="Arial"/>
          <w:sz w:val="17"/>
          <w:szCs w:val="17"/>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Refer to Note 3 for additional information regarding the Company’s variable interest.</w:t>
      </w:r>
    </w:p>
    <w:p>
      <w:pPr>
        <w:spacing w:after="0" w:line="182" w:lineRule="exact"/>
        <w:rPr>
          <w:sz w:val="20"/>
          <w:szCs w:val="20"/>
          <w:color w:val="auto"/>
        </w:rPr>
      </w:pPr>
    </w:p>
    <w:p>
      <w:pPr>
        <w:ind w:right="60" w:firstLine="878"/>
        <w:spacing w:after="0" w:line="288"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Redeemable non-controlling interest relates to minority investors of nCino K.K. An agreement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minority investors of nCino K.K. contains redemption features whereby the interest held by the minority investors are redeemable either at the option of the</w:t>
      </w:r>
    </w:p>
    <w:p>
      <w:pPr>
        <w:spacing w:after="0" w:line="1" w:lineRule="exact"/>
        <w:rPr>
          <w:sz w:val="20"/>
          <w:szCs w:val="20"/>
          <w:color w:val="auto"/>
        </w:rPr>
      </w:pPr>
    </w:p>
    <w:p>
      <w:pPr>
        <w:ind w:right="100" w:firstLine="6"/>
        <w:spacing w:after="0" w:line="264" w:lineRule="auto"/>
        <w:tabs>
          <w:tab w:leader="none" w:pos="2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80"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8" w:lineRule="exact"/>
        <w:rPr>
          <w:sz w:val="20"/>
          <w:szCs w:val="20"/>
          <w:color w:val="auto"/>
        </w:rPr>
      </w:pPr>
    </w:p>
    <w:p>
      <w:pPr>
        <w:ind w:right="280" w:firstLine="878"/>
        <w:spacing w:after="0" w:line="255"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4" w:lineRule="exact"/>
        <w:rPr>
          <w:sz w:val="20"/>
          <w:szCs w:val="20"/>
          <w:color w:val="auto"/>
        </w:rPr>
      </w:pPr>
    </w:p>
    <w:p>
      <w:pPr>
        <w:ind w:right="300" w:firstLine="878"/>
        <w:spacing w:after="0" w:line="273"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and cash equivalents. The Company’s cash and cash</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equivalents exceeded the Federal deposit insurance limit at January 31, 2020 and January 31, 2021. The Company maintains its cash and cash equivalents with high-credit-quality financial institutions.</w:t>
      </w:r>
    </w:p>
    <w:p>
      <w:pPr>
        <w:spacing w:after="0" w:line="179" w:lineRule="exact"/>
        <w:rPr>
          <w:sz w:val="20"/>
          <w:szCs w:val="20"/>
          <w:color w:val="auto"/>
        </w:rPr>
      </w:pPr>
    </w:p>
    <w:p>
      <w:pPr>
        <w:ind w:right="60" w:firstLine="878"/>
        <w:spacing w:after="0" w:line="251" w:lineRule="auto"/>
        <w:rPr>
          <w:sz w:val="20"/>
          <w:szCs w:val="20"/>
          <w:color w:val="auto"/>
        </w:rPr>
      </w:pPr>
      <w:r>
        <w:rPr>
          <w:rFonts w:ascii="Arial" w:cs="Arial" w:eastAsia="Arial" w:hAnsi="Arial"/>
          <w:sz w:val="18"/>
          <w:szCs w:val="18"/>
          <w:color w:val="auto"/>
        </w:rPr>
        <w:t>As of January 31, 2020, two customers represented 22% of accounts receivable, 11% of which was from a customer who is an equity holder. In the quarter ended July 31, 2020, the equity holder ceased to qualify as a related party of the Company and the amounts disclosed related to such equity holder are accordingly presented as a related party through April 30, 2020, only. As of January 31, 2021, no individual customer represented more than 10% of accounts receivable. For the fiscal years ended January 31, 2020 and 2021, no individual customer represented more than 10% of the Company’s total revenues.</w:t>
      </w:r>
    </w:p>
    <w:p>
      <w:pPr>
        <w:spacing w:after="0" w:line="188" w:lineRule="exact"/>
        <w:rPr>
          <w:sz w:val="20"/>
          <w:szCs w:val="20"/>
          <w:color w:val="auto"/>
        </w:rPr>
      </w:pPr>
    </w:p>
    <w:p>
      <w:pPr>
        <w:ind w:right="120" w:firstLine="878"/>
        <w:spacing w:after="0" w:line="28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derives revenues primarily from subscription services and professional services. Revenues are recognized</w:t>
      </w:r>
      <w:r>
        <w:rPr>
          <w:rFonts w:ascii="Arial" w:cs="Arial" w:eastAsia="Arial" w:hAnsi="Arial"/>
          <w:sz w:val="16"/>
          <w:szCs w:val="16"/>
          <w:b w:val="1"/>
          <w:bCs w:val="1"/>
          <w:color w:val="auto"/>
        </w:rPr>
        <w:t xml:space="preserve"> </w:t>
      </w:r>
      <w:r>
        <w:rPr>
          <w:rFonts w:ascii="Arial" w:cs="Arial" w:eastAsia="Arial" w:hAnsi="Arial"/>
          <w:sz w:val="16"/>
          <w:szCs w:val="16"/>
          <w:color w:val="auto"/>
        </w:rPr>
        <w:t>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18" w:lineRule="exact"/>
        <w:rPr>
          <w:sz w:val="20"/>
          <w:szCs w:val="20"/>
          <w:color w:val="auto"/>
        </w:rPr>
      </w:pPr>
    </w:p>
    <w:p>
      <w:pPr>
        <w:ind w:left="1280" w:hanging="316"/>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Subscription Revenues</w:t>
      </w:r>
    </w:p>
    <w:p>
      <w:pPr>
        <w:spacing w:after="0" w:line="218" w:lineRule="exact"/>
        <w:rPr>
          <w:sz w:val="20"/>
          <w:szCs w:val="20"/>
          <w:color w:val="auto"/>
        </w:rPr>
      </w:pPr>
    </w:p>
    <w:p>
      <w:pPr>
        <w:ind w:firstLine="878"/>
        <w:spacing w:after="0" w:line="249" w:lineRule="auto"/>
        <w:rPr>
          <w:sz w:val="20"/>
          <w:szCs w:val="20"/>
          <w:color w:val="auto"/>
        </w:rPr>
      </w:pPr>
      <w:r>
        <w:rPr>
          <w:rFonts w:ascii="Arial" w:cs="Arial" w:eastAsia="Arial" w:hAnsi="Arial"/>
          <w:sz w:val="18"/>
          <w:szCs w:val="18"/>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Professional Services Revenues</w:t>
      </w:r>
    </w:p>
    <w:p>
      <w:pPr>
        <w:spacing w:after="0" w:line="218" w:lineRule="exact"/>
        <w:rPr>
          <w:sz w:val="20"/>
          <w:szCs w:val="20"/>
          <w:color w:val="auto"/>
        </w:rPr>
      </w:pPr>
    </w:p>
    <w:p>
      <w:pPr>
        <w:ind w:right="180" w:firstLine="878"/>
        <w:spacing w:after="0" w:line="253"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8" w:lineRule="exact"/>
        <w:rPr>
          <w:sz w:val="20"/>
          <w:szCs w:val="20"/>
          <w:color w:val="auto"/>
        </w:rPr>
      </w:pPr>
    </w:p>
    <w:p>
      <w:pPr>
        <w:ind w:right="80" w:firstLine="878"/>
        <w:spacing w:after="0" w:line="287"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9" w:lineRule="exact"/>
        <w:rPr>
          <w:sz w:val="20"/>
          <w:szCs w:val="20"/>
          <w:color w:val="auto"/>
        </w:rPr>
      </w:pPr>
    </w:p>
    <w:p>
      <w:pPr>
        <w:jc w:val="both"/>
        <w:ind w:right="140" w:firstLine="878"/>
        <w:spacing w:after="0" w:line="256"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218" w:lineRule="exact"/>
        <w:rPr>
          <w:sz w:val="20"/>
          <w:szCs w:val="20"/>
          <w:color w:val="auto"/>
        </w:rPr>
      </w:pPr>
    </w:p>
    <w:p>
      <w:pPr>
        <w:ind w:right="180" w:firstLine="878"/>
        <w:spacing w:after="0" w:line="348" w:lineRule="auto"/>
        <w:rPr>
          <w:sz w:val="20"/>
          <w:szCs w:val="20"/>
          <w:color w:val="auto"/>
        </w:rPr>
      </w:pPr>
      <w:r>
        <w:rPr>
          <w:rFonts w:ascii="Arial" w:cs="Arial" w:eastAsia="Arial" w:hAnsi="Arial"/>
          <w:sz w:val="14"/>
          <w:szCs w:val="14"/>
          <w:color w:val="auto"/>
        </w:rPr>
        <w:t>As part of its adoption of ASU 2014-09, the Company capitalizes incremental costs of obtaining a non-cancelable subscription and support revenue contract if the Company expects the benefit of those costs to be longer than one year.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30" w:lineRule="exact"/>
        <w:rPr>
          <w:sz w:val="20"/>
          <w:szCs w:val="20"/>
          <w:color w:val="auto"/>
        </w:rPr>
      </w:pPr>
    </w:p>
    <w:p>
      <w:pPr>
        <w:ind w:right="60" w:firstLine="878"/>
        <w:spacing w:after="0" w:line="265" w:lineRule="auto"/>
        <w:rPr>
          <w:sz w:val="20"/>
          <w:szCs w:val="20"/>
          <w:color w:val="auto"/>
        </w:rPr>
      </w:pPr>
      <w:r>
        <w:rPr>
          <w:rFonts w:ascii="Arial" w:cs="Arial" w:eastAsia="Arial" w:hAnsi="Arial"/>
          <w:sz w:val="17"/>
          <w:szCs w:val="17"/>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sales and marketing expense in the accompanying consolidated statements of operations.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Judgments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Contracts with customers may include multiple services requiring allocation of the transaction price across the different performance obligations.</w:t>
      </w:r>
    </w:p>
    <w:p>
      <w:pPr>
        <w:spacing w:after="0" w:line="241" w:lineRule="exact"/>
        <w:rPr>
          <w:sz w:val="20"/>
          <w:szCs w:val="20"/>
          <w:color w:val="auto"/>
        </w:rPr>
      </w:pPr>
    </w:p>
    <w:p>
      <w:pPr>
        <w:ind w:right="120" w:firstLine="878"/>
        <w:spacing w:after="0" w:line="272" w:lineRule="auto"/>
        <w:rPr>
          <w:sz w:val="20"/>
          <w:szCs w:val="20"/>
          <w:color w:val="auto"/>
        </w:rPr>
      </w:pPr>
      <w:r>
        <w:rPr>
          <w:rFonts w:ascii="Arial" w:cs="Arial" w:eastAsia="Arial" w:hAnsi="Arial"/>
          <w:sz w:val="17"/>
          <w:szCs w:val="17"/>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78"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Capitalized costs to obtain a contract are amortized over the expected period of benefit, which the Company has determined, based on analysis, to be approximately four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878"/>
        <w:spacing w:after="0" w:line="253" w:lineRule="auto"/>
        <w:rPr>
          <w:sz w:val="20"/>
          <w:szCs w:val="20"/>
          <w:color w:val="auto"/>
        </w:rPr>
      </w:pPr>
      <w:r>
        <w:rPr>
          <w:rFonts w:ascii="Arial" w:cs="Arial" w:eastAsia="Arial" w:hAnsi="Arial"/>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2021.</w:t>
      </w:r>
    </w:p>
    <w:p>
      <w:pPr>
        <w:spacing w:after="0" w:line="191"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 to these consolidated financial statements.</w:t>
      </w:r>
    </w:p>
    <w:p>
      <w:pPr>
        <w:spacing w:after="0" w:line="161" w:lineRule="exact"/>
        <w:rPr>
          <w:sz w:val="20"/>
          <w:szCs w:val="20"/>
          <w:color w:val="auto"/>
        </w:rPr>
      </w:pPr>
    </w:p>
    <w:p>
      <w:pPr>
        <w:ind w:right="260" w:firstLine="878"/>
        <w:spacing w:after="0" w:line="287"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 subscription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 12-month period are recorded as deferred revenue, current portion, and the remaining portion is recorded as deferred revenue, net of current portion on the consolidated balance sheets.</w:t>
      </w:r>
    </w:p>
    <w:p>
      <w:pPr>
        <w:spacing w:after="0" w:line="168" w:lineRule="exact"/>
        <w:rPr>
          <w:sz w:val="20"/>
          <w:szCs w:val="20"/>
          <w:color w:val="auto"/>
        </w:rPr>
      </w:pPr>
    </w:p>
    <w:p>
      <w:pPr>
        <w:ind w:right="60" w:firstLine="878"/>
        <w:spacing w:after="0" w:line="269"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5" w:lineRule="exact"/>
        <w:rPr>
          <w:sz w:val="20"/>
          <w:szCs w:val="20"/>
          <w:color w:val="auto"/>
        </w:rPr>
      </w:pPr>
    </w:p>
    <w:p>
      <w:pPr>
        <w:ind w:right="140" w:firstLine="878"/>
        <w:spacing w:after="0" w:line="273"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date of purchase to be cash equivalents. Cash equivalents are stated at fair value.</w:t>
      </w:r>
    </w:p>
    <w:p>
      <w:pPr>
        <w:spacing w:after="0" w:line="167" w:lineRule="exact"/>
        <w:rPr>
          <w:sz w:val="20"/>
          <w:szCs w:val="20"/>
          <w:color w:val="auto"/>
        </w:rPr>
      </w:pPr>
    </w:p>
    <w:p>
      <w:pPr>
        <w:ind w:right="20" w:firstLine="878"/>
        <w:spacing w:after="0" w:line="284"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 that</w:t>
      </w:r>
      <w:r>
        <w:rPr>
          <w:rFonts w:ascii="Arial" w:cs="Arial" w:eastAsia="Arial" w:hAnsi="Arial"/>
          <w:sz w:val="16"/>
          <w:szCs w:val="16"/>
          <w:b w:val="1"/>
          <w:bCs w:val="1"/>
          <w:color w:val="auto"/>
        </w:rPr>
        <w:t xml:space="preserve"> </w:t>
      </w:r>
      <w:r>
        <w:rPr>
          <w:rFonts w:ascii="Arial" w:cs="Arial" w:eastAsia="Arial" w:hAnsi="Arial"/>
          <w:sz w:val="16"/>
          <w:szCs w:val="16"/>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4" w:lineRule="exact"/>
        <w:rPr>
          <w:sz w:val="20"/>
          <w:szCs w:val="20"/>
          <w:color w:val="auto"/>
        </w:rPr>
      </w:pPr>
    </w:p>
    <w:p>
      <w:pPr>
        <w:ind w:right="460" w:firstLine="878"/>
        <w:spacing w:after="0" w:line="266"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uncollectible accounts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220" w:firstLine="878"/>
        <w:spacing w:after="0" w:line="259"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 straight-line method over the estimated useful lives of the assets and commences once the asset is placed in service or is ready for its intended use. The estimated useful lives by asset classification are generally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Classification</w:t>
            </w:r>
          </w:p>
        </w:tc>
        <w:tc>
          <w:tcPr>
            <w:tcW w:w="80" w:type="dxa"/>
            <w:vAlign w:val="bottom"/>
            <w:tcBorders>
              <w:bottom w:val="single" w:sz="8" w:color="CCEEFF"/>
            </w:tcBorders>
          </w:tcPr>
          <w:p>
            <w:pPr>
              <w:spacing w:after="0"/>
              <w:rPr>
                <w:sz w:val="16"/>
                <w:szCs w:val="16"/>
                <w:color w:val="auto"/>
              </w:rPr>
            </w:pPr>
          </w:p>
        </w:tc>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25"/>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 years</w:t>
            </w:r>
          </w:p>
        </w:tc>
      </w:tr>
      <w:tr>
        <w:trPr>
          <w:trHeight w:val="225"/>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Computers and equipment</w:t>
            </w:r>
          </w:p>
        </w:tc>
        <w:tc>
          <w:tcPr>
            <w:tcW w:w="7940" w:type="dxa"/>
            <w:vAlign w:val="bottom"/>
          </w:tcPr>
          <w:p>
            <w:pPr>
              <w:ind w:left="20"/>
              <w:spacing w:after="0"/>
              <w:rPr>
                <w:sz w:val="20"/>
                <w:szCs w:val="20"/>
                <w:color w:val="auto"/>
              </w:rPr>
            </w:pPr>
            <w:r>
              <w:rPr>
                <w:rFonts w:ascii="Arial" w:cs="Arial" w:eastAsia="Arial" w:hAnsi="Arial"/>
                <w:sz w:val="18"/>
                <w:szCs w:val="18"/>
                <w:color w:val="auto"/>
              </w:rPr>
              <w:t>3 years</w:t>
            </w:r>
          </w:p>
        </w:tc>
      </w:tr>
      <w:tr>
        <w:trPr>
          <w:trHeight w:val="227"/>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 years</w:t>
            </w:r>
          </w:p>
        </w:tc>
      </w:tr>
      <w:tr>
        <w:trPr>
          <w:trHeight w:val="225"/>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7940" w:type="dxa"/>
            <w:vAlign w:val="bottom"/>
          </w:tcPr>
          <w:p>
            <w:pPr>
              <w:ind w:left="20"/>
              <w:spacing w:after="0"/>
              <w:rPr>
                <w:sz w:val="20"/>
                <w:szCs w:val="20"/>
                <w:color w:val="auto"/>
              </w:rPr>
            </w:pPr>
            <w:r>
              <w:rPr>
                <w:rFonts w:ascii="Arial" w:cs="Arial" w:eastAsia="Arial" w:hAnsi="Arial"/>
                <w:sz w:val="18"/>
                <w:szCs w:val="18"/>
                <w:color w:val="auto"/>
              </w:rPr>
              <w:t>Shorter of remaining life of the lease term or estimated useful life</w:t>
            </w:r>
          </w:p>
        </w:tc>
      </w:tr>
    </w:tbl>
    <w:p>
      <w:pPr>
        <w:spacing w:after="0" w:line="202" w:lineRule="exact"/>
        <w:rPr>
          <w:sz w:val="20"/>
          <w:szCs w:val="20"/>
          <w:color w:val="auto"/>
        </w:rPr>
      </w:pPr>
    </w:p>
    <w:p>
      <w:pPr>
        <w:ind w:right="560" w:firstLine="878"/>
        <w:spacing w:after="0" w:line="266"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73" w:lineRule="exact"/>
        <w:rPr>
          <w:sz w:val="20"/>
          <w:szCs w:val="20"/>
          <w:color w:val="auto"/>
        </w:rPr>
      </w:pPr>
    </w:p>
    <w:p>
      <w:pPr>
        <w:ind w:right="160" w:firstLine="878"/>
        <w:spacing w:after="0" w:line="273" w:lineRule="auto"/>
        <w:rPr>
          <w:sz w:val="20"/>
          <w:szCs w:val="20"/>
          <w:color w:val="auto"/>
        </w:rPr>
      </w:pPr>
      <w:r>
        <w:rPr>
          <w:rFonts w:ascii="Arial" w:cs="Arial" w:eastAsia="Arial" w:hAnsi="Arial"/>
          <w:sz w:val="18"/>
          <w:szCs w:val="18"/>
          <w:b w:val="1"/>
          <w:bCs w:val="1"/>
          <w:color w:val="auto"/>
        </w:rPr>
        <w:t xml:space="preserve">Financing Obligations: </w:t>
      </w:r>
      <w:r>
        <w:rPr>
          <w:rFonts w:ascii="Arial" w:cs="Arial" w:eastAsia="Arial" w:hAnsi="Arial"/>
          <w:sz w:val="18"/>
          <w:szCs w:val="18"/>
          <w:color w:val="auto"/>
        </w:rPr>
        <w:t>The Company records assets and liabilities for lease arrangements where the Company has continued involvement due</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options and is deemed to be the owner for accounting purposes.</w:t>
      </w:r>
    </w:p>
    <w:p>
      <w:pPr>
        <w:spacing w:after="0" w:line="167" w:lineRule="exact"/>
        <w:rPr>
          <w:sz w:val="20"/>
          <w:szCs w:val="20"/>
          <w:color w:val="auto"/>
        </w:rPr>
      </w:pPr>
    </w:p>
    <w:p>
      <w:pPr>
        <w:ind w:right="40" w:firstLine="878"/>
        <w:spacing w:after="0" w:line="251"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 Costs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2019, 2020 or 2021 and there were no unamortized capitalized software costs as of January 31, 2020 and 2021.</w:t>
      </w:r>
    </w:p>
    <w:p>
      <w:pPr>
        <w:spacing w:after="0" w:line="190" w:lineRule="exact"/>
        <w:rPr>
          <w:sz w:val="20"/>
          <w:szCs w:val="20"/>
          <w:color w:val="auto"/>
        </w:rPr>
      </w:pPr>
    </w:p>
    <w:p>
      <w:pPr>
        <w:ind w:right="40" w:firstLine="878"/>
        <w:spacing w:after="0" w:line="337"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Intangible assets are amortized over their estimated useful lives. Each period, the Company evaluates the estimated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life of its intangible assets and whether events or changes in circumstances warrant a revision to the remaining period of amortization.</w:t>
      </w:r>
    </w:p>
    <w:p>
      <w:pPr>
        <w:spacing w:after="0" w:line="122" w:lineRule="exact"/>
        <w:rPr>
          <w:sz w:val="20"/>
          <w:szCs w:val="20"/>
          <w:color w:val="auto"/>
        </w:rPr>
      </w:pPr>
    </w:p>
    <w:p>
      <w:pPr>
        <w:ind w:right="20" w:firstLine="878"/>
        <w:spacing w:after="0" w:line="289" w:lineRule="auto"/>
        <w:rPr>
          <w:sz w:val="20"/>
          <w:szCs w:val="20"/>
          <w:color w:val="auto"/>
        </w:rPr>
      </w:pPr>
      <w:r>
        <w:rPr>
          <w:rFonts w:ascii="Arial" w:cs="Arial" w:eastAsia="Arial" w:hAnsi="Arial"/>
          <w:sz w:val="16"/>
          <w:szCs w:val="16"/>
          <w:b w:val="1"/>
          <w:bCs w:val="1"/>
          <w:color w:val="auto"/>
        </w:rPr>
        <w:t xml:space="preserve">Impairment Assessment: </w:t>
      </w:r>
      <w:r>
        <w:rPr>
          <w:rFonts w:ascii="Arial" w:cs="Arial" w:eastAsia="Arial" w:hAnsi="Arial"/>
          <w:sz w:val="16"/>
          <w:szCs w:val="16"/>
          <w:color w:val="auto"/>
        </w:rPr>
        <w:t>The Company evaluates intangible assets and long-lived assets for possible impairment whenever events or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2019, 2020, and 2021.</w:t>
      </w:r>
    </w:p>
    <w:p>
      <w:pPr>
        <w:spacing w:after="0" w:line="160" w:lineRule="exact"/>
        <w:rPr>
          <w:sz w:val="20"/>
          <w:szCs w:val="20"/>
          <w:color w:val="auto"/>
        </w:rPr>
      </w:pPr>
    </w:p>
    <w:p>
      <w:pPr>
        <w:ind w:right="120" w:firstLine="878"/>
        <w:spacing w:after="0" w:line="331" w:lineRule="auto"/>
        <w:rPr>
          <w:sz w:val="20"/>
          <w:szCs w:val="20"/>
          <w:color w:val="auto"/>
        </w:rPr>
      </w:pPr>
      <w:r>
        <w:rPr>
          <w:rFonts w:ascii="Arial" w:cs="Arial" w:eastAsia="Arial" w:hAnsi="Arial"/>
          <w:sz w:val="14"/>
          <w:szCs w:val="14"/>
          <w:b w:val="1"/>
          <w:bCs w:val="1"/>
          <w:color w:val="auto"/>
        </w:rPr>
        <w:t xml:space="preserve">Goodwill: </w:t>
      </w:r>
      <w:r>
        <w:rPr>
          <w:rFonts w:ascii="Arial" w:cs="Arial" w:eastAsia="Arial" w:hAnsi="Arial"/>
          <w:sz w:val="14"/>
          <w:szCs w:val="14"/>
          <w:color w:val="auto"/>
        </w:rPr>
        <w:t>Goodwill represents the excess of the purchase price in a business combination over the fair value of net assets acquired. Goodwill is</w:t>
      </w:r>
      <w:r>
        <w:rPr>
          <w:rFonts w:ascii="Arial" w:cs="Arial" w:eastAsia="Arial" w:hAnsi="Arial"/>
          <w:sz w:val="14"/>
          <w:szCs w:val="14"/>
          <w:b w:val="1"/>
          <w:bCs w:val="1"/>
          <w:color w:val="auto"/>
        </w:rPr>
        <w:t xml:space="preserve"> </w:t>
      </w:r>
      <w:r>
        <w:rPr>
          <w:rFonts w:ascii="Arial" w:cs="Arial" w:eastAsia="Arial" w:hAnsi="Arial"/>
          <w:sz w:val="14"/>
          <w:szCs w:val="14"/>
          <w:color w:val="auto"/>
        </w:rPr>
        <w:t>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fiscal year ended January 31, 2020, the Company elected to early adopt ASU 2017-04, “Simplifying the Test for Goodwill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Impairment” for its annual goodwill impairment test. ASU 2017-04 removes Step 2 of the goodwill impairment test requiring a hypothetical purchase price allocation. To perform our impairment testing, we first assess qualitative factors to determine whether it is more likely than not that the fair value of our single reporting unit is less than its carrying amount. The qualitative factors we consider include, but are not limited to, macroeconomic conditions, industry and market conditions, company-specific events, changes in circumstances and after-tax cash flows. If the qualitative factors indicate that the fair value of the reporting unit is greater than the carrying value of the net assets assigned to the reporting unit, then we do not consider the assigned goodwill to be impaired. We are only required to perform the two-step impairment test if the qualitative factors indicate that it is more likely than not that the fair value of the reporting unit is less than its carrying amount. We may elect to perform the two-step impairment test without considering such qualitative factors.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fiscal years ended January 31, 2019, 2020, and 2021.</w:t>
      </w:r>
    </w:p>
    <w:p>
      <w:pPr>
        <w:spacing w:after="0" w:line="187"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3" w:lineRule="exact"/>
        <w:rPr>
          <w:sz w:val="20"/>
          <w:szCs w:val="20"/>
          <w:color w:val="auto"/>
        </w:rPr>
      </w:pPr>
    </w:p>
    <w:p>
      <w:pPr>
        <w:ind w:right="40" w:firstLine="878"/>
        <w:spacing w:after="0" w:line="267"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Several valuation methods may be used to determine the fair value of assets acquired and liabilities assumed.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w:t>
      </w:r>
    </w:p>
    <w:p>
      <w:pPr>
        <w:spacing w:after="0" w:line="181"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color w:val="auto"/>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81" w:lineRule="exact"/>
        <w:rPr>
          <w:sz w:val="20"/>
          <w:szCs w:val="20"/>
          <w:color w:val="auto"/>
        </w:rPr>
      </w:pPr>
    </w:p>
    <w:p>
      <w:pPr>
        <w:ind w:right="20" w:firstLine="878"/>
        <w:spacing w:after="0" w:line="290" w:lineRule="auto"/>
        <w:rPr>
          <w:sz w:val="20"/>
          <w:szCs w:val="20"/>
          <w:color w:val="auto"/>
        </w:rPr>
      </w:pPr>
      <w:r>
        <w:rPr>
          <w:rFonts w:ascii="Arial" w:cs="Arial" w:eastAsia="Arial" w:hAnsi="Arial"/>
          <w:sz w:val="16"/>
          <w:szCs w:val="16"/>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59"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b w:val="1"/>
          <w:bCs w:val="1"/>
          <w:color w:val="auto"/>
        </w:rPr>
        <w:t xml:space="preserve">Deferred Rent: </w:t>
      </w:r>
      <w:r>
        <w:rPr>
          <w:rFonts w:ascii="Arial" w:cs="Arial" w:eastAsia="Arial" w:hAnsi="Arial"/>
          <w:sz w:val="18"/>
          <w:szCs w:val="18"/>
          <w:color w:val="auto"/>
        </w:rPr>
        <w:t>Operating leases rent expense is recognized on a straight-line basis over the terms of the leases and the difference between cash</w:t>
      </w:r>
      <w:r>
        <w:rPr>
          <w:rFonts w:ascii="Arial" w:cs="Arial" w:eastAsia="Arial" w:hAnsi="Arial"/>
          <w:sz w:val="18"/>
          <w:szCs w:val="18"/>
          <w:b w:val="1"/>
          <w:bCs w:val="1"/>
          <w:color w:val="auto"/>
        </w:rPr>
        <w:t xml:space="preserve"> </w:t>
      </w:r>
      <w:r>
        <w:rPr>
          <w:rFonts w:ascii="Arial" w:cs="Arial" w:eastAsia="Arial" w:hAnsi="Arial"/>
          <w:sz w:val="18"/>
          <w:szCs w:val="18"/>
          <w:color w:val="auto"/>
        </w:rPr>
        <w:t>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recognizes lease costs on a straight-line basis once control of the space is achieved, without regard to deferred payments such as rent holidays that defer the commencement date of required payments.</w:t>
      </w:r>
    </w:p>
    <w:p>
      <w:pPr>
        <w:spacing w:after="0" w:line="173" w:lineRule="exact"/>
        <w:rPr>
          <w:sz w:val="20"/>
          <w:szCs w:val="20"/>
          <w:color w:val="auto"/>
        </w:rPr>
      </w:pPr>
    </w:p>
    <w:p>
      <w:pPr>
        <w:ind w:right="40" w:firstLine="878"/>
        <w:spacing w:after="0" w:line="269"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consists of costs related to hosting the Company’s software solution and 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5" w:lineRule="exact"/>
        <w:rPr>
          <w:sz w:val="20"/>
          <w:szCs w:val="20"/>
          <w:color w:val="auto"/>
        </w:rPr>
      </w:pPr>
    </w:p>
    <w:p>
      <w:pPr>
        <w:jc w:val="both"/>
        <w:ind w:right="220" w:firstLine="878"/>
        <w:spacing w:after="0" w:line="282"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 conference</w:t>
      </w:r>
      <w:r>
        <w:rPr>
          <w:rFonts w:ascii="Arial" w:cs="Arial" w:eastAsia="Arial" w:hAnsi="Arial"/>
          <w:sz w:val="17"/>
          <w:szCs w:val="17"/>
          <w:b w:val="1"/>
          <w:bCs w:val="1"/>
          <w:color w:val="auto"/>
        </w:rPr>
        <w:t xml:space="preserve"> </w:t>
      </w:r>
      <w:r>
        <w:rPr>
          <w:rFonts w:ascii="Arial" w:cs="Arial" w:eastAsia="Arial" w:hAnsi="Arial"/>
          <w:sz w:val="17"/>
          <w:szCs w:val="17"/>
          <w:color w:val="auto"/>
        </w:rPr>
        <w:t>and event expenses. Advertising expenses are recorded in sales and marketing expenses in the consolidated statements of operations and were $1.8 million, $3.7 million, and $3.1 million for the fiscal years ended January 31, 2019, 2020, and 2021, respectively.</w:t>
      </w:r>
    </w:p>
    <w:p>
      <w:pPr>
        <w:spacing w:after="0" w:line="162" w:lineRule="exact"/>
        <w:rPr>
          <w:sz w:val="20"/>
          <w:szCs w:val="20"/>
          <w:color w:val="auto"/>
        </w:rPr>
      </w:pPr>
    </w:p>
    <w:p>
      <w:pPr>
        <w:ind w:right="120" w:firstLine="878"/>
        <w:spacing w:after="0" w:line="342"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Deferred income taxes are determined using the asset and liability method, whereby deferred tax assets are recognized for</w:t>
      </w:r>
      <w:r>
        <w:rPr>
          <w:rFonts w:ascii="Arial" w:cs="Arial" w:eastAsia="Arial" w:hAnsi="Arial"/>
          <w:sz w:val="14"/>
          <w:szCs w:val="14"/>
          <w:b w:val="1"/>
          <w:bCs w:val="1"/>
          <w:color w:val="auto"/>
        </w:rPr>
        <w:t xml:space="preserve"> </w:t>
      </w:r>
      <w:r>
        <w:rPr>
          <w:rFonts w:ascii="Arial" w:cs="Arial" w:eastAsia="Arial" w:hAnsi="Arial"/>
          <w:sz w:val="14"/>
          <w:szCs w:val="14"/>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 on the date of enactment within income tax expense. The Company reflects the expected amount of income taxes to be paid or refunded during the year as current income tax expense or benefit, as applicable.</w:t>
      </w:r>
    </w:p>
    <w:p>
      <w:pPr>
        <w:spacing w:after="0" w:line="135" w:lineRule="exact"/>
        <w:rPr>
          <w:sz w:val="20"/>
          <w:szCs w:val="20"/>
          <w:color w:val="auto"/>
        </w:rPr>
      </w:pPr>
    </w:p>
    <w:p>
      <w:pPr>
        <w:ind w:right="120" w:firstLine="878"/>
        <w:spacing w:after="0" w:line="266"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9" w:lineRule="exact"/>
        <w:rPr>
          <w:sz w:val="20"/>
          <w:szCs w:val="20"/>
          <w:color w:val="auto"/>
        </w:rPr>
      </w:pPr>
    </w:p>
    <w:p>
      <w:pPr>
        <w:ind w:right="20" w:firstLine="878"/>
        <w:spacing w:after="0" w:line="287" w:lineRule="auto"/>
        <w:rPr>
          <w:sz w:val="20"/>
          <w:szCs w:val="20"/>
          <w:color w:val="auto"/>
        </w:rPr>
      </w:pPr>
      <w:r>
        <w:rPr>
          <w:rFonts w:ascii="Arial" w:cs="Arial" w:eastAsia="Arial" w:hAnsi="Arial"/>
          <w:sz w:val="16"/>
          <w:szCs w:val="16"/>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12" w:lineRule="exact"/>
        <w:rPr>
          <w:sz w:val="20"/>
          <w:szCs w:val="20"/>
          <w:color w:val="auto"/>
        </w:rPr>
      </w:pPr>
    </w:p>
    <w:p>
      <w:pPr>
        <w:ind w:right="60" w:firstLine="878"/>
        <w:spacing w:after="0" w:line="273"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unrealized gains and losses on foreign currency translation adjustments.</w:t>
      </w:r>
    </w:p>
    <w:p>
      <w:pPr>
        <w:spacing w:after="0" w:line="167" w:lineRule="exact"/>
        <w:rPr>
          <w:sz w:val="20"/>
          <w:szCs w:val="20"/>
          <w:color w:val="auto"/>
        </w:rPr>
      </w:pPr>
    </w:p>
    <w:p>
      <w:pPr>
        <w:ind w:right="140" w:firstLine="878"/>
        <w:spacing w:after="0" w:line="268" w:lineRule="auto"/>
        <w:rPr>
          <w:sz w:val="20"/>
          <w:szCs w:val="20"/>
          <w:color w:val="auto"/>
        </w:rPr>
      </w:pPr>
      <w:r>
        <w:rPr>
          <w:rFonts w:ascii="Arial" w:cs="Arial" w:eastAsia="Arial" w:hAnsi="Arial"/>
          <w:sz w:val="17"/>
          <w:szCs w:val="17"/>
          <w:b w:val="1"/>
          <w:bCs w:val="1"/>
          <w:color w:val="auto"/>
        </w:rPr>
        <w:t xml:space="preserve">Foreign Currency Exchange: </w:t>
      </w:r>
      <w:r>
        <w:rPr>
          <w:rFonts w:ascii="Arial" w:cs="Arial" w:eastAsia="Arial" w:hAnsi="Arial"/>
          <w:sz w:val="17"/>
          <w:szCs w:val="17"/>
          <w:color w:val="auto"/>
        </w:rPr>
        <w:t>The functional currency of the Company’s foreign subsidiaries is generally the local currency.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$0.1 million, $0.04 million, and $1.5 million for the fiscal years ended January 31, 2019, 2020, and 2021,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74"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equity-based compensation in accordance with ASC 718, Compensation – Stock Compensation. The Company establishes fair value as the measurement objective in accounting for share-based payment transactions with employees and recognizes expense on a straight-line basis over the applicable vesting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20" w:firstLine="878"/>
        <w:spacing w:after="0" w:line="273"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73" w:lineRule="exact"/>
        <w:rPr>
          <w:sz w:val="20"/>
          <w:szCs w:val="20"/>
          <w:color w:val="auto"/>
        </w:rPr>
      </w:pPr>
    </w:p>
    <w:p>
      <w:pPr>
        <w:jc w:val="both"/>
        <w:ind w:right="160" w:firstLine="878"/>
        <w:spacing w:after="0" w:line="278" w:lineRule="auto"/>
        <w:rPr>
          <w:sz w:val="20"/>
          <w:szCs w:val="20"/>
          <w:color w:val="auto"/>
        </w:rPr>
      </w:pPr>
      <w:r>
        <w:rPr>
          <w:rFonts w:ascii="Arial" w:cs="Arial" w:eastAsia="Arial" w:hAnsi="Arial"/>
          <w:sz w:val="17"/>
          <w:szCs w:val="17"/>
          <w:color w:val="auto"/>
        </w:rPr>
        <w:t>Diluted loss per share is calculated by giving effect to all potentially dilutive common stock, which is comprised of stock options and restricted stock units, when determining the weighted-average number of common shares outstanding. For purposes of the diluted loss per share calculation, basic and diluted loss per share were the same, as the effect of all potentially dilutive securities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24" w:lineRule="exact"/>
        <w:rPr>
          <w:sz w:val="20"/>
          <w:szCs w:val="20"/>
          <w:color w:val="auto"/>
        </w:rPr>
      </w:pPr>
    </w:p>
    <w:p>
      <w:pPr>
        <w:ind w:right="100" w:firstLine="878"/>
        <w:spacing w:after="0" w:line="249"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Disclosure Framework – Changes to the Disclosure Requirements for Fair Value Measurement, </w:t>
      </w:r>
      <w:r>
        <w:rPr>
          <w:rFonts w:ascii="Arial" w:cs="Arial" w:eastAsia="Arial" w:hAnsi="Arial"/>
          <w:sz w:val="18"/>
          <w:szCs w:val="18"/>
          <w:color w:val="auto"/>
        </w:rPr>
        <w:t>which eliminates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consolidated financial statements.</w:t>
      </w:r>
    </w:p>
    <w:p>
      <w:pPr>
        <w:spacing w:after="0" w:line="199" w:lineRule="exact"/>
        <w:rPr>
          <w:sz w:val="20"/>
          <w:szCs w:val="20"/>
          <w:color w:val="auto"/>
        </w:rPr>
      </w:pPr>
    </w:p>
    <w:p>
      <w:pPr>
        <w:ind w:right="40" w:firstLine="878"/>
        <w:spacing w:after="0" w:line="267"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consolidated financial statements.</w:t>
      </w:r>
    </w:p>
    <w:p>
      <w:pPr>
        <w:spacing w:after="0" w:line="180" w:lineRule="exact"/>
        <w:rPr>
          <w:sz w:val="20"/>
          <w:szCs w:val="20"/>
          <w:color w:val="auto"/>
        </w:rPr>
      </w:pPr>
    </w:p>
    <w:p>
      <w:pPr>
        <w:ind w:firstLine="878"/>
        <w:spacing w:after="0" w:line="267"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Consolidation (Topic 810), Targeted Improvements to Related Party Guidance for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which addresses the cost and complexity of financial reporting associated with consolidation of 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consolidated financial statements or related disclosures upon adoption because the Company did not, and currently does not, have any indirect interests through related parties under common control for which it receives decision-making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4" w:lineRule="exact"/>
        <w:rPr>
          <w:sz w:val="20"/>
          <w:szCs w:val="20"/>
          <w:color w:val="auto"/>
        </w:rPr>
      </w:pPr>
    </w:p>
    <w:p>
      <w:pPr>
        <w:ind w:right="20" w:firstLine="878"/>
        <w:spacing w:after="0" w:line="264"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is planning to adopt this ASU beginning February 1, 2021. The Company expects that the adoption of this ASU will impact its consolidated balance sheets as most of its operating lease commitments will be subject to the new standard and recognize as right-of-use assets and corresponding operating lease liabilities upon the adoption of this ASU, which will increase the total assets and total liabilities that it reports relative to such amounts prior to adoption. The Company intends to adopt the standard following the alternative transition method in which the Company is not required to restate or disclose the effects of applying this ASU for comparative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periods. The Company intends to elect the package of practical expedients which permits the Company to not reassess our prior conclusions pertaining to lease identification, lease classification, and initial direct costs. The Company does not expect to elect the use-of-hindsight or the practical expedient pertaining to land easements. In addition, the Company expects to elect ongoing practical expedients including the option to not recognize right-of-use assets and lease liabilities for short term leases, leases with an original term of twelve months or less. The Company also currently expects to apply the practical expedient to not separate lease and non-lease components. The Company expects the adoption of this standard to result in the recording of additional right-of-use assets and lease liabilities in the range of approximately $10.0 million to $12.0 million and in the range of approximately $11.0 million to $13.0 million, respectively, as of February 1, 2021. The difference between the additional right-of-use assets and lease liabilities is the reclassification of deferred rent on the Company's consolidated balance sheet at the date of adoption. The Company does not expect the standard to impact the consolidated statements of operations, comprehensive loss or the consolidated statements of cash flows. Upon the adoption of this standard our current financing obligation will remain a financing obligation.</w:t>
      </w:r>
    </w:p>
    <w:p>
      <w:pPr>
        <w:spacing w:after="0" w:line="182" w:lineRule="exact"/>
        <w:rPr>
          <w:sz w:val="20"/>
          <w:szCs w:val="20"/>
          <w:color w:val="auto"/>
        </w:rPr>
      </w:pPr>
    </w:p>
    <w:p>
      <w:pPr>
        <w:ind w:right="40" w:firstLine="87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The Company is planning to adopt this ASU beginning February 1, 2021. The Company does not expect adoption will have a material impact on the Company’s financial statements.</w:t>
      </w:r>
    </w:p>
    <w:p>
      <w:pPr>
        <w:spacing w:after="0" w:line="167" w:lineRule="exact"/>
        <w:rPr>
          <w:sz w:val="20"/>
          <w:szCs w:val="20"/>
          <w:color w:val="auto"/>
        </w:rPr>
      </w:pPr>
    </w:p>
    <w:p>
      <w:pPr>
        <w:ind w:firstLine="878"/>
        <w:spacing w:after="0" w:line="266"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The Company is planning to adopt this ASU beginning February 1, 2021. The Company does not expect adoption will have a material impact on the Company’s financial statements.</w:t>
      </w:r>
    </w:p>
    <w:p>
      <w:pPr>
        <w:spacing w:after="0" w:line="181" w:lineRule="exact"/>
        <w:rPr>
          <w:sz w:val="20"/>
          <w:szCs w:val="20"/>
          <w:color w:val="auto"/>
        </w:rPr>
      </w:pPr>
    </w:p>
    <w:p>
      <w:pPr>
        <w:ind w:right="40" w:firstLine="878"/>
        <w:spacing w:after="0" w:line="284" w:lineRule="auto"/>
        <w:rPr>
          <w:sz w:val="20"/>
          <w:szCs w:val="20"/>
          <w:color w:val="auto"/>
        </w:rPr>
      </w:pPr>
      <w:r>
        <w:rPr>
          <w:rFonts w:ascii="Arial" w:cs="Arial" w:eastAsia="Arial" w:hAnsi="Arial"/>
          <w:sz w:val="16"/>
          <w:szCs w:val="16"/>
          <w:color w:val="auto"/>
        </w:rPr>
        <w:t xml:space="preserve">In October 2020, the FASB issued ASU 2020-10,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is planning to adopt this ASU beginning February 1, 2021. The Company does not expect adoption will have a material impact on the Company’s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4"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January 31, 2021, the Company controls a majority of the outstanding common stock in nCino K.K.</w:t>
      </w:r>
    </w:p>
    <w:p>
      <w:pPr>
        <w:spacing w:after="0" w:line="178" w:lineRule="exact"/>
        <w:rPr>
          <w:sz w:val="20"/>
          <w:szCs w:val="20"/>
          <w:color w:val="auto"/>
        </w:rPr>
      </w:pPr>
    </w:p>
    <w:p>
      <w:pPr>
        <w:ind w:right="380" w:firstLine="878"/>
        <w:spacing w:after="0" w:line="266"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consolidated balance sheets. The estimated redemption value of the call/put option embedded in the redeemable non-controlling interest was $0.4 million at January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880"/>
              <w:spacing w:after="0"/>
              <w:rPr>
                <w:sz w:val="20"/>
                <w:szCs w:val="20"/>
                <w:color w:val="auto"/>
              </w:rPr>
            </w:pPr>
            <w:r>
              <w:rPr>
                <w:rFonts w:ascii="Arial" w:cs="Arial" w:eastAsia="Arial" w:hAnsi="Arial"/>
                <w:sz w:val="18"/>
                <w:szCs w:val="18"/>
                <w:color w:val="auto"/>
                <w:w w:val="95"/>
              </w:rPr>
              <w:t>The following table summarizes the activity in the redeemable non-controlling interests for the period indicated below:</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1"/>
        </w:trPr>
        <w:tc>
          <w:tcPr>
            <w:tcW w:w="9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Investment by redeemable non-controlling interest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80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0"/>
        </w:trPr>
        <w:tc>
          <w:tcPr>
            <w:tcW w:w="980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4" w:lineRule="exact"/>
        <w:rPr>
          <w:sz w:val="20"/>
          <w:szCs w:val="20"/>
          <w:color w:val="auto"/>
        </w:rPr>
      </w:pPr>
    </w:p>
    <w:p>
      <w:pPr>
        <w:ind w:right="720" w:firstLine="878"/>
        <w:spacing w:after="0" w:line="266"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as of January 31, 2020 and January 31, 2021 because of the relatively short duration of these instruments.</w:t>
      </w:r>
    </w:p>
    <w:p>
      <w:pPr>
        <w:spacing w:after="0" w:line="179" w:lineRule="exact"/>
        <w:rPr>
          <w:sz w:val="20"/>
          <w:szCs w:val="20"/>
          <w:color w:val="auto"/>
        </w:rPr>
      </w:pPr>
    </w:p>
    <w:p>
      <w:pPr>
        <w:ind w:right="300" w:firstLine="878"/>
        <w:spacing w:after="0" w:line="278" w:lineRule="auto"/>
        <w:rPr>
          <w:sz w:val="20"/>
          <w:szCs w:val="20"/>
          <w:color w:val="auto"/>
        </w:rPr>
      </w:pPr>
      <w:r>
        <w:rPr>
          <w:rFonts w:ascii="Arial" w:cs="Arial" w:eastAsia="Arial" w:hAnsi="Arial"/>
          <w:sz w:val="17"/>
          <w:szCs w:val="17"/>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January 31, 2021 and indicates the fair value hierarchy of the valuation: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7"/>
          </w:tcPr>
          <w:p>
            <w:pPr>
              <w:jc w:val="right"/>
              <w:ind w:right="95"/>
              <w:spacing w:after="0"/>
              <w:rPr>
                <w:sz w:val="20"/>
                <w:szCs w:val="20"/>
                <w:color w:val="auto"/>
              </w:rPr>
            </w:pPr>
            <w:r>
              <w:rPr>
                <w:rFonts w:ascii="Arial" w:cs="Arial" w:eastAsia="Arial" w:hAnsi="Arial"/>
                <w:sz w:val="14"/>
                <w:szCs w:val="14"/>
                <w:b w:val="1"/>
                <w:bCs w:val="1"/>
                <w:color w:val="auto"/>
                <w:w w:val="90"/>
              </w:rPr>
              <w:t>Fair value measurements on a recurring basis as of January 31, 2020</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7"/>
        </w:trPr>
        <w:tc>
          <w:tcPr>
            <w:tcW w:w="50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Assets:</w:t>
            </w:r>
          </w:p>
        </w:tc>
        <w:tc>
          <w:tcPr>
            <w:tcW w:w="1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Money market accounts (included in cash and cash equivalents)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(included in other long-term liabilities)</w:t>
            </w: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vMerge w:val="restart"/>
          </w:tcPr>
          <w:p>
            <w:pPr>
              <w:jc w:val="right"/>
              <w:ind w:right="931"/>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5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measurements on a recurring basis as of January 31, 2021</w:t>
            </w: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7"/>
        </w:trPr>
        <w:tc>
          <w:tcPr>
            <w:tcW w:w="67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(included in other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7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0" w:firstLine="878"/>
        <w:spacing w:after="0" w:line="266"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9" w:lineRule="exact"/>
        <w:rPr>
          <w:sz w:val="20"/>
          <w:szCs w:val="20"/>
          <w:color w:val="auto"/>
        </w:rPr>
      </w:pPr>
    </w:p>
    <w:p>
      <w:pPr>
        <w:ind w:firstLine="878"/>
        <w:spacing w:after="0" w:line="253" w:lineRule="auto"/>
        <w:rPr>
          <w:sz w:val="20"/>
          <w:szCs w:val="20"/>
          <w:color w:val="auto"/>
        </w:rPr>
      </w:pPr>
      <w:r>
        <w:rPr>
          <w:rFonts w:ascii="Arial" w:cs="Arial" w:eastAsia="Arial" w:hAnsi="Arial"/>
          <w:sz w:val="18"/>
          <w:szCs w:val="18"/>
          <w:color w:val="auto"/>
        </w:rPr>
        <w:t>The Company added contingent consideration, a Level 3 measurement, on October 18, 2019 with the acquisition of FinSuite Pty Ltd ("FinSuite"). Changes in fair value of the contingent consideration are recorded in the consolidated statements of operations within other income. The Company’s contingent consideration is valued using a probability weighted discounted cash flow analysis. A reconciliation of the balance for contingent consideration obligations for the fiscal years ended January 31, 2020 and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34225" cy="143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2019</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Change in fair value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51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2020</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Change in fair value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Payments of contingent consideration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Geographic Area</w:t>
      </w:r>
    </w:p>
    <w:p>
      <w:pPr>
        <w:spacing w:after="0" w:line="224"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Revenues by geographic region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left="250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197</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195</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11430</wp:posOffset>
            </wp:positionV>
            <wp:extent cx="911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2" w:lineRule="exact"/>
        <w:rPr>
          <w:sz w:val="20"/>
          <w:szCs w:val="20"/>
          <w:color w:val="auto"/>
        </w:rPr>
      </w:pPr>
    </w:p>
    <w:p>
      <w:pPr>
        <w:ind w:left="2500"/>
        <w:spacing w:after="0"/>
        <w:tabs>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11430</wp:posOffset>
            </wp:positionV>
            <wp:extent cx="911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1860" cy="825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36830</wp:posOffset>
            </wp:positionV>
            <wp:extent cx="911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21590</wp:posOffset>
            </wp:positionV>
            <wp:extent cx="2853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3690" cy="8255"/>
                    </a:xfrm>
                    <a:prstGeom prst="rect">
                      <a:avLst/>
                    </a:prstGeom>
                    <a:noFill/>
                  </pic:spPr>
                </pic:pic>
              </a:graphicData>
            </a:graphic>
          </wp:anchor>
        </w:drawing>
      </w:r>
    </w:p>
    <w:p>
      <w:pPr>
        <w:spacing w:after="0" w:line="18" w:lineRule="exact"/>
        <w:rPr>
          <w:sz w:val="20"/>
          <w:szCs w:val="20"/>
          <w:color w:val="auto"/>
        </w:rPr>
      </w:pPr>
    </w:p>
    <w:p>
      <w:pPr>
        <w:spacing w:after="0"/>
        <w:tabs>
          <w:tab w:leader="none" w:pos="1520" w:val="left"/>
          <w:tab w:leader="none" w:pos="30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3" w:lineRule="exact"/>
        <w:rPr>
          <w:sz w:val="20"/>
          <w:szCs w:val="20"/>
          <w:color w:val="auto"/>
        </w:rPr>
      </w:pPr>
    </w:p>
    <w:p>
      <w:pPr>
        <w:sectPr>
          <w:pgSz w:w="11900" w:h="16838" w:orient="portrait"/>
          <w:cols w:equalWidth="0" w:num="2">
            <w:col w:w="6600" w:space="720"/>
            <w:col w:w="39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87,328</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127,192</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180,923</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23,370</w:t>
            </w: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0" w:firstLine="878"/>
        <w:spacing w:after="0" w:line="256"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Amounts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Accounts Receivable</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January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January 31,</w:t>
            </w:r>
          </w:p>
        </w:tc>
        <w:tc>
          <w:tcPr>
            <w:tcW w:w="900" w:type="dxa"/>
            <w:vAlign w:val="bottom"/>
            <w:tcBorders>
              <w:bottom w:val="single" w:sz="8" w:color="auto"/>
            </w:tcBorders>
          </w:tcPr>
          <w:p>
            <w:pPr>
              <w:spacing w:after="0"/>
              <w:rPr>
                <w:sz w:val="16"/>
                <w:szCs w:val="16"/>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82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Trade accounts receivable</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32,686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53,272</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accounts receivable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44"/>
        </w:trPr>
        <w:tc>
          <w:tcPr>
            <w:tcW w:w="828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accounts receivable, net</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34,205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Deferred Revenue and Remaining Performance Obligation</w:t>
      </w:r>
    </w:p>
    <w:p>
      <w:pPr>
        <w:spacing w:after="0" w:line="218" w:lineRule="exact"/>
        <w:rPr>
          <w:sz w:val="20"/>
          <w:szCs w:val="20"/>
          <w:color w:val="auto"/>
        </w:rPr>
      </w:pPr>
    </w:p>
    <w:p>
      <w:pPr>
        <w:ind w:right="60" w:firstLine="878"/>
        <w:spacing w:after="0" w:line="364" w:lineRule="auto"/>
        <w:rPr>
          <w:sz w:val="20"/>
          <w:szCs w:val="20"/>
          <w:color w:val="auto"/>
        </w:rPr>
      </w:pPr>
      <w:r>
        <w:rPr>
          <w:rFonts w:ascii="Arial" w:cs="Arial" w:eastAsia="Arial" w:hAnsi="Arial"/>
          <w:sz w:val="14"/>
          <w:szCs w:val="14"/>
          <w:color w:val="auto"/>
        </w:rPr>
        <w:t>Significant movements in the deferred revenue balance during the period consisted of increases due to payments received or due in advance prior to transfer of control of the underlying performance obligations to the customer, which were offset by decreases due to revenues recognized in the period. During the fiscal year ended January 31, 2021, $58.9 million of revenues were recognized out of the deferred revenue balance as of January 31, 2020.</w:t>
      </w:r>
    </w:p>
    <w:p>
      <w:pPr>
        <w:spacing w:after="0" w:line="118" w:lineRule="exact"/>
        <w:rPr>
          <w:sz w:val="20"/>
          <w:szCs w:val="20"/>
          <w:color w:val="auto"/>
        </w:rPr>
      </w:pPr>
    </w:p>
    <w:p>
      <w:pPr>
        <w:ind w:right="220" w:firstLine="878"/>
        <w:spacing w:after="0" w:line="290"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5" w:lineRule="exact"/>
        <w:rPr>
          <w:sz w:val="20"/>
          <w:szCs w:val="20"/>
          <w:color w:val="auto"/>
        </w:rPr>
      </w:pPr>
    </w:p>
    <w:p>
      <w:pPr>
        <w:ind w:right="260" w:firstLine="878"/>
        <w:spacing w:after="0" w:line="256" w:lineRule="auto"/>
        <w:rPr>
          <w:sz w:val="20"/>
          <w:szCs w:val="20"/>
          <w:color w:val="auto"/>
        </w:rPr>
      </w:pPr>
      <w:r>
        <w:rPr>
          <w:rFonts w:ascii="Arial" w:cs="Arial" w:eastAsia="Arial" w:hAnsi="Arial"/>
          <w:sz w:val="18"/>
          <w:szCs w:val="18"/>
          <w:color w:val="auto"/>
        </w:rPr>
        <w:t>Remaining performance obligations were $600.9 million as of January 31, 2021. The Company expects to recognize approximately 60% of its remaining performance obligation as revenues in the next 24 months, approximately 33% more in the following 25 to 48 months, and the remainder thereafter.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218" w:lineRule="exact"/>
        <w:rPr>
          <w:sz w:val="20"/>
          <w:szCs w:val="20"/>
          <w:color w:val="auto"/>
        </w:rPr>
      </w:pPr>
    </w:p>
    <w:p>
      <w:pPr>
        <w:ind w:right="320" w:firstLine="878"/>
        <w:spacing w:after="0" w:line="266" w:lineRule="auto"/>
        <w:rPr>
          <w:sz w:val="20"/>
          <w:szCs w:val="20"/>
          <w:color w:val="auto"/>
        </w:rPr>
      </w:pPr>
      <w:r>
        <w:rPr>
          <w:rFonts w:ascii="Arial" w:cs="Arial" w:eastAsia="Arial" w:hAnsi="Arial"/>
          <w:sz w:val="18"/>
          <w:szCs w:val="18"/>
          <w:color w:val="auto"/>
        </w:rPr>
        <w:t>During the fiscal years ended January 31, 2020 and 2021, we amortized $3.2 million and $4.7 million of capitalized contract acquisition costs within sales and marketing expense, respectively. We did not incur any impairment losses.</w:t>
      </w:r>
    </w:p>
    <w:p>
      <w:pPr>
        <w:spacing w:after="0" w:line="179" w:lineRule="exact"/>
        <w:rPr>
          <w:sz w:val="20"/>
          <w:szCs w:val="20"/>
          <w:color w:val="auto"/>
        </w:rPr>
      </w:pPr>
    </w:p>
    <w:p>
      <w:pPr>
        <w:ind w:right="200" w:firstLine="878"/>
        <w:spacing w:after="0" w:line="256" w:lineRule="auto"/>
        <w:rPr>
          <w:sz w:val="20"/>
          <w:szCs w:val="20"/>
          <w:color w:val="auto"/>
        </w:rPr>
      </w:pPr>
      <w:r>
        <w:rPr>
          <w:rFonts w:ascii="Arial" w:cs="Arial" w:eastAsia="Arial" w:hAnsi="Arial"/>
          <w:sz w:val="18"/>
          <w:szCs w:val="18"/>
          <w:color w:val="auto"/>
        </w:rPr>
        <w:t>Capitalized contract acquisition costs were $10.6 million and $15.1 million as of January 31, 2020 and January 31, 2021, of which $7.0 million and $10.2 million was long-term in the consolidated balance sheets, respectively. The remaining balance of the capitalized costs to obtain contracts was current.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9"/>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9"/>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13,477</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1"/>
        </w:trPr>
        <w:tc>
          <w:tcPr>
            <w:tcW w:w="6740" w:type="dxa"/>
            <w:vAlign w:val="bottom"/>
            <w:vMerge w:val="restart"/>
          </w:tcPr>
          <w:p>
            <w:pPr>
              <w:ind w:left="880"/>
              <w:spacing w:after="0"/>
              <w:rPr>
                <w:sz w:val="20"/>
                <w:szCs w:val="20"/>
                <w:color w:val="auto"/>
              </w:rPr>
            </w:pPr>
            <w:r>
              <w:rPr>
                <w:rFonts w:ascii="Arial" w:cs="Arial" w:eastAsia="Arial" w:hAnsi="Arial"/>
                <w:sz w:val="18"/>
                <w:szCs w:val="18"/>
                <w:color w:val="auto"/>
              </w:rPr>
              <w:t>The Company recognized depreciation expense as follows:</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331"/>
              <w:spacing w:after="0"/>
              <w:rPr>
                <w:sz w:val="20"/>
                <w:szCs w:val="20"/>
                <w:color w:val="auto"/>
              </w:rPr>
            </w:pPr>
            <w:r>
              <w:rPr>
                <w:rFonts w:ascii="Arial" w:cs="Arial" w:eastAsia="Arial" w:hAnsi="Arial"/>
                <w:sz w:val="14"/>
                <w:szCs w:val="14"/>
                <w:b w:val="1"/>
                <w:bCs w:val="1"/>
                <w:color w:val="auto"/>
              </w:rPr>
              <w:t>Fiscal Year Ended January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firstLine="878"/>
        <w:spacing w:after="0" w:line="253" w:lineRule="auto"/>
        <w:rPr>
          <w:sz w:val="20"/>
          <w:szCs w:val="20"/>
          <w:color w:val="auto"/>
        </w:rPr>
      </w:pPr>
      <w:r>
        <w:rPr>
          <w:rFonts w:ascii="Arial" w:cs="Arial" w:eastAsia="Arial" w:hAnsi="Arial"/>
          <w:sz w:val="18"/>
          <w:szCs w:val="18"/>
          <w:color w:val="auto"/>
        </w:rPr>
        <w:t>In November 2020, the Company entered into a new lease agreement with a new lessor for our headquarters. As a result of a purchase option in the lease, the Company has deemed continuing involvement and is considered for accounting purposes to be the owner. As such, the Company has capitalized the building with a corresponding current and noncurrent financing obligation liability. See Note 14 "Commitments and Contingencies" for additional details including future commitments.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Visible Equity, LLC</w:t>
      </w:r>
    </w:p>
    <w:p>
      <w:pPr>
        <w:spacing w:after="0" w:line="224" w:lineRule="exact"/>
        <w:rPr>
          <w:sz w:val="20"/>
          <w:szCs w:val="20"/>
          <w:color w:val="auto"/>
        </w:rPr>
      </w:pPr>
    </w:p>
    <w:p>
      <w:pPr>
        <w:ind w:right="40" w:firstLine="878"/>
        <w:spacing w:after="0" w:line="290" w:lineRule="auto"/>
        <w:rPr>
          <w:sz w:val="20"/>
          <w:szCs w:val="20"/>
          <w:color w:val="auto"/>
        </w:rPr>
      </w:pPr>
      <w:r>
        <w:rPr>
          <w:rFonts w:ascii="Arial" w:cs="Arial" w:eastAsia="Arial" w:hAnsi="Arial"/>
          <w:sz w:val="16"/>
          <w:szCs w:val="16"/>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 for the fiscal year ended January 31, 2020.</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Total Consideration</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to members</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0" w:type="dxa"/>
            <w:vAlign w:val="bottom"/>
          </w:tcPr>
          <w:p>
            <w:pPr>
              <w:spacing w:after="0"/>
              <w:rPr>
                <w:sz w:val="1"/>
                <w:szCs w:val="1"/>
                <w:color w:val="auto"/>
              </w:rPr>
            </w:pPr>
          </w:p>
        </w:tc>
      </w:tr>
      <w:tr>
        <w:trPr>
          <w:trHeight w:val="22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Voting common stock issued (1,438,805 shares)</w:t>
            </w:r>
          </w:p>
        </w:tc>
        <w:tc>
          <w:tcPr>
            <w:tcW w:w="5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3991"/>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44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8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878"/>
        <w:spacing w:after="0" w:line="266"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25,500</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46,584</w:t>
            </w:r>
          </w:p>
        </w:tc>
      </w:tr>
      <w:tr>
        <w:trPr>
          <w:trHeight w:val="22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340" w:firstLine="878"/>
        <w:spacing w:after="0" w:line="256"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189" w:lineRule="exact"/>
        <w:rPr>
          <w:sz w:val="20"/>
          <w:szCs w:val="20"/>
          <w:color w:val="auto"/>
        </w:rPr>
      </w:pPr>
    </w:p>
    <w:p>
      <w:pPr>
        <w:ind w:right="100" w:firstLine="878"/>
        <w:spacing w:after="0" w:line="256"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Useful Life</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years</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 1 year</w:t>
            </w:r>
          </w:p>
        </w:tc>
      </w:tr>
      <w:tr>
        <w:trPr>
          <w:trHeight w:val="220"/>
        </w:trPr>
        <w:tc>
          <w:tcPr>
            <w:tcW w:w="8280" w:type="dxa"/>
            <w:vAlign w:val="bottom"/>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60" w:firstLine="878"/>
        <w:spacing w:after="0" w:line="266" w:lineRule="auto"/>
        <w:rPr>
          <w:sz w:val="20"/>
          <w:szCs w:val="20"/>
          <w:color w:val="auto"/>
        </w:rPr>
      </w:pPr>
      <w:r>
        <w:rPr>
          <w:rFonts w:ascii="Arial" w:cs="Arial" w:eastAsia="Arial" w:hAnsi="Arial"/>
          <w:sz w:val="18"/>
          <w:szCs w:val="18"/>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07" w:lineRule="exact"/>
        <w:rPr>
          <w:sz w:val="20"/>
          <w:szCs w:val="20"/>
          <w:color w:val="auto"/>
        </w:rPr>
      </w:pPr>
    </w:p>
    <w:p>
      <w:pPr>
        <w:jc w:val="both"/>
        <w:ind w:right="360" w:firstLine="878"/>
        <w:spacing w:after="0" w:line="256"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fiscal years ended January 31, 2020 and 2021. The revenues and results of operations attributable to Visible Equity for the period from the date of acquisition, July 8, 2019 through January 31, 2020, were $5.6 million and a $1.7 million loss,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FinSuite Pty Ltd</w:t>
      </w:r>
    </w:p>
    <w:p>
      <w:pPr>
        <w:spacing w:after="0" w:line="211" w:lineRule="exact"/>
        <w:rPr>
          <w:sz w:val="20"/>
          <w:szCs w:val="20"/>
          <w:color w:val="auto"/>
        </w:rPr>
      </w:pPr>
    </w:p>
    <w:p>
      <w:pPr>
        <w:ind w:right="40" w:firstLine="878"/>
        <w:spacing w:after="0" w:line="269" w:lineRule="auto"/>
        <w:rPr>
          <w:sz w:val="20"/>
          <w:szCs w:val="20"/>
          <w:color w:val="auto"/>
        </w:rPr>
      </w:pPr>
      <w:r>
        <w:rPr>
          <w:rFonts w:ascii="Arial" w:cs="Arial" w:eastAsia="Arial" w:hAnsi="Arial"/>
          <w:sz w:val="17"/>
          <w:szCs w:val="17"/>
          <w:color w:val="auto"/>
        </w:rPr>
        <w:t>On October 18, 2019, the Company, through its wholly-owned subsidiary, nCino APAC Pty Ltd, acquired all of the outstanding shares of FinSuite. The Company acquired FinSuite to enhance the Company’s data recognition capabilities, including of complex, unstructured data. FinSuite is headquartered in Melbourne, Australia. The Company has included the financial results of FinSuite in the consolidated statements of operations from the date of acquisition. The transaction costs associated with the acquisition were approximately $0.3 million and are included in general and administrative expenses in the consolidated statements of operations for the fiscal year ended January 31,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Total Consideration</w:t>
            </w:r>
          </w:p>
        </w:tc>
      </w:t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to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Cash consideration to settle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Voting common stock issued (63,967 shares)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Contingent consideration - cash payment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r>
      <w:tr>
        <w:trPr>
          <w:trHeight w:val="220"/>
        </w:trPr>
        <w:tc>
          <w:tcPr>
            <w:tcW w:w="980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r>
      <w:tr>
        <w:trPr>
          <w:trHeight w:val="20"/>
        </w:trPr>
        <w:tc>
          <w:tcPr>
            <w:tcW w:w="9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0" w:firstLine="878"/>
        <w:spacing w:after="0" w:line="329" w:lineRule="auto"/>
        <w:rPr>
          <w:sz w:val="20"/>
          <w:szCs w:val="20"/>
          <w:color w:val="auto"/>
        </w:rPr>
      </w:pPr>
      <w:r>
        <w:rPr>
          <w:rFonts w:ascii="Arial" w:cs="Arial" w:eastAsia="Arial" w:hAnsi="Arial"/>
          <w:sz w:val="16"/>
          <w:szCs w:val="16"/>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34"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Contingent consideration included two tranches of earn-out arrangements based upon the attainment of post-acquisition product development milestones. The first tranche included an earn-out opportunity of $0.1 million of cash and the issuance of 142,846 shares of common stock (together, the “Initial Tranche Earn-Out”). The Initial Tranche Earn-Out was conditioned upon the development of a stated product in accordance with mutually agreed upon functional requirements within a certain period from the date of acquisition. The second tranche included an earn-out opportunity of $0.1 million of cash and the issuance of 142,846 shares of common stock (together, the “Final Tranche Earn-Out”). The Final Tranche Earn-Out was conditioned upon a customer’s use of the stated product in a production environment according to the mutually agreed upon functional requirements within a certain period from the date of acquisition. The Final Tranche Earn-Out was not conditioned upon the achievement of the Initial Tranche Earn-Out.</w:t>
      </w:r>
    </w:p>
    <w:p>
      <w:pPr>
        <w:spacing w:after="0" w:line="167" w:lineRule="exact"/>
        <w:rPr>
          <w:sz w:val="20"/>
          <w:szCs w:val="20"/>
          <w:color w:val="auto"/>
        </w:rPr>
      </w:pPr>
    </w:p>
    <w:p>
      <w:pPr>
        <w:ind w:right="260" w:firstLine="878"/>
        <w:spacing w:after="0" w:line="251"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of $0.2 million is included in other long-term liabilities and other accrued expenses in the accompanying consolidated balance sheet as of January 31, 2020 and January 31, 2021, respectively. The share portion of the contingent consideration was recorded as of the acquisition date and is reflected as a component of stockholders’ equity in the accompanying consolidated balance sheet as of January 31, 2020 and January 31, 2021.</w:t>
      </w:r>
    </w:p>
    <w:p>
      <w:pPr>
        <w:spacing w:after="0" w:line="194" w:lineRule="exact"/>
        <w:rPr>
          <w:sz w:val="20"/>
          <w:szCs w:val="20"/>
          <w:color w:val="auto"/>
        </w:rPr>
      </w:pPr>
    </w:p>
    <w:p>
      <w:pPr>
        <w:ind w:right="80" w:firstLine="878"/>
        <w:spacing w:after="0" w:line="278" w:lineRule="auto"/>
        <w:rPr>
          <w:sz w:val="20"/>
          <w:szCs w:val="20"/>
          <w:color w:val="auto"/>
        </w:rPr>
      </w:pPr>
      <w:r>
        <w:rPr>
          <w:rFonts w:ascii="Arial" w:cs="Arial" w:eastAsia="Arial" w:hAnsi="Arial"/>
          <w:sz w:val="17"/>
          <w:szCs w:val="17"/>
          <w:color w:val="auto"/>
        </w:rPr>
        <w:t>The Initial Tranche Earn-Out was earned during the quarter ended October 31, 2020 and the Final Tranche Earn-Out was earned in November 2020. The Company paid $0.2 million for the cash portion of the contingent consideration and issued 285,692 shares of common stock for the common stock contingent consideration for the Initial Tranche Earn-Out and Final Tranche Earn-Out in November 2020.</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r>
      <w:tr>
        <w:trPr>
          <w:trHeight w:val="22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340" w:firstLine="878"/>
        <w:spacing w:after="0" w:line="256"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878"/>
        <w:spacing w:after="0" w:line="256"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Useful Life</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years</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 1 year</w:t>
            </w:r>
          </w:p>
        </w:tc>
      </w:tr>
      <w:tr>
        <w:trPr>
          <w:trHeight w:val="220"/>
        </w:trPr>
        <w:tc>
          <w:tcPr>
            <w:tcW w:w="8280" w:type="dxa"/>
            <w:vAlign w:val="bottom"/>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580" w:firstLine="878"/>
        <w:spacing w:after="0" w:line="266"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not expected to be deductible for tax</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07" w:lineRule="exact"/>
        <w:rPr>
          <w:sz w:val="20"/>
          <w:szCs w:val="20"/>
          <w:color w:val="auto"/>
        </w:rPr>
      </w:pPr>
    </w:p>
    <w:p>
      <w:pPr>
        <w:ind w:firstLine="878"/>
        <w:spacing w:after="0" w:line="256"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fiscal years ended January 31, 2020 and 2021. The revenues and results of operations attributable to FinSuite for the period from the date of acquisition, October 18, 2019 through January 31, 2020, were $0.8 million and $0.3 million income, respectively.</w:t>
      </w:r>
    </w:p>
    <w:p>
      <w:pPr>
        <w:spacing w:after="0" w:line="189" w:lineRule="exact"/>
        <w:rPr>
          <w:sz w:val="20"/>
          <w:szCs w:val="20"/>
          <w:color w:val="auto"/>
        </w:rPr>
      </w:pPr>
    </w:p>
    <w:p>
      <w:pPr>
        <w:ind w:right="160" w:firstLine="878"/>
        <w:spacing w:after="0" w:line="283" w:lineRule="auto"/>
        <w:rPr>
          <w:sz w:val="20"/>
          <w:szCs w:val="20"/>
          <w:color w:val="auto"/>
        </w:rPr>
      </w:pPr>
      <w:r>
        <w:rPr>
          <w:rFonts w:ascii="Arial" w:cs="Arial" w:eastAsia="Arial" w:hAnsi="Arial"/>
          <w:sz w:val="16"/>
          <w:szCs w:val="16"/>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 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ind w:left="78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January 31,</w:t>
            </w:r>
          </w:p>
        </w:tc>
        <w:tc>
          <w:tcPr>
            <w:tcW w:w="980" w:type="dxa"/>
            <w:vAlign w:val="bottom"/>
            <w:tcBorders>
              <w:bottom w:val="single" w:sz="8" w:color="auto"/>
            </w:tcBorders>
          </w:tcPr>
          <w:p>
            <w:pPr>
              <w:spacing w:after="0"/>
              <w:rPr>
                <w:sz w:val="16"/>
                <w:szCs w:val="16"/>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102,224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142,958</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Net loss attributable to nCino, Inc.</w:t>
            </w: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2"/>
              </w:rPr>
              <w:t>(24,954)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w w:val="92"/>
              </w:rPr>
              <w:t>(27,647)</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4" w:lineRule="exact"/>
        <w:rPr>
          <w:sz w:val="20"/>
          <w:szCs w:val="20"/>
          <w:color w:val="auto"/>
        </w:rPr>
      </w:pPr>
    </w:p>
    <w:p>
      <w:pPr>
        <w:ind w:right="160" w:firstLine="878"/>
        <w:spacing w:after="0" w:line="266" w:lineRule="auto"/>
        <w:rPr>
          <w:sz w:val="20"/>
          <w:szCs w:val="20"/>
          <w:color w:val="auto"/>
        </w:rPr>
      </w:pPr>
      <w:r>
        <w:rPr>
          <w:rFonts w:ascii="Arial" w:cs="Arial" w:eastAsia="Arial" w:hAnsi="Arial"/>
          <w:sz w:val="18"/>
          <w:szCs w:val="18"/>
          <w:color w:val="auto"/>
        </w:rPr>
        <w:t>The carrying amount of goodwill was $55.8 million and $57.1 million as of January 31, 2020 and January 31, 2021, respectively. The change in the carrying amounts of goodwill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6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5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27"/>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59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Arial" w:cs="Arial" w:eastAsia="Arial" w:hAnsi="Arial"/>
                <w:sz w:val="18"/>
                <w:szCs w:val="18"/>
                <w:color w:val="auto"/>
              </w:rPr>
              <w:t>Balance, as of January 31, 2020</w:t>
            </w:r>
          </w:p>
        </w:tc>
        <w:tc>
          <w:tcPr>
            <w:tcW w:w="5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55,840</w:t>
            </w:r>
          </w:p>
        </w:tc>
        <w:tc>
          <w:tcPr>
            <w:tcW w:w="0" w:type="dxa"/>
            <w:vAlign w:val="bottom"/>
          </w:tcPr>
          <w:p>
            <w:pPr>
              <w:spacing w:after="0"/>
              <w:rPr>
                <w:sz w:val="1"/>
                <w:szCs w:val="1"/>
                <w:color w:val="auto"/>
              </w:rPr>
            </w:pPr>
          </w:p>
        </w:tc>
      </w:tr>
      <w:tr>
        <w:trPr>
          <w:trHeight w:val="227"/>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5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Translation adjustments</w:t>
            </w:r>
          </w:p>
        </w:tc>
        <w:tc>
          <w:tcPr>
            <w:tcW w:w="59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6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91"/>
              <w:spacing w:after="0"/>
              <w:rPr>
                <w:sz w:val="20"/>
                <w:szCs w:val="20"/>
                <w:color w:val="auto"/>
              </w:rPr>
            </w:pPr>
            <w:r>
              <w:rPr>
                <w:rFonts w:ascii="Arial" w:cs="Arial" w:eastAsia="Arial" w:hAnsi="Arial"/>
                <w:sz w:val="18"/>
                <w:szCs w:val="18"/>
                <w:color w:val="auto"/>
              </w:rPr>
              <w:t>78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390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Intangible assets, net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As of January 31, 2020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As of January 31, 2021</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1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Useful</w:t>
            </w:r>
          </w:p>
        </w:tc>
        <w:tc>
          <w:tcPr>
            <w:tcW w:w="0" w:type="dxa"/>
            <w:vAlign w:val="bottom"/>
          </w:tcPr>
          <w:p>
            <w:pPr>
              <w:spacing w:after="0"/>
              <w:rPr>
                <w:sz w:val="1"/>
                <w:szCs w:val="1"/>
                <w:color w:val="auto"/>
              </w:rPr>
            </w:pPr>
          </w:p>
        </w:tc>
      </w:tr>
      <w:tr>
        <w:trPr>
          <w:trHeight w:val="185"/>
        </w:trPr>
        <w:tc>
          <w:tcPr>
            <w:tcW w:w="2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22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27,839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26,093</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23,137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recognized amortization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5"/>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6"/>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Total amortization expense</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8260" w:type="dxa"/>
            <w:vAlign w:val="bottom"/>
            <w:gridSpan w:val="5"/>
          </w:tcPr>
          <w:p>
            <w:pPr>
              <w:ind w:left="860"/>
              <w:spacing w:after="0"/>
              <w:rPr>
                <w:sz w:val="20"/>
                <w:szCs w:val="20"/>
                <w:color w:val="auto"/>
              </w:rPr>
            </w:pPr>
            <w:r>
              <w:rPr>
                <w:rFonts w:ascii="Arial" w:cs="Arial" w:eastAsia="Arial" w:hAnsi="Arial"/>
                <w:sz w:val="18"/>
                <w:szCs w:val="18"/>
                <w:color w:val="auto"/>
                <w:w w:val="92"/>
              </w:rPr>
              <w:t>The expected future amortization expense for intangible assets as of January 31, 2021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6"/>
        </w:trPr>
        <w:tc>
          <w:tcPr>
            <w:tcW w:w="20" w:type="dxa"/>
            <w:vAlign w:val="bottom"/>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5"/>
        </w:trPr>
        <w:tc>
          <w:tcPr>
            <w:tcW w:w="6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80" w:firstLine="878"/>
        <w:spacing w:after="0" w:line="256"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Reseller Agreement</w:t>
      </w:r>
    </w:p>
    <w:p>
      <w:pPr>
        <w:spacing w:after="0" w:line="224" w:lineRule="exact"/>
        <w:rPr>
          <w:sz w:val="20"/>
          <w:szCs w:val="20"/>
          <w:color w:val="auto"/>
        </w:rPr>
      </w:pPr>
    </w:p>
    <w:p>
      <w:pPr>
        <w:ind w:right="20" w:firstLine="878"/>
        <w:spacing w:after="0" w:line="287"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fiscal years ended January 31, 2019, 2020, and 2021 substantially consists of fees paid for access to the related party’s platform, including their hosting infrastructure and data center operations. The Company has recorded expenses of $15.4 million, $22.8 million, and $34.8 million for the fiscal years ended January 31, 2019, 2020, and 2021, respectively. See also Note 15.</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2021, is as follows:</w:t>
      </w:r>
    </w:p>
    <w:p>
      <w:pPr>
        <w:spacing w:after="0" w:line="212" w:lineRule="exact"/>
        <w:rPr>
          <w:sz w:val="20"/>
          <w:szCs w:val="20"/>
          <w:color w:val="auto"/>
        </w:rPr>
      </w:pPr>
    </w:p>
    <w:p>
      <w:pPr>
        <w:ind w:right="120" w:firstLine="878"/>
        <w:spacing w:after="0" w:line="337" w:lineRule="auto"/>
        <w:rPr>
          <w:sz w:val="20"/>
          <w:szCs w:val="20"/>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The Board of Directors is authorized to establish one or more series of preferred stock and to fix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constituting such series and the designation of such series, including the voting powers, preferences, limitations, restrictions, and other special rights thereof.</w:t>
      </w:r>
    </w:p>
    <w:p>
      <w:pPr>
        <w:spacing w:after="0" w:line="122" w:lineRule="exact"/>
        <w:rPr>
          <w:sz w:val="20"/>
          <w:szCs w:val="20"/>
          <w:color w:val="auto"/>
        </w:rPr>
      </w:pPr>
    </w:p>
    <w:p>
      <w:pPr>
        <w:ind w:right="100" w:firstLine="878"/>
        <w:spacing w:after="0" w:line="253"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Pursuant to the fourth certificate of amendment to the Company's third amended and restated certificate of incorporation dated</w:t>
      </w:r>
      <w:r>
        <w:rPr>
          <w:rFonts w:ascii="Arial" w:cs="Arial" w:eastAsia="Arial" w:hAnsi="Arial"/>
          <w:sz w:val="18"/>
          <w:szCs w:val="18"/>
          <w:b w:val="1"/>
          <w:bCs w:val="1"/>
          <w:color w:val="auto"/>
        </w:rPr>
        <w:t xml:space="preserve"> </w:t>
      </w:r>
      <w:r>
        <w:rPr>
          <w:rFonts w:ascii="Arial" w:cs="Arial" w:eastAsia="Arial" w:hAnsi="Arial"/>
          <w:sz w:val="18"/>
          <w:szCs w:val="18"/>
          <w:color w:val="auto"/>
        </w:rPr>
        <w:t>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 of 500,000,000 authorized shares, par value $0.0005 per share and the Company's preferred stock consists of 10,000,000 authorized shares, par value $0.001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0" w:type="dxa"/>
            <w:vAlign w:val="bottom"/>
          </w:tcPr>
          <w:p>
            <w:pPr>
              <w:ind w:left="880"/>
              <w:spacing w:after="0"/>
              <w:rPr>
                <w:sz w:val="20"/>
                <w:szCs w:val="20"/>
                <w:color w:val="auto"/>
              </w:rPr>
            </w:pPr>
            <w:r>
              <w:rPr>
                <w:rFonts w:ascii="Arial" w:cs="Arial" w:eastAsia="Arial" w:hAnsi="Arial"/>
                <w:sz w:val="18"/>
                <w:szCs w:val="18"/>
                <w:color w:val="auto"/>
                <w:w w:val="91"/>
              </w:rPr>
              <w:t>At January 31, 2021, the Company committed a total of 22,567,317 shares of common stock for future issuance as follows:</w:t>
            </w:r>
          </w:p>
        </w:tc>
        <w:tc>
          <w:tcPr>
            <w:tcW w:w="1440" w:type="dxa"/>
            <w:vAlign w:val="bottom"/>
          </w:tcPr>
          <w:p>
            <w:pPr>
              <w:spacing w:after="0"/>
              <w:rPr>
                <w:sz w:val="19"/>
                <w:szCs w:val="19"/>
                <w:color w:val="auto"/>
              </w:rPr>
            </w:pPr>
          </w:p>
        </w:tc>
      </w:tr>
      <w:tr>
        <w:trPr>
          <w:trHeight w:val="241"/>
        </w:trPr>
        <w:tc>
          <w:tcPr>
            <w:tcW w:w="9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5,467,012</w:t>
            </w: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Nonvested issued and outstanding restricted stock units ("RSUs")</w:t>
            </w:r>
          </w:p>
        </w:tc>
        <w:tc>
          <w:tcPr>
            <w:tcW w:w="1440" w:type="dxa"/>
            <w:vAlign w:val="bottom"/>
          </w:tcPr>
          <w:p>
            <w:pPr>
              <w:jc w:val="right"/>
              <w:spacing w:after="0"/>
              <w:rPr>
                <w:sz w:val="20"/>
                <w:szCs w:val="20"/>
                <w:color w:val="auto"/>
              </w:rPr>
            </w:pPr>
            <w:r>
              <w:rPr>
                <w:rFonts w:ascii="Arial" w:cs="Arial" w:eastAsia="Arial" w:hAnsi="Arial"/>
                <w:sz w:val="18"/>
                <w:szCs w:val="18"/>
                <w:color w:val="auto"/>
              </w:rPr>
              <w:t>1,848,296</w:t>
            </w: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15,252,009</w:t>
            </w:r>
          </w:p>
        </w:tc>
      </w:tr>
      <w:tr>
        <w:trPr>
          <w:trHeight w:val="219"/>
        </w:trPr>
        <w:tc>
          <w:tcPr>
            <w:tcW w:w="98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22,567,317</w:t>
            </w:r>
          </w:p>
        </w:tc>
      </w:tr>
      <w:tr>
        <w:trPr>
          <w:trHeight w:val="20"/>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4" w:lineRule="exact"/>
        <w:rPr>
          <w:sz w:val="20"/>
          <w:szCs w:val="20"/>
          <w:color w:val="auto"/>
        </w:rPr>
      </w:pPr>
    </w:p>
    <w:p>
      <w:pPr>
        <w:ind w:right="100" w:firstLine="878"/>
        <w:spacing w:after="0" w:line="290" w:lineRule="auto"/>
        <w:rPr>
          <w:sz w:val="20"/>
          <w:szCs w:val="20"/>
          <w:color w:val="auto"/>
        </w:rPr>
      </w:pPr>
      <w:r>
        <w:rPr>
          <w:rFonts w:ascii="Arial" w:cs="Arial" w:eastAsia="Arial" w:hAnsi="Arial"/>
          <w:sz w:val="16"/>
          <w:szCs w:val="16"/>
          <w:color w:val="auto"/>
        </w:rPr>
        <w:t>The Company has two equity incentive plans: the nCino, Inc. 2014 Omnibus Stock Ownership and Long-Term Incentive Plan (“2014 Plan”) and the 2019 Amended and Restated Equity Incentive Plan (“2019 Plan”), collectively referred to as the “Incentive Plans.” Under the 2014 Plan, the Board of Directors had allotted 15,025,666 shares of common stock for incentive options or non-qualified options as of January 31, 2021. Non-qualified options may be granted to Company employees, non-employee directors, and consultants. The exercise price of options is determined by the Board of Directors, but cannot be less than 100% of the fair market value of the Company’s common stock on the date of the grant. The options generally vest in one of two ways:</w:t>
      </w:r>
    </w:p>
    <w:p>
      <w:pPr>
        <w:spacing w:after="0" w:line="165" w:lineRule="exact"/>
        <w:rPr>
          <w:sz w:val="20"/>
          <w:szCs w:val="20"/>
          <w:color w:val="auto"/>
        </w:rPr>
      </w:pPr>
    </w:p>
    <w:p>
      <w:pPr>
        <w:ind w:left="1280" w:hanging="316"/>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218" w:lineRule="exact"/>
        <w:rPr>
          <w:rFonts w:ascii="Arial" w:cs="Arial" w:eastAsia="Arial" w:hAnsi="Arial"/>
          <w:sz w:val="18"/>
          <w:szCs w:val="18"/>
          <w:color w:val="auto"/>
        </w:rPr>
      </w:pPr>
    </w:p>
    <w:p>
      <w:pPr>
        <w:ind w:left="1280" w:hanging="316"/>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18" w:lineRule="exact"/>
        <w:rPr>
          <w:sz w:val="20"/>
          <w:szCs w:val="20"/>
          <w:color w:val="auto"/>
        </w:rPr>
      </w:pPr>
    </w:p>
    <w:p>
      <w:pPr>
        <w:ind w:right="120" w:firstLine="878"/>
        <w:spacing w:after="0" w:line="266"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206" w:lineRule="exact"/>
        <w:rPr>
          <w:sz w:val="20"/>
          <w:szCs w:val="20"/>
          <w:color w:val="auto"/>
        </w:rPr>
      </w:pPr>
    </w:p>
    <w:p>
      <w:pPr>
        <w:ind w:firstLine="878"/>
        <w:spacing w:after="0" w:line="329" w:lineRule="auto"/>
        <w:rPr>
          <w:sz w:val="20"/>
          <w:szCs w:val="20"/>
          <w:color w:val="auto"/>
        </w:rPr>
      </w:pPr>
      <w:r>
        <w:rPr>
          <w:rFonts w:ascii="Arial" w:cs="Arial" w:eastAsia="Arial" w:hAnsi="Arial"/>
          <w:sz w:val="16"/>
          <w:szCs w:val="16"/>
          <w:color w:val="auto"/>
        </w:rPr>
        <w:t>In July 2019, the Company established the 2019 Equity Incentive Plan for the issuance of awards in the form of options, stock appreciation rights, restricted stock awards, restricted stock units, performance shares, performance units, cash-based awards, and other stock-based awards.</w:t>
      </w:r>
    </w:p>
    <w:p>
      <w:pPr>
        <w:spacing w:after="0" w:line="134" w:lineRule="exact"/>
        <w:rPr>
          <w:sz w:val="20"/>
          <w:szCs w:val="20"/>
          <w:color w:val="auto"/>
        </w:rPr>
      </w:pPr>
    </w:p>
    <w:p>
      <w:pPr>
        <w:jc w:val="both"/>
        <w:ind w:right="180" w:firstLine="878"/>
        <w:spacing w:after="0" w:line="256" w:lineRule="auto"/>
        <w:rPr>
          <w:sz w:val="20"/>
          <w:szCs w:val="20"/>
          <w:color w:val="auto"/>
        </w:rPr>
      </w:pPr>
      <w:r>
        <w:rPr>
          <w:rFonts w:ascii="Arial" w:cs="Arial" w:eastAsia="Arial" w:hAnsi="Arial"/>
          <w:sz w:val="18"/>
          <w:szCs w:val="18"/>
          <w:color w:val="auto"/>
        </w:rPr>
        <w:t>In connection with the IPO, our Board of Directors adopted and our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spacing w:after="0" w:line="189" w:lineRule="exact"/>
        <w:rPr>
          <w:sz w:val="20"/>
          <w:szCs w:val="20"/>
          <w:color w:val="auto"/>
        </w:rPr>
      </w:pPr>
    </w:p>
    <w:p>
      <w:pPr>
        <w:ind w:right="280" w:firstLine="878"/>
        <w:spacing w:after="0" w:line="266" w:lineRule="auto"/>
        <w:rPr>
          <w:sz w:val="20"/>
          <w:szCs w:val="20"/>
          <w:color w:val="auto"/>
        </w:rPr>
      </w:pPr>
      <w:r>
        <w:rPr>
          <w:rFonts w:ascii="Arial" w:cs="Arial" w:eastAsia="Arial" w:hAnsi="Arial"/>
          <w:sz w:val="18"/>
          <w:szCs w:val="18"/>
          <w:color w:val="auto"/>
        </w:rPr>
        <w:t>Under the 2019 Plan, the number of available shares was increased to 15,250,000, plus an annual increase added on the first day of each fiscal year, beginning with the fiscal year ending January 31, 2022, and continuing until, and including,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w:t>
      </w:r>
    </w:p>
    <w:p>
      <w:pPr>
        <w:spacing w:after="0" w:line="179" w:lineRule="exact"/>
        <w:rPr>
          <w:sz w:val="20"/>
          <w:szCs w:val="20"/>
          <w:color w:val="auto"/>
        </w:rPr>
      </w:pPr>
    </w:p>
    <w:p>
      <w:pPr>
        <w:ind w:firstLine="878"/>
        <w:spacing w:after="0" w:line="253" w:lineRule="auto"/>
        <w:rPr>
          <w:sz w:val="20"/>
          <w:szCs w:val="20"/>
          <w:color w:val="auto"/>
        </w:rPr>
      </w:pPr>
      <w:r>
        <w:rPr>
          <w:rFonts w:ascii="Arial" w:cs="Arial" w:eastAsia="Arial" w:hAnsi="Arial"/>
          <w:sz w:val="18"/>
          <w:szCs w:val="18"/>
          <w:color w:val="auto"/>
        </w:rPr>
        <w:t>Restricted stock units (“RSU”) issued prior to our IPO were subject to time-based and performance-based vesting conditions. RSUs issued subsequent to our IPO vest upon the satisfaction of a time-based condition only. RSUs are generally earned over a service period of four years. The compensation expense related to these awards is based on the grant date fair value of the RSUs and is recognized on a ratable basis over the applicable service period.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January 31, 2021, the Company had stock options outstanding under the 2014 Plan and the 2019 Plan had stock options and RSUs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4" w:lineRule="exact"/>
        <w:rPr>
          <w:sz w:val="20"/>
          <w:szCs w:val="20"/>
          <w:color w:val="auto"/>
        </w:rPr>
      </w:pPr>
    </w:p>
    <w:p>
      <w:pPr>
        <w:ind w:right="160" w:firstLine="878"/>
        <w:spacing w:after="0" w:line="267" w:lineRule="auto"/>
        <w:rPr>
          <w:sz w:val="20"/>
          <w:szCs w:val="20"/>
          <w:color w:val="auto"/>
        </w:rPr>
      </w:pPr>
      <w:r>
        <w:rPr>
          <w:rFonts w:ascii="Arial" w:cs="Arial" w:eastAsia="Arial" w:hAnsi="Arial"/>
          <w:sz w:val="17"/>
          <w:szCs w:val="17"/>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2019 and 2020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Fiscal Year Ended January 31,</w:t>
            </w:r>
          </w:p>
        </w:tc>
      </w:tr>
      <w:tr>
        <w:trPr>
          <w:trHeight w:val="184"/>
        </w:trPr>
        <w:tc>
          <w:tcPr>
            <w:tcW w:w="82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 from vesting)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6.10 - 6.25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40% - 41%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2.07% - 2.27%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1.63% - 2.59%</w:t>
            </w:r>
          </w:p>
        </w:tc>
      </w:tr>
    </w:tbl>
    <w:p>
      <w:pPr>
        <w:spacing w:after="0" w:line="202" w:lineRule="exact"/>
        <w:rPr>
          <w:sz w:val="20"/>
          <w:szCs w:val="20"/>
          <w:color w:val="auto"/>
        </w:rPr>
      </w:pPr>
    </w:p>
    <w:p>
      <w:pPr>
        <w:ind w:right="440" w:firstLine="878"/>
        <w:spacing w:after="0" w:line="296" w:lineRule="auto"/>
        <w:rPr>
          <w:sz w:val="20"/>
          <w:szCs w:val="20"/>
          <w:color w:val="auto"/>
        </w:rPr>
      </w:pPr>
      <w:r>
        <w:rPr>
          <w:rFonts w:ascii="Arial" w:cs="Arial" w:eastAsia="Arial" w:hAnsi="Arial"/>
          <w:sz w:val="17"/>
          <w:szCs w:val="17"/>
          <w:color w:val="auto"/>
        </w:rPr>
        <w:t>The grant date weighted average calculated fair value of options issued, net of forfeitures, was $5.36 and $6.74 per share for the fiscal years ended January 31, 2019 and 2020, respectively. There were no stock options granted for the fiscal year ended January 31, 2021.</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 option activity for the fiscal year ended January 31, 2021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(Years)</w:t>
            </w:r>
          </w:p>
        </w:tc>
        <w:tc>
          <w:tcPr>
            <w:tcW w:w="12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126,245</w:t>
            </w:r>
          </w:p>
        </w:tc>
        <w:tc>
          <w:tcPr>
            <w:tcW w:w="0" w:type="dxa"/>
            <w:vAlign w:val="bottom"/>
          </w:tcPr>
          <w:p>
            <w:pPr>
              <w:spacing w:after="0"/>
              <w:rPr>
                <w:sz w:val="1"/>
                <w:szCs w:val="1"/>
                <w:color w:val="auto"/>
              </w:rPr>
            </w:pPr>
          </w:p>
        </w:tc>
      </w:tr>
      <w:tr>
        <w:trPr>
          <w:trHeight w:val="225"/>
        </w:trPr>
        <w:tc>
          <w:tcPr>
            <w:tcW w:w="4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 or 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(2,308,699)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142,933</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5,467,012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359,193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20" w:type="dxa"/>
            <w:vAlign w:val="bottom"/>
          </w:tcPr>
          <w:p>
            <w:pPr>
              <w:ind w:left="20"/>
              <w:spacing w:after="0" w:line="199" w:lineRule="exact"/>
              <w:rPr>
                <w:sz w:val="20"/>
                <w:szCs w:val="20"/>
                <w:color w:val="auto"/>
              </w:rPr>
            </w:pPr>
            <w:r>
              <w:rPr>
                <w:rFonts w:ascii="Arial" w:cs="Arial" w:eastAsia="Arial" w:hAnsi="Arial"/>
                <w:sz w:val="18"/>
                <w:szCs w:val="18"/>
                <w:color w:val="auto"/>
              </w:rPr>
              <w:t>Exercisable, January 31, 2021</w:t>
            </w:r>
          </w:p>
        </w:tc>
        <w:tc>
          <w:tcPr>
            <w:tcW w:w="15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3,925,007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199"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4.71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5.36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262,927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January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5,436,172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920" w:type="dxa"/>
            <w:vAlign w:val="bottom"/>
          </w:tcPr>
          <w:p>
            <w:pPr>
              <w:spacing w:after="0"/>
              <w:rPr>
                <w:sz w:val="24"/>
                <w:szCs w:val="24"/>
                <w:color w:val="auto"/>
              </w:rPr>
            </w:pPr>
          </w:p>
        </w:tc>
        <w:tc>
          <w:tcPr>
            <w:tcW w:w="1500" w:type="dxa"/>
            <w:vAlign w:val="bottom"/>
          </w:tcPr>
          <w:p>
            <w:pPr>
              <w:jc w:val="right"/>
              <w:ind w:right="615"/>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9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878"/>
        <w:spacing w:after="0" w:line="253" w:lineRule="auto"/>
        <w:rPr>
          <w:sz w:val="20"/>
          <w:szCs w:val="20"/>
          <w:color w:val="auto"/>
        </w:rPr>
      </w:pPr>
      <w:r>
        <w:rPr>
          <w:rFonts w:ascii="Arial" w:cs="Arial" w:eastAsia="Arial" w:hAnsi="Arial"/>
          <w:sz w:val="18"/>
          <w:szCs w:val="18"/>
          <w:color w:val="auto"/>
        </w:rPr>
        <w:t>The total intrinsic value of options exercised during the fiscal years ended January 31, 2019, 2020, and 2021 was $32.4 million, $7.6 million, and $142.9 million, respectively. 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91" w:lineRule="exact"/>
        <w:rPr>
          <w:sz w:val="20"/>
          <w:szCs w:val="20"/>
          <w:color w:val="auto"/>
        </w:rPr>
      </w:pPr>
    </w:p>
    <w:p>
      <w:pPr>
        <w:ind w:right="20" w:firstLine="878"/>
        <w:spacing w:after="0" w:line="278" w:lineRule="auto"/>
        <w:rPr>
          <w:sz w:val="20"/>
          <w:szCs w:val="20"/>
          <w:color w:val="auto"/>
        </w:rPr>
      </w:pPr>
      <w:r>
        <w:rPr>
          <w:rFonts w:ascii="Arial" w:cs="Arial" w:eastAsia="Arial" w:hAnsi="Arial"/>
          <w:sz w:val="17"/>
          <w:szCs w:val="17"/>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72" w:lineRule="exact"/>
        <w:rPr>
          <w:sz w:val="20"/>
          <w:szCs w:val="20"/>
          <w:color w:val="auto"/>
        </w:rPr>
      </w:pPr>
    </w:p>
    <w:p>
      <w:pPr>
        <w:ind w:right="540" w:firstLine="878"/>
        <w:spacing w:after="0" w:line="329" w:lineRule="auto"/>
        <w:rPr>
          <w:sz w:val="20"/>
          <w:szCs w:val="20"/>
          <w:color w:val="auto"/>
        </w:rPr>
      </w:pPr>
      <w:r>
        <w:rPr>
          <w:rFonts w:ascii="Arial" w:cs="Arial" w:eastAsia="Arial" w:hAnsi="Arial"/>
          <w:sz w:val="16"/>
          <w:szCs w:val="16"/>
          <w:color w:val="auto"/>
        </w:rPr>
        <w:t>As of January 31, 2021, there was $3.3 million of total unrecognized compensation expense related to unvested stock-based compensation arrangements under the 2014 and 2019 Plans. That cost is expected to be recognized over a weighted average period of 1.88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RSU activity during the fiscal year ended January 31, 2021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8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5"/>
        </w:trPr>
        <w:tc>
          <w:tcPr>
            <w:tcW w:w="8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1,170,748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27"/>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5"/>
        </w:trPr>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1,848,296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weighted average grant date fair value for RSUs granted during the fiscal years ended January 31, 2019, 2020, and 2021 was $0.00, $21.75,</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and $22.30.</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total fair value of RSUs vested for the fiscal years ended January 31, 2019, 2020, and 2021 was $0.0 million, $0.0 million, and $5.5 million.</w:t>
      </w:r>
    </w:p>
    <w:p>
      <w:pPr>
        <w:spacing w:after="0" w:line="241" w:lineRule="exact"/>
        <w:rPr>
          <w:sz w:val="20"/>
          <w:szCs w:val="20"/>
          <w:color w:val="auto"/>
        </w:rPr>
      </w:pPr>
    </w:p>
    <w:p>
      <w:pPr>
        <w:jc w:val="both"/>
        <w:ind w:right="220" w:firstLine="878"/>
        <w:spacing w:after="0" w:line="348" w:lineRule="auto"/>
        <w:rPr>
          <w:sz w:val="20"/>
          <w:szCs w:val="20"/>
          <w:color w:val="auto"/>
        </w:rPr>
      </w:pPr>
      <w:r>
        <w:rPr>
          <w:rFonts w:ascii="Arial" w:cs="Arial" w:eastAsia="Arial" w:hAnsi="Arial"/>
          <w:sz w:val="14"/>
          <w:szCs w:val="14"/>
          <w:color w:val="auto"/>
        </w:rPr>
        <w:t>The RSUs granted prior to the IPO vest upon the satisfaction of both a time-based,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IPO and the Company recognized an expense of $12.2 million in cost of revenues and operating expenses for RSUs as of that date, using the accelerated attribution recognition method for the fiscal year ended January 31, 2021.</w:t>
      </w:r>
    </w:p>
    <w:p>
      <w:pPr>
        <w:spacing w:after="0" w:line="130" w:lineRule="exact"/>
        <w:rPr>
          <w:sz w:val="20"/>
          <w:szCs w:val="20"/>
          <w:color w:val="auto"/>
        </w:rPr>
      </w:pPr>
    </w:p>
    <w:p>
      <w:pPr>
        <w:ind w:right="400" w:firstLine="878"/>
        <w:spacing w:after="0" w:line="256" w:lineRule="auto"/>
        <w:rPr>
          <w:sz w:val="20"/>
          <w:szCs w:val="20"/>
          <w:color w:val="auto"/>
        </w:rPr>
      </w:pPr>
      <w:r>
        <w:rPr>
          <w:rFonts w:ascii="Arial" w:cs="Arial" w:eastAsia="Arial" w:hAnsi="Arial"/>
          <w:sz w:val="18"/>
          <w:szCs w:val="18"/>
          <w:color w:val="auto"/>
        </w:rPr>
        <w:t>As of January 31, 2021, total unrecognized compensation expense related to non-vested RSUs was $24.8 million, adjusted for estimated forfeitures, based on the estimated fair value of the Company’s common stock at the time of grant. The weighted-average period to be recognized is 3.15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4" w:lineRule="exact"/>
        <w:rPr>
          <w:sz w:val="20"/>
          <w:szCs w:val="20"/>
          <w:color w:val="auto"/>
        </w:rPr>
      </w:pPr>
    </w:p>
    <w:p>
      <w:pPr>
        <w:ind w:right="100" w:firstLine="878"/>
        <w:spacing w:after="0" w:line="267" w:lineRule="auto"/>
        <w:rPr>
          <w:sz w:val="20"/>
          <w:szCs w:val="20"/>
          <w:color w:val="auto"/>
        </w:rPr>
      </w:pPr>
      <w:r>
        <w:rPr>
          <w:rFonts w:ascii="Arial" w:cs="Arial" w:eastAsia="Arial" w:hAnsi="Arial"/>
          <w:sz w:val="17"/>
          <w:szCs w:val="17"/>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spacing w:after="0" w:line="329" w:lineRule="auto"/>
        <w:rPr>
          <w:sz w:val="20"/>
          <w:szCs w:val="20"/>
          <w:color w:val="auto"/>
        </w:rPr>
      </w:pPr>
      <w:r>
        <w:rPr>
          <w:rFonts w:ascii="Arial" w:cs="Arial" w:eastAsia="Arial" w:hAnsi="Arial"/>
          <w:sz w:val="16"/>
          <w:szCs w:val="16"/>
          <w:color w:val="auto"/>
        </w:rPr>
        <w:t>issued and outstanding on January 31 of the immediately preceding fiscal year, (ii) 1,800,000 shares of the Company's common stock or (iii) an amount determined by the Board of Directors. As of January 31, 2021, 1,800,000 shares of common stock remain available for grant under the ESPP.</w:t>
      </w:r>
    </w:p>
    <w:p>
      <w:pPr>
        <w:spacing w:after="0" w:line="134" w:lineRule="exact"/>
        <w:rPr>
          <w:sz w:val="20"/>
          <w:szCs w:val="20"/>
          <w:color w:val="auto"/>
        </w:rPr>
      </w:pPr>
    </w:p>
    <w:p>
      <w:pPr>
        <w:ind w:right="260" w:firstLine="878"/>
        <w:spacing w:after="0" w:line="290" w:lineRule="auto"/>
        <w:rPr>
          <w:sz w:val="20"/>
          <w:szCs w:val="20"/>
          <w:color w:val="auto"/>
        </w:rPr>
      </w:pPr>
      <w:r>
        <w:rPr>
          <w:rFonts w:ascii="Arial" w:cs="Arial" w:eastAsia="Arial" w:hAnsi="Arial"/>
          <w:sz w:val="16"/>
          <w:szCs w:val="16"/>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Fiscal Year Ended January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(33,478)</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4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880"/>
              <w:spacing w:after="0"/>
              <w:rPr>
                <w:sz w:val="20"/>
                <w:szCs w:val="20"/>
                <w:color w:val="auto"/>
              </w:rPr>
            </w:pPr>
            <w:r>
              <w:rPr>
                <w:rFonts w:ascii="Arial" w:cs="Arial" w:eastAsia="Arial" w:hAnsi="Arial"/>
                <w:sz w:val="18"/>
                <w:szCs w:val="18"/>
                <w:color w:val="auto"/>
                <w:w w:val="96"/>
              </w:rPr>
              <w:t>The provision for income taxes consisted of the following:</w:t>
            </w: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Fiscal Year Ended January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Current income tax expense:</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w:t>
            </w: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State</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expense</w:t>
            </w:r>
          </w:p>
        </w:tc>
        <w:tc>
          <w:tcPr>
            <w:tcW w:w="1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931"/>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5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differences between income taxes expected at the U.S. federal statutory income tax rate and the reported income tax expense are summarized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40" w:type="dxa"/>
            <w:vAlign w:val="bottom"/>
            <w:tcBorders>
              <w:bottom w:val="single" w:sz="8" w:color="auto"/>
            </w:tcBorders>
            <w:gridSpan w:val="7"/>
          </w:tcPr>
          <w:p>
            <w:pPr>
              <w:ind w:left="1460"/>
              <w:spacing w:after="0"/>
              <w:rPr>
                <w:sz w:val="20"/>
                <w:szCs w:val="20"/>
                <w:color w:val="auto"/>
              </w:rPr>
            </w:pPr>
            <w:r>
              <w:rPr>
                <w:rFonts w:ascii="Arial" w:cs="Arial" w:eastAsia="Arial" w:hAnsi="Arial"/>
                <w:sz w:val="14"/>
                <w:szCs w:val="14"/>
                <w:b w:val="1"/>
                <w:bCs w:val="1"/>
                <w:color w:val="auto"/>
                <w:w w:val="92"/>
              </w:rPr>
              <w:t>Fiscal Year Ended January 31,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Income tax benefit at statutory rate of 21% for 2019, 2020, and 2021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State income tax benefit (expense), net of federal impact</w:t>
            </w:r>
          </w:p>
        </w:tc>
        <w:tc>
          <w:tcPr>
            <w:tcW w:w="2780" w:type="dxa"/>
            <w:vAlign w:val="bottom"/>
            <w:gridSpan w:val="2"/>
          </w:tcPr>
          <w:p>
            <w:pPr>
              <w:jc w:val="right"/>
              <w:ind w:right="14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27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780" w:type="dxa"/>
            <w:vAlign w:val="bottom"/>
            <w:gridSpan w:val="2"/>
          </w:tcPr>
          <w:p>
            <w:pPr>
              <w:jc w:val="right"/>
              <w:ind w:right="14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27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780" w:type="dxa"/>
            <w:vAlign w:val="bottom"/>
            <w:gridSpan w:val="2"/>
          </w:tcPr>
          <w:p>
            <w:pPr>
              <w:jc w:val="right"/>
              <w:ind w:right="143"/>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27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2780" w:type="dxa"/>
            <w:vAlign w:val="bottom"/>
            <w:gridSpan w:val="2"/>
          </w:tcPr>
          <w:p>
            <w:pPr>
              <w:jc w:val="right"/>
              <w:ind w:right="10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Impacts of adoption of the new revenue standard</w:t>
            </w:r>
          </w:p>
        </w:tc>
        <w:tc>
          <w:tcPr>
            <w:tcW w:w="27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9"/>
        </w:trPr>
        <w:tc>
          <w:tcPr>
            <w:tcW w:w="522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100" w:type="dxa"/>
            <w:vAlign w:val="bottom"/>
            <w:gridSpan w:val="4"/>
          </w:tcPr>
          <w:p>
            <w:pPr>
              <w:ind w:left="880"/>
              <w:spacing w:after="0"/>
              <w:rPr>
                <w:sz w:val="20"/>
                <w:szCs w:val="20"/>
                <w:color w:val="auto"/>
              </w:rPr>
            </w:pPr>
            <w:r>
              <w:rPr>
                <w:rFonts w:ascii="Arial" w:cs="Arial" w:eastAsia="Arial" w:hAnsi="Arial"/>
                <w:sz w:val="18"/>
                <w:szCs w:val="18"/>
                <w:color w:val="auto"/>
                <w:w w:val="94"/>
              </w:rPr>
              <w:t>Significant components of the Company’s net deferred tax assets and liabilities were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January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35,608</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67,019</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compensation</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Financing obligation</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Reserves and accruals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39,661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79,961</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1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(36,425)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(70,056)</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color w:val="auto"/>
              </w:rPr>
              <w:t>Deferred tax liabilities:</w:t>
            </w: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Contract acquisition costs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5"/>
        </w:trPr>
        <w:tc>
          <w:tcPr>
            <w:tcW w:w="5220" w:type="dxa"/>
            <w:vAlign w:val="bottom"/>
          </w:tcPr>
          <w:p>
            <w:pPr>
              <w:ind w:left="340"/>
              <w:spacing w:after="0"/>
              <w:rPr>
                <w:sz w:val="20"/>
                <w:szCs w:val="20"/>
                <w:color w:val="auto"/>
              </w:rPr>
            </w:pPr>
            <w:r>
              <w:rPr>
                <w:rFonts w:ascii="Arial" w:cs="Arial" w:eastAsia="Arial" w:hAnsi="Arial"/>
                <w:sz w:val="18"/>
                <w:szCs w:val="18"/>
                <w:color w:val="auto"/>
              </w:rPr>
              <w:t>Remaining performance obligations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(3,430)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4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51"/>
              <w:spacing w:after="0"/>
              <w:rPr>
                <w:sz w:val="20"/>
                <w:szCs w:val="20"/>
                <w:color w:val="auto"/>
              </w:rPr>
            </w:pPr>
            <w:r>
              <w:rPr>
                <w:rFonts w:ascii="Arial" w:cs="Arial" w:eastAsia="Arial" w:hAnsi="Arial"/>
                <w:sz w:val="18"/>
                <w:szCs w:val="18"/>
                <w:color w:val="auto"/>
              </w:rPr>
              <w:t>84</w:t>
            </w: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5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net deferred tax asset (liability) was included in the consolidated balance sheets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As of January 31,</w:t>
            </w:r>
          </w:p>
        </w:tc>
        <w:tc>
          <w:tcPr>
            <w:tcW w:w="900" w:type="dxa"/>
            <w:vAlign w:val="bottom"/>
            <w:tcBorders>
              <w:bottom w:val="single" w:sz="8" w:color="auto"/>
            </w:tcBorders>
          </w:tcPr>
          <w:p>
            <w:pPr>
              <w:spacing w:after="0"/>
              <w:rPr>
                <w:sz w:val="16"/>
                <w:szCs w:val="16"/>
                <w:color w:val="auto"/>
              </w:rPr>
            </w:pPr>
          </w:p>
        </w:tc>
      </w:tr>
      <w:tr>
        <w:trPr>
          <w:trHeight w:val="184"/>
        </w:trPr>
        <w:tc>
          <w:tcPr>
            <w:tcW w:w="82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 noncurrent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0" w:firstLine="878"/>
        <w:spacing w:after="0" w:line="251"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$36.4 million and $70.1 million as of January 31, 2020 and 2021, respectively, because the Company believes it is not more likely than not the deferred tax asset in jurisdictions excluding several foreign jurisdictions will be realized. The valuation allowance change, primarily comprised of U.S. federal and state jurisdictions, increased by $33.6 million for the fiscal year ended January 31, 2021.</w:t>
      </w:r>
    </w:p>
    <w:p>
      <w:pPr>
        <w:spacing w:after="0" w:line="194" w:lineRule="exact"/>
        <w:rPr>
          <w:sz w:val="20"/>
          <w:szCs w:val="20"/>
          <w:color w:val="auto"/>
        </w:rPr>
      </w:pPr>
    </w:p>
    <w:p>
      <w:pPr>
        <w:ind w:right="180" w:firstLine="878"/>
        <w:spacing w:after="0" w:line="267" w:lineRule="auto"/>
        <w:rPr>
          <w:sz w:val="20"/>
          <w:szCs w:val="20"/>
          <w:color w:val="auto"/>
        </w:rPr>
      </w:pPr>
      <w:r>
        <w:rPr>
          <w:rFonts w:ascii="Arial" w:cs="Arial" w:eastAsia="Arial" w:hAnsi="Arial"/>
          <w:sz w:val="17"/>
          <w:szCs w:val="17"/>
          <w:color w:val="auto"/>
        </w:rPr>
        <w:t>The Company maintains its assertion of the Company’s intent for certain foreign earnings to be indefinitely reinvested. As of January 31, 2021, the Company has not recorded taxes on approximately $2.9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loss and valuation allowance position in the U.S. If the Company were to repatriate the undistributed earnings, the tax liability is $0.1 million.</w:t>
      </w:r>
    </w:p>
    <w:p>
      <w:pPr>
        <w:spacing w:after="0" w:line="180" w:lineRule="exact"/>
        <w:rPr>
          <w:sz w:val="20"/>
          <w:szCs w:val="20"/>
          <w:color w:val="auto"/>
        </w:rPr>
      </w:pPr>
    </w:p>
    <w:p>
      <w:pPr>
        <w:ind w:right="60" w:firstLine="878"/>
        <w:spacing w:after="0" w:line="287" w:lineRule="auto"/>
        <w:rPr>
          <w:sz w:val="20"/>
          <w:szCs w:val="20"/>
          <w:color w:val="auto"/>
        </w:rPr>
      </w:pPr>
      <w:r>
        <w:rPr>
          <w:rFonts w:ascii="Arial" w:cs="Arial" w:eastAsia="Arial" w:hAnsi="Arial"/>
          <w:sz w:val="16"/>
          <w:szCs w:val="16"/>
          <w:color w:val="auto"/>
        </w:rPr>
        <w:t>As of January 31, 2021, for U.S. federal income tax purposes, the Company has net operating loss carryforwards of approximately $79.4 million, which begin to expire in the fiscal years ended 2034 through 2039, and $170.9 million which does not have an expiration period. For U.S. state income tax purposes, the Company has net operating loss carryforwards of approximately $175.3 million, which expire beginning in the fiscal years ended 2023 through 2042, and $29.3 million which does not have an expiration period. For international income tax purposes, the Company has net operating loss carryforwards of approximately $21.0 million that do not expire, with the exception of $2.4 million, which will begin to expire in the fiscal year ended 2031. The Company currently does not have any limitations on net operating loss carryforwards due to the change in ownership provisions of the Tax Reform Act of 1986.</w:t>
      </w:r>
    </w:p>
    <w:p>
      <w:pPr>
        <w:spacing w:after="0" w:line="169" w:lineRule="exact"/>
        <w:rPr>
          <w:sz w:val="20"/>
          <w:szCs w:val="20"/>
          <w:color w:val="auto"/>
        </w:rPr>
      </w:pPr>
    </w:p>
    <w:p>
      <w:pPr>
        <w:ind w:right="80" w:firstLine="878"/>
        <w:spacing w:after="0" w:line="256"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2021, the Company is no longer subject to U.S. federal and state examinations by tax authorities for tax years prior to 2017. However, amounts reported as net operating losses and tax credit carryforwards from these tax periods remain subject to review by most tax authorities.</w:t>
      </w:r>
    </w:p>
    <w:p>
      <w:pPr>
        <w:spacing w:after="0" w:line="189" w:lineRule="exact"/>
        <w:rPr>
          <w:sz w:val="20"/>
          <w:szCs w:val="20"/>
          <w:color w:val="auto"/>
        </w:rPr>
      </w:pPr>
    </w:p>
    <w:p>
      <w:pPr>
        <w:ind w:right="180" w:firstLine="878"/>
        <w:spacing w:after="0" w:line="303"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2020 and 2021, the Company has not recognized any unrecognized tax benefits, interest or penalties for any income tax 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Contribution Plan</w:t>
      </w:r>
    </w:p>
    <w:p>
      <w:pPr>
        <w:spacing w:after="0" w:line="224" w:lineRule="exact"/>
        <w:rPr>
          <w:sz w:val="20"/>
          <w:szCs w:val="20"/>
          <w:color w:val="auto"/>
        </w:rPr>
      </w:pPr>
    </w:p>
    <w:p>
      <w:pPr>
        <w:ind w:right="400" w:firstLine="878"/>
        <w:spacing w:after="0" w:line="253"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2019, 2020, and 2021 were $0.1 million, $0.9 million, and $2.1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4" w:lineRule="exact"/>
        <w:rPr>
          <w:sz w:val="20"/>
          <w:szCs w:val="20"/>
          <w:color w:val="auto"/>
        </w:rPr>
      </w:pPr>
    </w:p>
    <w:p>
      <w:pPr>
        <w:ind w:right="40" w:firstLine="878"/>
        <w:spacing w:after="0" w:line="294" w:lineRule="auto"/>
        <w:rPr>
          <w:sz w:val="20"/>
          <w:szCs w:val="20"/>
          <w:color w:val="auto"/>
        </w:rPr>
      </w:pPr>
      <w:r>
        <w:rPr>
          <w:rFonts w:ascii="Arial" w:cs="Arial" w:eastAsia="Arial" w:hAnsi="Arial"/>
          <w:sz w:val="16"/>
          <w:szCs w:val="16"/>
          <w:color w:val="auto"/>
        </w:rPr>
        <w:t>The Company leases its facilities and a portion of its equipment under various non-cancellable agreements, which expire at various times through July 2028 and require various minimum annual rentals. The terms of the lease agreements provide for rental payments on a graduated basis. The Company recognizes rent expense on a straight-line basis over the lease period and has accrued for rent expense incurred but not paid. If the Company were to exercise any options to renew, contained in some of these agreements, the Company's future contractual obligations would change.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24" w:lineRule="exact"/>
        <w:rPr>
          <w:sz w:val="20"/>
          <w:szCs w:val="20"/>
          <w:color w:val="auto"/>
        </w:rPr>
      </w:pPr>
    </w:p>
    <w:p>
      <w:pPr>
        <w:ind w:right="100" w:firstLine="878"/>
        <w:spacing w:after="0" w:line="266"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entered into in the ordinary course of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Obligation</w:t>
      </w:r>
    </w:p>
    <w:p>
      <w:pPr>
        <w:spacing w:after="0" w:line="224" w:lineRule="exact"/>
        <w:rPr>
          <w:sz w:val="20"/>
          <w:szCs w:val="20"/>
          <w:color w:val="auto"/>
        </w:rPr>
      </w:pPr>
    </w:p>
    <w:p>
      <w:pPr>
        <w:ind w:right="120" w:firstLine="878"/>
        <w:spacing w:after="0" w:line="284" w:lineRule="auto"/>
        <w:rPr>
          <w:sz w:val="20"/>
          <w:szCs w:val="20"/>
          <w:color w:val="auto"/>
        </w:rPr>
      </w:pPr>
      <w:r>
        <w:rPr>
          <w:rFonts w:ascii="Arial" w:cs="Arial" w:eastAsia="Arial" w:hAnsi="Arial"/>
          <w:sz w:val="16"/>
          <w:szCs w:val="16"/>
          <w:color w:val="auto"/>
        </w:rPr>
        <w:t>The Company entered into a new lease agreement for our headquarters in November 2020 with a new lessor. The lease goes through 2035 with options to renew. Due to a purchase option contained in the lease, the Company is deemed to have continuing involvement and is considered to be the owner of our headquarters for accounting purposes. As a result, the Company did not meet the criteria to apply sale-leaseback accounting and therefore recorded an asset and corresponding financing obligation for $16.3 million at inception of the lease. The Company also entered into an agreement for a parking deck in January 2021 which is an addition to the existing headquarters building. Due to the Company also being deemed to be the owner of the parking deck for accounting purposes, the costs associated with the construction of the parking deck will be capitalized as construction in progress with a corresponding construction liability through construction which is estimated to be approximately $18.0 million. Upon completion of the parking deck, the construction liability will be recorded as a financing obligation. Upon expiration of the purchase option in the lease, the lease will be analyzed for applicable lease accounting. The construction in progress and corresponding construction liability at January 31, 2021 was de minimis.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Purchase commitments and future minimum lease payments required under operating leases and financing obligation at January 31, 2021 is as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Fiscal Year Ending January 31,</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Purchase</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Operating lease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Financing obligation -</w:t>
            </w:r>
          </w:p>
        </w:tc>
        <w:tc>
          <w:tcPr>
            <w:tcW w:w="0" w:type="dxa"/>
            <w:vAlign w:val="bottom"/>
          </w:tcPr>
          <w:p>
            <w:pPr>
              <w:spacing w:after="0"/>
              <w:rPr>
                <w:sz w:val="1"/>
                <w:szCs w:val="1"/>
                <w:color w:val="auto"/>
              </w:rPr>
            </w:pPr>
          </w:p>
        </w:tc>
      </w:tr>
      <w:tr>
        <w:trPr>
          <w:trHeight w:val="146"/>
        </w:trPr>
        <w:tc>
          <w:tcPr>
            <w:tcW w:w="67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commitments</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obligations</w:t>
            </w:r>
          </w:p>
        </w:tc>
        <w:tc>
          <w:tcPr>
            <w:tcW w:w="220" w:type="dxa"/>
            <w:vAlign w:val="bottom"/>
          </w:tcPr>
          <w:p>
            <w:pPr>
              <w:spacing w:after="0"/>
              <w:rPr>
                <w:sz w:val="12"/>
                <w:szCs w:val="12"/>
                <w:color w:val="auto"/>
              </w:rPr>
            </w:pPr>
          </w:p>
        </w:tc>
        <w:tc>
          <w:tcPr>
            <w:tcW w:w="122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w w:val="97"/>
              </w:rPr>
              <w:t>leased facility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w:t>
            </w:r>
          </w:p>
        </w:tc>
        <w:tc>
          <w:tcPr>
            <w:tcW w:w="0" w:type="dxa"/>
            <w:vAlign w:val="bottom"/>
          </w:tcPr>
          <w:p>
            <w:pPr>
              <w:spacing w:after="0"/>
              <w:rPr>
                <w:sz w:val="1"/>
                <w:szCs w:val="1"/>
                <w:color w:val="auto"/>
              </w:rPr>
            </w:pPr>
          </w:p>
        </w:tc>
      </w:tr>
      <w:tr>
        <w:trPr>
          <w:trHeight w:val="285"/>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185"/>
        </w:trPr>
        <w:tc>
          <w:tcPr>
            <w:tcW w:w="6740" w:type="dxa"/>
            <w:vAlign w:val="bottom"/>
            <w:tcBorders>
              <w:top w:val="single" w:sz="8" w:color="CCEEFF"/>
            </w:tcBorders>
            <w:gridSpan w:val="3"/>
          </w:tcPr>
          <w:p>
            <w:pPr>
              <w:ind w:left="20"/>
              <w:spacing w:after="0" w:line="185" w:lineRule="exact"/>
              <w:rPr>
                <w:sz w:val="20"/>
                <w:szCs w:val="20"/>
                <w:color w:val="auto"/>
              </w:rPr>
            </w:pPr>
            <w:r>
              <w:rPr>
                <w:rFonts w:ascii="Arial" w:cs="Arial" w:eastAsia="Arial" w:hAnsi="Arial"/>
                <w:sz w:val="18"/>
                <w:szCs w:val="18"/>
                <w:color w:val="auto"/>
              </w:rPr>
              <w:t>Residual financing obligation and asset</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6"/>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2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Financing obligation</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60" w:firstLine="878"/>
        <w:spacing w:after="0" w:line="266" w:lineRule="auto"/>
        <w:rPr>
          <w:sz w:val="20"/>
          <w:szCs w:val="20"/>
          <w:color w:val="auto"/>
        </w:rPr>
      </w:pPr>
      <w:r>
        <w:rPr>
          <w:rFonts w:ascii="Arial" w:cs="Arial" w:eastAsia="Arial" w:hAnsi="Arial"/>
          <w:sz w:val="18"/>
          <w:szCs w:val="18"/>
          <w:color w:val="auto"/>
        </w:rPr>
        <w:t>Total lease and purchase commitment expense, inclusive of contracts less than a year, amounted to $5.8 million, $8.7 million, and $11.4 million for the fiscal years ended January 31, 2019, 2020,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4" w:lineRule="exact"/>
        <w:rPr>
          <w:sz w:val="20"/>
          <w:szCs w:val="20"/>
          <w:color w:val="auto"/>
        </w:rPr>
      </w:pPr>
    </w:p>
    <w:p>
      <w:pPr>
        <w:ind w:right="300" w:firstLine="878"/>
        <w:spacing w:after="0" w:line="266" w:lineRule="auto"/>
        <w:rPr>
          <w:sz w:val="20"/>
          <w:szCs w:val="20"/>
          <w:color w:val="auto"/>
        </w:rPr>
      </w:pPr>
      <w:r>
        <w:rPr>
          <w:rFonts w:ascii="Arial" w:cs="Arial" w:eastAsia="Arial" w:hAnsi="Arial"/>
          <w:sz w:val="18"/>
          <w:szCs w:val="18"/>
          <w:color w:val="auto"/>
        </w:rPr>
        <w:t>In the ordinary course of business, the Company generally includes standard indemnification provisions in its arrangements with third parties, including vendors, customers, and the Company’s directors and officers. Pursuant to these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jc w:val="both"/>
        <w:ind w:right="40" w:firstLine="878"/>
        <w:spacing w:after="0" w:line="294"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62"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sole class representative in the suit is one individual alleging a contract, combination or conspiracy between and among the Company, Live Oak Bancshares, Inc. and Apiture LLC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Although there can be no assurance with respect to the outcome of this matter, the Company believes the alleged claims are not meritorious and intends to defend itself vigorously.</w:t>
      </w:r>
    </w:p>
    <w:p>
      <w:pPr>
        <w:spacing w:after="0" w:line="169" w:lineRule="exact"/>
        <w:rPr>
          <w:sz w:val="20"/>
          <w:szCs w:val="20"/>
          <w:color w:val="auto"/>
        </w:rPr>
      </w:pPr>
    </w:p>
    <w:p>
      <w:pPr>
        <w:ind w:right="200" w:firstLine="878"/>
        <w:spacing w:after="0" w:line="266" w:lineRule="auto"/>
        <w:rPr>
          <w:sz w:val="20"/>
          <w:szCs w:val="20"/>
          <w:color w:val="auto"/>
        </w:rPr>
      </w:pPr>
      <w:r>
        <w:rPr>
          <w:rFonts w:ascii="Arial" w:cs="Arial" w:eastAsia="Arial" w:hAnsi="Arial"/>
          <w:sz w:val="18"/>
          <w:szCs w:val="18"/>
          <w:color w:val="auto"/>
        </w:rPr>
        <w:t>The Company does not presently believe the above matters will have a material adverse effect on its day-to-day operations or the quality of the services, products or innovation it continues to provide to its customers.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Given the uncertainty and preliminary stages of these matters, we cannot reasonably estimate any possible loss or range of loss that may result.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Related-Party Transactions</w:t>
      </w:r>
    </w:p>
    <w:p>
      <w:pPr>
        <w:spacing w:after="0" w:line="158" w:lineRule="exact"/>
        <w:rPr>
          <w:sz w:val="20"/>
          <w:szCs w:val="20"/>
          <w:color w:val="auto"/>
        </w:rPr>
      </w:pPr>
    </w:p>
    <w:p>
      <w:pPr>
        <w:ind w:right="100" w:firstLine="878"/>
        <w:spacing w:after="0" w:line="286" w:lineRule="auto"/>
        <w:rPr>
          <w:sz w:val="20"/>
          <w:szCs w:val="20"/>
          <w:color w:val="auto"/>
        </w:rPr>
      </w:pPr>
      <w:r>
        <w:rPr>
          <w:rFonts w:ascii="Arial" w:cs="Arial" w:eastAsia="Arial" w:hAnsi="Arial"/>
          <w:sz w:val="16"/>
          <w:szCs w:val="16"/>
          <w:color w:val="auto"/>
        </w:rPr>
        <w:t>The Company’s main vendor is also an equity holder in the Company. Total payments related to the agreement with the related party are disclosed in Note 9. The Company also purchases services from this related party to assist in managing its own sales cycle, customer relationship management, and other business functions. The Company has a non-cancellable agreement with the related party for the purchase of services. In December 2020, this agreement was renewed for one year and expires in December 2021. Total payments to the related party for these services recorded to expenses were $0.8 million, $1.1 million, and $1.2 million for the fiscal years ended January 31, 2019, 2020, and 2021, respectively and $1.1 million and $1.3 million were in prepaid expenses and other current assets as of January 31, 2020 and January 31, 2021, respectively. Accounts payable to the related party were $3.3 million and $4.4 million at January 31, 2020 and January 31, 2021, respectively, included in accounts payable, related parties.</w:t>
      </w:r>
    </w:p>
    <w:p>
      <w:pPr>
        <w:spacing w:after="0" w:line="167"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In the quarter ended July 31, 2020, certain equity holders ceased to qualify as related parties of the Company and the amounts disclosed related to them are accordingly presented through April 30, 2020 only. Included in revenues from three equity holders, who are also customers of the Company, is $9.9 million, $8.4 million, and $2.8 million for the fiscal years ended January 31, 2019, 2020, and 2021, respectively. Deferred revenue, current portion, related parties was $8.0 million as of January 31, 2020. Accounts receivable, related parties was $9.2 million as of January 31, 2020.</w:t>
      </w:r>
    </w:p>
    <w:p>
      <w:pPr>
        <w:spacing w:after="0" w:line="178" w:lineRule="exact"/>
        <w:rPr>
          <w:sz w:val="20"/>
          <w:szCs w:val="20"/>
          <w:color w:val="auto"/>
        </w:rPr>
      </w:pPr>
    </w:p>
    <w:p>
      <w:pPr>
        <w:ind w:right="80" w:firstLine="878"/>
        <w:spacing w:after="0" w:line="253" w:lineRule="auto"/>
        <w:rPr>
          <w:sz w:val="20"/>
          <w:szCs w:val="20"/>
          <w:color w:val="auto"/>
        </w:rPr>
      </w:pPr>
      <w:r>
        <w:rPr>
          <w:rFonts w:ascii="Arial" w:cs="Arial" w:eastAsia="Arial" w:hAnsi="Arial"/>
          <w:sz w:val="18"/>
          <w:szCs w:val="18"/>
          <w:color w:val="auto"/>
        </w:rPr>
        <w:t>The Company has a banking relationship with one of its former equity holders who was considered a related party. In the quarter ended July 31, 2020, the equity holder ceased to qualify as a related party of the Company and the amounts disclosed related to such former equity holder are accordingly presented as a related party through April 30, 2020, only. Included in interest income is $0.9 million, $0.7 million, and $0.1 million for the fiscal years ended January 31, 2019, 2020, and 2021, respectively.</w:t>
      </w:r>
    </w:p>
    <w:p>
      <w:pPr>
        <w:spacing w:after="0" w:line="191" w:lineRule="exact"/>
        <w:rPr>
          <w:sz w:val="20"/>
          <w:szCs w:val="20"/>
          <w:color w:val="auto"/>
        </w:rPr>
      </w:pPr>
    </w:p>
    <w:p>
      <w:pPr>
        <w:ind w:right="140" w:firstLine="878"/>
        <w:spacing w:after="0" w:line="266" w:lineRule="auto"/>
        <w:rPr>
          <w:sz w:val="20"/>
          <w:szCs w:val="20"/>
          <w:color w:val="auto"/>
        </w:rPr>
      </w:pPr>
      <w:r>
        <w:rPr>
          <w:rFonts w:ascii="Arial" w:cs="Arial" w:eastAsia="Arial" w:hAnsi="Arial"/>
          <w:sz w:val="18"/>
          <w:szCs w:val="18"/>
          <w:color w:val="auto"/>
        </w:rPr>
        <w:t>The Company entered into an agreement with one of its equity holders in May 2016 to spend an agreed-upon amount of funds over a three-year period to further the alliance between the two companies. In October 2020, the agreement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was extended for an additional three years. As of January 31, 2021, the Company was in compliance with the terms of the agreement. In the quarter ended July 31, 2020, the equity holder ceased to qualify as a related party of the Company and the amounts disclosed related to such equity holder are accordingly presented as a related party through April 30, 2020, only. For the fiscal years ended January 31, 2019, 2020, and 2021, $1.7 million, $0.06 million, and $0.0 million was spent,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224" w:lineRule="exact"/>
        <w:rPr>
          <w:sz w:val="20"/>
          <w:szCs w:val="20"/>
          <w:color w:val="auto"/>
        </w:rPr>
      </w:pPr>
    </w:p>
    <w:p>
      <w:pPr>
        <w:ind w:right="80" w:firstLine="878"/>
        <w:spacing w:after="0" w:line="251"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2019, 2020, and 2021 is the same as the basic loss per share as there was a net loss for those periods, and inclusion of potentially issuable shares was anti-dilutive.</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components of basic and diluted loss per share for periods presented are as follows (in thousands, except share and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31"/>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184"/>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07"/>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Basic and diluted loss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nCino, Inc.</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(40,536)</w:t>
            </w: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74,593,709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78,316,794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87,678,323</w:t>
            </w: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Basic and diluted loss per share attributable to nCino, Inc.</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r>
    </w:tbl>
    <w:p>
      <w:pPr>
        <w:spacing w:after="0" w:line="202" w:lineRule="exact"/>
        <w:rPr>
          <w:sz w:val="20"/>
          <w:szCs w:val="20"/>
          <w:color w:val="auto"/>
        </w:rPr>
      </w:pPr>
    </w:p>
    <w:p>
      <w:pPr>
        <w:ind w:right="300" w:firstLine="638"/>
        <w:spacing w:after="0" w:line="266"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42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Fiscal Year Ended January 31,</w:t>
            </w:r>
          </w:p>
        </w:tc>
        <w:tc>
          <w:tcPr>
            <w:tcW w:w="1080" w:type="dxa"/>
            <w:vAlign w:val="bottom"/>
            <w:tcBorders>
              <w:bottom w:val="single" w:sz="8" w:color="auto"/>
            </w:tcBorders>
          </w:tcPr>
          <w:p>
            <w:pPr>
              <w:spacing w:after="0"/>
              <w:rPr>
                <w:sz w:val="16"/>
                <w:szCs w:val="16"/>
                <w:color w:val="auto"/>
              </w:rPr>
            </w:pPr>
          </w:p>
        </w:tc>
      </w:tr>
      <w:tr>
        <w:trPr>
          <w:trHeight w:val="184"/>
        </w:trPr>
        <w:tc>
          <w:tcPr>
            <w:tcW w:w="422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5,467,012</w:t>
            </w:r>
          </w:p>
        </w:tc>
      </w:tr>
      <w:tr>
        <w:trPr>
          <w:trHeight w:val="225"/>
        </w:trPr>
        <w:tc>
          <w:tcPr>
            <w:tcW w:w="422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25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1,848,296</w:t>
            </w:r>
          </w:p>
        </w:tc>
      </w:tr>
      <w:tr>
        <w:trPr>
          <w:trHeight w:val="798"/>
        </w:trPr>
        <w:tc>
          <w:tcPr>
            <w:tcW w:w="4220" w:type="dxa"/>
            <w:vAlign w:val="bottom"/>
          </w:tcPr>
          <w:p>
            <w:pPr>
              <w:spacing w:after="0"/>
              <w:rPr>
                <w:sz w:val="24"/>
                <w:szCs w:val="24"/>
                <w:color w:val="auto"/>
              </w:rPr>
            </w:pPr>
          </w:p>
        </w:tc>
        <w:tc>
          <w:tcPr>
            <w:tcW w:w="2520" w:type="dxa"/>
            <w:vAlign w:val="bottom"/>
          </w:tcPr>
          <w:p>
            <w:pPr>
              <w:jc w:val="right"/>
              <w:ind w:right="931"/>
              <w:spacing w:after="0"/>
              <w:rPr>
                <w:sz w:val="20"/>
                <w:szCs w:val="20"/>
                <w:color w:val="auto"/>
              </w:rPr>
            </w:pPr>
            <w:r>
              <w:rPr>
                <w:rFonts w:ascii="Arial" w:cs="Arial" w:eastAsia="Arial" w:hAnsi="Arial"/>
                <w:sz w:val="18"/>
                <w:szCs w:val="18"/>
                <w:color w:val="auto"/>
              </w:rPr>
              <w:t>88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4"/>
        </w:trPr>
        <w:tc>
          <w:tcPr>
            <w:tcW w:w="42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Selected summarized quarterly financial information for the fiscal years ended January 31, 2020 and 2021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12"/>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January 31, 2020</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29,836</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31,978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37,862</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38,504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138,180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nCino, Inc.</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40" w:type="dxa"/>
            <w:vAlign w:val="bottom"/>
            <w:shd w:val="clear" w:color="auto" w:fill="CCEEFF"/>
          </w:tcPr>
          <w:p>
            <w:pPr>
              <w:ind w:left="20"/>
              <w:spacing w:after="0" w:line="141" w:lineRule="exact"/>
              <w:rPr>
                <w:sz w:val="20"/>
                <w:szCs w:val="20"/>
                <w:color w:val="auto"/>
              </w:rPr>
            </w:pPr>
            <w:r>
              <w:rPr>
                <w:rFonts w:ascii="Arial" w:cs="Arial" w:eastAsia="Arial" w:hAnsi="Arial"/>
                <w:sz w:val="16"/>
                <w:szCs w:val="16"/>
                <w:color w:val="auto"/>
              </w:rPr>
              <w:t>Basic and diluted net loss per share attributable to nCino,</w:t>
            </w: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Inc.</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Fiscal Year Ended January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204,293</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88,135</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116,158</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(41,270)</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174"/>
        </w:trPr>
        <w:tc>
          <w:tcPr>
            <w:tcW w:w="4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8"/>
              </w:rPr>
              <w:t>Adjustment attributable to redeemable non-controlling</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8"/>
                <w:szCs w:val="18"/>
                <w:color w:val="auto"/>
              </w:rPr>
              <w:t>Net loss attributable to nCino, Inc.</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40" w:type="dxa"/>
            <w:vAlign w:val="bottom"/>
            <w:shd w:val="clear" w:color="auto" w:fill="CCEEFF"/>
          </w:tcPr>
          <w:p>
            <w:pPr>
              <w:ind w:left="20"/>
              <w:spacing w:after="0" w:line="141" w:lineRule="exact"/>
              <w:rPr>
                <w:sz w:val="20"/>
                <w:szCs w:val="20"/>
                <w:color w:val="auto"/>
              </w:rPr>
            </w:pPr>
            <w:r>
              <w:rPr>
                <w:rFonts w:ascii="Arial" w:cs="Arial" w:eastAsia="Arial" w:hAnsi="Arial"/>
                <w:sz w:val="16"/>
                <w:szCs w:val="16"/>
                <w:color w:val="auto"/>
              </w:rPr>
              <w:t>Basic and diluted net loss per share attributable to nCino,</w:t>
            </w: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Inc.</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51"/>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200" w:firstLine="878"/>
        <w:spacing w:after="0" w:line="284"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January 31, 2021, the last day of the period covered by this Annual Report on Form 10-K. Based on this evaluation, our principal executive officer and principal financial officer have concluded that, at January 31, 2021, our disclosure controls and procedures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4" w:lineRule="exact"/>
        <w:rPr>
          <w:sz w:val="20"/>
          <w:szCs w:val="20"/>
          <w:color w:val="auto"/>
        </w:rPr>
      </w:pPr>
    </w:p>
    <w:p>
      <w:pPr>
        <w:ind w:right="20" w:firstLine="878"/>
        <w:spacing w:after="0" w:line="329"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as permitted in this transition period under the rules of the SEC for newly public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ind w:firstLine="87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fiscal quarter ended January 31, 2021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224"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4" w:lineRule="exact"/>
        <w:rPr>
          <w:sz w:val="20"/>
          <w:szCs w:val="20"/>
          <w:color w:val="auto"/>
        </w:rPr>
      </w:pPr>
    </w:p>
    <w:p>
      <w:pPr>
        <w:ind w:right="100" w:firstLine="878"/>
        <w:spacing w:after="0" w:line="303" w:lineRule="auto"/>
        <w:rPr>
          <w:sz w:val="20"/>
          <w:szCs w:val="20"/>
          <w:color w:val="auto"/>
        </w:rPr>
      </w:pPr>
      <w:r>
        <w:rPr>
          <w:rFonts w:ascii="Arial" w:cs="Arial" w:eastAsia="Arial" w:hAnsi="Arial"/>
          <w:sz w:val="16"/>
          <w:szCs w:val="16"/>
          <w:color w:val="auto"/>
        </w:rPr>
        <w:t>The information required by this Item 10 is incorporated by reference from the sections entitled “</w:t>
      </w:r>
      <w:r>
        <w:rPr>
          <w:rFonts w:ascii="Arial" w:cs="Arial" w:eastAsia="Arial" w:hAnsi="Arial"/>
          <w:sz w:val="16"/>
          <w:szCs w:val="16"/>
          <w:i w:val="1"/>
          <w:iCs w:val="1"/>
          <w:color w:val="auto"/>
        </w:rPr>
        <w:t>Proposal One: Election of Class I Directors</w:t>
      </w:r>
      <w:r>
        <w:rPr>
          <w:rFonts w:ascii="Arial" w:cs="Arial" w:eastAsia="Arial" w:hAnsi="Arial"/>
          <w:sz w:val="16"/>
          <w:szCs w:val="16"/>
          <w:color w:val="auto"/>
        </w:rPr>
        <w:t xml:space="preserve"> Named </w:t>
      </w:r>
      <w:r>
        <w:rPr>
          <w:rFonts w:ascii="Arial" w:cs="Arial" w:eastAsia="Arial" w:hAnsi="Arial"/>
          <w:sz w:val="16"/>
          <w:szCs w:val="16"/>
          <w:i w:val="1"/>
          <w:iCs w:val="1"/>
          <w:color w:val="auto"/>
        </w:rPr>
        <w:t>in this Proxy Statement</w:t>
      </w:r>
      <w:r>
        <w:rPr>
          <w:rFonts w:ascii="Arial" w:cs="Arial" w:eastAsia="Arial" w:hAnsi="Arial"/>
          <w:sz w:val="16"/>
          <w:szCs w:val="16"/>
          <w:color w:val="auto"/>
        </w:rPr>
        <w:t>,” “</w:t>
      </w:r>
      <w:r>
        <w:rPr>
          <w:rFonts w:ascii="Arial" w:cs="Arial" w:eastAsia="Arial" w:hAnsi="Arial"/>
          <w:sz w:val="16"/>
          <w:szCs w:val="16"/>
          <w:i w:val="1"/>
          <w:iCs w:val="1"/>
          <w:color w:val="auto"/>
        </w:rPr>
        <w:t>Corporate Governance</w:t>
      </w:r>
      <w:r>
        <w:rPr>
          <w:rFonts w:ascii="Arial" w:cs="Arial" w:eastAsia="Arial" w:hAnsi="Arial"/>
          <w:sz w:val="16"/>
          <w:szCs w:val="16"/>
          <w:color w:val="auto"/>
        </w:rPr>
        <w:t>,” “</w:t>
      </w:r>
      <w:r>
        <w:rPr>
          <w:rFonts w:ascii="Arial" w:cs="Arial" w:eastAsia="Arial" w:hAnsi="Arial"/>
          <w:sz w:val="16"/>
          <w:szCs w:val="16"/>
          <w:i w:val="1"/>
          <w:iCs w:val="1"/>
          <w:color w:val="auto"/>
        </w:rPr>
        <w:t>Executive Officers</w:t>
      </w:r>
      <w:r>
        <w:rPr>
          <w:rFonts w:ascii="Arial" w:cs="Arial" w:eastAsia="Arial" w:hAnsi="Arial"/>
          <w:sz w:val="16"/>
          <w:szCs w:val="16"/>
          <w:color w:val="auto"/>
        </w:rPr>
        <w:t>,” and “</w:t>
      </w:r>
      <w:r>
        <w:rPr>
          <w:rFonts w:ascii="Arial" w:cs="Arial" w:eastAsia="Arial" w:hAnsi="Arial"/>
          <w:sz w:val="16"/>
          <w:szCs w:val="16"/>
          <w:i w:val="1"/>
          <w:iCs w:val="1"/>
          <w:color w:val="auto"/>
        </w:rPr>
        <w:t>Delinquent Section 16(a) Reports</w:t>
      </w:r>
      <w:r>
        <w:rPr>
          <w:rFonts w:ascii="Arial" w:cs="Arial" w:eastAsia="Arial" w:hAnsi="Arial"/>
          <w:sz w:val="16"/>
          <w:szCs w:val="16"/>
          <w:color w:val="auto"/>
        </w:rPr>
        <w:t>” from our Proxy Statement relating to our 2021 Annual Meeting of Shareholders which will be filed with the SEC within 120 days of the fiscal year ended January 31, 2021</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4" w:lineRule="exact"/>
        <w:rPr>
          <w:sz w:val="20"/>
          <w:szCs w:val="20"/>
          <w:color w:val="auto"/>
        </w:rPr>
      </w:pPr>
    </w:p>
    <w:p>
      <w:pPr>
        <w:ind w:right="380" w:firstLine="878"/>
        <w:spacing w:after="0" w:line="256" w:lineRule="auto"/>
        <w:rPr>
          <w:sz w:val="20"/>
          <w:szCs w:val="20"/>
          <w:color w:val="auto"/>
        </w:rPr>
      </w:pPr>
      <w:r>
        <w:rPr>
          <w:rFonts w:ascii="Arial" w:cs="Arial" w:eastAsia="Arial" w:hAnsi="Arial"/>
          <w:sz w:val="18"/>
          <w:szCs w:val="18"/>
          <w:color w:val="auto"/>
        </w:rPr>
        <w:t>The information required by this Item 11 is incorporated by reference from the sections entitled “</w:t>
      </w:r>
      <w:r>
        <w:rPr>
          <w:rFonts w:ascii="Arial" w:cs="Arial" w:eastAsia="Arial" w:hAnsi="Arial"/>
          <w:sz w:val="18"/>
          <w:szCs w:val="18"/>
          <w:i w:val="1"/>
          <w:iCs w:val="1"/>
          <w:color w:val="auto"/>
        </w:rPr>
        <w:t>Director Compensation</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Compensation Committee Interlocks and Insider Participation</w:t>
      </w:r>
      <w:r>
        <w:rPr>
          <w:rFonts w:ascii="Arial" w:cs="Arial" w:eastAsia="Arial" w:hAnsi="Arial"/>
          <w:sz w:val="18"/>
          <w:szCs w:val="18"/>
          <w:color w:val="auto"/>
        </w:rPr>
        <w:t>” from our Proxy Statement relating to our 2021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which will be filed with the SEC within 120 days of the fiscal year ended January 31, 2021</w:t>
      </w:r>
      <w:r>
        <w:rPr>
          <w:rFonts w:ascii="Arial" w:cs="Arial" w:eastAsia="Arial" w:hAnsi="Arial"/>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4" w:lineRule="exact"/>
        <w:rPr>
          <w:sz w:val="20"/>
          <w:szCs w:val="20"/>
          <w:color w:val="auto"/>
        </w:rPr>
      </w:pPr>
    </w:p>
    <w:p>
      <w:pPr>
        <w:ind w:right="280" w:firstLine="878"/>
        <w:spacing w:after="0" w:line="256" w:lineRule="auto"/>
        <w:rPr>
          <w:sz w:val="20"/>
          <w:szCs w:val="20"/>
          <w:color w:val="auto"/>
        </w:rPr>
      </w:pPr>
      <w:r>
        <w:rPr>
          <w:rFonts w:ascii="Arial" w:cs="Arial" w:eastAsia="Arial" w:hAnsi="Arial"/>
          <w:sz w:val="18"/>
          <w:szCs w:val="18"/>
          <w:color w:val="auto"/>
        </w:rPr>
        <w:t>The information required by this Item 12 is incorporated by reference from the sections entitled “</w:t>
      </w:r>
      <w:r>
        <w:rPr>
          <w:rFonts w:ascii="Arial" w:cs="Arial" w:eastAsia="Arial" w:hAnsi="Arial"/>
          <w:sz w:val="18"/>
          <w:szCs w:val="18"/>
          <w:i w:val="1"/>
          <w:iCs w:val="1"/>
          <w:color w:val="auto"/>
        </w:rPr>
        <w:t>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 and Management</w:t>
      </w:r>
      <w:r>
        <w:rPr>
          <w:rFonts w:ascii="Arial" w:cs="Arial" w:eastAsia="Arial" w:hAnsi="Arial"/>
          <w:sz w:val="18"/>
          <w:szCs w:val="18"/>
          <w:color w:val="auto"/>
        </w:rPr>
        <w:t>” and “</w:t>
      </w: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 from our Proxy Statement relating to our 2021 Annual Meeting of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filed with the SEC within 120 days of the fiscal year ended January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4" w:lineRule="exact"/>
        <w:rPr>
          <w:sz w:val="20"/>
          <w:szCs w:val="20"/>
          <w:color w:val="auto"/>
        </w:rPr>
      </w:pPr>
    </w:p>
    <w:p>
      <w:pPr>
        <w:ind w:firstLine="878"/>
        <w:spacing w:after="0" w:line="256" w:lineRule="auto"/>
        <w:rPr>
          <w:sz w:val="20"/>
          <w:szCs w:val="20"/>
          <w:color w:val="auto"/>
        </w:rPr>
      </w:pPr>
      <w:r>
        <w:rPr>
          <w:rFonts w:ascii="Arial" w:cs="Arial" w:eastAsia="Arial" w:hAnsi="Arial"/>
          <w:sz w:val="18"/>
          <w:szCs w:val="18"/>
          <w:color w:val="auto"/>
        </w:rPr>
        <w:t>The information required by this Item 13 is incorporated by reference from the sections entitled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and “</w:t>
      </w:r>
      <w:r>
        <w:rPr>
          <w:rFonts w:ascii="Arial" w:cs="Arial" w:eastAsia="Arial" w:hAnsi="Arial"/>
          <w:sz w:val="18"/>
          <w:szCs w:val="18"/>
          <w:i w:val="1"/>
          <w:iCs w:val="1"/>
          <w:color w:val="auto"/>
        </w:rPr>
        <w:t>Director Independence</w:t>
      </w:r>
      <w:r>
        <w:rPr>
          <w:rFonts w:ascii="Arial" w:cs="Arial" w:eastAsia="Arial" w:hAnsi="Arial"/>
          <w:sz w:val="18"/>
          <w:szCs w:val="18"/>
          <w:color w:val="auto"/>
        </w:rPr>
        <w:t>” from our Proxy Statement relating to our 2021 Annual Meeting of Shareholders which will be filed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within 120 days of the fiscal year ended January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4" w:lineRule="exact"/>
        <w:rPr>
          <w:sz w:val="20"/>
          <w:szCs w:val="20"/>
          <w:color w:val="auto"/>
        </w:rPr>
      </w:pPr>
    </w:p>
    <w:p>
      <w:pPr>
        <w:jc w:val="both"/>
        <w:ind w:right="140" w:firstLine="878"/>
        <w:spacing w:after="0" w:line="256" w:lineRule="auto"/>
        <w:rPr>
          <w:sz w:val="20"/>
          <w:szCs w:val="20"/>
          <w:color w:val="auto"/>
        </w:rPr>
      </w:pPr>
      <w:r>
        <w:rPr>
          <w:rFonts w:ascii="Arial" w:cs="Arial" w:eastAsia="Arial" w:hAnsi="Arial"/>
          <w:sz w:val="18"/>
          <w:szCs w:val="18"/>
          <w:color w:val="auto"/>
        </w:rPr>
        <w:t>The information required by this Item 14 is incorporated by reference from the sections entitled “</w:t>
      </w:r>
      <w:r>
        <w:rPr>
          <w:rFonts w:ascii="Arial" w:cs="Arial" w:eastAsia="Arial" w:hAnsi="Arial"/>
          <w:sz w:val="18"/>
          <w:szCs w:val="18"/>
          <w:i w:val="1"/>
          <w:iCs w:val="1"/>
          <w:color w:val="auto"/>
        </w:rPr>
        <w:t>Principal Accountant Fees and Services</w:t>
      </w:r>
      <w:r>
        <w:rPr>
          <w:rFonts w:ascii="Arial" w:cs="Arial" w:eastAsia="Arial" w:hAnsi="Arial"/>
          <w:sz w:val="18"/>
          <w:szCs w:val="18"/>
          <w:color w:val="auto"/>
        </w:rPr>
        <w:t>” and “</w:t>
      </w:r>
      <w:r>
        <w:rPr>
          <w:rFonts w:ascii="Arial" w:cs="Arial" w:eastAsia="Arial" w:hAnsi="Arial"/>
          <w:sz w:val="18"/>
          <w:szCs w:val="18"/>
          <w:i w:val="1"/>
          <w:iCs w:val="1"/>
          <w:color w:val="auto"/>
        </w:rPr>
        <w:t>Pre-Approval Policy</w:t>
      </w:r>
      <w:r>
        <w:rPr>
          <w:rFonts w:ascii="Arial" w:cs="Arial" w:eastAsia="Arial" w:hAnsi="Arial"/>
          <w:sz w:val="18"/>
          <w:szCs w:val="18"/>
          <w:color w:val="auto"/>
        </w:rPr>
        <w:t>” from our Proxy Statement relating to our 2021 Annual Meeting of Shareholders which will be filed with the SEC within 120 days of the fiscal year ended January 31, 2021.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4" w:lineRule="exact"/>
        <w:rPr>
          <w:sz w:val="20"/>
          <w:szCs w:val="20"/>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in Part II, Item 8 of this Annual Report on Form 10-K.</w:t>
      </w:r>
    </w:p>
    <w:p>
      <w:pPr>
        <w:spacing w:after="0" w:line="218" w:lineRule="exact"/>
        <w:rPr>
          <w:rFonts w:ascii="Arial" w:cs="Arial" w:eastAsia="Arial" w:hAnsi="Arial"/>
          <w:sz w:val="18"/>
          <w:szCs w:val="18"/>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Schedule II Valuation and Qualifying Accounts</w:t>
      </w:r>
    </w:p>
    <w:p>
      <w:pPr>
        <w:spacing w:after="0" w:line="15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Deferred Tax Assets Valuation Allowance</w:t>
      </w:r>
    </w:p>
    <w:p>
      <w:pPr>
        <w:spacing w:after="0" w:line="102"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4"/>
                <w:szCs w:val="14"/>
                <w:b w:val="1"/>
                <w:bCs w:val="1"/>
                <w:color w:val="auto"/>
              </w:rPr>
              <w:t>Fiscal Year Ended January 31,</w:t>
            </w:r>
          </w:p>
        </w:tc>
        <w:tc>
          <w:tcPr>
            <w:tcW w:w="1020" w:type="dxa"/>
            <w:vAlign w:val="bottom"/>
            <w:tcBorders>
              <w:bottom w:val="single" w:sz="8" w:color="auto"/>
            </w:tcBorders>
          </w:tcPr>
          <w:p>
            <w:pPr>
              <w:spacing w:after="0"/>
              <w:rPr>
                <w:sz w:val="16"/>
                <w:szCs w:val="16"/>
                <w:color w:val="auto"/>
              </w:rPr>
            </w:pPr>
          </w:p>
        </w:tc>
      </w:tr>
      <w:tr>
        <w:trPr>
          <w:trHeight w:val="18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Balance, beginning of period - valuation allowance for deferred tax assets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36,425</w:t>
            </w: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(reductions) to expense or other accounts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33,631</w:t>
            </w:r>
          </w:p>
        </w:tc>
      </w:tr>
      <w:tr>
        <w:trPr>
          <w:trHeight w:val="24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end of period - valuation allowance for deferred tax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Schedules not listed above have been omitted because they are not required, not applicable, or the required information is otherwise included.</w:t>
      </w:r>
    </w:p>
    <w:p>
      <w:pPr>
        <w:spacing w:after="0" w:line="241" w:lineRule="exact"/>
        <w:rPr>
          <w:sz w:val="20"/>
          <w:szCs w:val="20"/>
          <w:color w:val="auto"/>
        </w:rPr>
      </w:pPr>
    </w:p>
    <w:p>
      <w:pPr>
        <w:ind w:left="640" w:hanging="315"/>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4"/>
              </w:rPr>
              <w:t>Incorporated by Reference</w:t>
            </w:r>
          </w:p>
        </w:tc>
        <w:tc>
          <w:tcPr>
            <w:tcW w:w="144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40" w:type="dxa"/>
            <w:vAlign w:val="bottom"/>
          </w:tcPr>
          <w:p>
            <w:pPr>
              <w:ind w:left="200"/>
              <w:spacing w:after="0" w:line="120" w:lineRule="exact"/>
              <w:rPr>
                <w:sz w:val="20"/>
                <w:szCs w:val="20"/>
                <w:color w:val="auto"/>
              </w:rPr>
            </w:pPr>
            <w:r>
              <w:rPr>
                <w:rFonts w:ascii="Arial" w:cs="Arial" w:eastAsia="Arial" w:hAnsi="Arial"/>
                <w:sz w:val="13"/>
                <w:szCs w:val="13"/>
                <w:b w:val="1"/>
                <w:bCs w:val="1"/>
                <w:color w:val="auto"/>
              </w:rPr>
              <w:t>Exhibit</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gridSpan w:val="30"/>
            <w:vMerge w:val="restart"/>
          </w:tcPr>
          <w:p>
            <w:pPr>
              <w:ind w:left="56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44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92"/>
              </w:rPr>
              <w:t>Filing Date</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5"/>
        </w:trPr>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30"/>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8"/>
                <w:szCs w:val="18"/>
                <w:color w:val="auto"/>
              </w:rPr>
              <w:t>3.1</w:t>
            </w:r>
          </w:p>
        </w:tc>
        <w:tc>
          <w:tcPr>
            <w:tcW w:w="4520" w:type="dxa"/>
            <w:vAlign w:val="bottom"/>
            <w:tcBorders>
              <w:top w:val="single" w:sz="8" w:color="auto"/>
            </w:tcBorders>
            <w:gridSpan w:val="35"/>
          </w:tcPr>
          <w:p>
            <w:pPr>
              <w:spacing w:after="0" w:line="181"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Form of Amended and Restated Certificate of Incorporation</w:t>
              </w:r>
            </w:hyperlink>
          </w:p>
        </w:tc>
        <w:tc>
          <w:tcPr>
            <w:tcW w:w="7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93"/>
              </w:rPr>
              <w:t>S-1/A</w:t>
            </w:r>
          </w:p>
        </w:tc>
        <w:tc>
          <w:tcPr>
            <w:tcW w:w="12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87"/>
              </w:rPr>
              <w:t>333-239335</w:t>
            </w:r>
          </w:p>
        </w:tc>
        <w:tc>
          <w:tcPr>
            <w:tcW w:w="1180" w:type="dxa"/>
            <w:vAlign w:val="bottom"/>
            <w:tcBorders>
              <w:top w:val="single" w:sz="8" w:color="auto"/>
            </w:tcBorders>
          </w:tcPr>
          <w:p>
            <w:pPr>
              <w:jc w:val="center"/>
              <w:ind w:right="272"/>
              <w:spacing w:after="0" w:line="181" w:lineRule="exact"/>
              <w:rPr>
                <w:sz w:val="20"/>
                <w:szCs w:val="20"/>
                <w:color w:val="auto"/>
              </w:rPr>
            </w:pPr>
            <w:r>
              <w:rPr>
                <w:rFonts w:ascii="Arial" w:cs="Arial" w:eastAsia="Arial" w:hAnsi="Arial"/>
                <w:sz w:val="18"/>
                <w:szCs w:val="18"/>
                <w:color w:val="auto"/>
                <w:w w:val="87"/>
              </w:rPr>
              <w:t>3.1</w:t>
            </w:r>
          </w:p>
        </w:tc>
        <w:tc>
          <w:tcPr>
            <w:tcW w:w="1440" w:type="dxa"/>
            <w:vAlign w:val="bottom"/>
            <w:tcBorders>
              <w:top w:val="single" w:sz="8" w:color="auto"/>
            </w:tcBorders>
          </w:tcPr>
          <w:p>
            <w:pPr>
              <w:jc w:val="center"/>
              <w:ind w:right="252"/>
              <w:spacing w:after="0" w:line="181" w:lineRule="exact"/>
              <w:rPr>
                <w:sz w:val="20"/>
                <w:szCs w:val="20"/>
                <w:color w:val="auto"/>
              </w:rPr>
            </w:pPr>
            <w:r>
              <w:rPr>
                <w:rFonts w:ascii="Arial" w:cs="Arial" w:eastAsia="Arial" w:hAnsi="Arial"/>
                <w:sz w:val="18"/>
                <w:szCs w:val="18"/>
                <w:color w:val="auto"/>
                <w:w w:val="88"/>
              </w:rPr>
              <w:t>July 6, 2020</w:t>
            </w: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7"/>
              </w:rPr>
            </w:pPr>
            <w:hyperlink r:id="rId128">
              <w:r>
                <w:rPr>
                  <w:rFonts w:ascii="Arial" w:cs="Arial" w:eastAsia="Arial" w:hAnsi="Arial"/>
                  <w:sz w:val="17"/>
                  <w:szCs w:val="17"/>
                  <w:color w:val="0000FF"/>
                  <w:w w:val="97"/>
                </w:rPr>
                <w:t>of nCino, Inc.</w:t>
              </w:r>
            </w:hyperlink>
          </w:p>
        </w:tc>
        <w:tc>
          <w:tcPr>
            <w:tcW w:w="32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3.2</w:t>
            </w:r>
          </w:p>
        </w:tc>
        <w:tc>
          <w:tcPr>
            <w:tcW w:w="3880" w:type="dxa"/>
            <w:vAlign w:val="bottom"/>
            <w:tcBorders>
              <w:bottom w:val="single" w:sz="8" w:color="0000FF"/>
            </w:tcBorders>
            <w:gridSpan w:val="14"/>
          </w:tcPr>
          <w:p>
            <w:pPr>
              <w:spacing w:after="0"/>
              <w:rPr>
                <w:rFonts w:ascii="Arial" w:cs="Arial" w:eastAsia="Arial" w:hAnsi="Arial"/>
                <w:sz w:val="18"/>
                <w:szCs w:val="18"/>
                <w:color w:val="0000FF"/>
                <w:w w:val="89"/>
              </w:rPr>
            </w:pPr>
            <w:hyperlink r:id="rId129">
              <w:r>
                <w:rPr>
                  <w:rFonts w:ascii="Arial" w:cs="Arial" w:eastAsia="Arial" w:hAnsi="Arial"/>
                  <w:sz w:val="18"/>
                  <w:szCs w:val="18"/>
                  <w:color w:val="0000FF"/>
                  <w:w w:val="89"/>
                </w:rPr>
                <w:t>Form of Amended and Restated Bylaws of nCino, Inc.</w:t>
              </w:r>
            </w:hyperlink>
          </w:p>
        </w:tc>
        <w:tc>
          <w:tcPr>
            <w:tcW w:w="640" w:type="dxa"/>
            <w:vAlign w:val="bottom"/>
            <w:gridSpan w:val="21"/>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3.2</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4520" w:type="dxa"/>
            <w:vAlign w:val="bottom"/>
            <w:gridSpan w:val="3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Common Stock Certificate</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4.1</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4.2</w:t>
            </w:r>
          </w:p>
        </w:tc>
        <w:tc>
          <w:tcPr>
            <w:tcW w:w="4520" w:type="dxa"/>
            <w:vAlign w:val="bottom"/>
            <w:gridSpan w:val="35"/>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First Amended and Restated Investors’ Rights Agreement,</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4.2</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5"/>
              </w:rPr>
              <w:t>June 22,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160" w:type="dxa"/>
            <w:vAlign w:val="bottom"/>
            <w:tcBorders>
              <w:top w:val="single" w:sz="8" w:color="0000FF"/>
            </w:tcBorders>
            <w:gridSpan w:val="18"/>
          </w:tcPr>
          <w:p>
            <w:pPr>
              <w:spacing w:after="0" w:line="153" w:lineRule="exact"/>
              <w:rPr>
                <w:rFonts w:ascii="Arial" w:cs="Arial" w:eastAsia="Arial" w:hAnsi="Arial"/>
                <w:sz w:val="17"/>
                <w:szCs w:val="17"/>
                <w:color w:val="0000FF"/>
                <w:w w:val="94"/>
              </w:rPr>
            </w:pPr>
            <w:hyperlink r:id="rId131">
              <w:r>
                <w:rPr>
                  <w:rFonts w:ascii="Arial" w:cs="Arial" w:eastAsia="Arial" w:hAnsi="Arial"/>
                  <w:sz w:val="17"/>
                  <w:szCs w:val="17"/>
                  <w:color w:val="0000FF"/>
                  <w:w w:val="94"/>
                </w:rPr>
                <w:t>dated February 12, 2015, as amended, among nCino, Inc.</w:t>
              </w:r>
            </w:hyperlink>
          </w:p>
        </w:tc>
        <w:tc>
          <w:tcPr>
            <w:tcW w:w="360" w:type="dxa"/>
            <w:vAlign w:val="bottom"/>
            <w:gridSpan w:val="17"/>
          </w:tcPr>
          <w:p>
            <w:pPr>
              <w:spacing w:after="0" w:line="153" w:lineRule="exact"/>
              <w:rPr>
                <w:rFonts w:ascii="Arial" w:cs="Arial" w:eastAsia="Arial" w:hAnsi="Arial"/>
                <w:sz w:val="17"/>
                <w:szCs w:val="17"/>
                <w:color w:val="0000FF"/>
              </w:rPr>
            </w:pPr>
            <w:hyperlink r:id="rId131">
              <w:r>
                <w:rPr>
                  <w:rFonts w:ascii="Arial" w:cs="Arial" w:eastAsia="Arial" w:hAnsi="Arial"/>
                  <w:sz w:val="17"/>
                  <w:szCs w:val="17"/>
                  <w:color w:val="0000FF"/>
                </w:rPr>
                <w:t>and</w:t>
              </w:r>
            </w:hyperlink>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7"/>
              </w:rPr>
            </w:pPr>
            <w:hyperlink r:id="rId131">
              <w:r>
                <w:rPr>
                  <w:rFonts w:ascii="Arial" w:cs="Arial" w:eastAsia="Arial" w:hAnsi="Arial"/>
                  <w:sz w:val="17"/>
                  <w:szCs w:val="17"/>
                  <w:color w:val="0000FF"/>
                  <w:w w:val="97"/>
                </w:rPr>
                <w:t>certain holders of its capital stock.</w:t>
              </w:r>
            </w:hyperlink>
          </w:p>
        </w:tc>
        <w:tc>
          <w:tcPr>
            <w:tcW w:w="19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4520" w:type="dxa"/>
            <w:vAlign w:val="bottom"/>
            <w:gridSpan w:val="35"/>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First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4.3</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240" w:type="dxa"/>
            <w:vAlign w:val="bottom"/>
            <w:tcBorders>
              <w:top w:val="single" w:sz="8" w:color="0000FF"/>
            </w:tcBorders>
            <w:gridSpan w:val="21"/>
          </w:tcPr>
          <w:p>
            <w:pPr>
              <w:spacing w:after="0" w:line="153" w:lineRule="exact"/>
              <w:rPr>
                <w:rFonts w:ascii="Arial" w:cs="Arial" w:eastAsia="Arial" w:hAnsi="Arial"/>
                <w:sz w:val="17"/>
                <w:szCs w:val="17"/>
                <w:color w:val="0000FF"/>
                <w:w w:val="95"/>
              </w:rPr>
            </w:pPr>
            <w:hyperlink r:id="rId132">
              <w:r>
                <w:rPr>
                  <w:rFonts w:ascii="Arial" w:cs="Arial" w:eastAsia="Arial" w:hAnsi="Arial"/>
                  <w:sz w:val="17"/>
                  <w:szCs w:val="17"/>
                  <w:color w:val="0000FF"/>
                  <w:w w:val="95"/>
                </w:rPr>
                <w:t>Rights Agreement, dated May 25, 2016, among nCino,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32">
              <w:r>
                <w:rPr>
                  <w:rFonts w:ascii="Arial" w:cs="Arial" w:eastAsia="Arial" w:hAnsi="Arial"/>
                  <w:sz w:val="17"/>
                  <w:szCs w:val="17"/>
                  <w:color w:val="0000FF"/>
                  <w:w w:val="94"/>
                </w:rPr>
                <w:t>and certain holders of its capital stock.</w:t>
              </w:r>
            </w:hyperlink>
          </w:p>
        </w:tc>
        <w:tc>
          <w:tcPr>
            <w:tcW w:w="14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4.4</w:t>
            </w:r>
          </w:p>
        </w:tc>
        <w:tc>
          <w:tcPr>
            <w:tcW w:w="4520" w:type="dxa"/>
            <w:vAlign w:val="bottom"/>
            <w:tcBorders>
              <w:bottom w:val="single" w:sz="8" w:color="0000FF"/>
            </w:tcBorders>
            <w:gridSpan w:val="35"/>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Second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4.4</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520" w:type="dxa"/>
            <w:vAlign w:val="bottom"/>
            <w:gridSpan w:val="35"/>
          </w:tcPr>
          <w:p>
            <w:pPr>
              <w:spacing w:after="0" w:line="153" w:lineRule="exact"/>
              <w:rPr>
                <w:rFonts w:ascii="Arial" w:cs="Arial" w:eastAsia="Arial" w:hAnsi="Arial"/>
                <w:sz w:val="17"/>
                <w:szCs w:val="17"/>
                <w:color w:val="0000FF"/>
                <w:w w:val="98"/>
              </w:rPr>
            </w:pPr>
            <w:hyperlink r:id="rId133">
              <w:r>
                <w:rPr>
                  <w:rFonts w:ascii="Arial" w:cs="Arial" w:eastAsia="Arial" w:hAnsi="Arial"/>
                  <w:sz w:val="17"/>
                  <w:szCs w:val="17"/>
                  <w:color w:val="0000FF"/>
                  <w:w w:val="98"/>
                </w:rPr>
                <w:t>Rights Agreement, dated November 23, 2016, among nCino,</w:t>
              </w:r>
            </w:hyperlink>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4"/>
              </w:rPr>
            </w:pPr>
            <w:hyperlink r:id="rId133">
              <w:r>
                <w:rPr>
                  <w:rFonts w:ascii="Arial" w:cs="Arial" w:eastAsia="Arial" w:hAnsi="Arial"/>
                  <w:sz w:val="17"/>
                  <w:szCs w:val="17"/>
                  <w:color w:val="0000FF"/>
                  <w:w w:val="94"/>
                </w:rPr>
                <w:t>Inc. and certain holders of its capital stock.</w:t>
              </w:r>
            </w:hyperlink>
          </w:p>
        </w:tc>
        <w:tc>
          <w:tcPr>
            <w:tcW w:w="13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4.5</w:t>
            </w:r>
          </w:p>
        </w:tc>
        <w:tc>
          <w:tcPr>
            <w:tcW w:w="4520" w:type="dxa"/>
            <w:vAlign w:val="bottom"/>
            <w:gridSpan w:val="35"/>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Third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4.5</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400" w:type="dxa"/>
            <w:vAlign w:val="bottom"/>
            <w:tcBorders>
              <w:top w:val="single" w:sz="8" w:color="0000FF"/>
            </w:tcBorders>
            <w:gridSpan w:val="29"/>
          </w:tcPr>
          <w:p>
            <w:pPr>
              <w:spacing w:after="0" w:line="153" w:lineRule="exact"/>
              <w:rPr>
                <w:rFonts w:ascii="Arial" w:cs="Arial" w:eastAsia="Arial" w:hAnsi="Arial"/>
                <w:sz w:val="17"/>
                <w:szCs w:val="17"/>
                <w:color w:val="0000FF"/>
                <w:w w:val="99"/>
              </w:rPr>
            </w:pPr>
            <w:hyperlink r:id="rId134">
              <w:r>
                <w:rPr>
                  <w:rFonts w:ascii="Arial" w:cs="Arial" w:eastAsia="Arial" w:hAnsi="Arial"/>
                  <w:sz w:val="17"/>
                  <w:szCs w:val="17"/>
                  <w:color w:val="0000FF"/>
                  <w:w w:val="99"/>
                </w:rPr>
                <w:t>Rights Agreement, dated July 31, 2017, among nCino,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34">
              <w:r>
                <w:rPr>
                  <w:rFonts w:ascii="Arial" w:cs="Arial" w:eastAsia="Arial" w:hAnsi="Arial"/>
                  <w:sz w:val="17"/>
                  <w:szCs w:val="17"/>
                  <w:color w:val="0000FF"/>
                  <w:w w:val="94"/>
                </w:rPr>
                <w:t>and certain holders of its capital stock.</w:t>
              </w:r>
            </w:hyperlink>
          </w:p>
        </w:tc>
        <w:tc>
          <w:tcPr>
            <w:tcW w:w="1440" w:type="dxa"/>
            <w:vAlign w:val="bottom"/>
            <w:tcBorders>
              <w:top w:val="single" w:sz="8" w:color="0000FF"/>
            </w:tcBorders>
            <w:gridSpan w:val="11"/>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4.6</w:t>
            </w:r>
          </w:p>
        </w:tc>
        <w:tc>
          <w:tcPr>
            <w:tcW w:w="4520" w:type="dxa"/>
            <w:vAlign w:val="bottom"/>
            <w:gridSpan w:val="35"/>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Fourth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4.6</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34"/>
          </w:tcPr>
          <w:p>
            <w:pPr>
              <w:spacing w:after="0" w:line="153"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Rights Agreement, dated January 16, 2018, among nCino, Inc.</w:t>
              </w:r>
            </w:hyperlink>
          </w:p>
        </w:tc>
        <w:tc>
          <w:tcPr>
            <w:tcW w:w="20" w:type="dxa"/>
            <w:vAlign w:val="bottom"/>
            <w:tcBorders>
              <w:bottom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740" w:type="dxa"/>
            <w:vAlign w:val="bottom"/>
            <w:tcBorders>
              <w:bottom w:val="single" w:sz="8" w:color="0000FF"/>
            </w:tcBorders>
            <w:gridSpan w:val="8"/>
          </w:tcPr>
          <w:p>
            <w:pPr>
              <w:spacing w:after="0" w:line="153"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and certain holders of its capital stock.</w:t>
              </w:r>
            </w:hyperlink>
          </w:p>
        </w:tc>
        <w:tc>
          <w:tcPr>
            <w:tcW w:w="1780" w:type="dxa"/>
            <w:vAlign w:val="bottom"/>
            <w:gridSpan w:val="27"/>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4.7</w:t>
            </w:r>
          </w:p>
        </w:tc>
        <w:tc>
          <w:tcPr>
            <w:tcW w:w="4520" w:type="dxa"/>
            <w:vAlign w:val="bottom"/>
            <w:gridSpan w:val="35"/>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Fifth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4.7</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280" w:type="dxa"/>
            <w:vAlign w:val="bottom"/>
            <w:tcBorders>
              <w:top w:val="single" w:sz="8" w:color="0000FF"/>
            </w:tcBorders>
            <w:gridSpan w:val="23"/>
          </w:tcPr>
          <w:p>
            <w:pPr>
              <w:spacing w:after="0" w:line="153" w:lineRule="exact"/>
              <w:rPr>
                <w:rFonts w:ascii="Arial" w:cs="Arial" w:eastAsia="Arial" w:hAnsi="Arial"/>
                <w:sz w:val="17"/>
                <w:szCs w:val="17"/>
                <w:color w:val="0000FF"/>
                <w:w w:val="96"/>
              </w:rPr>
            </w:pPr>
            <w:hyperlink r:id="rId136">
              <w:r>
                <w:rPr>
                  <w:rFonts w:ascii="Arial" w:cs="Arial" w:eastAsia="Arial" w:hAnsi="Arial"/>
                  <w:sz w:val="17"/>
                  <w:szCs w:val="17"/>
                  <w:color w:val="0000FF"/>
                  <w:w w:val="96"/>
                </w:rPr>
                <w:t>Rights Agreement, dated July 12, 2018, among nCino,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36">
              <w:r>
                <w:rPr>
                  <w:rFonts w:ascii="Arial" w:cs="Arial" w:eastAsia="Arial" w:hAnsi="Arial"/>
                  <w:sz w:val="17"/>
                  <w:szCs w:val="17"/>
                  <w:color w:val="0000FF"/>
                  <w:w w:val="94"/>
                </w:rPr>
                <w:t>and certain holders of its capital stock.</w:t>
              </w:r>
            </w:hyperlink>
          </w:p>
        </w:tc>
        <w:tc>
          <w:tcPr>
            <w:tcW w:w="1440" w:type="dxa"/>
            <w:vAlign w:val="bottom"/>
            <w:tcBorders>
              <w:top w:val="single" w:sz="8" w:color="0000FF"/>
            </w:tcBorders>
            <w:gridSpan w:val="11"/>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4.8</w:t>
            </w:r>
          </w:p>
        </w:tc>
        <w:tc>
          <w:tcPr>
            <w:tcW w:w="4520" w:type="dxa"/>
            <w:vAlign w:val="bottom"/>
            <w:gridSpan w:val="35"/>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Sixth Amendment to First Amended and Restated Investors’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4.8</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7"/>
          </w:tcPr>
          <w:p>
            <w:pPr>
              <w:spacing w:after="0" w:line="153" w:lineRule="exact"/>
              <w:rPr>
                <w:rFonts w:ascii="Arial" w:cs="Arial" w:eastAsia="Arial" w:hAnsi="Arial"/>
                <w:sz w:val="17"/>
                <w:szCs w:val="17"/>
                <w:color w:val="0000FF"/>
                <w:w w:val="93"/>
              </w:rPr>
            </w:pPr>
            <w:hyperlink r:id="rId137">
              <w:r>
                <w:rPr>
                  <w:rFonts w:ascii="Arial" w:cs="Arial" w:eastAsia="Arial" w:hAnsi="Arial"/>
                  <w:sz w:val="17"/>
                  <w:szCs w:val="17"/>
                  <w:color w:val="0000FF"/>
                  <w:w w:val="93"/>
                </w:rPr>
                <w:t>Rights Agreement, dated September 16, 2019, among nCino,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060" w:type="dxa"/>
            <w:vAlign w:val="bottom"/>
            <w:tcBorders>
              <w:bottom w:val="single" w:sz="8" w:color="0000FF"/>
            </w:tcBorders>
            <w:gridSpan w:val="9"/>
          </w:tcPr>
          <w:p>
            <w:pPr>
              <w:spacing w:after="0" w:line="153" w:lineRule="exact"/>
              <w:rPr>
                <w:rFonts w:ascii="Arial" w:cs="Arial" w:eastAsia="Arial" w:hAnsi="Arial"/>
                <w:sz w:val="17"/>
                <w:szCs w:val="17"/>
                <w:color w:val="0000FF"/>
                <w:w w:val="94"/>
              </w:rPr>
            </w:pPr>
            <w:hyperlink r:id="rId137">
              <w:r>
                <w:rPr>
                  <w:rFonts w:ascii="Arial" w:cs="Arial" w:eastAsia="Arial" w:hAnsi="Arial"/>
                  <w:sz w:val="17"/>
                  <w:szCs w:val="17"/>
                  <w:color w:val="0000FF"/>
                  <w:w w:val="94"/>
                </w:rPr>
                <w:t>Inc. and certain holders of its capital stock.</w:t>
              </w:r>
            </w:hyperlink>
          </w:p>
        </w:tc>
        <w:tc>
          <w:tcPr>
            <w:tcW w:w="1400" w:type="dxa"/>
            <w:vAlign w:val="bottom"/>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4.9</w:t>
            </w:r>
          </w:p>
        </w:tc>
        <w:tc>
          <w:tcPr>
            <w:tcW w:w="4520" w:type="dxa"/>
            <w:vAlign w:val="bottom"/>
            <w:gridSpan w:val="35"/>
          </w:tcPr>
          <w:p>
            <w:pPr>
              <w:spacing w:after="0"/>
              <w:rPr>
                <w:rFonts w:ascii="Arial" w:cs="Arial" w:eastAsia="Arial" w:hAnsi="Arial"/>
                <w:sz w:val="18"/>
                <w:szCs w:val="18"/>
                <w:color w:val="0000FF"/>
              </w:rPr>
            </w:pPr>
            <w:hyperlink r:id="rId138">
              <w:r>
                <w:rPr>
                  <w:rFonts w:ascii="Arial" w:cs="Arial" w:eastAsia="Arial" w:hAnsi="Arial"/>
                  <w:sz w:val="18"/>
                  <w:szCs w:val="18"/>
                  <w:color w:val="0000FF"/>
                </w:rPr>
                <w:t>Seventh Amendment to First Amended and Restated</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7"/>
              </w:rPr>
              <w:t>4.9</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3" w:lineRule="exact"/>
              <w:rPr>
                <w:rFonts w:ascii="Arial" w:cs="Arial" w:eastAsia="Arial" w:hAnsi="Arial"/>
                <w:sz w:val="17"/>
                <w:szCs w:val="17"/>
                <w:color w:val="0000FF"/>
                <w:w w:val="97"/>
              </w:rPr>
            </w:pPr>
            <w:hyperlink r:id="rId138">
              <w:r>
                <w:rPr>
                  <w:rFonts w:ascii="Arial" w:cs="Arial" w:eastAsia="Arial" w:hAnsi="Arial"/>
                  <w:sz w:val="17"/>
                  <w:szCs w:val="17"/>
                  <w:color w:val="0000FF"/>
                  <w:w w:val="97"/>
                </w:rPr>
                <w:t>Investors’ Rights Agreement, dated September 30,</w:t>
              </w:r>
            </w:hyperlink>
          </w:p>
        </w:tc>
        <w:tc>
          <w:tcPr>
            <w:tcW w:w="360" w:type="dxa"/>
            <w:vAlign w:val="bottom"/>
            <w:gridSpan w:val="5"/>
          </w:tcPr>
          <w:p>
            <w:pPr>
              <w:jc w:val="right"/>
              <w:ind w:right="60"/>
              <w:spacing w:after="0" w:line="153" w:lineRule="exact"/>
              <w:rPr>
                <w:rFonts w:ascii="Arial" w:cs="Arial" w:eastAsia="Arial" w:hAnsi="Arial"/>
                <w:sz w:val="14"/>
                <w:szCs w:val="14"/>
                <w:color w:val="0000FF"/>
                <w:w w:val="79"/>
              </w:rPr>
            </w:pPr>
            <w:hyperlink r:id="rId138">
              <w:r>
                <w:rPr>
                  <w:rFonts w:ascii="Arial" w:cs="Arial" w:eastAsia="Arial" w:hAnsi="Arial"/>
                  <w:sz w:val="14"/>
                  <w:szCs w:val="14"/>
                  <w:color w:val="0000FF"/>
                  <w:w w:val="79"/>
                </w:rPr>
                <w:t>2019,</w:t>
              </w:r>
            </w:hyperlink>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6"/>
          </w:tcPr>
          <w:p>
            <w:pPr>
              <w:spacing w:after="0" w:line="153" w:lineRule="exact"/>
              <w:rPr>
                <w:rFonts w:ascii="Arial" w:cs="Arial" w:eastAsia="Arial" w:hAnsi="Arial"/>
                <w:sz w:val="17"/>
                <w:szCs w:val="17"/>
                <w:color w:val="0000FF"/>
                <w:w w:val="93"/>
              </w:rPr>
            </w:pPr>
            <w:hyperlink r:id="rId138">
              <w:r>
                <w:rPr>
                  <w:rFonts w:ascii="Arial" w:cs="Arial" w:eastAsia="Arial" w:hAnsi="Arial"/>
                  <w:sz w:val="17"/>
                  <w:szCs w:val="17"/>
                  <w:color w:val="0000FF"/>
                  <w:w w:val="93"/>
                </w:rPr>
                <w:t>among nCino, Inc. and certain holders of its capital stock.</w:t>
              </w:r>
            </w:hyperlink>
          </w:p>
        </w:tc>
        <w:tc>
          <w:tcPr>
            <w:tcW w:w="60" w:type="dxa"/>
            <w:vAlign w:val="bottom"/>
            <w:tcBorders>
              <w:bottom w:val="single" w:sz="8" w:color="0000FF"/>
            </w:tcBorders>
          </w:tcPr>
          <w:p>
            <w:pPr>
              <w:spacing w:after="0"/>
              <w:rPr>
                <w:sz w:val="13"/>
                <w:szCs w:val="13"/>
                <w:color w:val="auto"/>
              </w:rPr>
            </w:pPr>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10.1+</w:t>
            </w:r>
          </w:p>
        </w:tc>
        <w:tc>
          <w:tcPr>
            <w:tcW w:w="4520" w:type="dxa"/>
            <w:vAlign w:val="bottom"/>
            <w:gridSpan w:val="35"/>
          </w:tcPr>
          <w:p>
            <w:pPr>
              <w:spacing w:after="0"/>
              <w:rPr>
                <w:rFonts w:ascii="Arial" w:cs="Arial" w:eastAsia="Arial" w:hAnsi="Arial"/>
                <w:sz w:val="18"/>
                <w:szCs w:val="18"/>
                <w:color w:val="0000FF"/>
                <w:w w:val="94"/>
              </w:rPr>
            </w:pPr>
            <w:hyperlink r:id="rId139">
              <w:r>
                <w:rPr>
                  <w:rFonts w:ascii="Arial" w:cs="Arial" w:eastAsia="Arial" w:hAnsi="Arial"/>
                  <w:sz w:val="18"/>
                  <w:szCs w:val="18"/>
                  <w:color w:val="0000FF"/>
                  <w:w w:val="94"/>
                </w:rPr>
                <w:t>nCino, Inc. 2014 Omnibus Stock Ownership and Long Term</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10.1</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5"/>
              </w:rPr>
              <w:t>June 22,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3"/>
              </w:rPr>
            </w:pPr>
            <w:hyperlink r:id="rId139">
              <w:r>
                <w:rPr>
                  <w:rFonts w:ascii="Arial" w:cs="Arial" w:eastAsia="Arial" w:hAnsi="Arial"/>
                  <w:sz w:val="17"/>
                  <w:szCs w:val="17"/>
                  <w:color w:val="0000FF"/>
                  <w:w w:val="93"/>
                </w:rPr>
                <w:t>Incentive Plan and related form agreements.</w:t>
              </w:r>
            </w:hyperlink>
          </w:p>
        </w:tc>
        <w:tc>
          <w:tcPr>
            <w:tcW w:w="12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4520" w:type="dxa"/>
            <w:vAlign w:val="bottom"/>
            <w:gridSpan w:val="35"/>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nCino, Inc. 2019 Amended and Restated Equity Incentive</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10.2</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2"/>
              </w:rPr>
            </w:pPr>
            <w:hyperlink r:id="rId140">
              <w:r>
                <w:rPr>
                  <w:rFonts w:ascii="Arial" w:cs="Arial" w:eastAsia="Arial" w:hAnsi="Arial"/>
                  <w:sz w:val="17"/>
                  <w:szCs w:val="17"/>
                  <w:color w:val="0000FF"/>
                  <w:w w:val="92"/>
                </w:rPr>
                <w:t>Plan and related form agreements.</w:t>
              </w:r>
            </w:hyperlink>
          </w:p>
        </w:tc>
        <w:tc>
          <w:tcPr>
            <w:tcW w:w="1660" w:type="dxa"/>
            <w:vAlign w:val="bottom"/>
            <w:tcBorders>
              <w:top w:val="single" w:sz="8" w:color="0000FF"/>
            </w:tcBorders>
            <w:gridSpan w:val="11"/>
          </w:tcPr>
          <w:p>
            <w:pPr>
              <w:spacing w:after="0"/>
              <w:rPr>
                <w:sz w:val="13"/>
                <w:szCs w:val="13"/>
                <w:color w:val="auto"/>
              </w:rPr>
            </w:pPr>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40"/>
              <w:spacing w:after="0"/>
              <w:rPr>
                <w:sz w:val="20"/>
                <w:szCs w:val="20"/>
                <w:color w:val="auto"/>
              </w:rPr>
            </w:pPr>
            <w:r>
              <w:rPr>
                <w:rFonts w:ascii="Arial" w:cs="Arial" w:eastAsia="Arial" w:hAnsi="Arial"/>
                <w:sz w:val="18"/>
                <w:szCs w:val="18"/>
                <w:color w:val="auto"/>
              </w:rPr>
              <w:t>10.3+</w:t>
            </w:r>
          </w:p>
        </w:tc>
        <w:tc>
          <w:tcPr>
            <w:tcW w:w="3100" w:type="dxa"/>
            <w:vAlign w:val="bottom"/>
            <w:tcBorders>
              <w:bottom w:val="single" w:sz="8" w:color="0000FF"/>
            </w:tcBorders>
            <w:gridSpan w:val="10"/>
          </w:tcPr>
          <w:p>
            <w:pPr>
              <w:spacing w:after="0"/>
              <w:rPr>
                <w:rFonts w:ascii="Arial" w:cs="Arial" w:eastAsia="Arial" w:hAnsi="Arial"/>
                <w:sz w:val="18"/>
                <w:szCs w:val="18"/>
                <w:color w:val="0000FF"/>
                <w:w w:val="88"/>
              </w:rPr>
            </w:pPr>
            <w:hyperlink r:id="rId141">
              <w:r>
                <w:rPr>
                  <w:rFonts w:ascii="Arial" w:cs="Arial" w:eastAsia="Arial" w:hAnsi="Arial"/>
                  <w:sz w:val="18"/>
                  <w:szCs w:val="18"/>
                  <w:color w:val="0000FF"/>
                  <w:w w:val="88"/>
                </w:rPr>
                <w:t>nCino, Inc. Employee Stock Purchase Plan.</w:t>
              </w:r>
            </w:hyperlink>
          </w:p>
        </w:tc>
        <w:tc>
          <w:tcPr>
            <w:tcW w:w="1420" w:type="dxa"/>
            <w:vAlign w:val="bottom"/>
            <w:gridSpan w:val="25"/>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10.3</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4520" w:type="dxa"/>
            <w:vAlign w:val="bottom"/>
            <w:gridSpan w:val="35"/>
          </w:tcPr>
          <w:p>
            <w:pPr>
              <w:spacing w:after="0"/>
              <w:rPr>
                <w:rFonts w:ascii="Arial" w:cs="Arial" w:eastAsia="Arial" w:hAnsi="Arial"/>
                <w:sz w:val="18"/>
                <w:szCs w:val="18"/>
                <w:color w:val="0000FF"/>
                <w:w w:val="94"/>
              </w:rPr>
            </w:pPr>
            <w:hyperlink r:id="rId142">
              <w:r>
                <w:rPr>
                  <w:rFonts w:ascii="Arial" w:cs="Arial" w:eastAsia="Arial" w:hAnsi="Arial"/>
                  <w:sz w:val="18"/>
                  <w:szCs w:val="18"/>
                  <w:color w:val="0000FF"/>
                  <w:w w:val="94"/>
                </w:rPr>
                <w:t>Amended and Restated Employment Agreement with Pierre</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10.4</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42">
              <w:r>
                <w:rPr>
                  <w:rFonts w:ascii="Arial" w:cs="Arial" w:eastAsia="Arial" w:hAnsi="Arial"/>
                  <w:sz w:val="17"/>
                  <w:szCs w:val="17"/>
                  <w:color w:val="0000FF"/>
                  <w:w w:val="91"/>
                </w:rPr>
                <w:t>Naudé.</w:t>
              </w:r>
            </w:hyperlink>
          </w:p>
        </w:tc>
        <w:tc>
          <w:tcPr>
            <w:tcW w:w="37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10.5+</w:t>
            </w:r>
          </w:p>
        </w:tc>
        <w:tc>
          <w:tcPr>
            <w:tcW w:w="4520" w:type="dxa"/>
            <w:vAlign w:val="bottom"/>
            <w:gridSpan w:val="35"/>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Amended and Restated Employment Agreement with David</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10.5</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6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3"/>
              </w:rPr>
            </w:pPr>
            <w:hyperlink r:id="rId143">
              <w:r>
                <w:rPr>
                  <w:rFonts w:ascii="Arial" w:cs="Arial" w:eastAsia="Arial" w:hAnsi="Arial"/>
                  <w:sz w:val="17"/>
                  <w:szCs w:val="17"/>
                  <w:color w:val="0000FF"/>
                  <w:w w:val="93"/>
                </w:rPr>
                <w:t>Rudow.</w:t>
              </w:r>
            </w:hyperlink>
          </w:p>
        </w:tc>
        <w:tc>
          <w:tcPr>
            <w:tcW w:w="37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10.6+</w:t>
            </w:r>
          </w:p>
        </w:tc>
        <w:tc>
          <w:tcPr>
            <w:tcW w:w="4520" w:type="dxa"/>
            <w:vAlign w:val="bottom"/>
            <w:gridSpan w:val="35"/>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Amended and Restated Employment Agreement with Joshua</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10.6</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4"/>
              </w:rPr>
            </w:pPr>
            <w:hyperlink r:id="rId144">
              <w:r>
                <w:rPr>
                  <w:rFonts w:ascii="Arial" w:cs="Arial" w:eastAsia="Arial" w:hAnsi="Arial"/>
                  <w:sz w:val="17"/>
                  <w:szCs w:val="17"/>
                  <w:color w:val="0000FF"/>
                  <w:w w:val="94"/>
                </w:rPr>
                <w:t>Glover.</w:t>
              </w:r>
            </w:hyperlink>
          </w:p>
        </w:tc>
        <w:tc>
          <w:tcPr>
            <w:tcW w:w="3900" w:type="dxa"/>
            <w:vAlign w:val="bottom"/>
            <w:tcBorders>
              <w:top w:val="single" w:sz="8" w:color="0000FF"/>
            </w:tcBorders>
            <w:gridSpan w:val="29"/>
          </w:tcPr>
          <w:p>
            <w:pPr>
              <w:spacing w:after="0"/>
              <w:rPr>
                <w:sz w:val="13"/>
                <w:szCs w:val="13"/>
                <w:color w:val="auto"/>
              </w:rPr>
            </w:pPr>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10.7++</w:t>
            </w:r>
          </w:p>
        </w:tc>
        <w:tc>
          <w:tcPr>
            <w:tcW w:w="4520" w:type="dxa"/>
            <w:vAlign w:val="bottom"/>
            <w:gridSpan w:val="35"/>
          </w:tcPr>
          <w:p>
            <w:pPr>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Partner Application Distribution Agreement by and between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10.7</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5"/>
              </w:rPr>
              <w:t>June 22,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34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45">
              <w:r>
                <w:rPr>
                  <w:rFonts w:ascii="Arial" w:cs="Arial" w:eastAsia="Arial" w:hAnsi="Arial"/>
                  <w:sz w:val="17"/>
                  <w:szCs w:val="17"/>
                  <w:color w:val="0000FF"/>
                </w:rPr>
                <w:t>Salesforce and the Company, dated June 19, 2020, as</w:t>
              </w:r>
            </w:hyperlink>
          </w:p>
        </w:tc>
        <w:tc>
          <w:tcPr>
            <w:tcW w:w="18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70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89"/>
              </w:rPr>
            </w:pPr>
            <w:hyperlink r:id="rId145">
              <w:r>
                <w:rPr>
                  <w:rFonts w:ascii="Arial" w:cs="Arial" w:eastAsia="Arial" w:hAnsi="Arial"/>
                  <w:sz w:val="17"/>
                  <w:szCs w:val="17"/>
                  <w:color w:val="0000FF"/>
                  <w:w w:val="89"/>
                </w:rPr>
                <w:t>amended.</w:t>
              </w:r>
            </w:hyperlink>
          </w:p>
        </w:tc>
        <w:tc>
          <w:tcPr>
            <w:tcW w:w="3080" w:type="dxa"/>
            <w:vAlign w:val="bottom"/>
            <w:tcBorders>
              <w:top w:val="single" w:sz="8" w:color="0000FF"/>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260" w:type="dxa"/>
            <w:vAlign w:val="bottom"/>
            <w:gridSpan w:val="7"/>
          </w:tcPr>
          <w:p>
            <w:pPr>
              <w:spacing w:after="0"/>
              <w:rPr>
                <w:sz w:val="13"/>
                <w:szCs w:val="13"/>
                <w:color w:val="auto"/>
              </w:rPr>
            </w:pPr>
          </w:p>
        </w:tc>
        <w:tc>
          <w:tcPr>
            <w:tcW w:w="26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10.8+</w:t>
            </w:r>
          </w:p>
        </w:tc>
        <w:tc>
          <w:tcPr>
            <w:tcW w:w="4000" w:type="dxa"/>
            <w:vAlign w:val="bottom"/>
            <w:tcBorders>
              <w:bottom w:val="single" w:sz="8" w:color="0000FF"/>
            </w:tcBorders>
            <w:gridSpan w:val="15"/>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Form of Indemnification Agreement entered into by and</w:t>
              </w:r>
            </w:hyperlink>
          </w:p>
        </w:tc>
        <w:tc>
          <w:tcPr>
            <w:tcW w:w="520" w:type="dxa"/>
            <w:vAlign w:val="bottom"/>
            <w:gridSpan w:val="20"/>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333-239335</w:t>
            </w: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85"/>
              </w:rPr>
              <w:t>10.8</w:t>
            </w:r>
          </w:p>
        </w:tc>
        <w:tc>
          <w:tcPr>
            <w:tcW w:w="1440" w:type="dxa"/>
            <w:vAlign w:val="bottom"/>
          </w:tcPr>
          <w:p>
            <w:pPr>
              <w:jc w:val="center"/>
              <w:ind w:right="252"/>
              <w:spacing w:after="0"/>
              <w:rPr>
                <w:sz w:val="20"/>
                <w:szCs w:val="20"/>
                <w:color w:val="auto"/>
              </w:rPr>
            </w:pPr>
            <w:r>
              <w:rPr>
                <w:rFonts w:ascii="Arial" w:cs="Arial" w:eastAsia="Arial" w:hAnsi="Arial"/>
                <w:sz w:val="18"/>
                <w:szCs w:val="18"/>
                <w:color w:val="auto"/>
                <w:w w:val="88"/>
              </w:rPr>
              <w:t>July 6, 2020</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520" w:type="dxa"/>
            <w:vAlign w:val="bottom"/>
            <w:gridSpan w:val="35"/>
          </w:tcPr>
          <w:p>
            <w:pPr>
              <w:spacing w:after="0" w:line="153" w:lineRule="exact"/>
              <w:rPr>
                <w:rFonts w:ascii="Arial" w:cs="Arial" w:eastAsia="Arial" w:hAnsi="Arial"/>
                <w:sz w:val="17"/>
                <w:szCs w:val="17"/>
                <w:color w:val="0000FF"/>
              </w:rPr>
            </w:pPr>
            <w:hyperlink r:id="rId146">
              <w:r>
                <w:rPr>
                  <w:rFonts w:ascii="Arial" w:cs="Arial" w:eastAsia="Arial" w:hAnsi="Arial"/>
                  <w:sz w:val="17"/>
                  <w:szCs w:val="17"/>
                  <w:color w:val="0000FF"/>
                </w:rPr>
                <w:t>between nCino, Inc. and its directors and executive officers.</w:t>
              </w:r>
            </w:hyperlink>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6"/>
        </w:trPr>
        <w:tc>
          <w:tcPr>
            <w:tcW w:w="8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92</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40" w:type="dxa"/>
            <w:vAlign w:val="bottom"/>
          </w:tcPr>
          <w:p>
            <w:pPr>
              <w:ind w:left="200"/>
              <w:spacing w:after="0" w:line="120" w:lineRule="exact"/>
              <w:rPr>
                <w:sz w:val="20"/>
                <w:szCs w:val="20"/>
                <w:color w:val="auto"/>
              </w:rPr>
            </w:pPr>
            <w:r>
              <w:rPr>
                <w:rFonts w:ascii="Arial" w:cs="Arial" w:eastAsia="Arial" w:hAnsi="Arial"/>
                <w:sz w:val="13"/>
                <w:szCs w:val="13"/>
                <w:b w:val="1"/>
                <w:bCs w:val="1"/>
                <w:color w:val="auto"/>
              </w:rPr>
              <w:t>Exhibit</w:t>
            </w:r>
          </w:p>
        </w:tc>
        <w:tc>
          <w:tcPr>
            <w:tcW w:w="1380" w:type="dxa"/>
            <w:vAlign w:val="bottom"/>
          </w:tcPr>
          <w:p>
            <w:pPr>
              <w:spacing w:after="0"/>
              <w:rPr>
                <w:sz w:val="10"/>
                <w:szCs w:val="10"/>
                <w:color w:val="auto"/>
              </w:rPr>
            </w:pPr>
          </w:p>
        </w:tc>
        <w:tc>
          <w:tcPr>
            <w:tcW w:w="3100" w:type="dxa"/>
            <w:vAlign w:val="bottom"/>
            <w:gridSpan w:val="17"/>
            <w:vMerge w:val="restart"/>
          </w:tcPr>
          <w:p>
            <w:pPr>
              <w:ind w:left="180"/>
              <w:spacing w:after="0"/>
              <w:rPr>
                <w:sz w:val="20"/>
                <w:szCs w:val="20"/>
                <w:color w:val="auto"/>
              </w:rPr>
            </w:pPr>
            <w:r>
              <w:rPr>
                <w:rFonts w:ascii="Arial" w:cs="Arial" w:eastAsia="Arial" w:hAnsi="Arial"/>
                <w:sz w:val="14"/>
                <w:szCs w:val="14"/>
                <w:b w:val="1"/>
                <w:bCs w:val="1"/>
                <w:color w:val="auto"/>
              </w:rPr>
              <w:t>Description of Exhibit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Herewith</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3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7"/>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0" w:type="dxa"/>
            <w:vAlign w:val="bottom"/>
          </w:tcPr>
          <w:p>
            <w:pPr>
              <w:ind w:left="20"/>
              <w:spacing w:after="0" w:line="181" w:lineRule="exact"/>
              <w:rPr>
                <w:sz w:val="20"/>
                <w:szCs w:val="20"/>
                <w:color w:val="auto"/>
              </w:rPr>
            </w:pPr>
            <w:r>
              <w:rPr>
                <w:rFonts w:ascii="Arial" w:cs="Arial" w:eastAsia="Arial" w:hAnsi="Arial"/>
                <w:sz w:val="18"/>
                <w:szCs w:val="18"/>
                <w:color w:val="auto"/>
              </w:rPr>
              <w:t>10.9</w:t>
            </w:r>
          </w:p>
        </w:tc>
        <w:tc>
          <w:tcPr>
            <w:tcW w:w="4480" w:type="dxa"/>
            <w:vAlign w:val="bottom"/>
            <w:gridSpan w:val="18"/>
          </w:tcPr>
          <w:p>
            <w:pPr>
              <w:spacing w:after="0" w:line="181"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Office Lease by and between nCino, Inc. and Cloud Real</w:t>
              </w:r>
            </w:hyperlink>
          </w:p>
        </w:tc>
        <w:tc>
          <w:tcPr>
            <w:tcW w:w="800" w:type="dxa"/>
            <w:vAlign w:val="bottom"/>
          </w:tcPr>
          <w:p>
            <w:pPr>
              <w:jc w:val="center"/>
              <w:spacing w:after="0" w:line="181" w:lineRule="exact"/>
              <w:rPr>
                <w:sz w:val="20"/>
                <w:szCs w:val="20"/>
                <w:color w:val="auto"/>
              </w:rPr>
            </w:pPr>
            <w:r>
              <w:rPr>
                <w:rFonts w:ascii="Arial" w:cs="Arial" w:eastAsia="Arial" w:hAnsi="Arial"/>
                <w:sz w:val="18"/>
                <w:szCs w:val="18"/>
                <w:color w:val="auto"/>
                <w:w w:val="92"/>
              </w:rPr>
              <w:t>8-K</w:t>
            </w:r>
          </w:p>
        </w:tc>
        <w:tc>
          <w:tcPr>
            <w:tcW w:w="1200" w:type="dxa"/>
            <w:vAlign w:val="bottom"/>
          </w:tcPr>
          <w:p>
            <w:pPr>
              <w:jc w:val="center"/>
              <w:spacing w:after="0" w:line="181" w:lineRule="exact"/>
              <w:rPr>
                <w:sz w:val="20"/>
                <w:szCs w:val="20"/>
                <w:color w:val="auto"/>
              </w:rPr>
            </w:pPr>
            <w:r>
              <w:rPr>
                <w:rFonts w:ascii="Arial" w:cs="Arial" w:eastAsia="Arial" w:hAnsi="Arial"/>
                <w:sz w:val="18"/>
                <w:szCs w:val="18"/>
                <w:color w:val="auto"/>
                <w:w w:val="88"/>
              </w:rPr>
              <w:t>001-39380</w:t>
            </w:r>
          </w:p>
        </w:tc>
        <w:tc>
          <w:tcPr>
            <w:tcW w:w="880" w:type="dxa"/>
            <w:vAlign w:val="bottom"/>
          </w:tcPr>
          <w:p>
            <w:pPr>
              <w:jc w:val="center"/>
              <w:spacing w:after="0" w:line="181" w:lineRule="exact"/>
              <w:rPr>
                <w:sz w:val="20"/>
                <w:szCs w:val="20"/>
                <w:color w:val="auto"/>
              </w:rPr>
            </w:pPr>
            <w:r>
              <w:rPr>
                <w:rFonts w:ascii="Arial" w:cs="Arial" w:eastAsia="Arial" w:hAnsi="Arial"/>
                <w:sz w:val="18"/>
                <w:szCs w:val="18"/>
                <w:color w:val="auto"/>
                <w:w w:val="85"/>
              </w:rPr>
              <w:t>10.1</w:t>
            </w:r>
          </w:p>
        </w:tc>
        <w:tc>
          <w:tcPr>
            <w:tcW w:w="1760" w:type="dxa"/>
            <w:vAlign w:val="bottom"/>
          </w:tcPr>
          <w:p>
            <w:pPr>
              <w:jc w:val="center"/>
              <w:spacing w:after="0" w:line="181" w:lineRule="exact"/>
              <w:rPr>
                <w:sz w:val="20"/>
                <w:szCs w:val="20"/>
                <w:color w:val="auto"/>
              </w:rPr>
            </w:pPr>
            <w:r>
              <w:rPr>
                <w:rFonts w:ascii="Arial" w:cs="Arial" w:eastAsia="Arial" w:hAnsi="Arial"/>
                <w:sz w:val="18"/>
                <w:szCs w:val="18"/>
                <w:color w:val="auto"/>
                <w:w w:val="87"/>
              </w:rPr>
              <w:t>December 2, 2020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Estate Holdings, LLC, dated November 29, 2020.</w:t>
              </w:r>
            </w:hyperlink>
          </w:p>
        </w:tc>
        <w:tc>
          <w:tcPr>
            <w:tcW w:w="5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10.10</w:t>
            </w:r>
          </w:p>
        </w:tc>
        <w:tc>
          <w:tcPr>
            <w:tcW w:w="4480" w:type="dxa"/>
            <w:vAlign w:val="bottom"/>
            <w:gridSpan w:val="18"/>
          </w:tcPr>
          <w:p>
            <w:pPr>
              <w:spacing w:after="0"/>
              <w:rPr>
                <w:rFonts w:ascii="Arial" w:cs="Arial" w:eastAsia="Arial" w:hAnsi="Arial"/>
                <w:sz w:val="18"/>
                <w:szCs w:val="18"/>
                <w:color w:val="0000FF"/>
                <w:w w:val="99"/>
              </w:rPr>
            </w:pPr>
            <w:hyperlink r:id="rId150">
              <w:r>
                <w:rPr>
                  <w:rFonts w:ascii="Arial" w:cs="Arial" w:eastAsia="Arial" w:hAnsi="Arial"/>
                  <w:sz w:val="18"/>
                  <w:szCs w:val="18"/>
                  <w:color w:val="0000FF"/>
                  <w:w w:val="99"/>
                </w:rPr>
                <w:t>Amendment to Office Lease by and between Wilmington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001-39380</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December 2, 2020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4"/>
              </w:rPr>
            </w:pPr>
            <w:hyperlink r:id="rId150">
              <w:r>
                <w:rPr>
                  <w:rFonts w:ascii="Arial" w:cs="Arial" w:eastAsia="Arial" w:hAnsi="Arial"/>
                  <w:sz w:val="17"/>
                  <w:szCs w:val="17"/>
                  <w:color w:val="0000FF"/>
                  <w:w w:val="94"/>
                </w:rPr>
                <w:t>Investors LLC and nCino, Inc., dated November 25, 2020</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10.11</w:t>
            </w:r>
          </w:p>
        </w:tc>
        <w:tc>
          <w:tcPr>
            <w:tcW w:w="4480" w:type="dxa"/>
            <w:vAlign w:val="bottom"/>
            <w:gridSpan w:val="18"/>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Agreement Regarding Exercise and Assignment of Purchase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001-39380</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December 2, 2020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300" w:type="dxa"/>
            <w:vAlign w:val="bottom"/>
            <w:tcBorders>
              <w:top w:val="single" w:sz="8" w:color="0000FF"/>
            </w:tcBorders>
            <w:gridSpan w:val="14"/>
          </w:tcPr>
          <w:p>
            <w:pPr>
              <w:spacing w:after="0" w:line="153" w:lineRule="exact"/>
              <w:rPr>
                <w:rFonts w:ascii="Arial" w:cs="Arial" w:eastAsia="Arial" w:hAnsi="Arial"/>
                <w:sz w:val="17"/>
                <w:szCs w:val="17"/>
                <w:color w:val="0000FF"/>
                <w:w w:val="96"/>
              </w:rPr>
            </w:pPr>
            <w:hyperlink r:id="rId151">
              <w:r>
                <w:rPr>
                  <w:rFonts w:ascii="Arial" w:cs="Arial" w:eastAsia="Arial" w:hAnsi="Arial"/>
                  <w:sz w:val="17"/>
                  <w:szCs w:val="17"/>
                  <w:color w:val="0000FF"/>
                  <w:w w:val="96"/>
                </w:rPr>
                <w:t>Option among nCino, Inc. and Cloud Real Estate Holdings,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LLC, dated November 29, 2020</w:t>
              </w:r>
            </w:hyperlink>
          </w:p>
        </w:tc>
        <w:tc>
          <w:tcPr>
            <w:tcW w:w="19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10.12</w:t>
            </w:r>
          </w:p>
        </w:tc>
        <w:tc>
          <w:tcPr>
            <w:tcW w:w="4480" w:type="dxa"/>
            <w:vAlign w:val="bottom"/>
            <w:gridSpan w:val="18"/>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First Amendment to Office Lease by and between nCino, Inc.</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2"/>
              </w:rPr>
            </w:pPr>
            <w:hyperlink w:anchor="page100">
              <w:r>
                <w:rPr>
                  <w:rFonts w:ascii="Arial" w:cs="Arial" w:eastAsia="Arial" w:hAnsi="Arial"/>
                  <w:sz w:val="17"/>
                  <w:szCs w:val="17"/>
                  <w:color w:val="0000FF"/>
                  <w:w w:val="92"/>
                </w:rPr>
                <w:t>and Cloud Real Estate Holdings, LLC, dated January 27, 2021</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21.1</w:t>
            </w:r>
          </w:p>
        </w:tc>
        <w:tc>
          <w:tcPr>
            <w:tcW w:w="4480" w:type="dxa"/>
            <w:vAlign w:val="bottom"/>
            <w:gridSpan w:val="18"/>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List of subsidiaries of nCino, Inc.</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4480" w:type="dxa"/>
            <w:vAlign w:val="bottom"/>
            <w:gridSpan w:val="18"/>
          </w:tcPr>
          <w:p>
            <w:pP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Consent of Ernst &amp; Young LLP, Independent Registered</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000" w:type="dxa"/>
            <w:vAlign w:val="bottom"/>
            <w:tcBorders>
              <w:top w:val="single" w:sz="8" w:color="0000FF"/>
            </w:tcBorders>
            <w:gridSpan w:val="6"/>
          </w:tcPr>
          <w:p>
            <w:pPr>
              <w:spacing w:after="0" w:line="153" w:lineRule="exact"/>
              <w:rPr>
                <w:rFonts w:ascii="Arial" w:cs="Arial" w:eastAsia="Arial" w:hAnsi="Arial"/>
                <w:sz w:val="17"/>
                <w:szCs w:val="17"/>
                <w:color w:val="0000FF"/>
              </w:rPr>
            </w:pPr>
            <w:hyperlink w:anchor="page120">
              <w:r>
                <w:rPr>
                  <w:rFonts w:ascii="Arial" w:cs="Arial" w:eastAsia="Arial" w:hAnsi="Arial"/>
                  <w:sz w:val="17"/>
                  <w:szCs w:val="17"/>
                  <w:color w:val="0000FF"/>
                </w:rPr>
                <w:t>Public Accounting Firm</w:t>
              </w:r>
            </w:hyperlink>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4480" w:type="dxa"/>
            <w:vAlign w:val="bottom"/>
            <w:gridSpan w:val="18"/>
          </w:tcPr>
          <w:p>
            <w:pPr>
              <w:spacing w:after="0"/>
              <w:rPr>
                <w:rFonts w:ascii="Arial" w:cs="Arial" w:eastAsia="Arial" w:hAnsi="Arial"/>
                <w:sz w:val="18"/>
                <w:szCs w:val="18"/>
                <w:color w:val="0000FF"/>
                <w:w w:val="93"/>
              </w:rPr>
            </w:pPr>
            <w:hyperlink w:anchor="page121">
              <w:r>
                <w:rPr>
                  <w:rFonts w:ascii="Arial" w:cs="Arial" w:eastAsia="Arial" w:hAnsi="Arial"/>
                  <w:sz w:val="18"/>
                  <w:szCs w:val="18"/>
                  <w:color w:val="0000FF"/>
                  <w:w w:val="93"/>
                </w:rPr>
                <w:t>Certification of Principal Executive Officer Pursuant to Rules</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0" w:type="dxa"/>
            <w:vAlign w:val="bottom"/>
          </w:tcPr>
          <w:p>
            <w:pPr>
              <w:spacing w:after="0"/>
              <w:rPr>
                <w:sz w:val="13"/>
                <w:szCs w:val="13"/>
                <w:color w:val="auto"/>
              </w:rPr>
            </w:pPr>
          </w:p>
        </w:tc>
        <w:tc>
          <w:tcPr>
            <w:tcW w:w="4480" w:type="dxa"/>
            <w:vAlign w:val="bottom"/>
            <w:gridSpan w:val="18"/>
          </w:tcPr>
          <w:p>
            <w:pPr>
              <w:spacing w:after="0" w:line="153" w:lineRule="exact"/>
              <w:rPr>
                <w:rFonts w:ascii="Arial" w:cs="Arial" w:eastAsia="Arial" w:hAnsi="Arial"/>
                <w:sz w:val="17"/>
                <w:szCs w:val="17"/>
                <w:color w:val="0000FF"/>
                <w:w w:val="94"/>
              </w:rPr>
            </w:pPr>
            <w:hyperlink w:anchor="page121">
              <w:r>
                <w:rPr>
                  <w:rFonts w:ascii="Arial" w:cs="Arial" w:eastAsia="Arial" w:hAnsi="Arial"/>
                  <w:sz w:val="17"/>
                  <w:szCs w:val="17"/>
                  <w:color w:val="0000FF"/>
                  <w:w w:val="94"/>
                </w:rPr>
                <w:t>13a-14(a) and 15d-14(a) under the Securities Exchange Act of</w:t>
              </w:r>
            </w:hyperlink>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3" w:lineRule="exact"/>
              <w:rPr>
                <w:rFonts w:ascii="Arial" w:cs="Arial" w:eastAsia="Arial" w:hAnsi="Arial"/>
                <w:sz w:val="17"/>
                <w:szCs w:val="17"/>
                <w:color w:val="0000FF"/>
                <w:w w:val="97"/>
              </w:rPr>
            </w:pPr>
            <w:hyperlink w:anchor="page121">
              <w:r>
                <w:rPr>
                  <w:rFonts w:ascii="Arial" w:cs="Arial" w:eastAsia="Arial" w:hAnsi="Arial"/>
                  <w:sz w:val="17"/>
                  <w:szCs w:val="17"/>
                  <w:color w:val="0000FF"/>
                  <w:w w:val="97"/>
                </w:rPr>
                <w:t>1934, as Adopted Pursuant to Section 302 of the Sarbanes-</w:t>
              </w:r>
            </w:hyperlink>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7"/>
              </w:rPr>
            </w:pPr>
            <w:hyperlink w:anchor="page121">
              <w:r>
                <w:rPr>
                  <w:rFonts w:ascii="Arial" w:cs="Arial" w:eastAsia="Arial" w:hAnsi="Arial"/>
                  <w:sz w:val="17"/>
                  <w:szCs w:val="17"/>
                  <w:color w:val="0000FF"/>
                  <w:w w:val="97"/>
                </w:rPr>
                <w:t>Oxley Act of 2002.</w:t>
              </w:r>
            </w:hyperlink>
          </w:p>
        </w:tc>
        <w:tc>
          <w:tcPr>
            <w:tcW w:w="280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43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of Principal Financial Officer Pursuant to Rules</w:t>
              </w:r>
            </w:hyperlink>
          </w:p>
        </w:tc>
        <w:tc>
          <w:tcPr>
            <w:tcW w:w="1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480" w:type="dxa"/>
            <w:vAlign w:val="bottom"/>
            <w:gridSpan w:val="18"/>
          </w:tcPr>
          <w:p>
            <w:pPr>
              <w:spacing w:after="0" w:line="153" w:lineRule="exact"/>
              <w:rPr>
                <w:rFonts w:ascii="Arial" w:cs="Arial" w:eastAsia="Arial" w:hAnsi="Arial"/>
                <w:sz w:val="17"/>
                <w:szCs w:val="17"/>
                <w:color w:val="0000FF"/>
                <w:w w:val="94"/>
              </w:rPr>
            </w:pPr>
            <w:hyperlink w:anchor="page123">
              <w:r>
                <w:rPr>
                  <w:rFonts w:ascii="Arial" w:cs="Arial" w:eastAsia="Arial" w:hAnsi="Arial"/>
                  <w:sz w:val="17"/>
                  <w:szCs w:val="17"/>
                  <w:color w:val="0000FF"/>
                  <w:w w:val="94"/>
                </w:rPr>
                <w:t>13a-14(a) and 15d-14(a) under the Securities Exchange Act of</w:t>
              </w:r>
            </w:hyperlink>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3" w:lineRule="exact"/>
              <w:rPr>
                <w:rFonts w:ascii="Arial" w:cs="Arial" w:eastAsia="Arial" w:hAnsi="Arial"/>
                <w:sz w:val="17"/>
                <w:szCs w:val="17"/>
                <w:color w:val="0000FF"/>
                <w:w w:val="97"/>
              </w:rPr>
            </w:pPr>
            <w:hyperlink w:anchor="page123">
              <w:r>
                <w:rPr>
                  <w:rFonts w:ascii="Arial" w:cs="Arial" w:eastAsia="Arial" w:hAnsi="Arial"/>
                  <w:sz w:val="17"/>
                  <w:szCs w:val="17"/>
                  <w:color w:val="0000FF"/>
                  <w:w w:val="97"/>
                </w:rPr>
                <w:t>1934, as Adopted Pursuant to Section 302 of the Sarbanes-</w:t>
              </w:r>
            </w:hyperlink>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7"/>
              </w:rPr>
            </w:pPr>
            <w:hyperlink w:anchor="page123">
              <w:r>
                <w:rPr>
                  <w:rFonts w:ascii="Arial" w:cs="Arial" w:eastAsia="Arial" w:hAnsi="Arial"/>
                  <w:sz w:val="17"/>
                  <w:szCs w:val="17"/>
                  <w:color w:val="0000FF"/>
                  <w:w w:val="97"/>
                </w:rPr>
                <w:t>Oxley Act of 2002.</w:t>
              </w:r>
            </w:hyperlink>
          </w:p>
        </w:tc>
        <w:tc>
          <w:tcPr>
            <w:tcW w:w="280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4480" w:type="dxa"/>
            <w:vAlign w:val="bottom"/>
            <w:gridSpan w:val="18"/>
          </w:tcPr>
          <w:p>
            <w:pPr>
              <w:spacing w:after="0"/>
              <w:rPr>
                <w:rFonts w:ascii="Arial" w:cs="Arial" w:eastAsia="Arial" w:hAnsi="Arial"/>
                <w:sz w:val="18"/>
                <w:szCs w:val="18"/>
                <w:color w:val="0000FF"/>
                <w:w w:val="98"/>
              </w:rPr>
            </w:pPr>
            <w:hyperlink w:anchor="page125">
              <w:r>
                <w:rPr>
                  <w:rFonts w:ascii="Arial" w:cs="Arial" w:eastAsia="Arial" w:hAnsi="Arial"/>
                  <w:sz w:val="18"/>
                  <w:szCs w:val="18"/>
                  <w:color w:val="0000FF"/>
                  <w:w w:val="98"/>
                </w:rPr>
                <w:t>Certification of Principal Executive Officer Pursuant to 18</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3" w:lineRule="exact"/>
              <w:rPr>
                <w:rFonts w:ascii="Arial" w:cs="Arial" w:eastAsia="Arial" w:hAnsi="Arial"/>
                <w:sz w:val="17"/>
                <w:szCs w:val="17"/>
                <w:color w:val="0000FF"/>
                <w:w w:val="95"/>
              </w:rPr>
            </w:pPr>
            <w:hyperlink w:anchor="page125">
              <w:r>
                <w:rPr>
                  <w:rFonts w:ascii="Arial" w:cs="Arial" w:eastAsia="Arial" w:hAnsi="Arial"/>
                  <w:sz w:val="17"/>
                  <w:szCs w:val="17"/>
                  <w:color w:val="0000FF"/>
                  <w:w w:val="95"/>
                </w:rPr>
                <w:t>U.S.C. Section 1350, as Adopted Pursuant to Section 906</w:t>
              </w:r>
            </w:hyperlink>
          </w:p>
        </w:tc>
        <w:tc>
          <w:tcPr>
            <w:tcW w:w="320" w:type="dxa"/>
            <w:vAlign w:val="bottom"/>
            <w:gridSpan w:val="8"/>
          </w:tcPr>
          <w:p>
            <w:pPr>
              <w:jc w:val="right"/>
              <w:ind w:right="200"/>
              <w:spacing w:after="0" w:line="153" w:lineRule="exact"/>
              <w:rPr>
                <w:rFonts w:ascii="Arial" w:cs="Arial" w:eastAsia="Arial" w:hAnsi="Arial"/>
                <w:sz w:val="17"/>
                <w:szCs w:val="17"/>
                <w:color w:val="0000FF"/>
                <w:w w:val="70"/>
              </w:rPr>
            </w:pPr>
            <w:hyperlink w:anchor="page125">
              <w:r>
                <w:rPr>
                  <w:rFonts w:ascii="Arial" w:cs="Arial" w:eastAsia="Arial" w:hAnsi="Arial"/>
                  <w:sz w:val="17"/>
                  <w:szCs w:val="17"/>
                  <w:color w:val="0000FF"/>
                  <w:w w:val="70"/>
                </w:rPr>
                <w:t>of</w:t>
              </w:r>
            </w:hyperlink>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w:anchor="page125">
              <w:r>
                <w:rPr>
                  <w:rFonts w:ascii="Arial" w:cs="Arial" w:eastAsia="Arial" w:hAnsi="Arial"/>
                  <w:sz w:val="17"/>
                  <w:szCs w:val="17"/>
                  <w:color w:val="0000FF"/>
                  <w:w w:val="95"/>
                </w:rPr>
                <w:t>the Sarbanes-Oxley Act of 2002.</w:t>
              </w:r>
            </w:hyperlink>
          </w:p>
        </w:tc>
        <w:tc>
          <w:tcPr>
            <w:tcW w:w="190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20"/>
              <w:spacing w:after="0"/>
              <w:rPr>
                <w:sz w:val="20"/>
                <w:szCs w:val="20"/>
                <w:color w:val="auto"/>
              </w:rPr>
            </w:pPr>
            <w:r>
              <w:rPr>
                <w:rFonts w:ascii="Arial" w:cs="Arial" w:eastAsia="Arial" w:hAnsi="Arial"/>
                <w:sz w:val="18"/>
                <w:szCs w:val="18"/>
                <w:color w:val="auto"/>
              </w:rPr>
              <w:t>32.2*</w:t>
            </w:r>
          </w:p>
        </w:tc>
        <w:tc>
          <w:tcPr>
            <w:tcW w:w="4480" w:type="dxa"/>
            <w:vAlign w:val="bottom"/>
            <w:gridSpan w:val="18"/>
          </w:tcPr>
          <w:p>
            <w:pPr>
              <w:spacing w:after="0"/>
              <w:rPr>
                <w:rFonts w:ascii="Arial" w:cs="Arial" w:eastAsia="Arial" w:hAnsi="Arial"/>
                <w:sz w:val="18"/>
                <w:szCs w:val="18"/>
                <w:color w:val="0000FF"/>
                <w:w w:val="99"/>
              </w:rPr>
            </w:pPr>
            <w:hyperlink w:anchor="page126">
              <w:r>
                <w:rPr>
                  <w:rFonts w:ascii="Arial" w:cs="Arial" w:eastAsia="Arial" w:hAnsi="Arial"/>
                  <w:sz w:val="18"/>
                  <w:szCs w:val="18"/>
                  <w:color w:val="0000FF"/>
                  <w:w w:val="99"/>
                </w:rPr>
                <w:t>Certification of Principal Financial Officer Pursuant to 18</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4100" w:type="dxa"/>
            <w:vAlign w:val="bottom"/>
            <w:tcBorders>
              <w:top w:val="single" w:sz="8" w:color="0000FF"/>
            </w:tcBorders>
            <w:gridSpan w:val="9"/>
          </w:tcPr>
          <w:p>
            <w:pPr>
              <w:spacing w:after="0" w:line="153" w:lineRule="exact"/>
              <w:rPr>
                <w:rFonts w:ascii="Arial" w:cs="Arial" w:eastAsia="Arial" w:hAnsi="Arial"/>
                <w:sz w:val="17"/>
                <w:szCs w:val="17"/>
                <w:color w:val="0000FF"/>
                <w:w w:val="93"/>
              </w:rPr>
            </w:pPr>
            <w:hyperlink w:anchor="page126">
              <w:r>
                <w:rPr>
                  <w:rFonts w:ascii="Arial" w:cs="Arial" w:eastAsia="Arial" w:hAnsi="Arial"/>
                  <w:sz w:val="17"/>
                  <w:szCs w:val="17"/>
                  <w:color w:val="0000FF"/>
                  <w:w w:val="93"/>
                </w:rPr>
                <w:t>U.S.C. Section 1350, as Adopted Pursuant to Section 906</w:t>
              </w:r>
            </w:hyperlink>
          </w:p>
        </w:tc>
        <w:tc>
          <w:tcPr>
            <w:tcW w:w="380" w:type="dxa"/>
            <w:vAlign w:val="bottom"/>
            <w:gridSpan w:val="9"/>
          </w:tcPr>
          <w:p>
            <w:pPr>
              <w:jc w:val="right"/>
              <w:ind w:right="200"/>
              <w:spacing w:after="0" w:line="153" w:lineRule="exact"/>
              <w:rPr>
                <w:rFonts w:ascii="Arial" w:cs="Arial" w:eastAsia="Arial" w:hAnsi="Arial"/>
                <w:sz w:val="17"/>
                <w:szCs w:val="17"/>
                <w:color w:val="0000FF"/>
              </w:rPr>
            </w:pPr>
            <w:hyperlink w:anchor="page126">
              <w:r>
                <w:rPr>
                  <w:rFonts w:ascii="Arial" w:cs="Arial" w:eastAsia="Arial" w:hAnsi="Arial"/>
                  <w:sz w:val="17"/>
                  <w:szCs w:val="17"/>
                  <w:color w:val="0000FF"/>
                </w:rPr>
                <w:t>of</w:t>
              </w:r>
            </w:hyperlink>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w:anchor="page126">
              <w:r>
                <w:rPr>
                  <w:rFonts w:ascii="Arial" w:cs="Arial" w:eastAsia="Arial" w:hAnsi="Arial"/>
                  <w:sz w:val="17"/>
                  <w:szCs w:val="17"/>
                  <w:color w:val="0000FF"/>
                  <w:w w:val="95"/>
                </w:rPr>
                <w:t>the Sarbanes-Oxley Act of 2002.</w:t>
              </w:r>
            </w:hyperlink>
          </w:p>
        </w:tc>
        <w:tc>
          <w:tcPr>
            <w:tcW w:w="190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448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448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840" w:type="dxa"/>
            <w:vAlign w:val="bottom"/>
          </w:tcPr>
          <w:p>
            <w:pPr>
              <w:ind w:left="20"/>
              <w:spacing w:after="0" w:line="175" w:lineRule="exact"/>
              <w:rPr>
                <w:sz w:val="20"/>
                <w:szCs w:val="20"/>
                <w:color w:val="auto"/>
              </w:rPr>
            </w:pPr>
            <w:r>
              <w:rPr>
                <w:rFonts w:ascii="Arial" w:cs="Arial" w:eastAsia="Arial" w:hAnsi="Arial"/>
                <w:sz w:val="18"/>
                <w:szCs w:val="18"/>
                <w:color w:val="auto"/>
              </w:rPr>
              <w:t>101.CAL</w:t>
            </w:r>
          </w:p>
        </w:tc>
        <w:tc>
          <w:tcPr>
            <w:tcW w:w="4480" w:type="dxa"/>
            <w:vAlign w:val="bottom"/>
            <w:gridSpan w:val="18"/>
          </w:tcPr>
          <w:p>
            <w:pPr>
              <w:spacing w:after="0" w:line="175" w:lineRule="exact"/>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4480" w:type="dxa"/>
            <w:vAlign w:val="bottom"/>
            <w:gridSpan w:val="18"/>
          </w:tcPr>
          <w:p>
            <w:pPr>
              <w:spacing w:after="0"/>
              <w:rPr>
                <w:sz w:val="20"/>
                <w:szCs w:val="20"/>
                <w:color w:val="auto"/>
              </w:rPr>
            </w:pPr>
            <w:r>
              <w:rPr>
                <w:rFonts w:ascii="Arial" w:cs="Arial" w:eastAsia="Arial" w:hAnsi="Arial"/>
                <w:sz w:val="18"/>
                <w:szCs w:val="18"/>
                <w:color w:val="auto"/>
              </w:rPr>
              <w:t>Inline XBRL Extension Definition</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4480" w:type="dxa"/>
            <w:vAlign w:val="bottom"/>
            <w:gridSpan w:val="18"/>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840" w:type="dxa"/>
            <w:vAlign w:val="bottom"/>
          </w:tcPr>
          <w:p>
            <w:pPr>
              <w:ind w:left="40"/>
              <w:spacing w:after="0" w:line="175" w:lineRule="exact"/>
              <w:rPr>
                <w:sz w:val="20"/>
                <w:szCs w:val="20"/>
                <w:color w:val="auto"/>
              </w:rPr>
            </w:pPr>
            <w:r>
              <w:rPr>
                <w:rFonts w:ascii="Arial" w:cs="Arial" w:eastAsia="Arial" w:hAnsi="Arial"/>
                <w:sz w:val="18"/>
                <w:szCs w:val="18"/>
                <w:color w:val="auto"/>
              </w:rPr>
              <w:t>101.PRE</w:t>
            </w:r>
          </w:p>
        </w:tc>
        <w:tc>
          <w:tcPr>
            <w:tcW w:w="4480" w:type="dxa"/>
            <w:vAlign w:val="bottom"/>
            <w:gridSpan w:val="18"/>
          </w:tcPr>
          <w:p>
            <w:pPr>
              <w:spacing w:after="0" w:line="175" w:lineRule="exact"/>
              <w:rPr>
                <w:sz w:val="20"/>
                <w:szCs w:val="20"/>
                <w:color w:val="auto"/>
              </w:rPr>
            </w:pPr>
            <w:r>
              <w:rPr>
                <w:rFonts w:ascii="Arial" w:cs="Arial" w:eastAsia="Arial" w:hAnsi="Arial"/>
                <w:sz w:val="18"/>
                <w:szCs w:val="18"/>
                <w:color w:val="auto"/>
                <w:w w:val="98"/>
              </w:rPr>
              <w:t>Inline XBRL Taxonomy Extension Presentation Linkbase</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 w:type="dxa"/>
            <w:vAlign w:val="bottom"/>
          </w:tcPr>
          <w:p>
            <w:pPr>
              <w:ind w:left="20"/>
              <w:spacing w:after="0" w:line="175" w:lineRule="exact"/>
              <w:rPr>
                <w:sz w:val="20"/>
                <w:szCs w:val="20"/>
                <w:color w:val="auto"/>
              </w:rPr>
            </w:pPr>
            <w:r>
              <w:rPr>
                <w:rFonts w:ascii="Arial" w:cs="Arial" w:eastAsia="Arial" w:hAnsi="Arial"/>
                <w:sz w:val="18"/>
                <w:szCs w:val="18"/>
                <w:color w:val="auto"/>
              </w:rPr>
              <w:t>104</w:t>
            </w:r>
          </w:p>
        </w:tc>
        <w:tc>
          <w:tcPr>
            <w:tcW w:w="4480" w:type="dxa"/>
            <w:vAlign w:val="bottom"/>
            <w:gridSpan w:val="18"/>
          </w:tcPr>
          <w:p>
            <w:pPr>
              <w:spacing w:after="0" w:line="175" w:lineRule="exact"/>
              <w:rPr>
                <w:sz w:val="20"/>
                <w:szCs w:val="20"/>
                <w:color w:val="auto"/>
              </w:rPr>
            </w:pPr>
            <w:r>
              <w:rPr>
                <w:rFonts w:ascii="Arial" w:cs="Arial" w:eastAsia="Arial" w:hAnsi="Arial"/>
                <w:sz w:val="18"/>
                <w:szCs w:val="18"/>
                <w:color w:val="auto"/>
                <w:w w:val="91"/>
              </w:rPr>
              <w:t>Cover Page Interactive Data File (embedded within the Inline</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40" w:hanging="816"/>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9" w:lineRule="exact"/>
        <w:rPr>
          <w:sz w:val="20"/>
          <w:szCs w:val="20"/>
          <w:color w:val="auto"/>
        </w:rPr>
      </w:pPr>
    </w:p>
    <w:p>
      <w:pPr>
        <w:ind w:left="840" w:hanging="816"/>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601(b)(10)(iv) of Regulation S-K.</w:t>
      </w:r>
    </w:p>
    <w:p>
      <w:pPr>
        <w:spacing w:after="0" w:line="19" w:lineRule="exact"/>
        <w:rPr>
          <w:sz w:val="20"/>
          <w:szCs w:val="20"/>
          <w:color w:val="auto"/>
        </w:rPr>
      </w:pPr>
    </w:p>
    <w:p>
      <w:pPr>
        <w:ind w:left="840" w:right="80" w:hanging="816"/>
        <w:spacing w:after="0" w:line="220"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 2 hereto are deemed to accompany this Annual Report on Form 10-K and will not be deemed "filed" for purpose of Section 18 of the Securities Exchange Act of 1934, as amended, except to the extent that the registrant specifically incorporates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878"/>
        <w:spacing w:after="0" w:line="26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13"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5"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11430</wp:posOffset>
            </wp:positionV>
            <wp:extent cx="27774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Pierre Naudé</w:t>
      </w:r>
    </w:p>
    <w:p>
      <w:pPr>
        <w:ind w:left="6880"/>
        <w:spacing w:after="0" w:line="200" w:lineRule="auto"/>
        <w:rPr>
          <w:sz w:val="20"/>
          <w:szCs w:val="20"/>
          <w:color w:val="auto"/>
        </w:rPr>
      </w:pPr>
      <w:r>
        <w:rPr>
          <w:rFonts w:ascii="Arial" w:cs="Arial" w:eastAsia="Arial" w:hAnsi="Arial"/>
          <w:sz w:val="18"/>
          <w:szCs w:val="18"/>
          <w:color w:val="auto"/>
        </w:rPr>
        <w:t>President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58"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11430</wp:posOffset>
            </wp:positionV>
            <wp:extent cx="27774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00"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18" w:lineRule="exact"/>
        <w:rPr>
          <w:sz w:val="20"/>
          <w:szCs w:val="20"/>
          <w:color w:val="auto"/>
        </w:rPr>
      </w:pPr>
    </w:p>
    <w:p>
      <w:pPr>
        <w:ind w:right="20" w:firstLine="878"/>
        <w:spacing w:after="0" w:line="26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60"/>
          </w:cols>
          <w:pgMar w:left="320" w:top="127" w:right="419" w:bottom="1440" w:gutter="0" w:footer="0" w:header="0"/>
        </w:sectPr>
      </w:pPr>
    </w:p>
    <w:p>
      <w:pPr>
        <w:spacing w:after="0" w:line="209"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3183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Pierre Naudé</w:t>
      </w:r>
    </w:p>
    <w:p>
      <w:pPr>
        <w:spacing w:after="0" w:line="20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David Rudow</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 Jeanette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183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3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Jeanette Sellers</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/s/Steven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Steven Collins</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Jon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Jon Doyle</w:t>
      </w:r>
    </w:p>
    <w:p>
      <w:pPr>
        <w:spacing w:after="0" w:line="20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Jeffrey Horing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Jeffrey Horing</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Pam Kilday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Pam Kilday</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Spencer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Spencer Lake</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 Jeffrey Lunsford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3183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3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Jeffrey Lunsford</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William Ruh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83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William Ruh</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27946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5" w:lineRule="exact"/>
        <w:rPr>
          <w:sz w:val="20"/>
          <w:szCs w:val="20"/>
          <w:color w:val="auto"/>
        </w:rPr>
      </w:pPr>
    </w:p>
    <w:p>
      <w:pPr>
        <w:ind w:right="620"/>
        <w:spacing w:after="0" w:line="230" w:lineRule="auto"/>
        <w:rPr>
          <w:sz w:val="20"/>
          <w:szCs w:val="20"/>
          <w:color w:val="auto"/>
        </w:rPr>
      </w:pPr>
      <w:r>
        <w:rPr>
          <w:rFonts w:ascii="Arial" w:cs="Arial" w:eastAsia="Arial" w:hAnsi="Arial"/>
          <w:sz w:val="18"/>
          <w:szCs w:val="18"/>
          <w:color w:val="auto"/>
        </w:rPr>
        <w:t>President and Chief Executive Officer; Director (Principal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Accounting</w:t>
      </w:r>
    </w:p>
    <w:p>
      <w:pPr>
        <w:spacing w:after="0"/>
        <w:rPr>
          <w:sz w:val="20"/>
          <w:szCs w:val="20"/>
          <w:color w:val="auto"/>
        </w:rPr>
      </w:pPr>
      <w:r>
        <w:rPr>
          <w:rFonts w:ascii="Arial" w:cs="Arial" w:eastAsia="Arial" w:hAnsi="Arial"/>
          <w:sz w:val="18"/>
          <w:szCs w:val="18"/>
          <w:color w:val="auto"/>
        </w:rPr>
        <w:t>(Principal Accounting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21590</wp:posOffset>
            </wp:positionV>
            <wp:extent cx="1038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10382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March 31, 2021</w:t>
      </w:r>
    </w:p>
    <w:p>
      <w:pPr>
        <w:spacing w:after="0" w:line="209" w:lineRule="exact"/>
        <w:rPr>
          <w:sz w:val="20"/>
          <w:szCs w:val="20"/>
          <w:color w:val="auto"/>
        </w:rPr>
      </w:pPr>
    </w:p>
    <w:p>
      <w:pPr>
        <w:sectPr>
          <w:pgSz w:w="11900" w:h="16838" w:orient="portrait"/>
          <w:cols w:equalWidth="0" w:num="3">
            <w:col w:w="4400" w:space="720"/>
            <w:col w:w="4020" w:space="720"/>
            <w:col w:w="1300"/>
          </w:cols>
          <w:pgMar w:left="320" w:top="127" w:right="41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60"/>
          </w:cols>
          <w:pgMar w:left="320" w:top="127" w:right="41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9"/>
          <w:szCs w:val="19"/>
          <w:b w:val="1"/>
          <w:bCs w:val="1"/>
          <w:color w:val="auto"/>
        </w:rPr>
        <w:t>Exhibit 10.12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OFFICE LEASE</w:t>
      </w:r>
    </w:p>
    <w:p>
      <w:pPr>
        <w:spacing w:after="0" w:line="35"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9"/>
          <w:szCs w:val="19"/>
          <w:b w:val="1"/>
          <w:bCs w:val="1"/>
          <w:color w:val="auto"/>
        </w:rPr>
        <w:t xml:space="preserve">THIS FIRST AMENDMENT TO OFFICE LEASE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entered into effective as of January 27, 2021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Cloud Real Estate Holdings, LLC</w:t>
      </w:r>
      <w:r>
        <w:rPr>
          <w:rFonts w:ascii="Arial" w:cs="Arial" w:eastAsia="Arial" w:hAnsi="Arial"/>
          <w:sz w:val="19"/>
          <w:szCs w:val="19"/>
          <w:color w:val="auto"/>
        </w:rPr>
        <w:t>, a North Carolina limited liability company (“</w:t>
      </w:r>
      <w:r>
        <w:rPr>
          <w:rFonts w:ascii="Arial" w:cs="Arial" w:eastAsia="Arial" w:hAnsi="Arial"/>
          <w:sz w:val="19"/>
          <w:szCs w:val="19"/>
          <w:b w:val="1"/>
          <w:bCs w:val="1"/>
          <w:i w:val="1"/>
          <w:iCs w:val="1"/>
          <w:color w:val="auto"/>
        </w:rPr>
        <w:t>Landlord</w:t>
      </w:r>
      <w:r>
        <w:rPr>
          <w:rFonts w:ascii="Arial" w:cs="Arial" w:eastAsia="Arial" w:hAnsi="Arial"/>
          <w:sz w:val="19"/>
          <w:szCs w:val="19"/>
          <w:color w:val="auto"/>
        </w:rPr>
        <w:t xml:space="preserve">”), and </w:t>
      </w:r>
      <w:r>
        <w:rPr>
          <w:rFonts w:ascii="Arial" w:cs="Arial" w:eastAsia="Arial" w:hAnsi="Arial"/>
          <w:sz w:val="19"/>
          <w:szCs w:val="19"/>
          <w:b w:val="1"/>
          <w:bCs w:val="1"/>
          <w:color w:val="auto"/>
        </w:rPr>
        <w:t>nCino, Inc.</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 upon the terms and conditions hereinafter set forth.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13" w:lineRule="exact"/>
        <w:rPr>
          <w:sz w:val="20"/>
          <w:szCs w:val="20"/>
          <w:color w:val="auto"/>
        </w:rPr>
      </w:pPr>
    </w:p>
    <w:p>
      <w:pPr>
        <w:jc w:val="both"/>
        <w:ind w:firstLine="645"/>
        <w:spacing w:after="0" w:line="285" w:lineRule="auto"/>
        <w:tabs>
          <w:tab w:leader="none" w:pos="126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Landlord and Tenant entered into that certain Office Lease dated effective November 29, 2020 (the “</w:t>
      </w:r>
      <w:r>
        <w:rPr>
          <w:rFonts w:ascii="Arial" w:cs="Arial" w:eastAsia="Arial" w:hAnsi="Arial"/>
          <w:sz w:val="18"/>
          <w:szCs w:val="18"/>
          <w:b w:val="1"/>
          <w:bCs w:val="1"/>
          <w:i w:val="1"/>
          <w:iCs w:val="1"/>
          <w:color w:val="auto"/>
        </w:rPr>
        <w:t>Existing Building Lease</w:t>
      </w:r>
      <w:r>
        <w:rPr>
          <w:rFonts w:ascii="Arial" w:cs="Arial" w:eastAsia="Arial" w:hAnsi="Arial"/>
          <w:sz w:val="18"/>
          <w:szCs w:val="18"/>
          <w:color w:val="auto"/>
        </w:rPr>
        <w:t>”) for certain premises located at 6770 Parker Farm Drive, Wilmington, North Carolina (as more particularly described therein,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For the purposes of this Amendment, the term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shall mean the Existing Building Lease as modified by this Amendment.</w:t>
      </w:r>
    </w:p>
    <w:p>
      <w:pPr>
        <w:spacing w:after="0" w:line="140" w:lineRule="exact"/>
        <w:rPr>
          <w:rFonts w:ascii="Arial" w:cs="Arial" w:eastAsia="Arial" w:hAnsi="Arial"/>
          <w:sz w:val="18"/>
          <w:szCs w:val="18"/>
          <w:b w:val="1"/>
          <w:bCs w:val="1"/>
          <w:color w:val="auto"/>
        </w:rPr>
      </w:pPr>
    </w:p>
    <w:p>
      <w:pPr>
        <w:ind w:firstLine="645"/>
        <w:spacing w:after="0" w:line="280" w:lineRule="auto"/>
        <w:tabs>
          <w:tab w:leader="none" w:pos="1269"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The Existing Building Lease became effective and the Commencement Date occurred upon Landlord’s acquisition of the Property on December 18, 2020.</w:t>
      </w:r>
    </w:p>
    <w:p>
      <w:pPr>
        <w:spacing w:after="0" w:line="128" w:lineRule="exact"/>
        <w:rPr>
          <w:rFonts w:ascii="Arial" w:cs="Arial" w:eastAsia="Arial" w:hAnsi="Arial"/>
          <w:sz w:val="19"/>
          <w:szCs w:val="19"/>
          <w:b w:val="1"/>
          <w:bCs w:val="1"/>
          <w:color w:val="auto"/>
        </w:rPr>
      </w:pPr>
    </w:p>
    <w:p>
      <w:pPr>
        <w:ind w:firstLine="645"/>
        <w:spacing w:after="0" w:line="280" w:lineRule="auto"/>
        <w:tabs>
          <w:tab w:leader="none" w:pos="1266"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As a result of Tenant’s exercise of the Parking Deck Option under Section 33.03 of the Existing Building Lease, Landlord and Tenant have agreed to amend the Existing Building Lease on the terms and conditions set forth in this Amendment.</w:t>
      </w:r>
    </w:p>
    <w:p>
      <w:pPr>
        <w:spacing w:after="0" w:line="142" w:lineRule="exact"/>
        <w:rPr>
          <w:sz w:val="20"/>
          <w:szCs w:val="20"/>
          <w:color w:val="auto"/>
        </w:rPr>
      </w:pPr>
    </w:p>
    <w:p>
      <w:pPr>
        <w:ind w:firstLine="638"/>
        <w:spacing w:after="0" w:line="280" w:lineRule="auto"/>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 parties agree as follows:</w:t>
      </w:r>
    </w:p>
    <w:p>
      <w:pPr>
        <w:spacing w:after="0" w:line="136" w:lineRule="exact"/>
        <w:rPr>
          <w:sz w:val="20"/>
          <w:szCs w:val="20"/>
          <w:color w:val="auto"/>
        </w:rPr>
      </w:pPr>
    </w:p>
    <w:p>
      <w:pPr>
        <w:ind w:firstLine="645"/>
        <w:spacing w:after="0" w:line="286" w:lineRule="auto"/>
        <w:tabs>
          <w:tab w:leader="none" w:pos="1276"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Design, Approval and Construction of Parking Deck</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Work Letter</w:t>
      </w:r>
      <w:r>
        <w:rPr>
          <w:rFonts w:ascii="Arial" w:cs="Arial" w:eastAsia="Arial" w:hAnsi="Arial"/>
          <w:sz w:val="19"/>
          <w:szCs w:val="19"/>
          <w:color w:val="auto"/>
        </w:rPr>
        <w:t>” attached hereto as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is 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by reference.</w:t>
      </w:r>
    </w:p>
    <w:p>
      <w:pPr>
        <w:spacing w:after="0" w:line="117" w:lineRule="exact"/>
        <w:rPr>
          <w:rFonts w:ascii="Arial" w:cs="Arial" w:eastAsia="Arial" w:hAnsi="Arial"/>
          <w:sz w:val="19"/>
          <w:szCs w:val="19"/>
          <w:b w:val="1"/>
          <w:bCs w:val="1"/>
          <w:color w:val="auto"/>
        </w:rPr>
      </w:pPr>
    </w:p>
    <w:p>
      <w:pPr>
        <w:jc w:val="both"/>
        <w:ind w:firstLine="645"/>
        <w:spacing w:after="0" w:line="267" w:lineRule="auto"/>
        <w:tabs>
          <w:tab w:leader="none" w:pos="1276"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Capitalized terms used by not defined in this Amendment have the meanings given in the Lease. Capitalized terms</w:t>
      </w:r>
      <w:r>
        <w:rPr>
          <w:rFonts w:ascii="Arial" w:cs="Arial" w:eastAsia="Arial" w:hAnsi="Arial"/>
          <w:sz w:val="19"/>
          <w:szCs w:val="19"/>
          <w:b w:val="1"/>
          <w:bCs w:val="1"/>
          <w:color w:val="auto"/>
        </w:rPr>
        <w:t xml:space="preserve"> </w:t>
      </w:r>
      <w:r>
        <w:rPr>
          <w:rFonts w:ascii="Arial" w:cs="Arial" w:eastAsia="Arial" w:hAnsi="Arial"/>
          <w:sz w:val="19"/>
          <w:szCs w:val="19"/>
          <w:color w:val="auto"/>
        </w:rPr>
        <w:t>used but not otherwise defined in this Amendment or the Lease have the meanings given in the Work Letter, including without limitation the terms “</w:t>
      </w:r>
      <w:r>
        <w:rPr>
          <w:rFonts w:ascii="Arial" w:cs="Arial" w:eastAsia="Arial" w:hAnsi="Arial"/>
          <w:sz w:val="19"/>
          <w:szCs w:val="19"/>
          <w:b w:val="1"/>
          <w:bCs w:val="1"/>
          <w:i w:val="1"/>
          <w:iCs w:val="1"/>
          <w:color w:val="auto"/>
        </w:rPr>
        <w:t>Parking Deck</w:t>
      </w:r>
      <w:r>
        <w:rPr>
          <w:rFonts w:ascii="Arial" w:cs="Arial" w:eastAsia="Arial" w:hAnsi="Arial"/>
          <w:sz w:val="19"/>
          <w:szCs w:val="19"/>
          <w:color w:val="auto"/>
        </w:rPr>
        <w:t>” and “</w:t>
      </w:r>
      <w:r>
        <w:rPr>
          <w:rFonts w:ascii="Arial" w:cs="Arial" w:eastAsia="Arial" w:hAnsi="Arial"/>
          <w:sz w:val="19"/>
          <w:szCs w:val="19"/>
          <w:b w:val="1"/>
          <w:bCs w:val="1"/>
          <w:i w:val="1"/>
          <w:iCs w:val="1"/>
          <w:color w:val="auto"/>
        </w:rPr>
        <w:t>Parking Deck Completion Date</w:t>
      </w:r>
      <w:r>
        <w:rPr>
          <w:rFonts w:ascii="Arial" w:cs="Arial" w:eastAsia="Arial" w:hAnsi="Arial"/>
          <w:sz w:val="19"/>
          <w:szCs w:val="19"/>
          <w:color w:val="auto"/>
        </w:rPr>
        <w:t>.”</w:t>
      </w:r>
    </w:p>
    <w:p>
      <w:pPr>
        <w:spacing w:after="0" w:line="148" w:lineRule="exact"/>
        <w:rPr>
          <w:rFonts w:ascii="Arial" w:cs="Arial" w:eastAsia="Arial" w:hAnsi="Arial"/>
          <w:sz w:val="19"/>
          <w:szCs w:val="19"/>
          <w:b w:val="1"/>
          <w:bCs w:val="1"/>
          <w:color w:val="auto"/>
        </w:rPr>
      </w:pPr>
    </w:p>
    <w:p>
      <w:pPr>
        <w:ind w:left="1280" w:hanging="635"/>
        <w:spacing w:after="0"/>
        <w:tabs>
          <w:tab w:leader="none" w:pos="128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Parking</w:t>
      </w:r>
      <w:r>
        <w:rPr>
          <w:rFonts w:ascii="Arial" w:cs="Arial" w:eastAsia="Arial" w:hAnsi="Arial"/>
          <w:sz w:val="19"/>
          <w:szCs w:val="19"/>
          <w:b w:val="1"/>
          <w:bCs w:val="1"/>
          <w:color w:val="auto"/>
        </w:rPr>
        <w:t>.</w:t>
      </w:r>
    </w:p>
    <w:p>
      <w:pPr>
        <w:spacing w:after="0" w:line="212" w:lineRule="exact"/>
        <w:rPr>
          <w:rFonts w:ascii="Arial" w:cs="Arial" w:eastAsia="Arial" w:hAnsi="Arial"/>
          <w:sz w:val="19"/>
          <w:szCs w:val="19"/>
          <w:b w:val="1"/>
          <w:bCs w:val="1"/>
          <w:color w:val="auto"/>
        </w:rPr>
      </w:pPr>
    </w:p>
    <w:p>
      <w:pPr>
        <w:jc w:val="both"/>
        <w:ind w:left="640" w:firstLine="643"/>
        <w:spacing w:after="0" w:line="258" w:lineRule="auto"/>
        <w:tabs>
          <w:tab w:leader="none" w:pos="1905"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Parking Deck shall neither constitute a part of the Premises nor Common Area; instead the Parking Deck shall be constructed by Landlord in accordance with the Work Letter and, in consideration of Tenant’s payment of Rent under the Lease, as modified by the Parking Deck Rent Adjustment as described herein, Tenant shall be entitled to exclusive use of the Parking Deck except as expressly provided otherwise herein.</w:t>
      </w:r>
    </w:p>
    <w:p>
      <w:pPr>
        <w:spacing w:after="0" w:line="150" w:lineRule="exact"/>
        <w:rPr>
          <w:rFonts w:ascii="Arial" w:cs="Arial" w:eastAsia="Arial" w:hAnsi="Arial"/>
          <w:sz w:val="19"/>
          <w:szCs w:val="19"/>
          <w:color w:val="auto"/>
        </w:rPr>
      </w:pPr>
    </w:p>
    <w:p>
      <w:pPr>
        <w:jc w:val="both"/>
        <w:ind w:left="640" w:firstLine="643"/>
        <w:spacing w:after="0" w:line="256" w:lineRule="auto"/>
        <w:tabs>
          <w:tab w:leader="none" w:pos="1916"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From and after the Parking Deck Completion Date, the Parking Deck shall be generally be deemed a part of the “Building” for the purposes of construing Lease provisions, including without limitation those relating to maintenance, repairs, replacements, alterations, improvements, compliance, surrender, restoration, holdover, casualty, insurance, hazardous materials and signage, but expressly, references in the Lease to the term “the Building” (and similar usages) are hereby made in accordance with </w:t>
      </w:r>
      <w:r>
        <w:rPr>
          <w:rFonts w:ascii="Arial" w:cs="Arial" w:eastAsia="Arial" w:hAnsi="Arial"/>
          <w:sz w:val="19"/>
          <w:szCs w:val="19"/>
          <w:b w:val="1"/>
          <w:bCs w:val="1"/>
          <w:u w:val="single" w:color="auto"/>
          <w:color w:val="auto"/>
        </w:rPr>
        <w:t>Exhibit C</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and made a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Page 1</w:t>
      </w:r>
    </w:p>
    <w:p>
      <w:pPr>
        <w:sectPr>
          <w:pgSz w:w="11900" w:h="16838" w:orient="portrait"/>
          <w:cols w:equalWidth="0" w:num="1">
            <w:col w:w="11240"/>
          </w:cols>
          <w:pgMar w:left="320" w:top="1393" w:right="339" w:bottom="1440" w:gutter="0" w:footer="0" w:header="0"/>
        </w:sectPr>
      </w:pPr>
    </w:p>
    <w:bookmarkStart w:id="100" w:name="page101"/>
    <w:bookmarkEnd w:id="100"/>
    <w:p>
      <w:pPr>
        <w:ind w:left="640" w:firstLine="643"/>
        <w:spacing w:after="0" w:line="280" w:lineRule="auto"/>
        <w:tabs>
          <w:tab w:leader="none" w:pos="1905" w:val="left"/>
        </w:tabs>
        <w:numPr>
          <w:ilvl w:val="0"/>
          <w:numId w:val="39"/>
        </w:numPr>
        <w:rPr>
          <w:rFonts w:ascii="Arial" w:cs="Arial" w:eastAsia="Arial" w:hAnsi="Arial"/>
          <w:sz w:val="19"/>
          <w:szCs w:val="19"/>
          <w:color w:val="auto"/>
        </w:rPr>
      </w:pPr>
      <w:r>
        <w:rPr>
          <w:rFonts w:ascii="Arial" w:cs="Arial" w:eastAsia="Arial" w:hAnsi="Arial"/>
          <w:sz w:val="19"/>
          <w:szCs w:val="19"/>
          <w:color w:val="auto"/>
        </w:rPr>
        <w:t>Furthermore, effective as of the Parking Deck Completion Date, Article 29 of the Existing Building Lease captioned “Parking” is hereby amended and restated as follows:</w:t>
      </w:r>
    </w:p>
    <w:p>
      <w:pPr>
        <w:spacing w:after="0" w:line="142" w:lineRule="exact"/>
        <w:rPr>
          <w:sz w:val="20"/>
          <w:szCs w:val="20"/>
          <w:color w:val="auto"/>
        </w:rPr>
      </w:pPr>
    </w:p>
    <w:p>
      <w:pPr>
        <w:jc w:val="both"/>
        <w:ind w:left="1280" w:right="640"/>
        <w:spacing w:after="0" w:line="279" w:lineRule="auto"/>
        <w:rPr>
          <w:sz w:val="20"/>
          <w:szCs w:val="20"/>
          <w:color w:val="auto"/>
        </w:rPr>
      </w:pPr>
      <w:r>
        <w:rPr>
          <w:rFonts w:ascii="Arial" w:cs="Arial" w:eastAsia="Arial" w:hAnsi="Arial"/>
          <w:sz w:val="17"/>
          <w:szCs w:val="17"/>
          <w:color w:val="auto"/>
        </w:rPr>
        <w:t>Tenant shall have the right of non-exclusive use, in common with others, of Tenant’s Parking Share of the outdoor ground level automobile parking areas on the Property. Tenant shall have the right of exclusive use of the Parking Deck except only as provided in the next two (2) grammatical paragraphs. Vehicles may only be parked in paved, striped parking spaces and any vehicle parked in any other location on the Property may be towed, at the expense of the vehicle owner, without notice. All parking spaces associated with the Premises are intended for use by passenger vehicles, except for intermittent deliveries by commercial vehicles, for which parking spaces also shall be used. Notwithstanding anything to the contrary stated above, Landlord reserves (a) the right to reasonably designate specific uncovered parking spaces and up to two (2) spaces within the Parking Deck for Landlord’s performance of its obligations under the Lease, commercial loading space, and for property management services to the Property and</w:t>
      </w:r>
    </w:p>
    <w:p>
      <w:pPr>
        <w:spacing w:after="0" w:line="5" w:lineRule="exact"/>
        <w:rPr>
          <w:sz w:val="20"/>
          <w:szCs w:val="20"/>
          <w:color w:val="auto"/>
        </w:rPr>
      </w:pPr>
    </w:p>
    <w:p>
      <w:pPr>
        <w:jc w:val="both"/>
        <w:ind w:left="1280" w:right="640" w:firstLine="3"/>
        <w:spacing w:after="0" w:line="266" w:lineRule="auto"/>
        <w:tabs>
          <w:tab w:leader="none" w:pos="15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to use of the parking facilities other than the Parking Deck for construction parking as reasonably necessary or required by applicable law in connection with construction of the Parking Deck, of the building contemplated by the New Building Lease, and of Landlord Development. For the purposes of this Article 29, the term “</w:t>
      </w:r>
      <w:r>
        <w:rPr>
          <w:rFonts w:ascii="Arial" w:cs="Arial" w:eastAsia="Arial" w:hAnsi="Arial"/>
          <w:sz w:val="18"/>
          <w:szCs w:val="18"/>
          <w:b w:val="1"/>
          <w:bCs w:val="1"/>
          <w:i w:val="1"/>
          <w:iCs w:val="1"/>
          <w:color w:val="auto"/>
        </w:rPr>
        <w:t>Tenant’s Parking Share</w:t>
      </w:r>
      <w:r>
        <w:rPr>
          <w:rFonts w:ascii="Arial" w:cs="Arial" w:eastAsia="Arial" w:hAnsi="Arial"/>
          <w:sz w:val="18"/>
          <w:szCs w:val="18"/>
          <w:color w:val="auto"/>
        </w:rPr>
        <w:t>” means the quotient, expressed as a percentage, of (x) the rentable square footage of the Premises divided by (y) the sum of (i) the rentable square footage of the Building and (ii) to the extent applicable, the rentable square footage of the building(s) constructed pursuant to the New Building Lease or in connection with Landlord Development. Initially, Tenant’s Parking Share is 100%. Notwithstanding the foregoing, Tenant shall not be entitled to use of the Parking Deck prior to the Parking Deck Completion Date.</w:t>
      </w:r>
    </w:p>
    <w:p>
      <w:pPr>
        <w:spacing w:after="0" w:line="143" w:lineRule="exact"/>
        <w:rPr>
          <w:sz w:val="20"/>
          <w:szCs w:val="20"/>
          <w:color w:val="auto"/>
        </w:rPr>
      </w:pPr>
    </w:p>
    <w:p>
      <w:pPr>
        <w:jc w:val="both"/>
        <w:ind w:left="1280" w:right="640"/>
        <w:spacing w:after="0" w:line="256" w:lineRule="auto"/>
        <w:rPr>
          <w:sz w:val="20"/>
          <w:szCs w:val="20"/>
          <w:color w:val="auto"/>
        </w:rPr>
      </w:pPr>
      <w:r>
        <w:rPr>
          <w:rFonts w:ascii="Arial" w:cs="Arial" w:eastAsia="Arial" w:hAnsi="Arial"/>
          <w:sz w:val="19"/>
          <w:szCs w:val="19"/>
          <w:color w:val="auto"/>
        </w:rPr>
        <w:t>If the New Building Lease is executed, this Lease shall be amended to provide that the Parking Deck may be used by Tenant pursuant to this Lease and pursuant to the New Building Lease and to the extent any third party leases a portion of the New Building, such third party shall have the right to use of the Parking Deck. In such event, the parties shall reduce the Parking Deck Rent Adjustment under this Lease and allocate such portion of the Parking Deck Rent Adjustment to the New Building Lease.</w:t>
      </w:r>
    </w:p>
    <w:p>
      <w:pPr>
        <w:spacing w:after="0" w:line="164" w:lineRule="exact"/>
        <w:rPr>
          <w:sz w:val="20"/>
          <w:szCs w:val="20"/>
          <w:color w:val="auto"/>
        </w:rPr>
      </w:pPr>
    </w:p>
    <w:p>
      <w:pPr>
        <w:jc w:val="both"/>
        <w:ind w:left="1280" w:right="640"/>
        <w:spacing w:after="0" w:line="288" w:lineRule="auto"/>
        <w:rPr>
          <w:sz w:val="20"/>
          <w:szCs w:val="20"/>
          <w:color w:val="auto"/>
        </w:rPr>
      </w:pPr>
      <w:r>
        <w:rPr>
          <w:rFonts w:ascii="Arial" w:cs="Arial" w:eastAsia="Arial" w:hAnsi="Arial"/>
          <w:sz w:val="17"/>
          <w:szCs w:val="17"/>
          <w:color w:val="auto"/>
        </w:rPr>
        <w:t>If there shall be a reduction to (i) the Premises or (ii) following execution of the New Building Lease, the premises subject to the New Building Lease, then in each such case, (A) the amount of parking spaces in the Parking Deck that are exclusive to Tenant shall be reduced proportionate to the reduction in the applicable premises, at a rate of 4 spaces per 1,000 rentable square feet in the reduced area (and a corresponding number of parking cards or entry fobs shall be given by Tenant to the applicable landlord for use by itself or by a tenant of such building other than Tenant), and (B) Tenant will be entitled to reserve, and to mark with appropriate signage or paint, up to ten (10) surface parking spaces, including one (1) handicap space, adjacent to whatever building(s) is(are) subject to the reduction in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Page 2</w:t>
      </w:r>
    </w:p>
    <w:p>
      <w:pPr>
        <w:sectPr>
          <w:pgSz w:w="11900" w:h="16838" w:orient="portrait"/>
          <w:cols w:equalWidth="0" w:num="1">
            <w:col w:w="11240"/>
          </w:cols>
          <w:pgMar w:left="320" w:top="1399" w:right="339" w:bottom="1440" w:gutter="0" w:footer="0" w:header="0"/>
        </w:sectPr>
      </w:pPr>
    </w:p>
    <w:bookmarkStart w:id="101" w:name="page102"/>
    <w:bookmarkEnd w:id="101"/>
    <w:p>
      <w:pPr>
        <w:jc w:val="both"/>
        <w:ind w:firstLine="645"/>
        <w:spacing w:after="0" w:line="256" w:lineRule="auto"/>
        <w:tabs>
          <w:tab w:leader="none" w:pos="127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Basic Rent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upon the Parking Deck Completion Date, the applicable rate of Basic Rent per rentable square foot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shall be increased by the result of the following formula: (Parking Deck Project Costs x 7.30%)/89,975 rentable square feet (the “</w:t>
      </w:r>
      <w:r>
        <w:rPr>
          <w:rFonts w:ascii="Arial" w:cs="Arial" w:eastAsia="Arial" w:hAnsi="Arial"/>
          <w:sz w:val="19"/>
          <w:szCs w:val="19"/>
          <w:b w:val="1"/>
          <w:bCs w:val="1"/>
          <w:i w:val="1"/>
          <w:iCs w:val="1"/>
          <w:color w:val="auto"/>
        </w:rPr>
        <w:t>Parking Deck Rent Adjustment</w:t>
      </w:r>
      <w:r>
        <w:rPr>
          <w:rFonts w:ascii="Arial" w:cs="Arial" w:eastAsia="Arial" w:hAnsi="Arial"/>
          <w:sz w:val="19"/>
          <w:szCs w:val="19"/>
          <w:color w:val="auto"/>
        </w:rPr>
        <w:t>”). Although the Parking Deck Rent Adjustment is expected to occur prior to escalation of Basic Rent on January 1, 2022, the parties agree that the January 1, 2022 escalation shall not apply to the Parking Deck Rent Adjustment (but shall apply to the balance of Basic Rent), but then, Basic Rent, inclusive of the Parking Deck Rent Adjustment, shall escalate by 2.25% on January 1, 2023 and thereafter on January 1 of each year during the Term.</w:t>
      </w:r>
    </w:p>
    <w:p>
      <w:pPr>
        <w:spacing w:after="0" w:line="163" w:lineRule="exact"/>
        <w:rPr>
          <w:rFonts w:ascii="Arial" w:cs="Arial" w:eastAsia="Arial" w:hAnsi="Arial"/>
          <w:sz w:val="19"/>
          <w:szCs w:val="19"/>
          <w:b w:val="1"/>
          <w:bCs w:val="1"/>
          <w:color w:val="auto"/>
        </w:rPr>
      </w:pPr>
    </w:p>
    <w:p>
      <w:pPr>
        <w:jc w:val="both"/>
        <w:ind w:left="640" w:firstLine="643"/>
        <w:spacing w:after="0" w:line="271" w:lineRule="auto"/>
        <w:tabs>
          <w:tab w:leader="none" w:pos="19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the purposes of this Section 4, the term “</w:t>
      </w:r>
      <w:r>
        <w:rPr>
          <w:rFonts w:ascii="Arial" w:cs="Arial" w:eastAsia="Arial" w:hAnsi="Arial"/>
          <w:sz w:val="18"/>
          <w:szCs w:val="18"/>
          <w:b w:val="1"/>
          <w:bCs w:val="1"/>
          <w:i w:val="1"/>
          <w:iCs w:val="1"/>
          <w:color w:val="auto"/>
        </w:rPr>
        <w:t>Parking Deck Project Costs</w:t>
      </w:r>
      <w:r>
        <w:rPr>
          <w:rFonts w:ascii="Arial" w:cs="Arial" w:eastAsia="Arial" w:hAnsi="Arial"/>
          <w:sz w:val="18"/>
          <w:szCs w:val="18"/>
          <w:color w:val="auto"/>
        </w:rPr>
        <w:t xml:space="preserve">” means all documented out-of-pocket hard and soft costs incurred by Landlord (including without limitation any amounts reimbursed to Tenant or its agents for expenses incurred by Tenant or such Tenant agents) to design, approve and construct the Parking Deck Project, which shall be shared on an “open book” basis with Tenant throughout the Parking Deck Project. Parking Deck Project Costs shall include but are not necessarily limited to those hard and soft costs listed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incorporated herein by reference, and increases in Parking Deck Project Costs not provided for in or accommodated by the Approved Budget shall be subject to the terms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left="640" w:firstLine="643"/>
        <w:spacing w:after="0" w:line="264" w:lineRule="auto"/>
        <w:tabs>
          <w:tab w:leader="none" w:pos="19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Tenant shall have the right, at its sole cost and expense, to review Landlord’s records related to the calculation of Parking Deck Project Costs within thirty (30) days after receipt of Landlord’s written notice computing Parking Deck Project Costs and the Parking Deck Rent Adjustment. If Tenant provides Landlord with written notice of what Tenant believes are errors in Landlord’s calculation of Parking Deck Project Costs or the Parking Deck Rent Adjustment during such thirty (30) day period, the parties shall meet within fourteen (14) days of such objection (the “</w:t>
      </w:r>
      <w:r>
        <w:rPr>
          <w:rFonts w:ascii="Arial" w:cs="Arial" w:eastAsia="Arial" w:hAnsi="Arial"/>
          <w:sz w:val="18"/>
          <w:szCs w:val="18"/>
          <w:b w:val="1"/>
          <w:bCs w:val="1"/>
          <w:i w:val="1"/>
          <w:iCs w:val="1"/>
          <w:color w:val="auto"/>
        </w:rPr>
        <w:t>Reconciliation Period</w:t>
      </w:r>
      <w:r>
        <w:rPr>
          <w:rFonts w:ascii="Arial" w:cs="Arial" w:eastAsia="Arial" w:hAnsi="Arial"/>
          <w:sz w:val="18"/>
          <w:szCs w:val="18"/>
          <w:color w:val="auto"/>
        </w:rPr>
        <w:t>”) by Tenant to reasonably reconcile the calculation of Parking Deck Project Costs and the Parking Deck Rent Adjustment to their mutual satisfaction. If the parties are unable to resolve the discrepancy in the calculation of Parking Deck Project Costs or the Parking Deck Rent Adjustment within the Reconciliation Period, Tenant shall have the right to refer the matter to a mutually acceptable independent certified public accountant with at least five (5) years of experience performing commercial real estate audits (the “</w:t>
      </w:r>
      <w:r>
        <w:rPr>
          <w:rFonts w:ascii="Arial" w:cs="Arial" w:eastAsia="Arial" w:hAnsi="Arial"/>
          <w:sz w:val="18"/>
          <w:szCs w:val="18"/>
          <w:b w:val="1"/>
          <w:bCs w:val="1"/>
          <w:i w:val="1"/>
          <w:iCs w:val="1"/>
          <w:color w:val="auto"/>
        </w:rPr>
        <w:t>Arbiter</w:t>
      </w:r>
      <w:r>
        <w:rPr>
          <w:rFonts w:ascii="Arial" w:cs="Arial" w:eastAsia="Arial" w:hAnsi="Arial"/>
          <w:sz w:val="18"/>
          <w:szCs w:val="18"/>
          <w:color w:val="auto"/>
        </w:rPr>
        <w:t>”), who shall work in good faith with Landlord and Tenant to resolve the discrepancy in the calculation of Parking Deck Project Costs and/or the Parking Deck Rent Adjustment and who shall not be compensated on a contingency basis; provided if Tenant shall not notify Landlord of Tenant’s intent to engage the Arbiter (the “</w:t>
      </w:r>
      <w:r>
        <w:rPr>
          <w:rFonts w:ascii="Arial" w:cs="Arial" w:eastAsia="Arial" w:hAnsi="Arial"/>
          <w:sz w:val="18"/>
          <w:szCs w:val="18"/>
          <w:b w:val="1"/>
          <w:bCs w:val="1"/>
          <w:i w:val="1"/>
          <w:iCs w:val="1"/>
          <w:color w:val="auto"/>
        </w:rPr>
        <w:t>Arbiter Notice</w:t>
      </w:r>
      <w:r>
        <w:rPr>
          <w:rFonts w:ascii="Arial" w:cs="Arial" w:eastAsia="Arial" w:hAnsi="Arial"/>
          <w:sz w:val="18"/>
          <w:szCs w:val="18"/>
          <w:color w:val="auto"/>
        </w:rPr>
        <w:t>”) within five (5) business days following the end of the Reconciliation Period, Landlord’s calculation of Parking Deck Project Costs and the Parking Deck Rent Adjustment, as adjusted by any agreements reached in writing between the parties during the Reconciliation Period, shall be deemed final and accepted by Tenant. Tenant shall deliver to the Arbiter Landlord’s notice of its calculation of the Parking Deck Project Costs and the Parking Deck Rent Adjustment and the Commencement Date, together with the reasonable supporting documentation of the costs associated with such Parking Deck Project Costs and the Parking Deck Rent Adjustment provided by Landlord, and the Arbiter shall deliver its calculation of Parking Deck Project Costs and the Parking Deck Rent Adjustment to Landlord and Tenant within twenty-one (21) days of its selection. The fees and costs of any such Arbiter shall be borne by Tenant. The decision of the Arbiter with respect to the calculation of Parking Deck Project Costs and the Parking Deck Rent Adjustment shall be final and binding in all respects. Within thirty (30) days after resolution of the discrepancy in the calculation of Parking Deck Project Costs and the Parking Deck Rent Adjustment, whether by agreement of the parties or a final decision of an Arbiter, Landlord shall pay or credit to Tenant, or Tenant shall 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Page 3</w:t>
      </w:r>
    </w:p>
    <w:p>
      <w:pPr>
        <w:sectPr>
          <w:pgSz w:w="11900" w:h="16838" w:orient="portrait"/>
          <w:cols w:equalWidth="0" w:num="1">
            <w:col w:w="11240"/>
          </w:cols>
          <w:pgMar w:left="320" w:top="1393" w:right="339" w:bottom="1440" w:gutter="0" w:footer="0" w:header="0"/>
        </w:sectPr>
      </w:pPr>
    </w:p>
    <w:bookmarkStart w:id="102" w:name="page103"/>
    <w:bookmarkEnd w:id="102"/>
    <w:p>
      <w:pPr>
        <w:ind w:left="640"/>
        <w:spacing w:after="0" w:line="280" w:lineRule="auto"/>
        <w:rPr>
          <w:sz w:val="20"/>
          <w:szCs w:val="20"/>
          <w:color w:val="auto"/>
        </w:rPr>
      </w:pPr>
      <w:r>
        <w:rPr>
          <w:rFonts w:ascii="Arial" w:cs="Arial" w:eastAsia="Arial" w:hAnsi="Arial"/>
          <w:sz w:val="19"/>
          <w:szCs w:val="19"/>
          <w:color w:val="auto"/>
        </w:rPr>
        <w:t>Landlord, as the case may be, all unpaid or overpaid amounts of Parking Deck Project Costs and the Parking Deck Rent Adjustment that shall be owing.</w:t>
      </w:r>
    </w:p>
    <w:p>
      <w:pPr>
        <w:spacing w:after="0" w:line="136" w:lineRule="exact"/>
        <w:rPr>
          <w:sz w:val="20"/>
          <w:szCs w:val="20"/>
          <w:color w:val="auto"/>
        </w:rPr>
      </w:pPr>
    </w:p>
    <w:p>
      <w:pPr>
        <w:jc w:val="both"/>
        <w:ind w:firstLine="645"/>
        <w:spacing w:after="0" w:line="256" w:lineRule="auto"/>
        <w:tabs>
          <w:tab w:leader="none" w:pos="1276"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Once the Parking Deck Completion Date and the Parking Deck Rent Adjustment are determined, and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by the Arbiter if elected by Tenant pursuant to Section 4(c) above, Landlord and Tenant agree to execute a statement in the form reasonably provided by Landlord confirming the Parking Deck Completion Date, the Parking Deck Rent Adjustment, the revised schedule of Basic Rent (including the Parking Deck Rent Adjustment), and reasonably related factual matters regarding Lease within ten (10) days after either party’s request. The parties’ failure to execute a statement as required by this paragraph will not affect the validity or determination of the Parking Deck Completion Date or the Parking Deck Rent Adjustment.</w:t>
      </w:r>
    </w:p>
    <w:p>
      <w:pPr>
        <w:spacing w:after="0" w:line="144" w:lineRule="exact"/>
        <w:rPr>
          <w:rFonts w:ascii="Arial" w:cs="Arial" w:eastAsia="Arial" w:hAnsi="Arial"/>
          <w:sz w:val="19"/>
          <w:szCs w:val="19"/>
          <w:b w:val="1"/>
          <w:bCs w:val="1"/>
          <w:color w:val="auto"/>
        </w:rPr>
      </w:pPr>
    </w:p>
    <w:p>
      <w:pPr>
        <w:ind w:left="1280" w:hanging="635"/>
        <w:spacing w:after="0"/>
        <w:tabs>
          <w:tab w:leader="none" w:pos="128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w:t>
      </w:r>
    </w:p>
    <w:p>
      <w:pPr>
        <w:spacing w:after="0" w:line="212" w:lineRule="exact"/>
        <w:rPr>
          <w:rFonts w:ascii="Arial" w:cs="Arial" w:eastAsia="Arial" w:hAnsi="Arial"/>
          <w:sz w:val="19"/>
          <w:szCs w:val="19"/>
          <w:b w:val="1"/>
          <w:bCs w:val="1"/>
          <w:color w:val="auto"/>
        </w:rPr>
      </w:pPr>
    </w:p>
    <w:p>
      <w:pPr>
        <w:jc w:val="both"/>
        <w:ind w:left="640" w:firstLine="643"/>
        <w:spacing w:after="0" w:line="258" w:lineRule="auto"/>
        <w:tabs>
          <w:tab w:leader="none" w:pos="1905" w:val="left"/>
        </w:tabs>
        <w:numPr>
          <w:ilvl w:val="1"/>
          <w:numId w:val="42"/>
        </w:numPr>
        <w:rPr>
          <w:rFonts w:ascii="Arial" w:cs="Arial" w:eastAsia="Arial" w:hAnsi="Arial"/>
          <w:sz w:val="19"/>
          <w:szCs w:val="19"/>
          <w:color w:val="auto"/>
        </w:rPr>
      </w:pPr>
      <w:r>
        <w:rPr>
          <w:rFonts w:ascii="Arial" w:cs="Arial" w:eastAsia="Arial" w:hAnsi="Arial"/>
          <w:sz w:val="19"/>
          <w:szCs w:val="19"/>
          <w:color w:val="auto"/>
        </w:rPr>
        <w:t>Section 32.08 of the Lease is hereby amended by adding the following sentences thereto: “Notwithstanding the preceding terms of this Section, Landlord acknowledges and approves disclosure of the Lease by Tenant while Tenant is a “publicly traded” company subject to the reporting requirements of Section 14 of the Securities Exchange Act of 1934 (as amended), but only to the extent that (and only to the parties to whom) disclosure is required under such Act.”</w:t>
      </w:r>
    </w:p>
    <w:p>
      <w:pPr>
        <w:spacing w:after="0" w:line="164" w:lineRule="exact"/>
        <w:rPr>
          <w:rFonts w:ascii="Arial" w:cs="Arial" w:eastAsia="Arial" w:hAnsi="Arial"/>
          <w:sz w:val="19"/>
          <w:szCs w:val="19"/>
          <w:color w:val="auto"/>
        </w:rPr>
      </w:pPr>
    </w:p>
    <w:p>
      <w:pPr>
        <w:jc w:val="both"/>
        <w:ind w:left="640" w:firstLine="643"/>
        <w:spacing w:after="0" w:line="264" w:lineRule="auto"/>
        <w:tabs>
          <w:tab w:leader="none" w:pos="1916"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Landlord and Tenant hereby agree that the definition of Documented Development Fees and Costs set forth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to the Lease is amended by replacing the words “Parking Deck” set forth therein with the following words “the amendment to this Lease concerning the Parking Deck, as provided in Section 33.03(A).”</w:t>
      </w:r>
    </w:p>
    <w:p>
      <w:pPr>
        <w:spacing w:after="0" w:line="137" w:lineRule="exact"/>
        <w:rPr>
          <w:rFonts w:ascii="Arial" w:cs="Arial" w:eastAsia="Arial" w:hAnsi="Arial"/>
          <w:sz w:val="19"/>
          <w:szCs w:val="19"/>
          <w:color w:val="auto"/>
        </w:rPr>
      </w:pPr>
    </w:p>
    <w:p>
      <w:pPr>
        <w:jc w:val="both"/>
        <w:ind w:firstLine="645"/>
        <w:spacing w:after="0" w:line="269" w:lineRule="auto"/>
        <w:tabs>
          <w:tab w:leader="none" w:pos="127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represents and warrants that it has not had dealings with any real estate broker, finder or other person,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Lease in any manner other than Trask Land Company, Inc. and Cameron Management Inc, as Landlord’s brokers, and Jones Lang LaSalle, as Tenant’s broker (collectively, the “</w:t>
      </w:r>
      <w:r>
        <w:rPr>
          <w:rFonts w:ascii="Arial" w:cs="Arial" w:eastAsia="Arial" w:hAnsi="Arial"/>
          <w:sz w:val="18"/>
          <w:szCs w:val="18"/>
          <w:b w:val="1"/>
          <w:bCs w:val="1"/>
          <w:color w:val="auto"/>
        </w:rPr>
        <w:t>Brokers</w:t>
      </w:r>
      <w:r>
        <w:rPr>
          <w:rFonts w:ascii="Arial" w:cs="Arial" w:eastAsia="Arial" w:hAnsi="Arial"/>
          <w:sz w:val="18"/>
          <w:szCs w:val="18"/>
          <w:color w:val="auto"/>
        </w:rPr>
        <w:t>”). Landlord shall pay such compensation as may be due to Brokers in accordance with, and subject to the terms and conditions of, a separate written agreement, but this paragraph creates no rights in favor of, and is not enforceable by, the Brokers. Tenant shall indemnify and hold Landlord harmless from any and all damages resulting from any claims that may be asserted against Landlord by any broker, finder or other person (including, without limitation, any substitute or replacement broker claiming to have been engaged by Tenant) other than the Brokers, claiming to have dealt with Tenant in connection with the negotiation and/or execution of this Amendment. The provisions of this paragraph shall survive the expiration or termination of this Lease.</w:t>
      </w:r>
    </w:p>
    <w:p>
      <w:pPr>
        <w:spacing w:after="0" w:line="151" w:lineRule="exact"/>
        <w:rPr>
          <w:rFonts w:ascii="Arial" w:cs="Arial" w:eastAsia="Arial" w:hAnsi="Arial"/>
          <w:sz w:val="18"/>
          <w:szCs w:val="18"/>
          <w:b w:val="1"/>
          <w:bCs w:val="1"/>
          <w:color w:val="auto"/>
        </w:rPr>
      </w:pPr>
    </w:p>
    <w:p>
      <w:pPr>
        <w:ind w:firstLine="645"/>
        <w:spacing w:after="0" w:line="286" w:lineRule="auto"/>
        <w:tabs>
          <w:tab w:leader="none" w:pos="1276"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Landlord and Tenant represents and warrants to the other that the individual executing this Amendment on</w:t>
      </w:r>
      <w:r>
        <w:rPr>
          <w:rFonts w:ascii="Arial" w:cs="Arial" w:eastAsia="Arial" w:hAnsi="Arial"/>
          <w:sz w:val="19"/>
          <w:szCs w:val="19"/>
          <w:b w:val="1"/>
          <w:bCs w:val="1"/>
          <w:color w:val="auto"/>
        </w:rPr>
        <w:t xml:space="preserve"> </w:t>
      </w:r>
      <w:r>
        <w:rPr>
          <w:rFonts w:ascii="Arial" w:cs="Arial" w:eastAsia="Arial" w:hAnsi="Arial"/>
          <w:sz w:val="19"/>
          <w:szCs w:val="19"/>
          <w:color w:val="auto"/>
        </w:rPr>
        <w:t>such party’s behalf is authorized to do so.</w:t>
      </w:r>
    </w:p>
    <w:p>
      <w:pPr>
        <w:spacing w:after="0" w:line="130" w:lineRule="exact"/>
        <w:rPr>
          <w:rFonts w:ascii="Arial" w:cs="Arial" w:eastAsia="Arial" w:hAnsi="Arial"/>
          <w:sz w:val="19"/>
          <w:szCs w:val="19"/>
          <w:b w:val="1"/>
          <w:bCs w:val="1"/>
          <w:color w:val="auto"/>
        </w:rPr>
      </w:pPr>
    </w:p>
    <w:p>
      <w:pPr>
        <w:jc w:val="both"/>
        <w:ind w:firstLine="645"/>
        <w:spacing w:after="0" w:line="271" w:lineRule="auto"/>
        <w:tabs>
          <w:tab w:leader="none" w:pos="127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to this Amendment are incorporated into the body of this Amendment by reference.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by this Amendment, all of Landlord's and Tenant's other rights, obligations and covenants with respect to the Existing Building Lease shall remain in full force and effect with respect to the Lease. This Amendment may be executed in multiple counterparts, each of which shall be deemed to be an original, and all of such counterparts shall constitute one document. To facilitate execution of this Amendment, the parties hereto may execute and exchange, by telephone facsimile or electronic mail PDF, counterparts of the signature pages. Signature pages may be detached from the counterparts and attached to a single copy of this Amendment to physically form one document. In the event any term or provision of this Amendment is determined by appropriate judicial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Page 4</w:t>
      </w:r>
    </w:p>
    <w:p>
      <w:pPr>
        <w:sectPr>
          <w:pgSz w:w="11900" w:h="16838" w:orient="portrait"/>
          <w:cols w:equalWidth="0" w:num="1">
            <w:col w:w="11240"/>
          </w:cols>
          <w:pgMar w:left="320" w:top="1399" w:right="339" w:bottom="1440" w:gutter="0" w:footer="0" w:header="0"/>
        </w:sectPr>
      </w:pPr>
    </w:p>
    <w:bookmarkStart w:id="103" w:name="page104"/>
    <w:bookmarkEnd w:id="103"/>
    <w:p>
      <w:pPr>
        <w:spacing w:after="0" w:line="280" w:lineRule="auto"/>
        <w:rPr>
          <w:sz w:val="20"/>
          <w:szCs w:val="20"/>
          <w:color w:val="auto"/>
        </w:rPr>
      </w:pPr>
      <w:r>
        <w:rPr>
          <w:rFonts w:ascii="Arial" w:cs="Arial" w:eastAsia="Arial" w:hAnsi="Arial"/>
          <w:sz w:val="19"/>
          <w:szCs w:val="19"/>
          <w:color w:val="auto"/>
        </w:rPr>
        <w:t>be illegal or otherwise invalid, such provision shall be given its nearest legal meaning or be construed or deleted as such authority determines, and the remainder of this Amendment shall remain in full force and effect.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The remainder of this page is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Page 5</w:t>
      </w:r>
    </w:p>
    <w:p>
      <w:pPr>
        <w:sectPr>
          <w:pgSz w:w="11900" w:h="16838" w:orient="portrait"/>
          <w:cols w:equalWidth="0" w:num="1">
            <w:col w:w="11240"/>
          </w:cols>
          <w:pgMar w:left="320" w:top="1399" w:right="339" w:bottom="1440" w:gutter="0" w:footer="0" w:header="0"/>
        </w:sectPr>
      </w:pPr>
    </w:p>
    <w:bookmarkStart w:id="104" w:name="page105"/>
    <w:bookmarkEnd w:id="104"/>
    <w:p>
      <w:pPr>
        <w:ind w:left="200"/>
        <w:spacing w:after="0"/>
        <w:rPr>
          <w:sz w:val="20"/>
          <w:szCs w:val="20"/>
          <w:color w:val="auto"/>
        </w:rPr>
      </w:pPr>
      <w:r>
        <w:rPr>
          <w:rFonts w:ascii="Arial" w:cs="Arial" w:eastAsia="Arial" w:hAnsi="Arial"/>
          <w:sz w:val="17"/>
          <w:szCs w:val="17"/>
          <w:color w:val="auto"/>
        </w:rPr>
        <w:t>IN WITNESS WHEREOF, the parties have executed this Amendment effective as of the Amendment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9"/>
          <w:szCs w:val="19"/>
          <w:b w:val="1"/>
          <w:bCs w:val="1"/>
          <w:u w:val="single" w:color="auto"/>
          <w:color w:val="auto"/>
        </w:rPr>
        <w:t>TENANT</w:t>
      </w:r>
      <w:r>
        <w:rPr>
          <w:rFonts w:ascii="Arial" w:cs="Arial" w:eastAsia="Arial" w:hAnsi="Arial"/>
          <w:sz w:val="19"/>
          <w:szCs w:val="19"/>
          <w:b w:val="1"/>
          <w:bCs w:val="1"/>
          <w:color w:val="auto"/>
        </w:rPr>
        <w:t>:</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nCino, Inc.</w:t>
      </w:r>
    </w:p>
    <w:p>
      <w:pPr>
        <w:spacing w:after="0" w:line="20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a Delaware corporation</w:t>
      </w:r>
    </w:p>
    <w:p>
      <w:pPr>
        <w:spacing w:after="0" w:line="207" w:lineRule="exact"/>
        <w:rPr>
          <w:sz w:val="20"/>
          <w:szCs w:val="20"/>
          <w:color w:val="auto"/>
        </w:rPr>
      </w:pPr>
    </w:p>
    <w:p>
      <w:pPr>
        <w:ind w:left="5120"/>
        <w:spacing w:after="0"/>
        <w:tabs>
          <w:tab w:leader="none" w:pos="5620" w:val="left"/>
        </w:tabs>
        <w:rPr>
          <w:sz w:val="20"/>
          <w:szCs w:val="20"/>
          <w:color w:val="auto"/>
        </w:rPr>
      </w:pPr>
      <w:r>
        <w:rPr>
          <w:rFonts w:ascii="Arial" w:cs="Arial" w:eastAsia="Arial" w:hAnsi="Arial"/>
          <w:sz w:val="19"/>
          <w:szCs w:val="19"/>
          <w:color w:val="auto"/>
        </w:rPr>
        <w:t>By:</w:t>
        <w:tab/>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-9525</wp:posOffset>
            </wp:positionV>
            <wp:extent cx="951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87"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u w:val="single" w:color="auto"/>
          <w:color w:val="auto"/>
        </w:rPr>
        <w:t>Pierre Naudé</w:t>
      </w:r>
    </w:p>
    <w:p>
      <w:pPr>
        <w:spacing w:after="0" w:line="194"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20"/>
        <w:spacing w:after="0"/>
        <w:rPr>
          <w:sz w:val="20"/>
          <w:szCs w:val="20"/>
          <w:color w:val="auto"/>
        </w:rPr>
      </w:pPr>
      <w:r>
        <w:rPr>
          <w:rFonts w:ascii="Arial" w:cs="Arial" w:eastAsia="Arial" w:hAnsi="Arial"/>
          <w:sz w:val="19"/>
          <w:szCs w:val="19"/>
          <w:b w:val="1"/>
          <w:bCs w:val="1"/>
          <w:u w:val="single" w:color="auto"/>
          <w:color w:val="auto"/>
        </w:rPr>
        <w:t>LANDLORD</w:t>
      </w:r>
      <w:r>
        <w:rPr>
          <w:rFonts w:ascii="Arial" w:cs="Arial" w:eastAsia="Arial" w:hAnsi="Arial"/>
          <w:sz w:val="19"/>
          <w:szCs w:val="19"/>
          <w:b w:val="1"/>
          <w:bCs w:val="1"/>
          <w:color w:val="auto"/>
        </w:rPr>
        <w:t>:</w:t>
      </w: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9"/>
          <w:szCs w:val="19"/>
          <w:b w:val="1"/>
          <w:bCs w:val="1"/>
          <w:color w:val="auto"/>
        </w:rPr>
        <w:t>Cloud Real Estate Holdings, LLC</w:t>
      </w:r>
    </w:p>
    <w:p>
      <w:pPr>
        <w:spacing w:after="0" w:line="213"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a North Carolina limited liability company</w:t>
      </w:r>
    </w:p>
    <w:p>
      <w:pPr>
        <w:spacing w:after="0" w:line="207" w:lineRule="exact"/>
        <w:rPr>
          <w:sz w:val="20"/>
          <w:szCs w:val="20"/>
          <w:color w:val="auto"/>
        </w:rPr>
      </w:pPr>
    </w:p>
    <w:p>
      <w:pPr>
        <w:ind w:left="5120"/>
        <w:spacing w:after="0"/>
        <w:tabs>
          <w:tab w:leader="none" w:pos="5620" w:val="left"/>
        </w:tabs>
        <w:rPr>
          <w:sz w:val="20"/>
          <w:szCs w:val="20"/>
          <w:color w:val="auto"/>
        </w:rPr>
      </w:pPr>
      <w:r>
        <w:rPr>
          <w:rFonts w:ascii="Arial" w:cs="Arial" w:eastAsia="Arial" w:hAnsi="Arial"/>
          <w:sz w:val="19"/>
          <w:szCs w:val="19"/>
          <w:color w:val="auto"/>
        </w:rPr>
        <w:t>By:</w:t>
        <w:tab/>
        <w:t>/s/ Raiford Trask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-9525</wp:posOffset>
            </wp:positionV>
            <wp:extent cx="10198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74"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u w:val="single" w:color="auto"/>
          <w:color w:val="auto"/>
        </w:rPr>
        <w:t>Raiford Trask</w:t>
      </w:r>
    </w:p>
    <w:p>
      <w:pPr>
        <w:spacing w:after="0" w:line="207"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u w:val="single" w:color="auto"/>
          <w:color w:val="auto"/>
        </w:rPr>
        <w:t>Manager and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3"/>
          <w:szCs w:val="13"/>
          <w:color w:val="auto"/>
        </w:rPr>
        <w:t>Signature Page</w:t>
      </w:r>
    </w:p>
    <w:p>
      <w:pPr>
        <w:sectPr>
          <w:pgSz w:w="11900" w:h="16838" w:orient="portrait"/>
          <w:cols w:equalWidth="0" w:num="1">
            <w:col w:w="10139"/>
          </w:cols>
          <w:pgMar w:left="320" w:top="1412"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Work Letter</w:t>
      </w:r>
    </w:p>
    <w:p>
      <w:pPr>
        <w:spacing w:after="0" w:line="194" w:lineRule="exact"/>
        <w:rPr>
          <w:sz w:val="20"/>
          <w:szCs w:val="20"/>
          <w:color w:val="auto"/>
        </w:rPr>
      </w:pPr>
    </w:p>
    <w:p>
      <w:pPr>
        <w:ind w:firstLine="638"/>
        <w:spacing w:after="0" w:line="286" w:lineRule="auto"/>
        <w:rPr>
          <w:sz w:val="20"/>
          <w:szCs w:val="20"/>
          <w:color w:val="auto"/>
        </w:rPr>
      </w:pPr>
      <w:r>
        <w:rPr>
          <w:rFonts w:ascii="Arial" w:cs="Arial" w:eastAsia="Arial" w:hAnsi="Arial"/>
          <w:sz w:val="19"/>
          <w:szCs w:val="19"/>
          <w:b w:val="1"/>
          <w:bCs w:val="1"/>
          <w:color w:val="auto"/>
        </w:rPr>
        <w:t xml:space="preserve">THIS WORK LETTER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Work Letter</w:t>
      </w:r>
      <w:r>
        <w:rPr>
          <w:rFonts w:ascii="Arial" w:cs="Arial" w:eastAsia="Arial" w:hAnsi="Arial"/>
          <w:sz w:val="19"/>
          <w:szCs w:val="19"/>
          <w:color w:val="auto"/>
        </w:rPr>
        <w:t>”) is attached to and made a part of the foregoing First Amendment to Office Lease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xml:space="preserve">”) between </w:t>
      </w:r>
      <w:r>
        <w:rPr>
          <w:rFonts w:ascii="Arial" w:cs="Arial" w:eastAsia="Arial" w:hAnsi="Arial"/>
          <w:sz w:val="19"/>
          <w:szCs w:val="19"/>
          <w:b w:val="1"/>
          <w:bCs w:val="1"/>
          <w:color w:val="auto"/>
        </w:rPr>
        <w:t>Cloud Real Estate Holdings, LLC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Landlord</w:t>
      </w:r>
      <w:r>
        <w:rPr>
          <w:rFonts w:ascii="Arial" w:cs="Arial" w:eastAsia="Arial" w:hAnsi="Arial"/>
          <w:sz w:val="19"/>
          <w:szCs w:val="19"/>
          <w:color w:val="auto"/>
        </w:rPr>
        <w:t xml:space="preserve">”) and </w:t>
      </w:r>
      <w:r>
        <w:rPr>
          <w:rFonts w:ascii="Arial" w:cs="Arial" w:eastAsia="Arial" w:hAnsi="Arial"/>
          <w:sz w:val="19"/>
          <w:szCs w:val="19"/>
          <w:b w:val="1"/>
          <w:bCs w:val="1"/>
          <w:color w:val="auto"/>
        </w:rPr>
        <w:t>nCino, Inc.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Tenant</w:t>
      </w:r>
      <w:r>
        <w:rPr>
          <w:rFonts w:ascii="Arial" w:cs="Arial" w:eastAsia="Arial" w:hAnsi="Arial"/>
          <w:sz w:val="19"/>
          <w:szCs w:val="19"/>
          <w:color w:val="auto"/>
        </w:rPr>
        <w:t>”).</w:t>
      </w:r>
    </w:p>
    <w:p>
      <w:pPr>
        <w:spacing w:after="0" w:line="131" w:lineRule="exact"/>
        <w:rPr>
          <w:sz w:val="20"/>
          <w:szCs w:val="20"/>
          <w:color w:val="auto"/>
        </w:rPr>
      </w:pPr>
    </w:p>
    <w:p>
      <w:pPr>
        <w:ind w:firstLine="645"/>
        <w:spacing w:after="0" w:line="286" w:lineRule="auto"/>
        <w:tabs>
          <w:tab w:leader="none" w:pos="127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Any capitalized terms that are used but not defined in this Work Letter have the meanings given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The definitions set forth below will apply to this Work Letter.</w:t>
      </w:r>
    </w:p>
    <w:p>
      <w:pPr>
        <w:spacing w:after="0" w:line="136" w:lineRule="exact"/>
        <w:rPr>
          <w:rFonts w:ascii="Arial" w:cs="Arial" w:eastAsia="Arial" w:hAnsi="Arial"/>
          <w:sz w:val="19"/>
          <w:szCs w:val="19"/>
          <w:b w:val="1"/>
          <w:bCs w:val="1"/>
          <w:color w:val="auto"/>
        </w:rPr>
      </w:pPr>
    </w:p>
    <w:p>
      <w:pPr>
        <w:ind w:left="640" w:firstLine="643"/>
        <w:spacing w:after="0" w:line="280" w:lineRule="auto"/>
        <w:tabs>
          <w:tab w:leader="none" w:pos="1905"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applicable laws, regulations, rules, ordinances, codes, permits, restrictive covenants and architectural controls, including but not limited to those set forth in the Master Declaration.</w:t>
      </w:r>
    </w:p>
    <w:p>
      <w:pPr>
        <w:spacing w:after="0" w:line="128" w:lineRule="exact"/>
        <w:rPr>
          <w:rFonts w:ascii="Arial" w:cs="Arial" w:eastAsia="Arial" w:hAnsi="Arial"/>
          <w:sz w:val="19"/>
          <w:szCs w:val="19"/>
          <w:color w:val="auto"/>
        </w:rPr>
      </w:pPr>
    </w:p>
    <w:p>
      <w:pPr>
        <w:ind w:left="1920" w:hanging="637"/>
        <w:spacing w:after="0"/>
        <w:tabs>
          <w:tab w:leader="none" w:pos="192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Architect</w:t>
      </w:r>
      <w:r>
        <w:rPr>
          <w:rFonts w:ascii="Arial" w:cs="Arial" w:eastAsia="Arial" w:hAnsi="Arial"/>
          <w:sz w:val="19"/>
          <w:szCs w:val="19"/>
          <w:color w:val="auto"/>
        </w:rPr>
        <w:t>” means LS3P Architecture PLLC, a North Carolina professional limited liability company.</w:t>
      </w:r>
    </w:p>
    <w:p>
      <w:pPr>
        <w:spacing w:after="0" w:line="206" w:lineRule="exact"/>
        <w:rPr>
          <w:rFonts w:ascii="Arial" w:cs="Arial" w:eastAsia="Arial" w:hAnsi="Arial"/>
          <w:sz w:val="19"/>
          <w:szCs w:val="19"/>
          <w:color w:val="auto"/>
        </w:rPr>
      </w:pPr>
    </w:p>
    <w:p>
      <w:pPr>
        <w:ind w:left="1900" w:hanging="617"/>
        <w:spacing w:after="0"/>
        <w:tabs>
          <w:tab w:leader="none" w:pos="19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Engineer</w:t>
      </w:r>
      <w:r>
        <w:rPr>
          <w:rFonts w:ascii="Arial" w:cs="Arial" w:eastAsia="Arial" w:hAnsi="Arial"/>
          <w:sz w:val="19"/>
          <w:szCs w:val="19"/>
          <w:color w:val="auto"/>
        </w:rPr>
        <w:t>” means Norris &amp; Tunstall Consulting Engineers, P.C., a North Carolina professional corporation.</w:t>
      </w:r>
    </w:p>
    <w:p>
      <w:pPr>
        <w:spacing w:after="0" w:line="206" w:lineRule="exact"/>
        <w:rPr>
          <w:rFonts w:ascii="Arial" w:cs="Arial" w:eastAsia="Arial" w:hAnsi="Arial"/>
          <w:sz w:val="19"/>
          <w:szCs w:val="19"/>
          <w:color w:val="auto"/>
        </w:rPr>
      </w:pPr>
    </w:p>
    <w:p>
      <w:pPr>
        <w:jc w:val="both"/>
        <w:ind w:left="640" w:firstLine="643"/>
        <w:spacing w:after="0" w:line="253" w:lineRule="auto"/>
        <w:tabs>
          <w:tab w:leader="none" w:pos="1916"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Force Majeure Delay</w:t>
      </w:r>
      <w:r>
        <w:rPr>
          <w:rFonts w:ascii="Arial" w:cs="Arial" w:eastAsia="Arial" w:hAnsi="Arial"/>
          <w:sz w:val="19"/>
          <w:szCs w:val="19"/>
          <w:color w:val="auto"/>
        </w:rPr>
        <w:t>” means, for the purposes of this Work Letter only, a delay in the design, approval or construction of the Parking Deck Project resulting from caused by severe weather conditions (i.e., weather conditions that are materially worse than those that reasonably would be anticipated at the applicable time based on historic meteorological records), hurricane, tropical storm, strikes, lock-outs, fire, casualty, acts of war or civil commotion, epidemic affecting New Hanover County, NC, national pandemic, emergency proclamation, or adverse orders of a governmental authority, or for any other reason beyond Landlord’s control. Landlord will advise Tenant as soon as reasonably practicable of a Force Majeure Delay, and the parties shall exercise reasonable efforts to mitigate the effects of a Force Majeure Delay.</w:t>
      </w:r>
    </w:p>
    <w:p>
      <w:pPr>
        <w:spacing w:after="0" w:line="156" w:lineRule="exact"/>
        <w:rPr>
          <w:rFonts w:ascii="Arial" w:cs="Arial" w:eastAsia="Arial" w:hAnsi="Arial"/>
          <w:sz w:val="19"/>
          <w:szCs w:val="19"/>
          <w:color w:val="auto"/>
        </w:rPr>
      </w:pPr>
    </w:p>
    <w:p>
      <w:pPr>
        <w:ind w:left="640" w:firstLine="643"/>
        <w:spacing w:after="0" w:line="280" w:lineRule="auto"/>
        <w:tabs>
          <w:tab w:leader="none" w:pos="1905"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General Contractor</w:t>
      </w:r>
      <w:r>
        <w:rPr>
          <w:rFonts w:ascii="Arial" w:cs="Arial" w:eastAsia="Arial" w:hAnsi="Arial"/>
          <w:sz w:val="19"/>
          <w:szCs w:val="19"/>
          <w:color w:val="auto"/>
        </w:rPr>
        <w:t>” means, for the purposes of this Work Letter only, Thomas Construction Group, LLC, a North Carolina limited liability company.</w:t>
      </w:r>
    </w:p>
    <w:p>
      <w:pPr>
        <w:spacing w:after="0" w:line="141" w:lineRule="exact"/>
        <w:rPr>
          <w:rFonts w:ascii="Arial" w:cs="Arial" w:eastAsia="Arial" w:hAnsi="Arial"/>
          <w:sz w:val="19"/>
          <w:szCs w:val="19"/>
          <w:color w:val="auto"/>
        </w:rPr>
      </w:pPr>
    </w:p>
    <w:p>
      <w:pPr>
        <w:jc w:val="both"/>
        <w:ind w:left="640" w:firstLine="643"/>
        <w:spacing w:after="0" w:line="264" w:lineRule="auto"/>
        <w:tabs>
          <w:tab w:leader="none" w:pos="191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Parking Deck</w:t>
      </w:r>
      <w:r>
        <w:rPr>
          <w:rFonts w:ascii="Arial" w:cs="Arial" w:eastAsia="Arial" w:hAnsi="Arial"/>
          <w:sz w:val="19"/>
          <w:szCs w:val="19"/>
          <w:color w:val="auto"/>
        </w:rPr>
        <w:t>” means that certain parking deck containing approximately 642 spaces to be constructed on the Property in accordance with the terms and conditions of this Work Letter, in accordance with the Approved Construction Drawings, as such term is defined herein.</w:t>
      </w:r>
    </w:p>
    <w:p>
      <w:pPr>
        <w:spacing w:after="0" w:line="156" w:lineRule="exact"/>
        <w:rPr>
          <w:rFonts w:ascii="Arial" w:cs="Arial" w:eastAsia="Arial" w:hAnsi="Arial"/>
          <w:sz w:val="19"/>
          <w:szCs w:val="19"/>
          <w:color w:val="auto"/>
        </w:rPr>
      </w:pPr>
    </w:p>
    <w:p>
      <w:pPr>
        <w:jc w:val="both"/>
        <w:ind w:left="640" w:firstLine="643"/>
        <w:spacing w:after="0" w:line="264" w:lineRule="auto"/>
        <w:tabs>
          <w:tab w:leader="none" w:pos="1916"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Parking Deck Project</w:t>
      </w:r>
      <w:r>
        <w:rPr>
          <w:rFonts w:ascii="Arial" w:cs="Arial" w:eastAsia="Arial" w:hAnsi="Arial"/>
          <w:sz w:val="19"/>
          <w:szCs w:val="19"/>
          <w:color w:val="auto"/>
        </w:rPr>
        <w:t>” means construction of the Parking Deck, together with related landscaping and other improvements to the Property required for the construction and operation of the Parking Deck substantially in accordance with the Required Approvals (hereinafter defined) and Applicable Law.</w:t>
      </w:r>
    </w:p>
    <w:p>
      <w:pPr>
        <w:spacing w:after="0" w:line="143" w:lineRule="exact"/>
        <w:rPr>
          <w:rFonts w:ascii="Arial" w:cs="Arial" w:eastAsia="Arial" w:hAnsi="Arial"/>
          <w:sz w:val="19"/>
          <w:szCs w:val="19"/>
          <w:color w:val="auto"/>
        </w:rPr>
      </w:pPr>
    </w:p>
    <w:p>
      <w:pPr>
        <w:jc w:val="both"/>
        <w:ind w:left="640" w:firstLine="643"/>
        <w:spacing w:after="0" w:line="271" w:lineRule="auto"/>
        <w:tabs>
          <w:tab w:leader="none" w:pos="19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Tenant Delay</w:t>
      </w:r>
      <w:r>
        <w:rPr>
          <w:rFonts w:ascii="Arial" w:cs="Arial" w:eastAsia="Arial" w:hAnsi="Arial"/>
          <w:sz w:val="18"/>
          <w:szCs w:val="18"/>
          <w:color w:val="auto"/>
        </w:rPr>
        <w:t>” means, for the purposes of this Work Letter only, a delay in the design, approval or construction of the Parking Deck Project resulting from (i) changes requested by Tenant to plans, drawings, budgets or other matters previously approved by Tenant in writing (including by email from the Tenant Representative), (ii) Tenant’s selection of equipment, materials or other matters that have long lead times after having been informed by Landlord that such selection will result in delay, (iii) postponement of any work at Tenant’s request, (iv) Tenant’s failure to respond or provide approval or information within the timeframes set forth in this Work Letter (excluding any reminder periods) or, if no time frame is specified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1</w:t>
      </w:r>
    </w:p>
    <w:p>
      <w:pPr>
        <w:sectPr>
          <w:pgSz w:w="11900" w:h="16838" w:orient="portrait"/>
          <w:cols w:equalWidth="0" w:num="1">
            <w:col w:w="11240"/>
          </w:cols>
          <w:pgMar w:left="320" w:top="1393" w:right="339" w:bottom="1440" w:gutter="0" w:footer="0" w:header="0"/>
        </w:sectPr>
      </w:pPr>
    </w:p>
    <w:bookmarkStart w:id="106" w:name="page107"/>
    <w:bookmarkEnd w:id="106"/>
    <w:p>
      <w:pPr>
        <w:jc w:val="both"/>
        <w:ind w:left="640"/>
        <w:spacing w:after="0" w:line="258" w:lineRule="auto"/>
        <w:rPr>
          <w:sz w:val="20"/>
          <w:szCs w:val="20"/>
          <w:color w:val="auto"/>
        </w:rPr>
      </w:pPr>
      <w:r>
        <w:rPr>
          <w:rFonts w:ascii="Arial" w:cs="Arial" w:eastAsia="Arial" w:hAnsi="Arial"/>
          <w:sz w:val="19"/>
          <w:szCs w:val="19"/>
          <w:color w:val="auto"/>
        </w:rPr>
        <w:t>within a reasonable time after Landlord’s request, (v) any default by Tenant under this Work Letter or the Lease, (vi) Tenant or its representatives’ failure to participate in any reasonably scheduled meeting regarding the substance matter of this Work Letter that Tenant or such representatives agreed to attend or unreasonably refused to attend, or (vii) other acts or omissions of Tenant or Tenant’s agents that cause a delay in the design, approval or construction of the Parking Deck Project.</w:t>
      </w:r>
    </w:p>
    <w:p>
      <w:pPr>
        <w:spacing w:after="0" w:line="164" w:lineRule="exact"/>
        <w:rPr>
          <w:sz w:val="20"/>
          <w:szCs w:val="20"/>
          <w:color w:val="auto"/>
        </w:rPr>
      </w:pPr>
    </w:p>
    <w:p>
      <w:pPr>
        <w:ind w:left="1920" w:hanging="637"/>
        <w:spacing w:after="0"/>
        <w:tabs>
          <w:tab w:leader="none" w:pos="19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TRC</w:t>
      </w:r>
      <w:r>
        <w:rPr>
          <w:rFonts w:ascii="Arial" w:cs="Arial" w:eastAsia="Arial" w:hAnsi="Arial"/>
          <w:sz w:val="19"/>
          <w:szCs w:val="19"/>
          <w:color w:val="auto"/>
        </w:rPr>
        <w:t>” means the Technical Review Committee of the City of Wilmington.</w:t>
      </w:r>
    </w:p>
    <w:p>
      <w:pPr>
        <w:spacing w:after="0" w:line="187" w:lineRule="exact"/>
        <w:rPr>
          <w:rFonts w:ascii="Arial" w:cs="Arial" w:eastAsia="Arial" w:hAnsi="Arial"/>
          <w:sz w:val="19"/>
          <w:szCs w:val="19"/>
          <w:color w:val="auto"/>
        </w:rPr>
      </w:pPr>
    </w:p>
    <w:p>
      <w:pPr>
        <w:jc w:val="both"/>
        <w:ind w:firstLine="645"/>
        <w:spacing w:after="0" w:line="275" w:lineRule="auto"/>
        <w:tabs>
          <w:tab w:leader="none" w:pos="1276"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Preliminary Plans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have approved the current draft preliminary plans for the Parking Deck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prepared by the Engineer, copies of which are attached hereto as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(excluding the portions thereof that are specific to the new building, the “</w:t>
      </w:r>
      <w:r>
        <w:rPr>
          <w:rFonts w:ascii="Arial" w:cs="Arial" w:eastAsia="Arial" w:hAnsi="Arial"/>
          <w:sz w:val="18"/>
          <w:szCs w:val="18"/>
          <w:b w:val="1"/>
          <w:bCs w:val="1"/>
          <w:i w:val="1"/>
          <w:iCs w:val="1"/>
          <w:color w:val="auto"/>
        </w:rPr>
        <w:t>Draft Preliminary Plans</w:t>
      </w:r>
      <w:r>
        <w:rPr>
          <w:rFonts w:ascii="Arial" w:cs="Arial" w:eastAsia="Arial" w:hAnsi="Arial"/>
          <w:sz w:val="18"/>
          <w:szCs w:val="18"/>
          <w:color w:val="auto"/>
        </w:rPr>
        <w:t>”). The Draft Preliminary Plans shall be submitted to the TRC for review and approval. Landlord will promptly advise Tenant of any changes to the Draft Preliminary Plans required by the TRC. The term “</w:t>
      </w:r>
      <w:r>
        <w:rPr>
          <w:rFonts w:ascii="Arial" w:cs="Arial" w:eastAsia="Arial" w:hAnsi="Arial"/>
          <w:sz w:val="18"/>
          <w:szCs w:val="18"/>
          <w:b w:val="1"/>
          <w:bCs w:val="1"/>
          <w:i w:val="1"/>
          <w:iCs w:val="1"/>
          <w:color w:val="auto"/>
        </w:rPr>
        <w:t>Approved Preliminary Plans</w:t>
      </w:r>
      <w:r>
        <w:rPr>
          <w:rFonts w:ascii="Arial" w:cs="Arial" w:eastAsia="Arial" w:hAnsi="Arial"/>
          <w:sz w:val="18"/>
          <w:szCs w:val="18"/>
          <w:color w:val="auto"/>
        </w:rPr>
        <w:t>” shall mean the final version of the Draft Preliminary Plans approved by the TRC, including revisions required by the TRC.</w:t>
      </w:r>
    </w:p>
    <w:p>
      <w:pPr>
        <w:spacing w:after="0" w:line="143" w:lineRule="exact"/>
        <w:rPr>
          <w:rFonts w:ascii="Arial" w:cs="Arial" w:eastAsia="Arial" w:hAnsi="Arial"/>
          <w:sz w:val="18"/>
          <w:szCs w:val="18"/>
          <w:color w:val="auto"/>
        </w:rPr>
      </w:pPr>
    </w:p>
    <w:p>
      <w:pPr>
        <w:jc w:val="both"/>
        <w:ind w:firstLine="645"/>
        <w:spacing w:after="0" w:line="265" w:lineRule="auto"/>
        <w:tabs>
          <w:tab w:leader="none" w:pos="1276"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 Drawings</w:t>
      </w:r>
      <w:r>
        <w:rPr>
          <w:rFonts w:ascii="Arial" w:cs="Arial" w:eastAsia="Arial" w:hAnsi="Arial"/>
          <w:sz w:val="18"/>
          <w:szCs w:val="18"/>
          <w:color w:val="auto"/>
        </w:rPr>
        <w:t>. Once the Approved Preliminary Plans have been determined, Landlord shall cause the Architect,</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 and Contractor, as applicable, to prepare construction drawings for the Parking Deck Project in accordance with the Approved Preliminary Plans and the requirements of Applicable Law (“</w:t>
      </w:r>
      <w:r>
        <w:rPr>
          <w:rFonts w:ascii="Arial" w:cs="Arial" w:eastAsia="Arial" w:hAnsi="Arial"/>
          <w:sz w:val="18"/>
          <w:szCs w:val="18"/>
          <w:b w:val="1"/>
          <w:bCs w:val="1"/>
          <w:i w:val="1"/>
          <w:iCs w:val="1"/>
          <w:color w:val="auto"/>
        </w:rPr>
        <w:t>Draft Construction Drawings</w:t>
      </w:r>
      <w:r>
        <w:rPr>
          <w:rFonts w:ascii="Arial" w:cs="Arial" w:eastAsia="Arial" w:hAnsi="Arial"/>
          <w:sz w:val="18"/>
          <w:szCs w:val="18"/>
          <w:color w:val="auto"/>
        </w:rPr>
        <w:t>”). Landlord will provide Tenant with Draft Construction Drawings and Tenant shall have seven (7) business days to review the same and approve them or notify Landlord in writing of any good faith and reasonable objections thereto (“</w:t>
      </w:r>
      <w:r>
        <w:rPr>
          <w:rFonts w:ascii="Arial" w:cs="Arial" w:eastAsia="Arial" w:hAnsi="Arial"/>
          <w:sz w:val="18"/>
          <w:szCs w:val="18"/>
          <w:b w:val="1"/>
          <w:bCs w:val="1"/>
          <w:i w:val="1"/>
          <w:iCs w:val="1"/>
          <w:color w:val="auto"/>
        </w:rPr>
        <w:t>Drawing Objections</w:t>
      </w:r>
      <w:r>
        <w:rPr>
          <w:rFonts w:ascii="Arial" w:cs="Arial" w:eastAsia="Arial" w:hAnsi="Arial"/>
          <w:sz w:val="18"/>
          <w:szCs w:val="18"/>
          <w:color w:val="auto"/>
        </w:rPr>
        <w:t>”); provided, however, that Tenant’s Drawing Objections shall not include matters that conform to the Approved Preliminary Plans. If Tenant fails to approve or notify Landlord of its Drawing Objections within such seven (7) business day period, Landlord may so notify Tenant, in which case Tenant shall be deemed to have approved the Draft Construction Drawings unless Tenant provides Landlords with its approval or Drawing Objections within three (3) business days after Landlord’s reminder notice. Landlord and Tenant shall work together in good faith to resolve any Drawing Objections that are timely raised by Tenant in accordance with this paragraph and, if they are unable to do so within five (5) business days after Landlord’s receipt of the Drawing Objections, Landlord shall cause the Draft Construction Drawings to be revised as nearly as possible to conform to the Approved Preliminary Plans and the requirements of Applicable Law. The term “</w:t>
      </w:r>
      <w:r>
        <w:rPr>
          <w:rFonts w:ascii="Arial" w:cs="Arial" w:eastAsia="Arial" w:hAnsi="Arial"/>
          <w:sz w:val="18"/>
          <w:szCs w:val="18"/>
          <w:b w:val="1"/>
          <w:bCs w:val="1"/>
          <w:i w:val="1"/>
          <w:iCs w:val="1"/>
          <w:color w:val="auto"/>
        </w:rPr>
        <w:t>Approved Construction Drawings</w:t>
      </w:r>
      <w:r>
        <w:rPr>
          <w:rFonts w:ascii="Arial" w:cs="Arial" w:eastAsia="Arial" w:hAnsi="Arial"/>
          <w:sz w:val="18"/>
          <w:szCs w:val="18"/>
          <w:color w:val="auto"/>
        </w:rPr>
        <w:t>” means the final version of the Draft Construction Drawings mutually approved by Landlord and Tenant in accordance with this paragraph or, if they are unable to so agree, the final version of the Construction Drawings resulting from the revisions required by the immediately preceding sentence, together with such revisions as may be required as a condition to the Required Approvals.</w:t>
      </w:r>
    </w:p>
    <w:p>
      <w:pPr>
        <w:spacing w:after="0" w:line="161" w:lineRule="exact"/>
        <w:rPr>
          <w:rFonts w:ascii="Arial" w:cs="Arial" w:eastAsia="Arial" w:hAnsi="Arial"/>
          <w:sz w:val="18"/>
          <w:szCs w:val="18"/>
          <w:color w:val="auto"/>
        </w:rPr>
      </w:pPr>
    </w:p>
    <w:p>
      <w:pPr>
        <w:jc w:val="both"/>
        <w:ind w:firstLine="645"/>
        <w:spacing w:after="0" w:line="268" w:lineRule="auto"/>
        <w:tabs>
          <w:tab w:leader="none" w:pos="1276"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Budget</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reasonably practicable, Landlord will provide Tenant with a budget for the cost to design and construct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Parking Deck Project, which budget will include, without limitation, any design costs that have been incurred by Tenant and reimbursed by Landlord in accordance with a separate written agreement, hard and soft costs, anticipated carrying costs and reasonable contingencies and any other anticipated Parking Deck Project Costs (the “</w:t>
      </w:r>
      <w:r>
        <w:rPr>
          <w:rFonts w:ascii="Arial" w:cs="Arial" w:eastAsia="Arial" w:hAnsi="Arial"/>
          <w:sz w:val="18"/>
          <w:szCs w:val="18"/>
          <w:b w:val="1"/>
          <w:bCs w:val="1"/>
          <w:i w:val="1"/>
          <w:iCs w:val="1"/>
          <w:color w:val="auto"/>
        </w:rPr>
        <w:t>Proposed Budget</w:t>
      </w:r>
      <w:r>
        <w:rPr>
          <w:rFonts w:ascii="Arial" w:cs="Arial" w:eastAsia="Arial" w:hAnsi="Arial"/>
          <w:sz w:val="18"/>
          <w:szCs w:val="18"/>
          <w:color w:val="auto"/>
        </w:rPr>
        <w:t>”). Landlord will provide Tenant with the Proposed Budget and Tenant shall have seven (7) business days to review and approve it or to notify Landlord in writing of any good faith and reasonable objections thereto (“</w:t>
      </w:r>
      <w:r>
        <w:rPr>
          <w:rFonts w:ascii="Arial" w:cs="Arial" w:eastAsia="Arial" w:hAnsi="Arial"/>
          <w:sz w:val="18"/>
          <w:szCs w:val="18"/>
          <w:b w:val="1"/>
          <w:bCs w:val="1"/>
          <w:i w:val="1"/>
          <w:iCs w:val="1"/>
          <w:color w:val="auto"/>
        </w:rPr>
        <w:t>Budget Objections</w:t>
      </w:r>
      <w:r>
        <w:rPr>
          <w:rFonts w:ascii="Arial" w:cs="Arial" w:eastAsia="Arial" w:hAnsi="Arial"/>
          <w:sz w:val="18"/>
          <w:szCs w:val="18"/>
          <w:color w:val="auto"/>
        </w:rPr>
        <w:t>”). If Tenant fails to approve the Proposed Budget or notify Landlord of its Budget Objections within such seven (7) business day period, Landlord may so notify Tenant, in which case Tenant shall be deemed to have approved the Proposed Budget unless Tenant provides Landlord with its approval or Budget Objections within three (3) days after Landlord’s reminder notice. Landlord and Tenant shall work together in good faith to resolve any Budget Objections that are timely raised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2</w:t>
      </w:r>
    </w:p>
    <w:p>
      <w:pPr>
        <w:sectPr>
          <w:pgSz w:w="11900" w:h="16838" w:orient="portrait"/>
          <w:cols w:equalWidth="0" w:num="1">
            <w:col w:w="11240"/>
          </w:cols>
          <w:pgMar w:left="320" w:top="1399" w:right="339" w:bottom="1440" w:gutter="0" w:footer="0" w:header="0"/>
        </w:sectPr>
      </w:pPr>
    </w:p>
    <w:bookmarkStart w:id="107" w:name="page108"/>
    <w:bookmarkEnd w:id="107"/>
    <w:p>
      <w:pPr>
        <w:spacing w:after="0" w:line="280" w:lineRule="auto"/>
        <w:rPr>
          <w:sz w:val="20"/>
          <w:szCs w:val="20"/>
          <w:color w:val="auto"/>
        </w:rPr>
      </w:pPr>
      <w:r>
        <w:rPr>
          <w:rFonts w:ascii="Arial" w:cs="Arial" w:eastAsia="Arial" w:hAnsi="Arial"/>
          <w:sz w:val="19"/>
          <w:szCs w:val="19"/>
          <w:color w:val="auto"/>
        </w:rPr>
        <w:t>Tenant in accordance with this paragraph. The term “</w:t>
      </w:r>
      <w:r>
        <w:rPr>
          <w:rFonts w:ascii="Arial" w:cs="Arial" w:eastAsia="Arial" w:hAnsi="Arial"/>
          <w:sz w:val="19"/>
          <w:szCs w:val="19"/>
          <w:b w:val="1"/>
          <w:bCs w:val="1"/>
          <w:i w:val="1"/>
          <w:iCs w:val="1"/>
          <w:color w:val="auto"/>
        </w:rPr>
        <w:t>Approved Budget</w:t>
      </w:r>
      <w:r>
        <w:rPr>
          <w:rFonts w:ascii="Arial" w:cs="Arial" w:eastAsia="Arial" w:hAnsi="Arial"/>
          <w:sz w:val="19"/>
          <w:szCs w:val="19"/>
          <w:color w:val="auto"/>
        </w:rPr>
        <w:t>” means the final version of the Preliminary Budget mutually approved in writing by Landlord and Tenant in accordance with this paragraph.</w:t>
      </w:r>
    </w:p>
    <w:p>
      <w:pPr>
        <w:spacing w:after="0" w:line="136" w:lineRule="exact"/>
        <w:rPr>
          <w:sz w:val="20"/>
          <w:szCs w:val="20"/>
          <w:color w:val="auto"/>
        </w:rPr>
      </w:pPr>
    </w:p>
    <w:p>
      <w:pPr>
        <w:jc w:val="both"/>
        <w:ind w:firstLine="645"/>
        <w:spacing w:after="0" w:line="286" w:lineRule="auto"/>
        <w:tabs>
          <w:tab w:leader="none" w:pos="1276" w:val="left"/>
        </w:tabs>
        <w:numPr>
          <w:ilvl w:val="0"/>
          <w:numId w:val="46"/>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Not later than promptly after the Approved Construction Drawings and Approved Budget have been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begin applying for all necessary permits, licenses and approvals for the construction of the Parking Deck Project in accordance with he Approved Construction Drawings, including without limitation architectural approvals required under the Master Declaration (“</w:t>
      </w:r>
      <w:r>
        <w:rPr>
          <w:rFonts w:ascii="Arial" w:cs="Arial" w:eastAsia="Arial" w:hAnsi="Arial"/>
          <w:sz w:val="17"/>
          <w:szCs w:val="17"/>
          <w:b w:val="1"/>
          <w:bCs w:val="1"/>
          <w:i w:val="1"/>
          <w:iCs w:val="1"/>
          <w:color w:val="auto"/>
        </w:rPr>
        <w:t>Required Approvals</w:t>
      </w:r>
      <w:r>
        <w:rPr>
          <w:rFonts w:ascii="Arial" w:cs="Arial" w:eastAsia="Arial" w:hAnsi="Arial"/>
          <w:sz w:val="17"/>
          <w:szCs w:val="17"/>
          <w:color w:val="auto"/>
        </w:rPr>
        <w:t>”). Landlord represents to Tenant that (i) the architectural review committee established pursuant to the Master Declaration approved Landlord’s application for the Parking Deck Project on January 5, 2021, and (ii) based upon the latest update of the Parking Deck Project construction schedule, as of the Amendment Date, the Required Approvals are estimated to be obtained on or about March 10, 2021. Landlord will diligently pursue the Required Approvals and keep Tenant reasonably informed as to the status of its pursuit of the Required Approvals. Tenant agrees to cooperate with Landlord in connection with the Landlord’s pursuit of the Required Approvals, including responding promptly to requests from Landlord for information, clarification and Tenant input relating to the Required Approvals.</w:t>
      </w:r>
    </w:p>
    <w:p>
      <w:pPr>
        <w:spacing w:after="0" w:line="124" w:lineRule="exact"/>
        <w:rPr>
          <w:rFonts w:ascii="Arial" w:cs="Arial" w:eastAsia="Arial" w:hAnsi="Arial"/>
          <w:sz w:val="17"/>
          <w:szCs w:val="17"/>
          <w:color w:val="auto"/>
        </w:rPr>
      </w:pPr>
    </w:p>
    <w:p>
      <w:pPr>
        <w:jc w:val="both"/>
        <w:ind w:firstLine="645"/>
        <w:spacing w:after="0" w:line="265" w:lineRule="auto"/>
        <w:tabs>
          <w:tab w:leader="none" w:pos="127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w:t>
      </w:r>
      <w:r>
        <w:rPr>
          <w:rFonts w:ascii="Arial" w:cs="Arial" w:eastAsia="Arial" w:hAnsi="Arial"/>
          <w:sz w:val="18"/>
          <w:szCs w:val="18"/>
          <w:b w:val="1"/>
          <w:bCs w:val="1"/>
          <w:i w:val="1"/>
          <w:iCs w:val="1"/>
          <w:color w:val="auto"/>
        </w:rPr>
        <w:t>Minor Change</w:t>
      </w:r>
      <w:r>
        <w:rPr>
          <w:rFonts w:ascii="Arial" w:cs="Arial" w:eastAsia="Arial" w:hAnsi="Arial"/>
          <w:sz w:val="18"/>
          <w:szCs w:val="18"/>
          <w:color w:val="auto"/>
        </w:rPr>
        <w:t>s” means changes to the Approved Construction Drawings or Approved Budget that (a) are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the reasonable judgment of Landlord, the Architect or the General Contractor, (b) do not adversely impact the structure of the Parking Deck, and (c) do not exceed the applicable line item in the Approved Budget (including applicable contingencies) by more than $25,000 in a single instance, or by $150,000 in the aggregate. Landlord shall notify Tenant of any Minor Changes in advance, if practical, and promptly if advance notice is not practical, and such notice shall state the anticipated effect on the Approved Budget as a result of all Minor Changes made to the date of such notice. Landlord agrees not to make any changes to the Approved Construction Drawings or the Approved Budget other than Minor Changes, without Tenant’s prior written consent as to such change and any increase in the Parking Deck Project Costs associated therewith that are not provided for in or accommodated by the Approved Budget, which consent shall not be unreasonably withheld, conditioned or delayed. If Tenant fails to respond to a request to approve any change, other than a Minor Change, to the Approved Construction Drawings or Approved Budget proposed by Landlord within such five (5) business days after Landlord’s request (which request shall be accompanied by reasonable supporting documentation detailing the proposed change), Tenant shall conclusively be deemed to have approved the proposed change. If Tenant shall notify Landlord of its objection to a change, other than a Minor Change, to the Approved Construction Drawings or Approved Budget proposed by Landlord within such five (5) business day period, Landlord and Tenant shall reasonably share records and estimates, rebid the change at issue (if mutually agreed), and cooperate to resolve any such differences as soon as reasonably possible.</w:t>
      </w:r>
    </w:p>
    <w:p>
      <w:pPr>
        <w:spacing w:after="0" w:line="161" w:lineRule="exact"/>
        <w:rPr>
          <w:rFonts w:ascii="Arial" w:cs="Arial" w:eastAsia="Arial" w:hAnsi="Arial"/>
          <w:sz w:val="18"/>
          <w:szCs w:val="18"/>
          <w:color w:val="auto"/>
        </w:rPr>
      </w:pPr>
    </w:p>
    <w:p>
      <w:pPr>
        <w:jc w:val="both"/>
        <w:ind w:firstLine="645"/>
        <w:spacing w:after="0" w:line="289" w:lineRule="auto"/>
        <w:tabs>
          <w:tab w:leader="none" w:pos="127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after issuance of the Required Approvals, Landlord shall cause the General Contractor to commence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thereafter diligently pursue to completion of construction of the Parking Deck Project in a good and workmanlike manner, in compliance with the Required Approvals and Applicable Law, and substantially in accordance with the Approved Construction Drawings.</w:t>
      </w:r>
    </w:p>
    <w:p>
      <w:pPr>
        <w:spacing w:after="0" w:line="135" w:lineRule="exact"/>
        <w:rPr>
          <w:rFonts w:ascii="Arial" w:cs="Arial" w:eastAsia="Arial" w:hAnsi="Arial"/>
          <w:sz w:val="18"/>
          <w:szCs w:val="18"/>
          <w:color w:val="auto"/>
        </w:rPr>
      </w:pPr>
    </w:p>
    <w:p>
      <w:pPr>
        <w:jc w:val="both"/>
        <w:ind w:left="640" w:firstLine="643"/>
        <w:spacing w:after="0" w:line="256" w:lineRule="auto"/>
        <w:tabs>
          <w:tab w:leader="none" w:pos="1905"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Substantial Completion</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Parking Deck Completion Date</w:t>
      </w:r>
      <w:r>
        <w:rPr>
          <w:rFonts w:ascii="Arial" w:cs="Arial" w:eastAsia="Arial" w:hAnsi="Arial"/>
          <w:sz w:val="19"/>
          <w:szCs w:val="19"/>
          <w:color w:val="auto"/>
        </w:rPr>
        <w:t>” means the date on which the Parking Deck Project has been substantially completed except for Punchlist Items (as defined below) and will be deemed to have occurred upon earliest to occur of (i) a final inspection by the applicable governmental authorities authorizing the use and occupancy of the Parking Deck, or (ii) issuance of a certificate of occupancy or local equivalent for the Parking Deck. Notwithstanding the foregoing, the Parking Deck Completion Date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3</w:t>
      </w:r>
    </w:p>
    <w:p>
      <w:pPr>
        <w:sectPr>
          <w:pgSz w:w="11900" w:h="16838" w:orient="portrait"/>
          <w:cols w:equalWidth="0" w:num="1">
            <w:col w:w="11240"/>
          </w:cols>
          <w:pgMar w:left="320" w:top="1399"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9"/>
          <w:szCs w:val="19"/>
          <w:color w:val="auto"/>
        </w:rPr>
        <w:t>accelerated by one day for each day of delay in substantial completion of the Parking Deck Project resulting from Tenant Delay.</w:t>
      </w:r>
    </w:p>
    <w:p>
      <w:pPr>
        <w:spacing w:after="0" w:line="207" w:lineRule="exact"/>
        <w:rPr>
          <w:sz w:val="20"/>
          <w:szCs w:val="20"/>
          <w:color w:val="auto"/>
        </w:rPr>
      </w:pPr>
    </w:p>
    <w:p>
      <w:pPr>
        <w:jc w:val="both"/>
        <w:ind w:left="640" w:firstLine="643"/>
        <w:spacing w:after="0" w:line="244" w:lineRule="auto"/>
        <w:tabs>
          <w:tab w:leader="none" w:pos="191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The target date for substantial completion of the Parking Deck Project is the two hundred and fourth (204</w:t>
      </w:r>
      <w:r>
        <w:rPr>
          <w:rFonts w:ascii="Arial" w:cs="Arial" w:eastAsia="Arial" w:hAnsi="Arial"/>
          <w:sz w:val="23"/>
          <w:szCs w:val="23"/>
          <w:color w:val="auto"/>
          <w:vertAlign w:val="superscript"/>
        </w:rPr>
        <w:t>th</w:t>
      </w:r>
      <w:r>
        <w:rPr>
          <w:rFonts w:ascii="Arial" w:cs="Arial" w:eastAsia="Arial" w:hAnsi="Arial"/>
          <w:sz w:val="18"/>
          <w:szCs w:val="18"/>
          <w:color w:val="auto"/>
        </w:rPr>
        <w:t>) day after the date Landlord obtains all Required Approvals (subject to day for day extension due to Force Majeure Delay, the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Completion Date</w:t>
      </w:r>
      <w:r>
        <w:rPr>
          <w:rFonts w:ascii="Arial" w:cs="Arial" w:eastAsia="Arial" w:hAnsi="Arial"/>
          <w:sz w:val="18"/>
          <w:szCs w:val="18"/>
          <w:color w:val="auto"/>
        </w:rPr>
        <w:t>”). If the Parking Deck Completion Date does not occur on or before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after the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Date (subject to day for day extension due to Force Majeure Delay, the “</w:t>
      </w:r>
      <w:r>
        <w:rPr>
          <w:rFonts w:ascii="Arial" w:cs="Arial" w:eastAsia="Arial" w:hAnsi="Arial"/>
          <w:sz w:val="18"/>
          <w:szCs w:val="18"/>
          <w:b w:val="1"/>
          <w:bCs w:val="1"/>
          <w:i w:val="1"/>
          <w:iCs w:val="1"/>
          <w:color w:val="auto"/>
        </w:rPr>
        <w:t>Outside Completion Date</w:t>
      </w:r>
      <w:r>
        <w:rPr>
          <w:rFonts w:ascii="Arial" w:cs="Arial" w:eastAsia="Arial" w:hAnsi="Arial"/>
          <w:sz w:val="18"/>
          <w:szCs w:val="18"/>
          <w:color w:val="auto"/>
        </w:rPr>
        <w:t>”), Tenant’s sole remedy shall be to receive a credit against Basic Rent coming due under the Lease equal to one day of the portion of Basic Rent attributable to the Parking Deck Rent Adjustment per day from the Outside Completion Date until the Parking Deck Completion Date.</w:t>
      </w:r>
    </w:p>
    <w:p>
      <w:pPr>
        <w:spacing w:after="0" w:line="162" w:lineRule="exact"/>
        <w:rPr>
          <w:rFonts w:ascii="Arial" w:cs="Arial" w:eastAsia="Arial" w:hAnsi="Arial"/>
          <w:sz w:val="18"/>
          <w:szCs w:val="18"/>
          <w:color w:val="auto"/>
        </w:rPr>
      </w:pPr>
    </w:p>
    <w:p>
      <w:pPr>
        <w:jc w:val="both"/>
        <w:ind w:left="640" w:firstLine="643"/>
        <w:spacing w:after="0" w:line="268" w:lineRule="auto"/>
        <w:tabs>
          <w:tab w:leader="none" w:pos="190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Temporary Parking</w:t>
      </w:r>
      <w:r>
        <w:rPr>
          <w:rFonts w:ascii="Arial" w:cs="Arial" w:eastAsia="Arial" w:hAnsi="Arial"/>
          <w:sz w:val="18"/>
          <w:szCs w:val="18"/>
          <w:color w:val="auto"/>
        </w:rPr>
        <w:t>. To the extent and during such times that construction of the Parking Deck Project reduces the number of usable parking spaces at the Property below the number of parking spaces then required by Tenant for its employees and visitors who are actually on-site (the “</w:t>
      </w:r>
      <w:r>
        <w:rPr>
          <w:rFonts w:ascii="Arial" w:cs="Arial" w:eastAsia="Arial" w:hAnsi="Arial"/>
          <w:sz w:val="18"/>
          <w:szCs w:val="18"/>
          <w:b w:val="1"/>
          <w:bCs w:val="1"/>
          <w:i w:val="1"/>
          <w:iCs w:val="1"/>
          <w:color w:val="auto"/>
        </w:rPr>
        <w:t>Parking Space Minimum</w:t>
      </w:r>
      <w:r>
        <w:rPr>
          <w:rFonts w:ascii="Arial" w:cs="Arial" w:eastAsia="Arial" w:hAnsi="Arial"/>
          <w:sz w:val="18"/>
          <w:szCs w:val="18"/>
          <w:color w:val="auto"/>
        </w:rPr>
        <w:t>”), then Landlord will provide (A) temporary parking for nCino at</w:t>
      </w:r>
    </w:p>
    <w:p>
      <w:pPr>
        <w:jc w:val="both"/>
        <w:ind w:left="640" w:firstLine="5"/>
        <w:spacing w:after="0" w:line="264" w:lineRule="auto"/>
        <w:tabs>
          <w:tab w:leader="none" w:pos="9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Renaissance within Westfall Research Park, (y) Autumn Hall, and/or (z) that portion of New Hanover County tax parcel number R05100-003-083-000, as shown on the site plan attached hereto as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which fronts on the eastern margin of Military Cut Off Road between Howe Creek, to the south, and Lucia Point Subdivision, to the north, and (B) reasonable shuttle service to and from the Property and any such off-site parking (collectively, “</w:t>
      </w:r>
      <w:r>
        <w:rPr>
          <w:rFonts w:ascii="Arial" w:cs="Arial" w:eastAsia="Arial" w:hAnsi="Arial"/>
          <w:sz w:val="18"/>
          <w:szCs w:val="18"/>
          <w:b w:val="1"/>
          <w:bCs w:val="1"/>
          <w:i w:val="1"/>
          <w:iCs w:val="1"/>
          <w:color w:val="auto"/>
        </w:rPr>
        <w:t>Off-Site Parking</w:t>
      </w:r>
      <w:r>
        <w:rPr>
          <w:rFonts w:ascii="Arial" w:cs="Arial" w:eastAsia="Arial" w:hAnsi="Arial"/>
          <w:sz w:val="18"/>
          <w:szCs w:val="18"/>
          <w:color w:val="auto"/>
        </w:rPr>
        <w:t>”). Tenant shall notify Landlord in writing if Tenant desires for Landlord to commence providing Off-Site Parking, in which case Landlord will promptly provide its good faith and reasonable estimate of the Off-Site Parking Costs, as defined herein. Landlord’s obligation to commence providing Off-Site Parking will not commence until thirty (30) days after Tenant gives its written approval of Landlord’s estimate the Off-Site Parking Costs, subject to any Force Majeure Delay. Landlord will be responsible, without reimbursement, for rental or license fees it incurs to procure the off-site parking required by this paragraph, but other reasonable out-of-pocket costs and expenses incurred in connection with such off-site parking will be included in Expenses, including without limitation the cost of shuttle service and costs incurred for improvements, alterations or signage as reasonably required at the off-site parking location(s) (the “</w:t>
      </w:r>
      <w:r>
        <w:rPr>
          <w:rFonts w:ascii="Arial" w:cs="Arial" w:eastAsia="Arial" w:hAnsi="Arial"/>
          <w:sz w:val="18"/>
          <w:szCs w:val="18"/>
          <w:b w:val="1"/>
          <w:bCs w:val="1"/>
          <w:i w:val="1"/>
          <w:iCs w:val="1"/>
          <w:color w:val="auto"/>
        </w:rPr>
        <w:t>Off-Site Parking Costs</w:t>
      </w:r>
      <w:r>
        <w:rPr>
          <w:rFonts w:ascii="Arial" w:cs="Arial" w:eastAsia="Arial" w:hAnsi="Arial"/>
          <w:sz w:val="18"/>
          <w:szCs w:val="18"/>
          <w:color w:val="auto"/>
        </w:rPr>
        <w:t>”).</w:t>
      </w:r>
    </w:p>
    <w:p>
      <w:pPr>
        <w:spacing w:after="0" w:line="159" w:lineRule="exact"/>
        <w:rPr>
          <w:sz w:val="20"/>
          <w:szCs w:val="20"/>
          <w:color w:val="auto"/>
        </w:rPr>
      </w:pPr>
    </w:p>
    <w:p>
      <w:pPr>
        <w:jc w:val="both"/>
        <w:ind w:firstLine="645"/>
        <w:spacing w:after="0" w:line="256" w:lineRule="auto"/>
        <w:tabs>
          <w:tab w:leader="none" w:pos="127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Punch-List</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will advise Tenant upon substantial completion of the Parking Deck Project. Within five (5)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days thereafter, the Landlord Representative and the Tenant Representative shall conduct a walk-through of the Parking Deck Project and identify any defects, necessary touch-up work, repairs and minor completion items that are necessary for final completion of the Parking Deck Project (the “</w:t>
      </w:r>
      <w:r>
        <w:rPr>
          <w:rFonts w:ascii="Arial" w:cs="Arial" w:eastAsia="Arial" w:hAnsi="Arial"/>
          <w:sz w:val="19"/>
          <w:szCs w:val="19"/>
          <w:b w:val="1"/>
          <w:bCs w:val="1"/>
          <w:i w:val="1"/>
          <w:iCs w:val="1"/>
          <w:color w:val="auto"/>
        </w:rPr>
        <w:t>Punchlist Items</w:t>
      </w:r>
      <w:r>
        <w:rPr>
          <w:rFonts w:ascii="Arial" w:cs="Arial" w:eastAsia="Arial" w:hAnsi="Arial"/>
          <w:sz w:val="19"/>
          <w:szCs w:val="19"/>
          <w:color w:val="auto"/>
        </w:rPr>
        <w:t>”). Neither the Landlord Representative nor the Tenant Representative shall unreasonably withhold agreement on Punchlist Items. Landlord shall cause the General Contractor to promptly and diligently complete Punchlist Items as soon as reasonably practicable.</w:t>
      </w:r>
    </w:p>
    <w:p>
      <w:pPr>
        <w:spacing w:after="0" w:line="157" w:lineRule="exact"/>
        <w:rPr>
          <w:rFonts w:ascii="Arial" w:cs="Arial" w:eastAsia="Arial" w:hAnsi="Arial"/>
          <w:sz w:val="19"/>
          <w:szCs w:val="19"/>
          <w:b w:val="1"/>
          <w:bCs w:val="1"/>
          <w:color w:val="auto"/>
        </w:rPr>
      </w:pPr>
    </w:p>
    <w:p>
      <w:pPr>
        <w:jc w:val="both"/>
        <w:ind w:firstLine="645"/>
        <w:spacing w:after="0" w:line="272" w:lineRule="auto"/>
        <w:tabs>
          <w:tab w:leader="none" w:pos="127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has appointed Katie Smith (whether one or more, each the “</w:t>
      </w:r>
      <w:r>
        <w:rPr>
          <w:rFonts w:ascii="Arial" w:cs="Arial" w:eastAsia="Arial" w:hAnsi="Arial"/>
          <w:sz w:val="18"/>
          <w:szCs w:val="18"/>
          <w:b w:val="1"/>
          <w:bCs w:val="1"/>
          <w:i w:val="1"/>
          <w:iCs w:val="1"/>
          <w:color w:val="auto"/>
        </w:rPr>
        <w:t>Tenant Representative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coordinating with Landlord in connection with this Work Letter. Each Tenant Representative, acting alone, has been duly authorized to give notices, approvals and make decisions for Tenant regarding the subject matter of this Work Letter. Landlord shall be entitled to rely on any approval or instruction provided by any Tenant Representative as having been duly authorized and approved by Tenant, without duty of further inquiry or investigation on the part of Landlord. Landlord has appointed Raiford Trask (whether one or more, each the “</w:t>
      </w:r>
      <w:r>
        <w:rPr>
          <w:rFonts w:ascii="Arial" w:cs="Arial" w:eastAsia="Arial" w:hAnsi="Arial"/>
          <w:sz w:val="18"/>
          <w:szCs w:val="18"/>
          <w:b w:val="1"/>
          <w:bCs w:val="1"/>
          <w:i w:val="1"/>
          <w:iCs w:val="1"/>
          <w:color w:val="auto"/>
        </w:rPr>
        <w:t>Landlord Representative</w:t>
      </w:r>
      <w:r>
        <w:rPr>
          <w:rFonts w:ascii="Arial" w:cs="Arial" w:eastAsia="Arial" w:hAnsi="Arial"/>
          <w:sz w:val="18"/>
          <w:szCs w:val="18"/>
          <w:color w:val="auto"/>
        </w:rPr>
        <w:t>”) for the purposes of coordinating with Tenant in connection with this Work Letter.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4</w:t>
      </w:r>
    </w:p>
    <w:p>
      <w:pPr>
        <w:sectPr>
          <w:pgSz w:w="11900" w:h="16838" w:orient="portrait"/>
          <w:cols w:equalWidth="0" w:num="1">
            <w:col w:w="11240"/>
          </w:cols>
          <w:pgMar w:left="320" w:top="1399" w:right="339" w:bottom="1440" w:gutter="0" w:footer="0" w:header="0"/>
        </w:sectPr>
      </w:pPr>
    </w:p>
    <w:bookmarkStart w:id="109" w:name="page110"/>
    <w:bookmarkEnd w:id="109"/>
    <w:p>
      <w:pPr>
        <w:jc w:val="both"/>
        <w:spacing w:after="0" w:line="285" w:lineRule="auto"/>
        <w:rPr>
          <w:sz w:val="20"/>
          <w:szCs w:val="20"/>
          <w:color w:val="auto"/>
        </w:rPr>
      </w:pPr>
      <w:r>
        <w:rPr>
          <w:rFonts w:ascii="Arial" w:cs="Arial" w:eastAsia="Arial" w:hAnsi="Arial"/>
          <w:sz w:val="18"/>
          <w:szCs w:val="18"/>
          <w:color w:val="auto"/>
        </w:rPr>
        <w:t>Landlord Representative, acting alone, has been duly authorized to give notices, approvals and make decisions for Landlord regarding the subject matter of this Work Letter. Tenant shall be entitled to rely on any approval or instruction provided by any Landlord Representative as having been duly authorized and approved by Landlord, without duty of further inquiry or investigation on the part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5</w:t>
      </w:r>
    </w:p>
    <w:p>
      <w:pPr>
        <w:sectPr>
          <w:pgSz w:w="11900" w:h="16838" w:orient="portrait"/>
          <w:cols w:equalWidth="0" w:num="1">
            <w:col w:w="11240"/>
          </w:cols>
          <w:pgMar w:left="320" w:top="1399" w:right="339" w:bottom="1440" w:gutter="0" w:footer="0" w:header="0"/>
        </w:sectPr>
      </w:pPr>
    </w:p>
    <w:bookmarkStart w:id="110" w:name="page111"/>
    <w:bookmarkEnd w:id="110"/>
    <w:p>
      <w:pPr>
        <w:jc w:val="center"/>
        <w:ind w:right="-1120"/>
        <w:spacing w:after="0"/>
        <w:rPr>
          <w:sz w:val="20"/>
          <w:szCs w:val="20"/>
          <w:color w:val="auto"/>
        </w:rPr>
      </w:pPr>
      <w:r>
        <w:rPr>
          <w:rFonts w:ascii="Arial" w:cs="Arial" w:eastAsia="Arial" w:hAnsi="Arial"/>
          <w:sz w:val="19"/>
          <w:szCs w:val="19"/>
          <w:b w:val="1"/>
          <w:bCs w:val="1"/>
          <w:u w:val="single" w:color="auto"/>
          <w:color w:val="auto"/>
        </w:rPr>
        <w:t>Schedule 1 to Work Letter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Draft Preliminary Plans for the Parking Deck Project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See attached (25 additional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6</w:t>
      </w:r>
    </w:p>
    <w:p>
      <w:pPr>
        <w:sectPr>
          <w:pgSz w:w="11900" w:h="16838" w:orient="portrait"/>
          <w:cols w:equalWidth="0" w:num="1">
            <w:col w:w="10139"/>
          </w:cols>
          <w:pgMar w:left="320" w:top="1393" w:right="1440" w:bottom="1440" w:gutter="0" w:footer="0" w:header="0"/>
        </w:sectPr>
      </w:pPr>
    </w:p>
    <w:bookmarkStart w:id="111" w:name="page112"/>
    <w:bookmarkEnd w:id="111"/>
    <w:p>
      <w:pPr>
        <w:jc w:val="center"/>
        <w:ind w:right="-1100"/>
        <w:spacing w:after="0"/>
        <w:rPr>
          <w:sz w:val="20"/>
          <w:szCs w:val="20"/>
          <w:color w:val="auto"/>
        </w:rPr>
      </w:pPr>
      <w:r>
        <w:rPr>
          <w:rFonts w:ascii="Arial" w:cs="Arial" w:eastAsia="Arial" w:hAnsi="Arial"/>
          <w:sz w:val="19"/>
          <w:szCs w:val="19"/>
          <w:b w:val="1"/>
          <w:bCs w:val="1"/>
          <w:u w:val="single" w:color="auto"/>
          <w:color w:val="auto"/>
        </w:rPr>
        <w:t>Schedule 2 to Work Letter</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Site Plan for Tax Parcel R05100-003-083-000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97090" cy="4838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97090" cy="483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A, Page 7</w:t>
      </w:r>
    </w:p>
    <w:p>
      <w:pPr>
        <w:sectPr>
          <w:pgSz w:w="11900" w:h="16838" w:orient="portrait"/>
          <w:cols w:equalWidth="0" w:num="1">
            <w:col w:w="10139"/>
          </w:cols>
          <w:pgMar w:left="320" w:top="1313" w:right="1440" w:bottom="1440" w:gutter="0" w:footer="0" w:header="0"/>
        </w:sectPr>
      </w:pPr>
    </w:p>
    <w:bookmarkStart w:id="112" w:name="page113"/>
    <w:bookmarkEnd w:id="112"/>
    <w:p>
      <w:pPr>
        <w:spacing w:after="0" w:line="310" w:lineRule="auto"/>
        <w:tabs>
          <w:tab w:leader="none" w:pos="2440" w:val="left"/>
        </w:tabs>
        <w:framePr w:w="1220" w:h="506" w:wrap="auto" w:vAnchor="page" w:hAnchor="page" w:x="4980" w:y="3078"/>
        <w:rPr>
          <w:rFonts w:ascii="Arial" w:cs="Arial" w:eastAsia="Arial" w:hAnsi="Arial"/>
          <w:sz w:val="17"/>
          <w:szCs w:val="17"/>
          <w:color w:val="auto"/>
        </w:rPr>
      </w:pPr>
      <w:r>
        <w:rPr>
          <w:rFonts w:ascii="Arial" w:cs="Arial" w:eastAsia="Arial" w:hAnsi="Arial"/>
          <w:sz w:val="17"/>
          <w:szCs w:val="17"/>
          <w:color w:val="auto"/>
        </w:rPr>
        <w:t>Land Planning Signage</w:t>
      </w:r>
    </w:p>
    <w:p>
      <w:pPr>
        <w:spacing w:after="0" w:line="337" w:lineRule="auto"/>
        <w:tabs>
          <w:tab w:leader="none" w:pos="2440" w:val="left"/>
        </w:tabs>
        <w:framePr w:w="1860" w:h="2766" w:wrap="auto" w:vAnchor="page" w:hAnchor="page" w:x="4980" w:y="3729"/>
        <w:rPr>
          <w:rFonts w:ascii="Arial" w:cs="Arial" w:eastAsia="Arial" w:hAnsi="Arial"/>
          <w:sz w:val="19"/>
          <w:szCs w:val="19"/>
          <w:color w:val="auto"/>
        </w:rPr>
      </w:pPr>
      <w:r>
        <w:rPr>
          <w:rFonts w:ascii="Arial" w:cs="Arial" w:eastAsia="Arial" w:hAnsi="Arial"/>
          <w:sz w:val="19"/>
          <w:szCs w:val="19"/>
          <w:color w:val="auto"/>
        </w:rPr>
        <w:t>Testing &amp; Inspections Quality Assurance Traffic Study Survey Geotechnical Permit and Tap Fees Appraisal Environmental Studies Legal</w:t>
      </w:r>
    </w:p>
    <w:p>
      <w:pPr>
        <w:spacing w:after="0" w:line="348" w:lineRule="auto"/>
        <w:tabs>
          <w:tab w:leader="none" w:pos="2440" w:val="left"/>
        </w:tabs>
        <w:framePr w:w="2340" w:h="1463" w:wrap="auto" w:vAnchor="page" w:hAnchor="page" w:x="4980" w:y="6641"/>
        <w:rPr>
          <w:rFonts w:ascii="Arial" w:cs="Arial" w:eastAsia="Arial" w:hAnsi="Arial"/>
          <w:sz w:val="19"/>
          <w:szCs w:val="19"/>
          <w:color w:val="auto"/>
        </w:rPr>
      </w:pPr>
      <w:r>
        <w:rPr>
          <w:rFonts w:ascii="Arial" w:cs="Arial" w:eastAsia="Arial" w:hAnsi="Arial"/>
          <w:sz w:val="19"/>
          <w:szCs w:val="19"/>
          <w:color w:val="auto"/>
        </w:rPr>
        <w:t>Loan Fee Closing Costs Insurance - Builder's Risk Insurance - General Liability Taxes</w:t>
      </w:r>
    </w:p>
    <w:p>
      <w:pPr>
        <w:spacing w:after="0" w:line="219" w:lineRule="auto"/>
        <w:tabs>
          <w:tab w:leader="none" w:pos="2440" w:val="left"/>
        </w:tabs>
        <w:framePr w:w="6600" w:h="400" w:wrap="auto" w:vAnchor="page" w:hAnchor="page" w:x="4980" w:y="8263"/>
        <w:rPr>
          <w:rFonts w:ascii="Arial" w:cs="Arial" w:eastAsia="Arial" w:hAnsi="Arial"/>
          <w:sz w:val="19"/>
          <w:szCs w:val="19"/>
          <w:color w:val="auto"/>
        </w:rPr>
      </w:pPr>
      <w:r>
        <w:rPr>
          <w:rFonts w:ascii="Arial" w:cs="Arial" w:eastAsia="Arial" w:hAnsi="Arial"/>
          <w:sz w:val="19"/>
          <w:szCs w:val="19"/>
          <w:color w:val="auto"/>
        </w:rPr>
        <w:t>Developer Contingency (7.5% of the Approved Budget, but excluding any Developer Contingency not actually expendedf</w:t>
      </w:r>
    </w:p>
    <w:p>
      <w:pPr>
        <w:spacing w:after="0" w:line="219" w:lineRule="auto"/>
        <w:tabs>
          <w:tab w:leader="none" w:pos="2440" w:val="left"/>
        </w:tabs>
        <w:framePr w:w="6600" w:h="400" w:wrap="auto" w:vAnchor="page" w:hAnchor="page" w:x="4980" w:y="8808"/>
        <w:rPr>
          <w:rFonts w:ascii="Arial" w:cs="Arial" w:eastAsia="Arial" w:hAnsi="Arial"/>
          <w:sz w:val="19"/>
          <w:szCs w:val="19"/>
          <w:color w:val="auto"/>
        </w:rPr>
      </w:pPr>
      <w:r>
        <w:rPr>
          <w:rFonts w:ascii="Arial" w:cs="Arial" w:eastAsia="Arial" w:hAnsi="Arial"/>
          <w:sz w:val="19"/>
          <w:szCs w:val="19"/>
          <w:color w:val="auto"/>
        </w:rPr>
        <w:t>Leasing Commission - JLL Existing Building (4% based on 15 years of Basic Rent and assumed Expenses of $7.50 per RSF)</w:t>
      </w:r>
    </w:p>
    <w:p>
      <w:pPr>
        <w:spacing w:after="0" w:line="219" w:lineRule="auto"/>
        <w:tabs>
          <w:tab w:leader="none" w:pos="2440" w:val="left"/>
        </w:tabs>
        <w:framePr w:w="6600" w:h="400" w:wrap="auto" w:vAnchor="page" w:hAnchor="page" w:x="4980" w:y="9353"/>
        <w:rPr>
          <w:rFonts w:ascii="Arial" w:cs="Arial" w:eastAsia="Arial" w:hAnsi="Arial"/>
          <w:sz w:val="19"/>
          <w:szCs w:val="19"/>
          <w:color w:val="auto"/>
        </w:rPr>
      </w:pPr>
      <w:r>
        <w:rPr>
          <w:rFonts w:ascii="Arial" w:cs="Arial" w:eastAsia="Arial" w:hAnsi="Arial"/>
          <w:sz w:val="19"/>
          <w:szCs w:val="19"/>
          <w:color w:val="auto"/>
        </w:rPr>
        <w:t>Leasing Commission – Trask/Cameron Existing Building (2% based on 10 years of Basic Rent and assumed Expenses of $7.50 per RSF)</w:t>
      </w:r>
    </w:p>
    <w:p>
      <w:pPr>
        <w:spacing w:after="0" w:line="219" w:lineRule="auto"/>
        <w:tabs>
          <w:tab w:leader="none" w:pos="2440" w:val="left"/>
        </w:tabs>
        <w:framePr w:w="6600" w:h="400" w:wrap="auto" w:vAnchor="page" w:hAnchor="page" w:x="4980" w:y="9912"/>
        <w:rPr>
          <w:rFonts w:ascii="Arial" w:cs="Arial" w:eastAsia="Arial" w:hAnsi="Arial"/>
          <w:sz w:val="19"/>
          <w:szCs w:val="19"/>
          <w:color w:val="auto"/>
        </w:rPr>
      </w:pPr>
      <w:r>
        <w:rPr>
          <w:rFonts w:ascii="Arial" w:cs="Arial" w:eastAsia="Arial" w:hAnsi="Arial"/>
          <w:sz w:val="19"/>
          <w:szCs w:val="19"/>
          <w:color w:val="auto"/>
        </w:rPr>
        <w:t>Leasing Commission - JLL Parking Deck (4% based on 15 years for the Parking Deck Rent Adjustment and assumed Expenses of $7.50 per RSF)</w:t>
      </w:r>
    </w:p>
    <w:p>
      <w:pPr>
        <w:spacing w:after="0" w:line="231" w:lineRule="auto"/>
        <w:tabs>
          <w:tab w:leader="none" w:pos="2440" w:val="left"/>
        </w:tabs>
        <w:framePr w:w="6600" w:h="400" w:wrap="auto" w:vAnchor="page" w:hAnchor="page" w:x="4980" w:y="10457"/>
        <w:rPr>
          <w:rFonts w:ascii="Arial" w:cs="Arial" w:eastAsia="Arial" w:hAnsi="Arial"/>
          <w:sz w:val="18"/>
          <w:szCs w:val="18"/>
          <w:color w:val="auto"/>
        </w:rPr>
      </w:pPr>
      <w:r>
        <w:rPr>
          <w:rFonts w:ascii="Arial" w:cs="Arial" w:eastAsia="Arial" w:hAnsi="Arial"/>
          <w:sz w:val="18"/>
          <w:szCs w:val="18"/>
          <w:color w:val="auto"/>
        </w:rPr>
        <w:t>Leasing Commission - Trask/Cameron Parking Deck (2% based on 10 years for the Parking Deck Rent adjustment and assumed Expenses of $7.50 per RSF)</w:t>
      </w:r>
    </w:p>
    <w:p>
      <w:pPr>
        <w:spacing w:after="0" w:line="337" w:lineRule="auto"/>
        <w:tabs>
          <w:tab w:leader="none" w:pos="2440" w:val="left"/>
        </w:tabs>
        <w:framePr w:w="4760" w:h="825" w:wrap="auto" w:vAnchor="page" w:hAnchor="page" w:x="4980" w:y="11002"/>
        <w:rPr>
          <w:rFonts w:ascii="Arial" w:cs="Arial" w:eastAsia="Arial" w:hAnsi="Arial"/>
          <w:sz w:val="17"/>
          <w:szCs w:val="17"/>
          <w:color w:val="auto"/>
        </w:rPr>
      </w:pPr>
      <w:r>
        <w:rPr>
          <w:rFonts w:ascii="Arial" w:cs="Arial" w:eastAsia="Arial" w:hAnsi="Arial"/>
          <w:sz w:val="17"/>
          <w:szCs w:val="17"/>
          <w:color w:val="auto"/>
        </w:rPr>
        <w:t>Development Fee (3.75% of hard and soft costs) Construction Interest Carry (not to exceed 3.3% per annum) Payment and Performance Bonds (0.75% of hard costs)</w:t>
      </w:r>
    </w:p>
    <w:p>
      <w:pPr>
        <w:spacing w:after="0" w:line="201" w:lineRule="auto"/>
        <w:tabs>
          <w:tab w:leader="none" w:pos="2440" w:val="left"/>
        </w:tabs>
        <w:framePr w:w="1620" w:h="174" w:wrap="auto" w:vAnchor="page" w:hAnchor="page" w:x="4980" w:y="2758"/>
        <w:rPr>
          <w:rFonts w:ascii="Arial" w:cs="Arial" w:eastAsia="Arial" w:hAnsi="Arial"/>
          <w:sz w:val="18"/>
          <w:szCs w:val="18"/>
          <w:color w:val="auto"/>
        </w:rPr>
      </w:pPr>
      <w:r>
        <w:rPr>
          <w:rFonts w:ascii="Arial" w:cs="Arial" w:eastAsia="Arial" w:hAnsi="Arial"/>
          <w:sz w:val="18"/>
          <w:szCs w:val="18"/>
          <w:color w:val="auto"/>
        </w:rPr>
        <w:t>Engineering – Civil</w:t>
      </w:r>
    </w:p>
    <w:tbl>
      <w:tblPr>
        <w:tblLayout w:type="fixed"/>
        <w:tblInd w:w="20" w:type="dxa"/>
        <w:tblCellMar>
          <w:top w:w="0" w:type="dxa"/>
          <w:left w:w="0" w:type="dxa"/>
          <w:bottom w:w="0" w:type="dxa"/>
          <w:right w:w="0" w:type="dxa"/>
        </w:tblCellMar>
      </w:tblPr>
      <w:tr>
        <w:trPr>
          <w:trHeight w:val="218"/>
        </w:trPr>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3"/>
          </w:tcPr>
          <w:p>
            <w:pPr>
              <w:jc w:val="center"/>
              <w:ind w:right="760"/>
              <w:spacing w:after="0"/>
              <w:rPr>
                <w:sz w:val="20"/>
                <w:szCs w:val="20"/>
                <w:color w:val="auto"/>
              </w:rPr>
            </w:pPr>
            <w:r>
              <w:rPr>
                <w:rFonts w:ascii="Arial" w:cs="Arial" w:eastAsia="Arial" w:hAnsi="Arial"/>
                <w:sz w:val="19"/>
                <w:szCs w:val="19"/>
                <w:b w:val="1"/>
                <w:bCs w:val="1"/>
                <w:color w:val="auto"/>
                <w:w w:val="97"/>
              </w:rPr>
              <w:t>Exhibit B</w:t>
            </w:r>
          </w:p>
        </w:tc>
      </w:tr>
      <w:tr>
        <w:trPr>
          <w:trHeight w:val="20"/>
        </w:trPr>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7"/>
        </w:trPr>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20" w:type="dxa"/>
            <w:vAlign w:val="bottom"/>
            <w:gridSpan w:val="5"/>
          </w:tcPr>
          <w:p>
            <w:pPr>
              <w:jc w:val="center"/>
              <w:ind w:left="1223"/>
              <w:spacing w:after="0"/>
              <w:rPr>
                <w:sz w:val="20"/>
                <w:szCs w:val="20"/>
                <w:color w:val="auto"/>
              </w:rPr>
            </w:pPr>
            <w:r>
              <w:rPr>
                <w:rFonts w:ascii="Arial" w:cs="Arial" w:eastAsia="Arial" w:hAnsi="Arial"/>
                <w:sz w:val="19"/>
                <w:szCs w:val="19"/>
                <w:b w:val="1"/>
                <w:bCs w:val="1"/>
                <w:color w:val="auto"/>
                <w:w w:val="92"/>
              </w:rPr>
              <w:t>Parking Deck Project Costs</w:t>
            </w:r>
          </w:p>
        </w:tc>
      </w:tr>
      <w:tr>
        <w:trPr>
          <w:trHeight w:val="235"/>
        </w:trPr>
        <w:tc>
          <w:tcPr>
            <w:tcW w:w="960" w:type="dxa"/>
            <w:vAlign w:val="bottom"/>
          </w:tcPr>
          <w:p>
            <w:pPr>
              <w:spacing w:after="0"/>
              <w:rPr>
                <w:sz w:val="20"/>
                <w:szCs w:val="20"/>
                <w:color w:val="auto"/>
              </w:rPr>
            </w:pPr>
            <w:r>
              <w:rPr>
                <w:rFonts w:ascii="Arial" w:cs="Arial" w:eastAsia="Arial" w:hAnsi="Arial"/>
                <w:sz w:val="19"/>
                <w:szCs w:val="19"/>
                <w:b w:val="1"/>
                <w:bCs w:val="1"/>
                <w:color w:val="auto"/>
                <w:w w:val="92"/>
              </w:rPr>
              <w:t>Hard Costs</w:t>
            </w:r>
          </w:p>
        </w:tc>
        <w:tc>
          <w:tcPr>
            <w:tcW w:w="2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9"/>
                <w:szCs w:val="19"/>
                <w:b w:val="1"/>
                <w:bCs w:val="1"/>
                <w:color w:val="auto"/>
              </w:rPr>
              <w:t>Soft Costs</w:t>
            </w:r>
          </w:p>
        </w:tc>
      </w:tr>
      <w:tr>
        <w:trPr>
          <w:trHeight w:val="20"/>
        </w:trPr>
        <w:tc>
          <w:tcPr>
            <w:tcW w:w="9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344"/>
        </w:trPr>
        <w:tc>
          <w:tcPr>
            <w:tcW w:w="3140" w:type="dxa"/>
            <w:vAlign w:val="bottom"/>
            <w:gridSpan w:val="2"/>
          </w:tcPr>
          <w:p>
            <w:pPr>
              <w:spacing w:after="0"/>
              <w:rPr>
                <w:sz w:val="20"/>
                <w:szCs w:val="20"/>
                <w:color w:val="auto"/>
              </w:rPr>
            </w:pPr>
            <w:r>
              <w:rPr>
                <w:rFonts w:ascii="Arial" w:cs="Arial" w:eastAsia="Arial" w:hAnsi="Arial"/>
                <w:sz w:val="19"/>
                <w:szCs w:val="19"/>
                <w:color w:val="auto"/>
              </w:rPr>
              <w:t>Parking Deck Structure</w:t>
            </w:r>
          </w:p>
        </w:tc>
        <w:tc>
          <w:tcPr>
            <w:tcW w:w="3620" w:type="dxa"/>
            <w:vAlign w:val="bottom"/>
            <w:gridSpan w:val="5"/>
          </w:tcPr>
          <w:p>
            <w:pPr>
              <w:ind w:left="1540"/>
              <w:spacing w:after="0"/>
              <w:rPr>
                <w:sz w:val="20"/>
                <w:szCs w:val="20"/>
                <w:color w:val="auto"/>
              </w:rPr>
            </w:pPr>
            <w:r>
              <w:rPr>
                <w:rFonts w:ascii="Arial" w:cs="Arial" w:eastAsia="Arial" w:hAnsi="Arial"/>
                <w:sz w:val="19"/>
                <w:szCs w:val="19"/>
                <w:color w:val="auto"/>
              </w:rPr>
              <w:t>Architect</w:t>
            </w:r>
          </w:p>
        </w:tc>
      </w:tr>
    </w:tbl>
    <w:p>
      <w:pPr>
        <w:spacing w:after="0" w:line="85" w:lineRule="exact"/>
        <w:rPr>
          <w:rFonts w:ascii="Arial" w:cs="Arial" w:eastAsia="Arial" w:hAnsi="Arial"/>
          <w:sz w:val="18"/>
          <w:szCs w:val="18"/>
          <w:color w:val="auto"/>
        </w:rPr>
      </w:pPr>
    </w:p>
    <w:p>
      <w:pPr>
        <w:ind w:left="20" w:right="3519"/>
        <w:spacing w:after="0" w:line="182" w:lineRule="auto"/>
        <w:rPr>
          <w:sz w:val="20"/>
          <w:szCs w:val="20"/>
          <w:color w:val="auto"/>
        </w:rPr>
      </w:pPr>
      <w:r>
        <w:rPr>
          <w:rFonts w:ascii="Arial" w:cs="Arial" w:eastAsia="Arial" w:hAnsi="Arial"/>
          <w:sz w:val="18"/>
          <w:szCs w:val="18"/>
          <w:color w:val="auto"/>
        </w:rPr>
        <w:t>Site Work, including utilities and infrastructure per the Engineering – Structural Approved Construction Drawings</w:t>
      </w:r>
    </w:p>
    <w:p>
      <w:pPr>
        <w:spacing w:after="0" w:line="231"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9"/>
          <w:szCs w:val="19"/>
          <w:color w:val="auto"/>
        </w:rPr>
        <w:t>Generator Costs</w:t>
      </w:r>
    </w:p>
    <w:p>
      <w:pPr>
        <w:spacing w:after="0" w:line="101"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9"/>
          <w:szCs w:val="19"/>
          <w:color w:val="auto"/>
        </w:rPr>
        <w:t>Landscaping and Irrigation</w:t>
      </w:r>
    </w:p>
    <w:p>
      <w:pPr>
        <w:spacing w:after="0" w:line="114"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9"/>
          <w:szCs w:val="19"/>
          <w:color w:val="auto"/>
        </w:rPr>
        <w:t>GC Fee and General Conditions</w:t>
      </w:r>
    </w:p>
    <w:p>
      <w:pPr>
        <w:spacing w:after="0" w:line="101"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9"/>
          <w:szCs w:val="19"/>
          <w:color w:val="auto"/>
        </w:rPr>
        <w:t>GC Contingency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B, Page 1</w:t>
      </w:r>
    </w:p>
    <w:p>
      <w:pPr>
        <w:sectPr>
          <w:pgSz w:w="11900" w:h="16838" w:orient="portrait"/>
          <w:cols w:equalWidth="0" w:num="1">
            <w:col w:w="10139"/>
          </w:cols>
          <w:pgMar w:left="320" w:top="1144" w:right="1440"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9"/>
          <w:szCs w:val="19"/>
          <w:b w:val="1"/>
          <w:bCs w:val="1"/>
          <w:u w:val="single" w:color="auto"/>
          <w:color w:val="auto"/>
        </w:rPr>
        <w:t>Exhibit 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Amendments Pertaining to Usage of the term Building</w:t>
      </w:r>
    </w:p>
    <w:p>
      <w:pPr>
        <w:spacing w:after="0" w:line="213" w:lineRule="exact"/>
        <w:rPr>
          <w:sz w:val="20"/>
          <w:szCs w:val="20"/>
          <w:color w:val="auto"/>
        </w:rPr>
      </w:pPr>
    </w:p>
    <w:p>
      <w:pPr>
        <w:ind w:left="640" w:right="20" w:hanging="315"/>
        <w:spacing w:after="0" w:line="294" w:lineRule="auto"/>
        <w:tabs>
          <w:tab w:leader="none" w:pos="6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following references in the Lease set forth in the articles or sections cited below in the following table, are hereby amended as detailed in this table.</w:t>
      </w:r>
    </w:p>
    <w:tbl>
      <w:tblPr>
        <w:tblLayout w:type="fixed"/>
        <w:tblInd w:w="10" w:type="dxa"/>
        <w:tblCellMar>
          <w:top w:w="0" w:type="dxa"/>
          <w:left w:w="0" w:type="dxa"/>
          <w:bottom w:w="0" w:type="dxa"/>
          <w:right w:w="0" w:type="dxa"/>
        </w:tblCellMar>
      </w:tblPr>
      <w:tr>
        <w:trPr>
          <w:trHeight w:val="245"/>
        </w:trPr>
        <w:tc>
          <w:tcPr>
            <w:tcW w:w="390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Articles/Sections</w:t>
            </w:r>
          </w:p>
        </w:tc>
        <w:tc>
          <w:tcPr>
            <w:tcW w:w="31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Previous Reference</w:t>
            </w:r>
          </w:p>
        </w:tc>
        <w:tc>
          <w:tcPr>
            <w:tcW w:w="4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Amended Reference</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20"/>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2.02</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and the Parking Deck</w:t>
            </w:r>
          </w:p>
        </w:tc>
      </w:tr>
      <w:tr>
        <w:trPr>
          <w:trHeight w:val="213"/>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5.01 – “Real Estate Taxes”</w:t>
            </w:r>
          </w:p>
        </w:tc>
        <w:tc>
          <w:tcPr>
            <w:tcW w:w="31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r>
      <w:tr>
        <w:trPr>
          <w:trHeight w:val="213"/>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17.05</w:t>
            </w:r>
          </w:p>
        </w:tc>
        <w:tc>
          <w:tcPr>
            <w:tcW w:w="34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r>
      <w:tr>
        <w:trPr>
          <w:trHeight w:val="224"/>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B-1 “Manager or Property Manager”</w:t>
            </w: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28"/>
        </w:trPr>
        <w:tc>
          <w:tcPr>
            <w:tcW w:w="39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5.01 – “Expenses”</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and/or the Property</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the Parking Deck, and/or the Property</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20"/>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8.01</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or the Parking Deck</w:t>
            </w:r>
          </w:p>
        </w:tc>
      </w:tr>
      <w:tr>
        <w:trPr>
          <w:trHeight w:val="213"/>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10.01(A)</w:t>
            </w:r>
          </w:p>
        </w:tc>
        <w:tc>
          <w:tcPr>
            <w:tcW w:w="31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r>
      <w:tr>
        <w:trPr>
          <w:trHeight w:val="213"/>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30.01</w:t>
            </w:r>
          </w:p>
        </w:tc>
        <w:tc>
          <w:tcPr>
            <w:tcW w:w="34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r>
      <w:tr>
        <w:trPr>
          <w:trHeight w:val="224"/>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B, except items 10, 12 and 21</w:t>
            </w: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28"/>
        </w:trPr>
        <w:tc>
          <w:tcPr>
            <w:tcW w:w="39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20"/>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10.01(B)</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or the Property</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the Parking Deck, or the Property</w:t>
            </w:r>
          </w:p>
        </w:tc>
      </w:tr>
      <w:tr>
        <w:trPr>
          <w:trHeight w:val="224"/>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12.01</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10.02</w:t>
            </w:r>
          </w:p>
        </w:tc>
        <w:tc>
          <w:tcPr>
            <w:tcW w:w="344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the Building</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the Building and the Parking Deck</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20"/>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10.02</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Premises or (the) Building</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Premises, the Building, or the Parking Deck</w:t>
            </w:r>
          </w:p>
        </w:tc>
      </w:tr>
      <w:tr>
        <w:trPr>
          <w:trHeight w:val="213"/>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15.01</w:t>
            </w:r>
          </w:p>
        </w:tc>
        <w:tc>
          <w:tcPr>
            <w:tcW w:w="34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w:t>
            </w:r>
          </w:p>
        </w:tc>
        <w:tc>
          <w:tcPr>
            <w:tcW w:w="4180" w:type="dxa"/>
            <w:vAlign w:val="bottom"/>
            <w:tcBorders>
              <w:right w:val="single" w:sz="8" w:color="auto"/>
            </w:tcBorders>
          </w:tcPr>
          <w:p>
            <w:pPr>
              <w:spacing w:after="0"/>
              <w:rPr>
                <w:sz w:val="18"/>
                <w:szCs w:val="18"/>
                <w:color w:val="auto"/>
              </w:rPr>
            </w:pPr>
          </w:p>
        </w:tc>
      </w:tr>
      <w:tr>
        <w:trPr>
          <w:trHeight w:val="213"/>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15.02</w:t>
            </w:r>
          </w:p>
        </w:tc>
        <w:tc>
          <w:tcPr>
            <w:tcW w:w="34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or the Premises</w:t>
            </w:r>
          </w:p>
        </w:tc>
        <w:tc>
          <w:tcPr>
            <w:tcW w:w="4180" w:type="dxa"/>
            <w:vAlign w:val="bottom"/>
            <w:tcBorders>
              <w:right w:val="single" w:sz="8" w:color="auto"/>
            </w:tcBorders>
          </w:tcPr>
          <w:p>
            <w:pPr>
              <w:spacing w:after="0"/>
              <w:rPr>
                <w:sz w:val="18"/>
                <w:szCs w:val="18"/>
                <w:color w:val="auto"/>
              </w:rPr>
            </w:pPr>
          </w:p>
        </w:tc>
      </w:tr>
      <w:tr>
        <w:trPr>
          <w:trHeight w:val="213"/>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15.04</w:t>
            </w:r>
          </w:p>
        </w:tc>
        <w:tc>
          <w:tcPr>
            <w:tcW w:w="34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r>
      <w:tr>
        <w:trPr>
          <w:trHeight w:val="224"/>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17.05</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15.01</w:t>
            </w:r>
          </w:p>
        </w:tc>
        <w:tc>
          <w:tcPr>
            <w:tcW w:w="3440" w:type="dxa"/>
            <w:vAlign w:val="bottom"/>
            <w:tcBorders>
              <w:right w:val="single" w:sz="8" w:color="auto"/>
            </w:tcBorders>
          </w:tcPr>
          <w:p>
            <w:pPr>
              <w:spacing w:after="0"/>
              <w:rPr>
                <w:sz w:val="21"/>
                <w:szCs w:val="21"/>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or the Parking Deck, as applicable,</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20"/>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15.01</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and/or the Premises</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Parking Deck, the Building and/or the Premises</w:t>
            </w:r>
          </w:p>
        </w:tc>
      </w:tr>
      <w:tr>
        <w:trPr>
          <w:trHeight w:val="224"/>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15.02</w:t>
            </w: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19"/>
                <w:szCs w:val="19"/>
                <w:color w:val="auto"/>
              </w:rPr>
            </w:pP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15.01</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“Force Majeure Delay”</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Building or other improvements on the</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Building, the Parking Deck, or other improvements on</w:t>
            </w:r>
          </w:p>
        </w:tc>
      </w:tr>
      <w:tr>
        <w:trPr>
          <w:trHeight w:val="226"/>
        </w:trPr>
        <w:tc>
          <w:tcPr>
            <w:tcW w:w="460" w:type="dxa"/>
            <w:vAlign w:val="bottom"/>
            <w:tcBorders>
              <w:lef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Property</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Property</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4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8"/>
              </w:rPr>
              <w:t>15.01</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“Tenant Delay”</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Building or other improvements on the</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 Building or other improvements on the Property,</w:t>
            </w:r>
          </w:p>
        </w:tc>
      </w:tr>
      <w:tr>
        <w:trPr>
          <w:trHeight w:val="226"/>
        </w:trPr>
        <w:tc>
          <w:tcPr>
            <w:tcW w:w="460" w:type="dxa"/>
            <w:vAlign w:val="bottom"/>
            <w:tcBorders>
              <w:lef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Property</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excluding the Parking Deck</w:t>
            </w:r>
          </w:p>
        </w:tc>
      </w:tr>
      <w:tr>
        <w:trPr>
          <w:trHeight w:val="28"/>
        </w:trPr>
        <w:tc>
          <w:tcPr>
            <w:tcW w:w="39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B</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and/or the Land</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Building, the Parking Deck, and/or the Land</w:t>
            </w:r>
          </w:p>
        </w:tc>
      </w:tr>
      <w:tr>
        <w:trPr>
          <w:trHeight w:val="28"/>
        </w:trPr>
        <w:tc>
          <w:tcPr>
            <w:tcW w:w="3900" w:type="dxa"/>
            <w:vAlign w:val="bottom"/>
            <w:tcBorders>
              <w:left w:val="single" w:sz="8" w:color="auto"/>
              <w:bottom w:val="single" w:sz="8" w:color="auto"/>
              <w:right w:val="single" w:sz="8" w:color="auto"/>
            </w:tcBorders>
            <w:gridSpan w:val="2"/>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5"/>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Exhibit B, item 12</w:t>
            </w:r>
          </w:p>
        </w:tc>
        <w:tc>
          <w:tcPr>
            <w:tcW w:w="3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Building or its systems</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the Building or its systems or the Parking Deck or its</w:t>
            </w:r>
          </w:p>
        </w:tc>
      </w:tr>
      <w:tr>
        <w:trPr>
          <w:trHeight w:val="226"/>
        </w:trPr>
        <w:tc>
          <w:tcPr>
            <w:tcW w:w="460" w:type="dxa"/>
            <w:vAlign w:val="bottom"/>
            <w:tcBorders>
              <w:lef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systems</w:t>
            </w:r>
          </w:p>
        </w:tc>
      </w:tr>
      <w:tr>
        <w:trPr>
          <w:trHeight w:val="28"/>
        </w:trPr>
        <w:tc>
          <w:tcPr>
            <w:tcW w:w="460" w:type="dxa"/>
            <w:vAlign w:val="bottom"/>
            <w:tcBorders>
              <w:left w:val="single" w:sz="8" w:color="auto"/>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left="640" w:right="20" w:hanging="315"/>
        <w:spacing w:after="0" w:line="277" w:lineRule="auto"/>
        <w:tabs>
          <w:tab w:leader="none" w:pos="6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For the avoidance of doubt, no amendments are hereby made to references to the Building in Article 1, the definition of Proportionate Share in Section 5.01, Section 5.02, Section 6.02, Section 8.02, Section 9.05, Section 9.10, Section 13.04, Section 14.01, Section 14.04, Article 22, Article 29 (otherwise amended herein), Section 31.01, Section 32.08, Section 32.11,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(except as specifically noted above),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F</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40" w:hanging="315"/>
        <w:spacing w:after="0"/>
        <w:tabs>
          <w:tab w:leader="none" w:pos="6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addition, the following amendments are hereby made:</w:t>
      </w:r>
    </w:p>
    <w:p>
      <w:pPr>
        <w:spacing w:after="0" w:line="34" w:lineRule="exact"/>
        <w:rPr>
          <w:rFonts w:ascii="Arial" w:cs="Arial" w:eastAsia="Arial" w:hAnsi="Arial"/>
          <w:sz w:val="19"/>
          <w:szCs w:val="19"/>
          <w:color w:val="auto"/>
        </w:rPr>
      </w:pPr>
    </w:p>
    <w:p>
      <w:pPr>
        <w:ind w:left="1280" w:right="40" w:hanging="319"/>
        <w:spacing w:after="0" w:line="374" w:lineRule="auto"/>
        <w:rPr>
          <w:rFonts w:ascii="Arial" w:cs="Arial" w:eastAsia="Arial" w:hAnsi="Arial"/>
          <w:sz w:val="19"/>
          <w:szCs w:val="19"/>
          <w:color w:val="auto"/>
        </w:rPr>
      </w:pPr>
      <w:r>
        <w:rPr>
          <w:rFonts w:ascii="Arial" w:cs="Arial" w:eastAsia="Arial" w:hAnsi="Arial"/>
          <w:sz w:val="17"/>
          <w:szCs w:val="17"/>
          <w:color w:val="auto"/>
        </w:rPr>
        <w:t xml:space="preserve">a. the third sentence of Section 16.03 is hereby modified as shown in bold underline as follows: If, as a result of any taking, a part of the Building </w:t>
      </w:r>
      <w:r>
        <w:rPr>
          <w:rFonts w:ascii="Arial" w:cs="Arial" w:eastAsia="Arial" w:hAnsi="Arial"/>
          <w:sz w:val="17"/>
          <w:szCs w:val="17"/>
          <w:b w:val="1"/>
          <w:bCs w:val="1"/>
          <w:u w:val="single" w:color="auto"/>
          <w:color w:val="auto"/>
        </w:rPr>
        <w:t>or the Parking Deck</w:t>
      </w:r>
      <w:r>
        <w:rPr>
          <w:rFonts w:ascii="Arial" w:cs="Arial" w:eastAsia="Arial" w:hAnsi="Arial"/>
          <w:sz w:val="17"/>
          <w:szCs w:val="17"/>
          <w:color w:val="auto"/>
        </w:rPr>
        <w:t xml:space="preserve"> is rendered permanently or temporarily unusable, the Rent shall be reduced by a fair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C, Page 1</w:t>
      </w:r>
    </w:p>
    <w:p>
      <w:pPr>
        <w:sectPr>
          <w:pgSz w:w="11900" w:h="16838" w:orient="portrait"/>
          <w:cols w:equalWidth="0" w:num="1">
            <w:col w:w="11260"/>
          </w:cols>
          <w:pgMar w:left="320" w:top="1393" w:right="319" w:bottom="1440" w:gutter="0" w:footer="0" w:header="0"/>
        </w:sectPr>
      </w:pPr>
    </w:p>
    <w:bookmarkStart w:id="114" w:name="page115"/>
    <w:bookmarkEnd w:id="114"/>
    <w:p>
      <w:pPr>
        <w:jc w:val="both"/>
        <w:ind w:left="1280"/>
        <w:spacing w:after="0" w:line="312" w:lineRule="auto"/>
        <w:rPr>
          <w:sz w:val="20"/>
          <w:szCs w:val="20"/>
          <w:color w:val="auto"/>
        </w:rPr>
      </w:pPr>
      <w:r>
        <w:rPr>
          <w:rFonts w:ascii="Arial" w:cs="Arial" w:eastAsia="Arial" w:hAnsi="Arial"/>
          <w:sz w:val="17"/>
          <w:szCs w:val="17"/>
          <w:color w:val="auto"/>
        </w:rPr>
        <w:t xml:space="preserve">reasonable amount, not to exceed the proportion by which the portion of the Premises </w:t>
      </w:r>
      <w:r>
        <w:rPr>
          <w:rFonts w:ascii="Arial" w:cs="Arial" w:eastAsia="Arial" w:hAnsi="Arial"/>
          <w:sz w:val="17"/>
          <w:szCs w:val="17"/>
          <w:b w:val="1"/>
          <w:bCs w:val="1"/>
          <w:u w:val="single" w:color="auto"/>
          <w:color w:val="auto"/>
        </w:rPr>
        <w:t>or the Parking Deck</w:t>
      </w:r>
      <w:r>
        <w:rPr>
          <w:rFonts w:ascii="Arial" w:cs="Arial" w:eastAsia="Arial" w:hAnsi="Arial"/>
          <w:sz w:val="17"/>
          <w:szCs w:val="17"/>
          <w:color w:val="auto"/>
        </w:rPr>
        <w:t xml:space="preserve"> taken or made unusable bears to the entire</w:t>
      </w:r>
      <w:r>
        <w:rPr>
          <w:rFonts w:ascii="Arial" w:cs="Arial" w:eastAsia="Arial" w:hAnsi="Arial"/>
          <w:sz w:val="17"/>
          <w:szCs w:val="17"/>
          <w:b w:val="1"/>
          <w:bCs w:val="1"/>
          <w:u w:val="single" w:color="auto"/>
          <w:color w:val="auto"/>
        </w:rPr>
        <w:t>ty of the</w:t>
      </w:r>
      <w:r>
        <w:rPr>
          <w:rFonts w:ascii="Arial" w:cs="Arial" w:eastAsia="Arial" w:hAnsi="Arial"/>
          <w:sz w:val="17"/>
          <w:szCs w:val="17"/>
          <w:color w:val="auto"/>
        </w:rPr>
        <w:t xml:space="preserve"> Premises </w:t>
      </w:r>
      <w:r>
        <w:rPr>
          <w:rFonts w:ascii="Arial" w:cs="Arial" w:eastAsia="Arial" w:hAnsi="Arial"/>
          <w:sz w:val="17"/>
          <w:szCs w:val="17"/>
          <w:b w:val="1"/>
          <w:bCs w:val="1"/>
          <w:u w:val="single" w:color="auto"/>
          <w:color w:val="auto"/>
        </w:rPr>
        <w:t>or the Parking Deck, as applicable</w:t>
      </w:r>
      <w:r>
        <w:rPr>
          <w:rFonts w:ascii="Arial" w:cs="Arial" w:eastAsia="Arial" w:hAnsi="Arial"/>
          <w:sz w:val="17"/>
          <w:szCs w:val="17"/>
          <w:color w:val="auto"/>
        </w:rPr>
        <w:t>; provided, however, that any adjustment to Rent pursuant to this sentence attributable to a taking of Parking Deck shall be limited to the Parking Deck Rent Adjustment.</w:t>
      </w:r>
    </w:p>
    <w:p>
      <w:pPr>
        <w:spacing w:after="0" w:line="2" w:lineRule="exact"/>
        <w:rPr>
          <w:sz w:val="20"/>
          <w:szCs w:val="20"/>
          <w:color w:val="auto"/>
        </w:rPr>
      </w:pPr>
    </w:p>
    <w:p>
      <w:pPr>
        <w:ind w:left="1280" w:hanging="316"/>
        <w:spacing w:after="0"/>
        <w:tabs>
          <w:tab w:leader="none" w:pos="12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references in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to the Lease to “Parking Garage” are hereby replaced with “Parking Deck”.</w:t>
      </w:r>
    </w:p>
    <w:p>
      <w:pPr>
        <w:spacing w:after="0" w:line="29" w:lineRule="exact"/>
        <w:rPr>
          <w:rFonts w:ascii="Arial" w:cs="Arial" w:eastAsia="Arial" w:hAnsi="Arial"/>
          <w:sz w:val="19"/>
          <w:szCs w:val="19"/>
          <w:color w:val="auto"/>
        </w:rPr>
      </w:pPr>
    </w:p>
    <w:p>
      <w:pPr>
        <w:jc w:val="both"/>
        <w:ind w:left="1280" w:hanging="316"/>
        <w:spacing w:after="0" w:line="277" w:lineRule="auto"/>
        <w:tabs>
          <w:tab w:leader="none" w:pos="126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Item 9 of Exhibit B-2 is modified hereby as shown in bold underline as follows: provide trash removal </w:t>
      </w:r>
      <w:r>
        <w:rPr>
          <w:rFonts w:ascii="Arial" w:cs="Arial" w:eastAsia="Arial" w:hAnsi="Arial"/>
          <w:sz w:val="19"/>
          <w:szCs w:val="19"/>
          <w:b w:val="1"/>
          <w:bCs w:val="1"/>
          <w:u w:val="single" w:color="auto"/>
          <w:color w:val="auto"/>
        </w:rPr>
        <w:t>from any receptacles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 the Parking Deck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Building dumpster/compactor at a designated location and, if requested by Tenant,</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collection and removal of paper and aluminum cans for recycling.”</w:t>
      </w:r>
    </w:p>
    <w:p>
      <w:pPr>
        <w:spacing w:after="0" w:line="1" w:lineRule="exact"/>
        <w:rPr>
          <w:rFonts w:ascii="Arial" w:cs="Arial" w:eastAsia="Arial" w:hAnsi="Arial"/>
          <w:sz w:val="19"/>
          <w:szCs w:val="19"/>
          <w:color w:val="auto"/>
        </w:rPr>
      </w:pPr>
    </w:p>
    <w:p>
      <w:pPr>
        <w:ind w:left="1280" w:hanging="316"/>
        <w:spacing w:after="0" w:line="315" w:lineRule="auto"/>
        <w:tabs>
          <w:tab w:leader="none" w:pos="1280"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Exhibit C</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Lease is hereby deleted and replaced in its entirety with the Exhibit attached hereto as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C-1</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C, Page 2</w:t>
      </w:r>
    </w:p>
    <w:p>
      <w:pPr>
        <w:sectPr>
          <w:pgSz w:w="11900" w:h="16838" w:orient="portrait"/>
          <w:cols w:equalWidth="0" w:num="1">
            <w:col w:w="11240"/>
          </w:cols>
          <w:pgMar w:left="320" w:top="140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9"/>
          <w:szCs w:val="19"/>
          <w:b w:val="1"/>
          <w:bCs w:val="1"/>
          <w:color w:val="auto"/>
        </w:rPr>
        <w:t>EXHIBIT C-1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Rules and Regulations</w:t>
      </w:r>
    </w:p>
    <w:p>
      <w:pPr>
        <w:spacing w:after="0" w:line="3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following rules and regulations shall apply, where applicable, to the Premises, the Building, the parking facilities (if any), the Property and the appurtenances. In the event of a conflict between the following rules and regulations and the remainder of the terms of the Lease, the remainder of the terms of the Lease shall control. Capitalized terms have the same meaning as defined in the Lease.</w:t>
      </w:r>
    </w:p>
    <w:p>
      <w:pPr>
        <w:spacing w:after="0" w:line="140" w:lineRule="exact"/>
        <w:rPr>
          <w:sz w:val="20"/>
          <w:szCs w:val="20"/>
          <w:color w:val="auto"/>
        </w:rPr>
      </w:pPr>
    </w:p>
    <w:p>
      <w:pPr>
        <w:jc w:val="both"/>
        <w:ind w:left="640" w:hanging="634"/>
        <w:spacing w:after="0" w:line="258"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the Property’s common areas or elsewhere about the Building </w:t>
      </w:r>
      <w:r>
        <w:rPr>
          <w:rFonts w:ascii="Arial" w:cs="Arial" w:eastAsia="Arial" w:hAnsi="Arial"/>
          <w:sz w:val="19"/>
          <w:szCs w:val="19"/>
          <w:b w:val="1"/>
          <w:bCs w:val="1"/>
          <w:u w:val="single" w:color="auto"/>
          <w:color w:val="auto"/>
        </w:rPr>
        <w:t>or in the Parking Deck</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jc w:val="both"/>
        <w:ind w:left="640" w:hanging="634"/>
        <w:spacing w:after="0" w:line="251" w:lineRule="auto"/>
        <w:tabs>
          <w:tab w:leader="none" w:pos="640" w:val="left"/>
        </w:tabs>
        <w:numPr>
          <w:ilvl w:val="0"/>
          <w:numId w:val="53"/>
        </w:numPr>
        <w:rPr>
          <w:rFonts w:ascii="Arial" w:cs="Arial" w:eastAsia="Arial" w:hAnsi="Arial"/>
          <w:sz w:val="21"/>
          <w:szCs w:val="21"/>
          <w:color w:val="auto"/>
        </w:rPr>
      </w:pPr>
      <w:r>
        <w:rPr>
          <w:rFonts w:ascii="Arial" w:cs="Arial" w:eastAsia="Arial" w:hAnsi="Arial"/>
          <w:sz w:val="19"/>
          <w:szCs w:val="19"/>
          <w:color w:val="auto"/>
        </w:rPr>
        <w:t>Plumbing fixtures and appliances shall be used only for the purposes for which designed and no sweepings, rubbish, rags or other unsuitable material shall be thrown or placed in the fixtures or appliances. Damage resulting to fixtures or appliances by Tenant, its agents, employees or invitees shall be paid for by Tenant and Landlord shall not be responsible for the damage.</w:t>
      </w:r>
    </w:p>
    <w:p>
      <w:pPr>
        <w:spacing w:after="0" w:line="201" w:lineRule="exact"/>
        <w:rPr>
          <w:rFonts w:ascii="Arial" w:cs="Arial" w:eastAsia="Arial" w:hAnsi="Arial"/>
          <w:sz w:val="21"/>
          <w:szCs w:val="21"/>
          <w:color w:val="auto"/>
        </w:rPr>
      </w:pPr>
    </w:p>
    <w:p>
      <w:pPr>
        <w:jc w:val="both"/>
        <w:ind w:left="640" w:hanging="634"/>
        <w:spacing w:after="0" w:line="250" w:lineRule="auto"/>
        <w:tabs>
          <w:tab w:leader="none" w:pos="640" w:val="left"/>
        </w:tabs>
        <w:numPr>
          <w:ilvl w:val="0"/>
          <w:numId w:val="53"/>
        </w:numPr>
        <w:rPr>
          <w:rFonts w:ascii="Arial" w:cs="Arial" w:eastAsia="Arial" w:hAnsi="Arial"/>
          <w:sz w:val="21"/>
          <w:szCs w:val="21"/>
          <w:color w:val="auto"/>
        </w:rPr>
      </w:pPr>
      <w:r>
        <w:rPr>
          <w:rFonts w:ascii="Arial" w:cs="Arial" w:eastAsia="Arial" w:hAnsi="Arial"/>
          <w:sz w:val="19"/>
          <w:szCs w:val="19"/>
          <w:color w:val="auto"/>
        </w:rPr>
        <w:t xml:space="preserve">No signs, advertisements or notices shall be painted or affixed to windows, doors or other parts of the Building </w:t>
      </w:r>
      <w:r>
        <w:rPr>
          <w:rFonts w:ascii="Arial" w:cs="Arial" w:eastAsia="Arial" w:hAnsi="Arial"/>
          <w:sz w:val="19"/>
          <w:szCs w:val="19"/>
          <w:b w:val="1"/>
          <w:bCs w:val="1"/>
          <w:color w:val="auto"/>
        </w:rPr>
        <w:t>or the Parking Deck</w:t>
      </w:r>
      <w:r>
        <w:rPr>
          <w:rFonts w:ascii="Arial" w:cs="Arial" w:eastAsia="Arial" w:hAnsi="Arial"/>
          <w:sz w:val="19"/>
          <w:szCs w:val="19"/>
          <w:color w:val="auto"/>
        </w:rPr>
        <w:t>, except those of such color, size, style and in such places as are first approved in writing by Landlord. All tenant identification and suite numbers at the entrance to the Premises shall be installed by Landlord, at Tenant’s cost and expense,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185" w:lineRule="exact"/>
        <w:rPr>
          <w:rFonts w:ascii="Arial" w:cs="Arial" w:eastAsia="Arial" w:hAnsi="Arial"/>
          <w:sz w:val="21"/>
          <w:szCs w:val="21"/>
          <w:color w:val="auto"/>
        </w:rPr>
      </w:pPr>
    </w:p>
    <w:p>
      <w:pPr>
        <w:jc w:val="both"/>
        <w:ind w:left="640" w:hanging="634"/>
        <w:spacing w:after="0" w:line="264"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there are multiple tenants in the Building, Landlord may provide and maintain in the first floor (main lobby) of the Building an alphabetical directory board or other directory device listing tenants and no other directory shall be permitted unless previously consented to by Landlord in writing.</w:t>
      </w:r>
    </w:p>
    <w:p>
      <w:pPr>
        <w:spacing w:after="0" w:line="169" w:lineRule="exact"/>
        <w:rPr>
          <w:rFonts w:ascii="Arial" w:cs="Arial" w:eastAsia="Arial" w:hAnsi="Arial"/>
          <w:sz w:val="19"/>
          <w:szCs w:val="19"/>
          <w:color w:val="auto"/>
        </w:rPr>
      </w:pPr>
    </w:p>
    <w:p>
      <w:pPr>
        <w:jc w:val="both"/>
        <w:ind w:left="640" w:hanging="634"/>
        <w:spacing w:after="0" w:line="256"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Tenant shall not place any lock(s) on any door in the Premises or Building without Landlord’s prior written consent, which consent shall not be unreasonably withheld, and Landlord shall have the right at all times to retain and use keys or other access codes or devices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the Lease.</w:t>
      </w:r>
    </w:p>
    <w:p>
      <w:pPr>
        <w:spacing w:after="0" w:line="177" w:lineRule="exact"/>
        <w:rPr>
          <w:rFonts w:ascii="Arial" w:cs="Arial" w:eastAsia="Arial" w:hAnsi="Arial"/>
          <w:sz w:val="19"/>
          <w:szCs w:val="19"/>
          <w:color w:val="auto"/>
        </w:rPr>
      </w:pPr>
    </w:p>
    <w:p>
      <w:pPr>
        <w:jc w:val="both"/>
        <w:ind w:left="640" w:hanging="634"/>
        <w:spacing w:after="0" w:line="264" w:lineRule="auto"/>
        <w:tabs>
          <w:tab w:leader="none" w:pos="6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contractors, contractor’s representatives and installation technicians performing work in the Building shall be subject to Landlord’s prior approval, which approval shall not be unreasonably withheld, and shall be required to comply with Landlord’s standard rules, regulations, policies and procedures, which may be revised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-2743200</wp:posOffset>
            </wp:positionV>
            <wp:extent cx="11163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C-1, Page 1</w:t>
      </w:r>
    </w:p>
    <w:p>
      <w:pPr>
        <w:sectPr>
          <w:pgSz w:w="11900" w:h="16838" w:orient="portrait"/>
          <w:cols w:equalWidth="0" w:num="1">
            <w:col w:w="11240"/>
          </w:cols>
          <w:pgMar w:left="320" w:top="1406" w:right="339" w:bottom="1440" w:gutter="0" w:footer="0" w:header="0"/>
        </w:sectPr>
      </w:pPr>
    </w:p>
    <w:bookmarkStart w:id="116" w:name="page117"/>
    <w:bookmarkEnd w:id="116"/>
    <w:p>
      <w:pPr>
        <w:jc w:val="both"/>
        <w:ind w:left="640" w:hanging="634"/>
        <w:spacing w:after="0" w:line="264" w:lineRule="auto"/>
        <w:tabs>
          <w:tab w:leader="none" w:pos="6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Landlord shall have the right to approve the weight, size, or location of heavy equipment or articles in and about the Premises, which approval shall not be unreasonably withheld. Damage to the Building </w:t>
      </w:r>
      <w:r>
        <w:rPr>
          <w:rFonts w:ascii="Arial" w:cs="Arial" w:eastAsia="Arial" w:hAnsi="Arial"/>
          <w:sz w:val="19"/>
          <w:szCs w:val="19"/>
          <w:b w:val="1"/>
          <w:bCs w:val="1"/>
          <w:u w:val="single" w:color="auto"/>
          <w:color w:val="auto"/>
        </w:rPr>
        <w:t>or the Parking Deck</w:t>
      </w:r>
      <w:r>
        <w:rPr>
          <w:rFonts w:ascii="Arial" w:cs="Arial" w:eastAsia="Arial" w:hAnsi="Arial"/>
          <w:sz w:val="19"/>
          <w:szCs w:val="19"/>
          <w:color w:val="auto"/>
        </w:rPr>
        <w:t xml:space="preserve"> by the installation, maintenance, operation, existence or removal of Tenant’s Property shall be repaired at Tenant’s sole expense.</w:t>
      </w:r>
    </w:p>
    <w:p>
      <w:pPr>
        <w:spacing w:after="0" w:line="163" w:lineRule="exact"/>
        <w:rPr>
          <w:rFonts w:ascii="Arial" w:cs="Arial" w:eastAsia="Arial" w:hAnsi="Arial"/>
          <w:sz w:val="19"/>
          <w:szCs w:val="19"/>
          <w:color w:val="auto"/>
        </w:rPr>
      </w:pPr>
    </w:p>
    <w:p>
      <w:pPr>
        <w:jc w:val="both"/>
        <w:ind w:left="640" w:hanging="634"/>
        <w:spacing w:after="0" w:line="28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Tenant shall not (1) make or permit any improper, objectionable or unpleasant noises or odors in the Building </w:t>
      </w:r>
      <w:r>
        <w:rPr>
          <w:rFonts w:ascii="Arial" w:cs="Arial" w:eastAsia="Arial" w:hAnsi="Arial"/>
          <w:sz w:val="18"/>
          <w:szCs w:val="18"/>
          <w:b w:val="1"/>
          <w:bCs w:val="1"/>
          <w:u w:val="single" w:color="auto"/>
          <w:color w:val="auto"/>
        </w:rPr>
        <w:t>or the Parking Deck</w:t>
      </w:r>
      <w:r>
        <w:rPr>
          <w:rFonts w:ascii="Arial" w:cs="Arial" w:eastAsia="Arial" w:hAnsi="Arial"/>
          <w:sz w:val="18"/>
          <w:szCs w:val="18"/>
          <w:color w:val="auto"/>
        </w:rPr>
        <w:t xml:space="preserve">, or otherwise interfere in any way with other tenants or persons having business with them; (2) solicit business or distribute or cause to be distributed, in any portion of the Building </w:t>
      </w:r>
      <w:r>
        <w:rPr>
          <w:rFonts w:ascii="Arial" w:cs="Arial" w:eastAsia="Arial" w:hAnsi="Arial"/>
          <w:sz w:val="18"/>
          <w:szCs w:val="18"/>
          <w:b w:val="1"/>
          <w:bCs w:val="1"/>
          <w:color w:val="auto"/>
        </w:rPr>
        <w:t>or the Parking Deck</w:t>
      </w:r>
      <w:r>
        <w:rPr>
          <w:rFonts w:ascii="Arial" w:cs="Arial" w:eastAsia="Arial" w:hAnsi="Arial"/>
          <w:sz w:val="18"/>
          <w:szCs w:val="18"/>
          <w:color w:val="auto"/>
        </w:rPr>
        <w:t xml:space="preserve">, handbills, promotional materials or other advertising; or (3) conduct or permit other activities in the Building </w:t>
      </w:r>
      <w:r>
        <w:rPr>
          <w:rFonts w:ascii="Arial" w:cs="Arial" w:eastAsia="Arial" w:hAnsi="Arial"/>
          <w:sz w:val="18"/>
          <w:szCs w:val="18"/>
          <w:b w:val="1"/>
          <w:bCs w:val="1"/>
          <w:u w:val="single" w:color="auto"/>
          <w:color w:val="auto"/>
        </w:rPr>
        <w:t>or the Parking Deck</w:t>
      </w:r>
      <w:r>
        <w:rPr>
          <w:rFonts w:ascii="Arial" w:cs="Arial" w:eastAsia="Arial" w:hAnsi="Arial"/>
          <w:sz w:val="18"/>
          <w:szCs w:val="18"/>
          <w:color w:val="auto"/>
        </w:rPr>
        <w:t xml:space="preserve"> that might, in Landlord’s sole opinion, constitute a nuisance.</w:t>
      </w:r>
    </w:p>
    <w:p>
      <w:pPr>
        <w:spacing w:after="0" w:line="150"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No inflammable, explosive or dangerous fluids or substances shall be used or kept by Tenant in the Premises, Building, </w:t>
      </w:r>
      <w:r>
        <w:rPr>
          <w:rFonts w:ascii="Arial" w:cs="Arial" w:eastAsia="Arial" w:hAnsi="Arial"/>
          <w:sz w:val="19"/>
          <w:szCs w:val="19"/>
          <w:b w:val="1"/>
          <w:bCs w:val="1"/>
          <w:u w:val="single" w:color="auto"/>
          <w:color w:val="auto"/>
        </w:rPr>
        <w:t>the Parking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Deck,</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about the Property, except for those substances as are typically found in similar premises used for general office</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and are being used by Tenant in a safe manner and in accordance with all applicable laws. Tenant shall not, without Landlord’s prior written consent, use, store, install, spill, remove, release or dispose of, within or about the Premises or any other portion of the Property, any asbestos-containing materials or any solid, liquid or gaseous material now or subsequently considered toxic or hazardous under the provisions of 42 U.S.C. Section 9601 et seq. or any other applicable Environmental Laws which may now or later be in effect. Tenant shall comply with all applicable laws pertaining to and governing the use of these materials by Tenant and shall remain solely liable for the costs of abatement and removal.</w:t>
      </w:r>
    </w:p>
    <w:p>
      <w:pPr>
        <w:spacing w:after="0" w:line="184" w:lineRule="exact"/>
        <w:rPr>
          <w:rFonts w:ascii="Arial" w:cs="Arial" w:eastAsia="Arial" w:hAnsi="Arial"/>
          <w:sz w:val="19"/>
          <w:szCs w:val="19"/>
          <w:color w:val="auto"/>
        </w:rPr>
      </w:pPr>
    </w:p>
    <w:p>
      <w:pPr>
        <w:jc w:val="both"/>
        <w:ind w:left="640" w:hanging="634"/>
        <w:spacing w:after="0" w:line="264" w:lineRule="auto"/>
        <w:tabs>
          <w:tab w:leader="none" w:pos="631" w:val="left"/>
        </w:tabs>
        <w:numPr>
          <w:ilvl w:val="0"/>
          <w:numId w:val="54"/>
        </w:numPr>
        <w:rPr>
          <w:rFonts w:ascii="Arial" w:cs="Arial" w:eastAsia="Arial" w:hAnsi="Arial"/>
          <w:sz w:val="19"/>
          <w:szCs w:val="19"/>
          <w:color w:val="auto"/>
        </w:rPr>
      </w:pPr>
      <w:r>
        <w:rPr>
          <w:rFonts w:ascii="Arial" w:cs="Arial" w:eastAsia="Arial" w:hAnsi="Arial"/>
          <w:sz w:val="19"/>
          <w:szCs w:val="19"/>
          <w:color w:val="auto"/>
        </w:rPr>
        <w:t>Tenant shall not use or occupy the Premises in any manner or for any purpose which might injure the reputation or impair the present or future value of the Premises or the Building</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Parking Deck or Property</w:t>
      </w:r>
      <w:r>
        <w:rPr>
          <w:rFonts w:ascii="Arial" w:cs="Arial" w:eastAsia="Arial" w:hAnsi="Arial"/>
          <w:sz w:val="19"/>
          <w:szCs w:val="19"/>
          <w:color w:val="auto"/>
        </w:rPr>
        <w:t>. Tenant shall not use, or permit any part of the Premises to be used for lodging, sleeping or for any illegal purpose.</w:t>
      </w:r>
    </w:p>
    <w:p>
      <w:pPr>
        <w:spacing w:after="0" w:line="169" w:lineRule="exact"/>
        <w:rPr>
          <w:rFonts w:ascii="Arial" w:cs="Arial" w:eastAsia="Arial" w:hAnsi="Arial"/>
          <w:sz w:val="19"/>
          <w:szCs w:val="19"/>
          <w:color w:val="auto"/>
        </w:rPr>
      </w:pPr>
    </w:p>
    <w:p>
      <w:pPr>
        <w:jc w:val="both"/>
        <w:ind w:left="640" w:hanging="634"/>
        <w:spacing w:after="0" w:line="253" w:lineRule="auto"/>
        <w:tabs>
          <w:tab w:leader="none" w:pos="62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19"/>
          <w:szCs w:val="19"/>
          <w:b w:val="1"/>
          <w:bCs w:val="1"/>
          <w:u w:val="single" w:color="auto"/>
          <w:color w:val="auto"/>
        </w:rPr>
        <w:t>or the Parking Deck</w:t>
      </w:r>
      <w:r>
        <w:rPr>
          <w:rFonts w:ascii="Arial" w:cs="Arial" w:eastAsia="Arial" w:hAnsi="Arial"/>
          <w:sz w:val="19"/>
          <w:szCs w:val="19"/>
          <w:color w:val="auto"/>
        </w:rPr>
        <w:t xml:space="preserve"> (“Labor Disruption”).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Commencement Date of the Term be extended as a result of the above actions.</w:t>
      </w:r>
    </w:p>
    <w:p>
      <w:pPr>
        <w:spacing w:after="0" w:line="176" w:lineRule="exact"/>
        <w:rPr>
          <w:rFonts w:ascii="Arial" w:cs="Arial" w:eastAsia="Arial" w:hAnsi="Arial"/>
          <w:sz w:val="19"/>
          <w:szCs w:val="19"/>
          <w:color w:val="auto"/>
        </w:rPr>
      </w:pPr>
    </w:p>
    <w:p>
      <w:pPr>
        <w:jc w:val="both"/>
        <w:ind w:left="640" w:hanging="634"/>
        <w:spacing w:after="0" w:line="257" w:lineRule="auto"/>
        <w:tabs>
          <w:tab w:leader="none" w:pos="63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Tenant shall not install, operate or maintain in the Premises or in any other area of the Building </w:t>
      </w:r>
      <w:r>
        <w:rPr>
          <w:rFonts w:ascii="Arial" w:cs="Arial" w:eastAsia="Arial" w:hAnsi="Arial"/>
          <w:sz w:val="19"/>
          <w:szCs w:val="19"/>
          <w:b w:val="1"/>
          <w:bCs w:val="1"/>
          <w:u w:val="single" w:color="auto"/>
          <w:color w:val="auto"/>
        </w:rPr>
        <w:t>or the Parking Deck</w:t>
      </w:r>
      <w:r>
        <w:rPr>
          <w:rFonts w:ascii="Arial" w:cs="Arial" w:eastAsia="Arial" w:hAnsi="Arial"/>
          <w:sz w:val="19"/>
          <w:szCs w:val="19"/>
          <w:color w:val="auto"/>
        </w:rPr>
        <w:t>, electrical equipment that would overload the electrical system beyond its capacity for proper, efficient and safe operation as determined solely by Landlord, Tenant shall not furnish cooling or heating to the Premises, including, without limitation, the use of electric or gas heating devices, without Landlord’s prior written consent. Tenant shall not use more than its proportionate share of telephone lines and other telecommunication facilities available to service the Building.</w:t>
      </w:r>
    </w:p>
    <w:p>
      <w:pPr>
        <w:spacing w:after="0" w:line="173" w:lineRule="exact"/>
        <w:rPr>
          <w:rFonts w:ascii="Arial" w:cs="Arial" w:eastAsia="Arial" w:hAnsi="Arial"/>
          <w:sz w:val="19"/>
          <w:szCs w:val="19"/>
          <w:color w:val="auto"/>
        </w:rPr>
      </w:pPr>
    </w:p>
    <w:p>
      <w:pPr>
        <w:ind w:left="640" w:hanging="634"/>
        <w:spacing w:after="0" w:line="286" w:lineRule="auto"/>
        <w:tabs>
          <w:tab w:leader="none" w:pos="63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Bicycles and other vehicles are not permitted inside the Building or on the walkways outside the Building </w:t>
      </w:r>
      <w:r>
        <w:rPr>
          <w:rFonts w:ascii="Arial" w:cs="Arial" w:eastAsia="Arial" w:hAnsi="Arial"/>
          <w:sz w:val="19"/>
          <w:szCs w:val="19"/>
          <w:b w:val="1"/>
          <w:bCs w:val="1"/>
          <w:u w:val="single" w:color="auto"/>
          <w:color w:val="auto"/>
        </w:rPr>
        <w:t>or inside the Parking Deck</w:t>
      </w:r>
      <w:r>
        <w:rPr>
          <w:rFonts w:ascii="Arial" w:cs="Arial" w:eastAsia="Arial" w:hAnsi="Arial"/>
          <w:sz w:val="19"/>
          <w:szCs w:val="19"/>
          <w:color w:val="auto"/>
        </w:rPr>
        <w:t>, except in areas designated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-4460875</wp:posOffset>
            </wp:positionV>
            <wp:extent cx="11252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C-1, Page 2</w:t>
      </w:r>
    </w:p>
    <w:p>
      <w:pPr>
        <w:sectPr>
          <w:pgSz w:w="11900" w:h="16838" w:orient="portrait"/>
          <w:cols w:equalWidth="0" w:num="1">
            <w:col w:w="11240"/>
          </w:cols>
          <w:pgMar w:left="320" w:top="1399" w:right="339" w:bottom="1440" w:gutter="0" w:footer="0" w:header="0"/>
        </w:sectPr>
      </w:pPr>
    </w:p>
    <w:bookmarkStart w:id="117" w:name="page118"/>
    <w:bookmarkEnd w:id="117"/>
    <w:p>
      <w:pPr>
        <w:jc w:val="both"/>
        <w:ind w:left="640" w:hanging="634"/>
        <w:spacing w:after="0" w:line="267" w:lineRule="auto"/>
        <w:tabs>
          <w:tab w:leader="none" w:pos="631" w:val="left"/>
        </w:tabs>
        <w:numPr>
          <w:ilvl w:val="0"/>
          <w:numId w:val="55"/>
        </w:numPr>
        <w:rPr>
          <w:rFonts w:ascii="Arial" w:cs="Arial" w:eastAsia="Arial" w:hAnsi="Arial"/>
          <w:sz w:val="19"/>
          <w:szCs w:val="19"/>
          <w:color w:val="auto"/>
        </w:rPr>
      </w:pPr>
      <w:r>
        <w:rPr>
          <w:rFonts w:ascii="Arial" w:cs="Arial" w:eastAsia="Arial" w:hAnsi="Arial"/>
          <w:sz w:val="19"/>
          <w:szCs w:val="19"/>
          <w:color w:val="auto"/>
        </w:rPr>
        <w:t>Landlord may from time to time adopt reasonable systems and procedures for the security and safety of the Building</w:t>
      </w:r>
      <w:r>
        <w:rPr>
          <w:rFonts w:ascii="Arial" w:cs="Arial" w:eastAsia="Arial" w:hAnsi="Arial"/>
          <w:sz w:val="19"/>
          <w:szCs w:val="19"/>
          <w:b w:val="1"/>
          <w:bCs w:val="1"/>
          <w:u w:val="single" w:color="auto"/>
          <w:color w:val="auto"/>
        </w:rPr>
        <w:t>, the Parking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Deck</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otherwise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its occupants, entry, use and contents. Tenant, its agents, employees, contractors,</w:t>
      </w:r>
      <w:r>
        <w:rPr>
          <w:rFonts w:ascii="Arial" w:cs="Arial" w:eastAsia="Arial" w:hAnsi="Arial"/>
          <w:sz w:val="19"/>
          <w:szCs w:val="19"/>
          <w:b w:val="1"/>
          <w:bCs w:val="1"/>
          <w:color w:val="auto"/>
        </w:rPr>
        <w:t xml:space="preserve"> </w:t>
      </w:r>
      <w:r>
        <w:rPr>
          <w:rFonts w:ascii="Arial" w:cs="Arial" w:eastAsia="Arial" w:hAnsi="Arial"/>
          <w:sz w:val="19"/>
          <w:szCs w:val="19"/>
          <w:color w:val="auto"/>
        </w:rPr>
        <w:t>guests and invitees shall comply with Landlord’s systems and procedures.</w:t>
      </w:r>
    </w:p>
    <w:p>
      <w:pPr>
        <w:spacing w:after="0" w:line="167" w:lineRule="exact"/>
        <w:rPr>
          <w:rFonts w:ascii="Arial" w:cs="Arial" w:eastAsia="Arial" w:hAnsi="Arial"/>
          <w:sz w:val="19"/>
          <w:szCs w:val="19"/>
          <w:color w:val="auto"/>
        </w:rPr>
      </w:pPr>
    </w:p>
    <w:p>
      <w:pPr>
        <w:jc w:val="both"/>
        <w:ind w:left="640" w:hanging="634"/>
        <w:spacing w:after="0" w:line="264" w:lineRule="auto"/>
        <w:tabs>
          <w:tab w:leader="none" w:pos="631" w:val="left"/>
        </w:tabs>
        <w:numPr>
          <w:ilvl w:val="0"/>
          <w:numId w:val="55"/>
        </w:numPr>
        <w:rPr>
          <w:rFonts w:ascii="Arial" w:cs="Arial" w:eastAsia="Arial" w:hAnsi="Arial"/>
          <w:sz w:val="19"/>
          <w:szCs w:val="19"/>
          <w:color w:val="auto"/>
        </w:rPr>
      </w:pPr>
      <w:r>
        <w:rPr>
          <w:rFonts w:ascii="Arial" w:cs="Arial" w:eastAsia="Arial" w:hAnsi="Arial"/>
          <w:sz w:val="19"/>
          <w:szCs w:val="19"/>
          <w:color w:val="auto"/>
        </w:rPr>
        <w:t>Landlord shall have the right to prohibit the use of the name of the Building or any other publicity by Tenant that in Landlord’s sole opinion may impair the reputation of the Building or its desirability. Upon written notice from Landlord, Tenant shall refrain from and discontinue such publicity immediately.</w:t>
      </w:r>
    </w:p>
    <w:p>
      <w:pPr>
        <w:spacing w:after="0" w:line="169" w:lineRule="exact"/>
        <w:rPr>
          <w:rFonts w:ascii="Arial" w:cs="Arial" w:eastAsia="Arial" w:hAnsi="Arial"/>
          <w:sz w:val="19"/>
          <w:szCs w:val="19"/>
          <w:color w:val="auto"/>
        </w:rPr>
      </w:pPr>
    </w:p>
    <w:p>
      <w:pPr>
        <w:jc w:val="both"/>
        <w:ind w:left="640" w:hanging="634"/>
        <w:spacing w:after="0" w:line="277" w:lineRule="auto"/>
        <w:tabs>
          <w:tab w:leader="none" w:pos="6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Neither Tenant nor its agents, employees, contractors, guests or invitees shall smoke or permit smoking in the Property’s common areas, unless a portion of such common areas have been declared a designated smoking area by Landlord, nor shall the above parties allow smoke from the Premises to emanate into such common areas or any other part of the Building. Landlord shall have the right to designate the Building (including the Premises) </w:t>
      </w:r>
      <w:r>
        <w:rPr>
          <w:rFonts w:ascii="Arial" w:cs="Arial" w:eastAsia="Arial" w:hAnsi="Arial"/>
          <w:sz w:val="18"/>
          <w:szCs w:val="18"/>
          <w:b w:val="1"/>
          <w:bCs w:val="1"/>
          <w:u w:val="single" w:color="auto"/>
          <w:color w:val="auto"/>
        </w:rPr>
        <w:t>and the Parking Deck</w:t>
      </w:r>
      <w:r>
        <w:rPr>
          <w:rFonts w:ascii="Arial" w:cs="Arial" w:eastAsia="Arial" w:hAnsi="Arial"/>
          <w:sz w:val="18"/>
          <w:szCs w:val="18"/>
          <w:color w:val="auto"/>
        </w:rPr>
        <w:t xml:space="preserve"> as </w:t>
      </w:r>
      <w:r>
        <w:rPr>
          <w:rFonts w:ascii="Arial" w:cs="Arial" w:eastAsia="Arial" w:hAnsi="Arial"/>
          <w:sz w:val="18"/>
          <w:szCs w:val="18"/>
          <w:b w:val="1"/>
          <w:bCs w:val="1"/>
          <w:color w:val="auto"/>
          <w:strike w:val="1"/>
        </w:rPr>
        <w:t>a</w:t>
      </w:r>
      <w:r>
        <w:rPr>
          <w:rFonts w:ascii="Arial" w:cs="Arial" w:eastAsia="Arial" w:hAnsi="Arial"/>
          <w:sz w:val="18"/>
          <w:szCs w:val="18"/>
          <w:color w:val="auto"/>
        </w:rPr>
        <w:t xml:space="preserve"> non-smoking </w:t>
      </w:r>
      <w:r>
        <w:rPr>
          <w:rFonts w:ascii="Arial" w:cs="Arial" w:eastAsia="Arial" w:hAnsi="Arial"/>
          <w:sz w:val="18"/>
          <w:szCs w:val="18"/>
          <w:b w:val="1"/>
          <w:bCs w:val="1"/>
          <w:u w:val="single" w:color="auto"/>
          <w:color w:val="auto"/>
          <w:strike w:val="1"/>
        </w:rPr>
        <w:t>building</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640" w:hanging="634"/>
        <w:spacing w:after="0" w:line="264" w:lineRule="auto"/>
        <w:tabs>
          <w:tab w:leader="none" w:pos="631" w:val="left"/>
        </w:tabs>
        <w:numPr>
          <w:ilvl w:val="0"/>
          <w:numId w:val="55"/>
        </w:numPr>
        <w:rPr>
          <w:rFonts w:ascii="Arial" w:cs="Arial" w:eastAsia="Arial" w:hAnsi="Arial"/>
          <w:sz w:val="19"/>
          <w:szCs w:val="19"/>
          <w:color w:val="auto"/>
        </w:rPr>
      </w:pPr>
      <w:r>
        <w:rPr>
          <w:rFonts w:ascii="Arial" w:cs="Arial" w:eastAsia="Arial" w:hAnsi="Arial"/>
          <w:sz w:val="19"/>
          <w:szCs w:val="19"/>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69" w:lineRule="exact"/>
        <w:rPr>
          <w:rFonts w:ascii="Arial" w:cs="Arial" w:eastAsia="Arial" w:hAnsi="Arial"/>
          <w:sz w:val="19"/>
          <w:szCs w:val="19"/>
          <w:color w:val="auto"/>
        </w:rPr>
      </w:pPr>
    </w:p>
    <w:p>
      <w:pPr>
        <w:jc w:val="both"/>
        <w:ind w:left="640" w:hanging="634"/>
        <w:spacing w:after="0" w:line="258" w:lineRule="auto"/>
        <w:tabs>
          <w:tab w:leader="none" w:pos="631" w:val="left"/>
        </w:tabs>
        <w:numPr>
          <w:ilvl w:val="0"/>
          <w:numId w:val="55"/>
        </w:numPr>
        <w:rPr>
          <w:rFonts w:ascii="Arial" w:cs="Arial" w:eastAsia="Arial" w:hAnsi="Arial"/>
          <w:sz w:val="19"/>
          <w:szCs w:val="19"/>
          <w:color w:val="auto"/>
        </w:rPr>
      </w:pPr>
      <w:r>
        <w:rPr>
          <w:rFonts w:ascii="Arial" w:cs="Arial" w:eastAsia="Arial" w:hAnsi="Arial"/>
          <w:sz w:val="19"/>
          <w:szCs w:val="19"/>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Property’s common areas, any pedestrian use, or any use which is inconsistent with good business practice.</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Landlord reserves the right at any time to rescind, alter or waive any rule or regulation at any time prescribed for the Building</w:t>
      </w:r>
      <w:r>
        <w:rPr>
          <w:rFonts w:ascii="Arial" w:cs="Arial" w:eastAsia="Arial" w:hAnsi="Arial"/>
          <w:sz w:val="19"/>
          <w:szCs w:val="19"/>
          <w:b w:val="1"/>
          <w:bCs w:val="1"/>
          <w:u w:val="single" w:color="auto"/>
          <w:color w:val="auto"/>
        </w:rPr>
        <w:t>, common areas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of the Property, and/or Parking Deck</w:t>
      </w:r>
      <w:r>
        <w:rPr>
          <w:rFonts w:ascii="Arial" w:cs="Arial" w:eastAsia="Arial" w:hAnsi="Arial"/>
          <w:sz w:val="19"/>
          <w:szCs w:val="19"/>
          <w:b w:val="1"/>
          <w:bCs w:val="1"/>
          <w:color w:val="auto"/>
        </w:rPr>
        <w:t xml:space="preserve"> </w:t>
      </w:r>
      <w:r>
        <w:rPr>
          <w:rFonts w:ascii="Arial" w:cs="Arial" w:eastAsia="Arial" w:hAnsi="Arial"/>
          <w:sz w:val="19"/>
          <w:szCs w:val="19"/>
          <w:color w:val="auto"/>
        </w:rPr>
        <w:t>and to impose additional rules and regulations when, in its reasonable judgment, it deems it necessary,</w:t>
      </w:r>
      <w:r>
        <w:rPr>
          <w:rFonts w:ascii="Arial" w:cs="Arial" w:eastAsia="Arial" w:hAnsi="Arial"/>
          <w:sz w:val="19"/>
          <w:szCs w:val="19"/>
          <w:b w:val="1"/>
          <w:bCs w:val="1"/>
          <w:color w:val="auto"/>
        </w:rPr>
        <w:t xml:space="preserve"> </w:t>
      </w:r>
      <w:r>
        <w:rPr>
          <w:rFonts w:ascii="Arial" w:cs="Arial" w:eastAsia="Arial" w:hAnsi="Arial"/>
          <w:sz w:val="19"/>
          <w:szCs w:val="19"/>
          <w:color w:val="auto"/>
        </w:rPr>
        <w:t>desirable or proper for its best interests and for the best interests of the tenants, and no alteration or waiver of any rule or regulation in favor of one tenant shall operate as an alteration or waiver in favor of any other tenant. Landlord shall not be responsible to any tenant for the non-observance or violation by any other tenant, however resulting, of any of the rules or regulations at any time prescribed for the Building</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common areas of the Property, and/or Parking Deck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First Amendment to Office Lease</w:t>
      </w:r>
      <w:r>
        <w:rPr>
          <w:sz w:val="20"/>
          <w:szCs w:val="20"/>
          <w:color w:val="auto"/>
        </w:rPr>
        <w:tab/>
      </w:r>
      <w:r>
        <w:rPr>
          <w:rFonts w:ascii="Arial" w:cs="Arial" w:eastAsia="Arial" w:hAnsi="Arial"/>
          <w:sz w:val="14"/>
          <w:szCs w:val="14"/>
          <w:color w:val="auto"/>
        </w:rPr>
        <w:t>Exhibit C-1, Page 3</w:t>
      </w:r>
    </w:p>
    <w:p>
      <w:pPr>
        <w:sectPr>
          <w:pgSz w:w="11900" w:h="16838" w:orient="portrait"/>
          <w:cols w:equalWidth="0" w:num="1">
            <w:col w:w="11240"/>
          </w:cols>
          <w:pgMar w:left="320" w:top="1393"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ind w:left="4100"/>
              <w:spacing w:after="0"/>
              <w:rPr>
                <w:sz w:val="20"/>
                <w:szCs w:val="20"/>
                <w:color w:val="auto"/>
              </w:rPr>
            </w:pPr>
            <w:r>
              <w:rPr>
                <w:rFonts w:ascii="Arial" w:cs="Arial" w:eastAsia="Arial" w:hAnsi="Arial"/>
                <w:sz w:val="18"/>
                <w:szCs w:val="18"/>
                <w:b w:val="1"/>
                <w:bCs w:val="1"/>
                <w:color w:val="auto"/>
                <w:w w:val="89"/>
              </w:rPr>
              <w:t>Exhibit 21.1</w:t>
            </w:r>
          </w:p>
        </w:tc>
      </w:tr>
      <w:tr>
        <w:trPr>
          <w:trHeight w:val="445"/>
        </w:trPr>
        <w:tc>
          <w:tcPr>
            <w:tcW w:w="2760" w:type="dxa"/>
            <w:vAlign w:val="bottom"/>
          </w:tcPr>
          <w:p>
            <w:pPr>
              <w:spacing w:after="0"/>
              <w:rPr>
                <w:sz w:val="24"/>
                <w:szCs w:val="24"/>
                <w:color w:val="auto"/>
              </w:rPr>
            </w:pPr>
          </w:p>
        </w:tc>
        <w:tc>
          <w:tcPr>
            <w:tcW w:w="8480" w:type="dxa"/>
            <w:vAlign w:val="bottom"/>
            <w:gridSpan w:val="3"/>
          </w:tcPr>
          <w:p>
            <w:pPr>
              <w:ind w:left="720"/>
              <w:spacing w:after="0"/>
              <w:rPr>
                <w:sz w:val="20"/>
                <w:szCs w:val="20"/>
                <w:color w:val="auto"/>
              </w:rPr>
            </w:pPr>
            <w:r>
              <w:rPr>
                <w:rFonts w:ascii="Arial" w:cs="Arial" w:eastAsia="Arial" w:hAnsi="Arial"/>
                <w:sz w:val="19"/>
                <w:szCs w:val="19"/>
                <w:b w:val="1"/>
                <w:bCs w:val="1"/>
                <w:color w:val="auto"/>
              </w:rPr>
              <w:t>LIST OF SUBSIDIARIES OF THE REGISTRANT</w:t>
            </w:r>
          </w:p>
        </w:tc>
      </w:tr>
      <w:tr>
        <w:trPr>
          <w:trHeight w:val="46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 of Incorporation or Organization</w:t>
            </w:r>
          </w:p>
        </w:tc>
      </w:tr>
      <w:tr>
        <w:trPr>
          <w:trHeight w:val="22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nCino APAC Pty Ltd</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color w:val="auto"/>
              </w:rPr>
              <w:t>FinSuite Pty Ltd</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2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nCino New Zealand Limited</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color w:val="auto"/>
              </w:rPr>
              <w:t>nCino Global Ltd</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22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nCino Germany GmbH</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color w:val="auto"/>
              </w:rPr>
              <w:t>Visible Equity, LLC</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7"/>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nCino K.K.</w:t>
            </w: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color w:val="auto"/>
              </w:rPr>
              <w:t>nCino Canada, Inc.</w:t>
            </w: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ectPr>
          <w:pgSz w:w="11900" w:h="16838" w:orient="portrait"/>
          <w:cols w:equalWidth="0" w:num="1">
            <w:col w:w="11240"/>
          </w:cols>
          <w:pgMar w:left="320" w:top="139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23.1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333333"/>
        </w:rPr>
        <w:t>We consent to the incorporation by reference in the Registration Statement (Form S-8 No. 333-239907) pertaining to the nCino, Inc. 2019 Amended and Restated Equity Incentive Plan, nCino, Inc. Employee Stock Purchase Plan, and nCino, Inc. 2014 Omnibus Stock Ownership and Long Term Incentive Plan of our report dated March 31, 2021, with respect to the consolidated financial statements and the financial statement schedule listed in Item 15.2. of nCino, Inc. included in this Annual Report (Form 10-K) for the year ended January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Raleigh, North Carolina</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March 31, 2021</w:t>
      </w:r>
    </w:p>
    <w:p>
      <w:pPr>
        <w:sectPr>
          <w:pgSz w:w="11900" w:h="16838" w:orient="portrait"/>
          <w:cols w:equalWidth="0" w:num="1">
            <w:col w:w="11240"/>
          </w:cols>
          <w:pgMar w:left="320" w:top="139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 Pierre Naudé, certify that:</w:t>
      </w:r>
    </w:p>
    <w:p>
      <w:pPr>
        <w:spacing w:after="0" w:line="247" w:lineRule="exact"/>
        <w:rPr>
          <w:sz w:val="20"/>
          <w:szCs w:val="20"/>
          <w:color w:val="auto"/>
        </w:rPr>
      </w:pPr>
    </w:p>
    <w:p>
      <w:pPr>
        <w:ind w:left="700" w:hanging="694"/>
        <w:spacing w:after="0"/>
        <w:tabs>
          <w:tab w:leader="none" w:pos="7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nCino, Inc.;</w:t>
      </w:r>
    </w:p>
    <w:p>
      <w:pPr>
        <w:spacing w:after="0" w:line="246" w:lineRule="exact"/>
        <w:rPr>
          <w:rFonts w:ascii="Arial" w:cs="Arial" w:eastAsia="Arial" w:hAnsi="Arial"/>
          <w:sz w:val="19"/>
          <w:szCs w:val="19"/>
          <w:color w:val="auto"/>
        </w:rPr>
      </w:pPr>
    </w:p>
    <w:p>
      <w:pPr>
        <w:ind w:left="640" w:right="20" w:hanging="634"/>
        <w:spacing w:after="0" w:line="264" w:lineRule="auto"/>
        <w:tabs>
          <w:tab w:leader="none" w:pos="6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9"/>
          <w:szCs w:val="19"/>
          <w:color w:val="auto"/>
        </w:rPr>
      </w:pPr>
    </w:p>
    <w:p>
      <w:pPr>
        <w:ind w:left="640" w:right="80" w:hanging="634"/>
        <w:spacing w:after="0" w:line="341"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ind w:left="640" w:right="120" w:hanging="634"/>
        <w:spacing w:after="0" w:line="280" w:lineRule="auto"/>
        <w:tabs>
          <w:tab w:leader="none" w:pos="6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19"/>
          <w:szCs w:val="19"/>
          <w:color w:val="auto"/>
        </w:rPr>
      </w:pPr>
    </w:p>
    <w:p>
      <w:pPr>
        <w:ind w:left="1280" w:right="100" w:hanging="635"/>
        <w:spacing w:after="0" w:line="285"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280" w:right="260" w:hanging="635"/>
        <w:spacing w:after="0" w:line="264" w:lineRule="auto"/>
        <w:tabs>
          <w:tab w:leader="none" w:pos="1268" w:val="left"/>
        </w:tabs>
        <w:numPr>
          <w:ilvl w:val="1"/>
          <w:numId w:val="56"/>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9"/>
          <w:szCs w:val="19"/>
          <w:color w:val="auto"/>
        </w:rPr>
      </w:pPr>
    </w:p>
    <w:p>
      <w:pPr>
        <w:ind w:left="1280" w:right="300" w:hanging="635"/>
        <w:spacing w:after="0" w:line="285"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640" w:right="20" w:hanging="634"/>
        <w:spacing w:after="0" w:line="264" w:lineRule="auto"/>
        <w:tabs>
          <w:tab w:leader="none" w:pos="6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9"/>
          <w:szCs w:val="19"/>
          <w:color w:val="auto"/>
        </w:rPr>
      </w:pPr>
    </w:p>
    <w:p>
      <w:pPr>
        <w:ind w:left="1280" w:right="500" w:hanging="635"/>
        <w:spacing w:after="0" w:line="264" w:lineRule="auto"/>
        <w:tabs>
          <w:tab w:leader="none" w:pos="127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121" w:name="page122"/>
    <w:bookmarkEnd w:id="121"/>
    <w:p>
      <w:pPr>
        <w:ind w:left="1260" w:hanging="635"/>
        <w:spacing w:after="0" w:line="280" w:lineRule="auto"/>
        <w:tabs>
          <w:tab w:leader="none" w:pos="1248"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4"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19"/>
          <w:szCs w:val="19"/>
          <w:color w:val="auto"/>
        </w:rPr>
        <w:t>Date: March 31, 2021</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32385</wp:posOffset>
            </wp:positionV>
            <wp:extent cx="29044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54" w:lineRule="exact"/>
        <w:rPr>
          <w:sz w:val="20"/>
          <w:szCs w:val="20"/>
          <w:color w:val="auto"/>
        </w:rPr>
      </w:pPr>
    </w:p>
    <w:p>
      <w:pPr>
        <w:jc w:val="center"/>
        <w:ind w:left="6180"/>
        <w:spacing w:after="0"/>
        <w:rPr>
          <w:sz w:val="20"/>
          <w:szCs w:val="20"/>
          <w:color w:val="auto"/>
        </w:rPr>
      </w:pPr>
      <w:r>
        <w:rPr>
          <w:rFonts w:ascii="Arial" w:cs="Arial" w:eastAsia="Arial" w:hAnsi="Arial"/>
          <w:sz w:val="19"/>
          <w:szCs w:val="19"/>
          <w:color w:val="auto"/>
        </w:rPr>
        <w:t>Pierre Naudé</w:t>
      </w:r>
    </w:p>
    <w:p>
      <w:pPr>
        <w:spacing w:after="0" w:line="61" w:lineRule="exact"/>
        <w:rPr>
          <w:sz w:val="20"/>
          <w:szCs w:val="20"/>
          <w:color w:val="auto"/>
        </w:rPr>
      </w:pPr>
    </w:p>
    <w:p>
      <w:pPr>
        <w:jc w:val="center"/>
        <w:ind w:left="6180"/>
        <w:spacing w:after="0"/>
        <w:rPr>
          <w:sz w:val="20"/>
          <w:szCs w:val="20"/>
          <w:color w:val="auto"/>
        </w:rPr>
      </w:pPr>
      <w:r>
        <w:rPr>
          <w:rFonts w:ascii="Arial" w:cs="Arial" w:eastAsia="Arial" w:hAnsi="Arial"/>
          <w:sz w:val="19"/>
          <w:szCs w:val="19"/>
          <w:color w:val="auto"/>
        </w:rPr>
        <w:t>President and Chief Executive Officer</w:t>
      </w:r>
    </w:p>
    <w:p>
      <w:pPr>
        <w:sectPr>
          <w:pgSz w:w="11900" w:h="16838" w:orient="portrait"/>
          <w:cols w:equalWidth="0" w:num="1">
            <w:col w:w="11200"/>
          </w:cols>
          <w:pgMar w:left="340" w:top="1399"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 David Rudow, certify that:</w:t>
      </w:r>
    </w:p>
    <w:p>
      <w:pPr>
        <w:spacing w:after="0" w:line="247" w:lineRule="exact"/>
        <w:rPr>
          <w:sz w:val="20"/>
          <w:szCs w:val="20"/>
          <w:color w:val="auto"/>
        </w:rPr>
      </w:pPr>
    </w:p>
    <w:p>
      <w:pPr>
        <w:ind w:left="700" w:hanging="694"/>
        <w:spacing w:after="0"/>
        <w:tabs>
          <w:tab w:leader="none" w:pos="7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nCino, Inc.;</w:t>
      </w:r>
    </w:p>
    <w:p>
      <w:pPr>
        <w:spacing w:after="0" w:line="246" w:lineRule="exact"/>
        <w:rPr>
          <w:rFonts w:ascii="Arial" w:cs="Arial" w:eastAsia="Arial" w:hAnsi="Arial"/>
          <w:sz w:val="19"/>
          <w:szCs w:val="19"/>
          <w:color w:val="auto"/>
        </w:rPr>
      </w:pPr>
    </w:p>
    <w:p>
      <w:pPr>
        <w:ind w:left="640" w:right="20" w:hanging="634"/>
        <w:spacing w:after="0" w:line="264" w:lineRule="auto"/>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9"/>
          <w:szCs w:val="19"/>
          <w:color w:val="auto"/>
        </w:rPr>
      </w:pPr>
    </w:p>
    <w:p>
      <w:pPr>
        <w:ind w:left="640" w:right="80" w:hanging="634"/>
        <w:spacing w:after="0" w:line="341"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ind w:left="640" w:right="120" w:hanging="634"/>
        <w:spacing w:after="0" w:line="280" w:lineRule="auto"/>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19"/>
          <w:szCs w:val="19"/>
          <w:color w:val="auto"/>
        </w:rPr>
      </w:pPr>
    </w:p>
    <w:p>
      <w:pPr>
        <w:ind w:left="1280" w:right="100" w:hanging="635"/>
        <w:spacing w:after="0" w:line="285"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280" w:right="260" w:hanging="635"/>
        <w:spacing w:after="0" w:line="264" w:lineRule="auto"/>
        <w:tabs>
          <w:tab w:leader="none" w:pos="1268" w:val="left"/>
        </w:tabs>
        <w:numPr>
          <w:ilvl w:val="1"/>
          <w:numId w:val="58"/>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9"/>
          <w:szCs w:val="19"/>
          <w:color w:val="auto"/>
        </w:rPr>
      </w:pPr>
    </w:p>
    <w:p>
      <w:pPr>
        <w:ind w:left="1280" w:right="300" w:hanging="635"/>
        <w:spacing w:after="0" w:line="285"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640" w:right="20" w:hanging="634"/>
        <w:spacing w:after="0" w:line="264" w:lineRule="auto"/>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9"/>
          <w:szCs w:val="19"/>
          <w:color w:val="auto"/>
        </w:rPr>
      </w:pPr>
    </w:p>
    <w:p>
      <w:pPr>
        <w:ind w:left="1280" w:right="500" w:hanging="635"/>
        <w:spacing w:after="0" w:line="264" w:lineRule="auto"/>
        <w:tabs>
          <w:tab w:leader="none" w:pos="127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123" w:name="page124"/>
    <w:bookmarkEnd w:id="123"/>
    <w:p>
      <w:pPr>
        <w:ind w:left="1260" w:hanging="635"/>
        <w:spacing w:after="0" w:line="280" w:lineRule="auto"/>
        <w:tabs>
          <w:tab w:leader="none" w:pos="1248"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9"/>
                <w:szCs w:val="19"/>
                <w:color w:val="auto"/>
              </w:rPr>
              <w:t>Date: March 31, 2021</w:t>
            </w:r>
          </w:p>
        </w:tc>
        <w:tc>
          <w:tcPr>
            <w:tcW w:w="2700" w:type="dxa"/>
            <w:vAlign w:val="bottom"/>
          </w:tcPr>
          <w:p>
            <w:pPr>
              <w:ind w:left="2000"/>
              <w:spacing w:after="0"/>
              <w:rPr>
                <w:sz w:val="20"/>
                <w:szCs w:val="20"/>
                <w:color w:val="auto"/>
              </w:rPr>
            </w:pPr>
            <w:r>
              <w:rPr>
                <w:rFonts w:ascii="Arial" w:cs="Arial" w:eastAsia="Arial" w:hAnsi="Arial"/>
                <w:sz w:val="19"/>
                <w:szCs w:val="19"/>
                <w:color w:val="auto"/>
              </w:rPr>
              <w:t>By:</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5"/>
              </w:rPr>
              <w:t>/s/ David Rudow</w:t>
            </w:r>
          </w:p>
        </w:tc>
      </w:tr>
      <w:tr>
        <w:trPr>
          <w:trHeight w:val="229"/>
        </w:trPr>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5"/>
              </w:rPr>
              <w:t>David Rudow</w:t>
            </w:r>
          </w:p>
        </w:tc>
      </w:tr>
      <w:tr>
        <w:trPr>
          <w:trHeight w:val="248"/>
        </w:trPr>
        <w:tc>
          <w:tcPr>
            <w:tcW w:w="3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7"/>
              </w:rPr>
              <w:t>Chief Financial Officer</w:t>
            </w:r>
          </w:p>
        </w:tc>
      </w:tr>
    </w:tbl>
    <w:p>
      <w:pPr>
        <w:sectPr>
          <w:pgSz w:w="11900" w:h="16838" w:orient="portrait"/>
          <w:cols w:equalWidth="0" w:num="1">
            <w:col w:w="11200"/>
          </w:cols>
          <w:pgMar w:left="340" w:top="1399"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30"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18 U.S.C. SECTION 1350, AS ADOPTED PURSUANT TO</w:t>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04" w:lineRule="exact"/>
        <w:rPr>
          <w:sz w:val="20"/>
          <w:szCs w:val="20"/>
          <w:color w:val="auto"/>
        </w:rPr>
      </w:pPr>
    </w:p>
    <w:p>
      <w:pPr>
        <w:ind w:right="60" w:firstLine="508"/>
        <w:spacing w:after="0" w:line="287" w:lineRule="auto"/>
        <w:rPr>
          <w:sz w:val="20"/>
          <w:szCs w:val="20"/>
          <w:color w:val="auto"/>
        </w:rPr>
      </w:pPr>
      <w:r>
        <w:rPr>
          <w:rFonts w:ascii="Arial" w:cs="Arial" w:eastAsia="Arial" w:hAnsi="Arial"/>
          <w:sz w:val="17"/>
          <w:szCs w:val="17"/>
          <w:color w:val="auto"/>
        </w:rPr>
        <w:t>In connection with the Annual Report of nCino, Inc. (the “Company”) on Form 10-K for the fiscal year ended January 31, 2021 as filed with the Securities and Exchange Commission on the date hereof (the “Report”), I certify, pursuant to 18 U.S.C. § 1350, as adopted pursuant to</w:t>
      </w:r>
    </w:p>
    <w:p>
      <w:pPr>
        <w:spacing w:after="0" w:line="1" w:lineRule="exact"/>
        <w:rPr>
          <w:sz w:val="20"/>
          <w:szCs w:val="20"/>
          <w:color w:val="auto"/>
        </w:rPr>
      </w:pPr>
    </w:p>
    <w:p>
      <w:pPr>
        <w:ind w:left="160" w:hanging="154"/>
        <w:spacing w:after="0"/>
        <w:tabs>
          <w:tab w:leader="none" w:pos="1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906 of the Sarbanes-Oxley Act of 2002, that, to my knowledge:</w:t>
      </w:r>
    </w:p>
    <w:p>
      <w:pPr>
        <w:spacing w:after="0" w:line="204" w:lineRule="exact"/>
        <w:rPr>
          <w:rFonts w:ascii="Arial" w:cs="Arial" w:eastAsia="Arial" w:hAnsi="Arial"/>
          <w:sz w:val="19"/>
          <w:szCs w:val="19"/>
          <w:color w:val="auto"/>
        </w:rPr>
      </w:pPr>
    </w:p>
    <w:p>
      <w:pPr>
        <w:ind w:left="1280" w:hanging="766"/>
        <w:spacing w:after="0"/>
        <w:tabs>
          <w:tab w:leader="none" w:pos="12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6" w:lineRule="exact"/>
        <w:rPr>
          <w:rFonts w:ascii="Arial" w:cs="Arial" w:eastAsia="Arial" w:hAnsi="Arial"/>
          <w:sz w:val="19"/>
          <w:szCs w:val="19"/>
          <w:color w:val="auto"/>
        </w:rPr>
      </w:pPr>
    </w:p>
    <w:p>
      <w:pPr>
        <w:ind w:left="1280" w:right="860" w:hanging="766"/>
        <w:spacing w:after="0" w:line="280" w:lineRule="auto"/>
        <w:tabs>
          <w:tab w:leader="none" w:pos="127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9"/>
                <w:szCs w:val="19"/>
                <w:color w:val="auto"/>
              </w:rPr>
              <w:t>Date: March 31, 2021</w:t>
            </w:r>
          </w:p>
        </w:tc>
        <w:tc>
          <w:tcPr>
            <w:tcW w:w="2700" w:type="dxa"/>
            <w:vAlign w:val="bottom"/>
          </w:tcPr>
          <w:p>
            <w:pPr>
              <w:ind w:left="2000"/>
              <w:spacing w:after="0"/>
              <w:rPr>
                <w:sz w:val="20"/>
                <w:szCs w:val="20"/>
                <w:color w:val="auto"/>
              </w:rPr>
            </w:pPr>
            <w:r>
              <w:rPr>
                <w:rFonts w:ascii="Arial" w:cs="Arial" w:eastAsia="Arial" w:hAnsi="Arial"/>
                <w:sz w:val="19"/>
                <w:szCs w:val="19"/>
                <w:color w:val="auto"/>
              </w:rPr>
              <w:t>By:</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Pierre Naudé</w:t>
            </w:r>
          </w:p>
        </w:tc>
      </w:tr>
      <w:tr>
        <w:trPr>
          <w:trHeight w:val="229"/>
        </w:trPr>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1"/>
              </w:rPr>
              <w:t>Pierre Naudé</w:t>
            </w:r>
          </w:p>
        </w:tc>
      </w:tr>
      <w:tr>
        <w:trPr>
          <w:trHeight w:val="248"/>
        </w:trPr>
        <w:tc>
          <w:tcPr>
            <w:tcW w:w="3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4"/>
              </w:rPr>
              <w:t>President and Chief Executive Officer</w:t>
            </w:r>
          </w:p>
        </w:tc>
      </w:tr>
    </w:tbl>
    <w:p>
      <w:pPr>
        <w:sectPr>
          <w:pgSz w:w="11900" w:h="16838" w:orient="portrait"/>
          <w:cols w:equalWidth="0" w:num="1">
            <w:col w:w="11240"/>
          </w:cols>
          <w:pgMar w:left="320" w:top="139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30"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18 U.S.C. SECTION 1350, AS ADOPTED PURSUANT TO</w:t>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04" w:lineRule="exact"/>
        <w:rPr>
          <w:sz w:val="20"/>
          <w:szCs w:val="20"/>
          <w:color w:val="auto"/>
        </w:rPr>
      </w:pPr>
    </w:p>
    <w:p>
      <w:pPr>
        <w:ind w:right="60" w:firstLine="508"/>
        <w:spacing w:after="0" w:line="287" w:lineRule="auto"/>
        <w:rPr>
          <w:sz w:val="20"/>
          <w:szCs w:val="20"/>
          <w:color w:val="auto"/>
        </w:rPr>
      </w:pPr>
      <w:r>
        <w:rPr>
          <w:rFonts w:ascii="Arial" w:cs="Arial" w:eastAsia="Arial" w:hAnsi="Arial"/>
          <w:sz w:val="17"/>
          <w:szCs w:val="17"/>
          <w:color w:val="auto"/>
        </w:rPr>
        <w:t>In connection with the Annual Report of nCino, Inc. (the “Company”) on Form 10-K for the fiscal year ended January 31, 2021 as filed with the Securities and Exchange Commission on the date hereof (the “Report”), I certify, pursuant to 18 U.S.C. § 1350, as adopted pursuant to</w:t>
      </w:r>
    </w:p>
    <w:p>
      <w:pPr>
        <w:spacing w:after="0" w:line="1" w:lineRule="exact"/>
        <w:rPr>
          <w:sz w:val="20"/>
          <w:szCs w:val="20"/>
          <w:color w:val="auto"/>
        </w:rPr>
      </w:pPr>
    </w:p>
    <w:p>
      <w:pPr>
        <w:ind w:left="160" w:hanging="154"/>
        <w:spacing w:after="0"/>
        <w:tabs>
          <w:tab w:leader="none" w:pos="1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906 of the Sarbanes-Oxley Act of 2002, that, to my knowledge:</w:t>
      </w:r>
    </w:p>
    <w:p>
      <w:pPr>
        <w:spacing w:after="0" w:line="204" w:lineRule="exact"/>
        <w:rPr>
          <w:rFonts w:ascii="Arial" w:cs="Arial" w:eastAsia="Arial" w:hAnsi="Arial"/>
          <w:sz w:val="19"/>
          <w:szCs w:val="19"/>
          <w:color w:val="auto"/>
        </w:rPr>
      </w:pPr>
    </w:p>
    <w:p>
      <w:pPr>
        <w:ind w:left="1280" w:hanging="766"/>
        <w:spacing w:after="0"/>
        <w:tabs>
          <w:tab w:leader="none" w:pos="12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46" w:lineRule="exact"/>
        <w:rPr>
          <w:rFonts w:ascii="Arial" w:cs="Arial" w:eastAsia="Arial" w:hAnsi="Arial"/>
          <w:sz w:val="19"/>
          <w:szCs w:val="19"/>
          <w:color w:val="auto"/>
        </w:rPr>
      </w:pPr>
    </w:p>
    <w:p>
      <w:pPr>
        <w:ind w:left="1280" w:right="860" w:hanging="766"/>
        <w:spacing w:after="0" w:line="280" w:lineRule="auto"/>
        <w:tabs>
          <w:tab w:leader="none" w:pos="1272"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9"/>
                <w:szCs w:val="19"/>
                <w:color w:val="auto"/>
              </w:rPr>
              <w:t>Date: March 31, 2021</w:t>
            </w:r>
          </w:p>
        </w:tc>
        <w:tc>
          <w:tcPr>
            <w:tcW w:w="2700" w:type="dxa"/>
            <w:vAlign w:val="bottom"/>
          </w:tcPr>
          <w:p>
            <w:pPr>
              <w:ind w:left="2000"/>
              <w:spacing w:after="0"/>
              <w:rPr>
                <w:sz w:val="20"/>
                <w:szCs w:val="20"/>
                <w:color w:val="auto"/>
              </w:rPr>
            </w:pPr>
            <w:r>
              <w:rPr>
                <w:rFonts w:ascii="Arial" w:cs="Arial" w:eastAsia="Arial" w:hAnsi="Arial"/>
                <w:sz w:val="19"/>
                <w:szCs w:val="19"/>
                <w:color w:val="auto"/>
              </w:rPr>
              <w:t>By:</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5"/>
              </w:rPr>
              <w:t>/s/ David Rudow</w:t>
            </w:r>
          </w:p>
        </w:tc>
      </w:tr>
      <w:tr>
        <w:trPr>
          <w:trHeight w:val="229"/>
        </w:trPr>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5"/>
              </w:rPr>
              <w:t>David Rudow</w:t>
            </w:r>
          </w:p>
        </w:tc>
      </w:tr>
      <w:tr>
        <w:trPr>
          <w:trHeight w:val="248"/>
        </w:trPr>
        <w:tc>
          <w:tcPr>
            <w:tcW w:w="3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9"/>
                <w:szCs w:val="19"/>
                <w:color w:val="auto"/>
                <w:w w:val="97"/>
              </w:rPr>
              <w:t>Chief Financial Officer</w:t>
            </w:r>
          </w:p>
        </w:tc>
      </w:tr>
    </w:tbl>
    <w:p>
      <w:pPr>
        <w:spacing w:after="0" w:line="1" w:lineRule="exact"/>
        <w:rPr>
          <w:sz w:val="20"/>
          <w:szCs w:val="20"/>
          <w:color w:val="auto"/>
        </w:rPr>
      </w:pPr>
    </w:p>
    <w:sectPr>
      <w:pgSz w:w="11900" w:h="16838" w:orient="portrait"/>
      <w:cols w:equalWidth="0" w:num="1">
        <w:col w:w="11240"/>
      </w:cols>
      <w:pgMar w:left="320" w:top="13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upperLetter"/>
      <w:start w:val="68"/>
    </w:lvl>
    <w:lvl w:ilvl="1">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3"/>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upperLetter"/>
      <w:start w:val="1"/>
    </w:lvl>
  </w:abstractNum>
  <w:abstractNum w:abstractNumId="37">
    <w:nsid w:val="579478FE"/>
    <w:multiLevelType w:val="hybridMultilevel"/>
    <w:lvl w:ilvl="0">
      <w:lvlJc w:val="left"/>
      <w:lvlText w:val="%1."/>
      <w:numFmt w:val="decimal"/>
      <w:start w:val="1"/>
    </w:lvl>
    <w:lvl w:ilvl="1">
      <w:lvlJc w:val="left"/>
      <w:lvlText w:val="%2."/>
      <w:numFmt w:val="lowerLetter"/>
      <w:start w:val="1"/>
    </w:lvl>
  </w:abstractNum>
  <w:abstractNum w:abstractNumId="38">
    <w:nsid w:val="749ABB43"/>
    <w:multiLevelType w:val="hybridMultilevel"/>
    <w:lvl w:ilvl="0">
      <w:lvlJc w:val="left"/>
      <w:lvlText w:val="%1."/>
      <w:numFmt w:val="lowerLetter"/>
      <w:start w:val="3"/>
    </w:lvl>
  </w:abstractNum>
  <w:abstractNum w:abstractNumId="39">
    <w:nsid w:val="3DC240FB"/>
    <w:multiLevelType w:val="hybridMultilevel"/>
    <w:lvl w:ilvl="0">
      <w:lvlJc w:val="left"/>
      <w:lvlText w:val="(%1)"/>
      <w:numFmt w:val="lowerLetter"/>
      <w:start w:val="2"/>
    </w:lvl>
  </w:abstractNum>
  <w:abstractNum w:abstractNumId="40">
    <w:nsid w:val="1BA026FA"/>
    <w:multiLevelType w:val="hybridMultilevel"/>
    <w:lvl w:ilvl="0">
      <w:lvlJc w:val="left"/>
      <w:lvlText w:val="%1."/>
      <w:numFmt w:val="decimal"/>
      <w:start w:val="4"/>
    </w:lvl>
    <w:lvl w:ilvl="1">
      <w:lvlJc w:val="left"/>
      <w:lvlText w:val="%2."/>
      <w:numFmt w:val="lowerLetter"/>
      <w:start w:val="1"/>
    </w:lvl>
  </w:abstractNum>
  <w:abstractNum w:abstractNumId="41">
    <w:nsid w:val="79A1DEAA"/>
    <w:multiLevelType w:val="hybridMultilevel"/>
    <w:lvl w:ilvl="0">
      <w:lvlJc w:val="left"/>
      <w:lvlText w:val="%1."/>
      <w:numFmt w:val="decimal"/>
      <w:start w:val="5"/>
    </w:lvl>
    <w:lvl w:ilvl="1">
      <w:lvlJc w:val="left"/>
      <w:lvlText w:val="%2."/>
      <w:numFmt w:val="lowerLetter"/>
      <w:start w:val="1"/>
    </w:lvl>
  </w:abstractNum>
  <w:abstractNum w:abstractNumId="42">
    <w:nsid w:val="75C6C33A"/>
    <w:multiLevelType w:val="hybridMultilevel"/>
    <w:lvl w:ilvl="0">
      <w:lvlJc w:val="left"/>
      <w:lvlText w:val="%1."/>
      <w:numFmt w:val="decimal"/>
      <w:start w:val="1"/>
    </w:lvl>
    <w:lvl w:ilvl="1">
      <w:lvlJc w:val="left"/>
      <w:lvlText w:val="%2."/>
      <w:numFmt w:val="lowerLetter"/>
      <w:start w:val="1"/>
    </w:lvl>
  </w:abstractNum>
  <w:abstractNum w:abstractNumId="43">
    <w:nsid w:val="12E685FB"/>
    <w:multiLevelType w:val="hybridMultilevel"/>
    <w:lvl w:ilvl="0">
      <w:lvlJc w:val="left"/>
      <w:lvlText w:val="%1"/>
      <w:numFmt w:val="decimal"/>
      <w:start w:val="1"/>
    </w:lvl>
    <w:lvl w:ilvl="1">
      <w:lvlJc w:val="left"/>
      <w:lvlText w:val="%2."/>
      <w:numFmt w:val="lowerRoman"/>
      <w:start w:val="1"/>
    </w:lvl>
  </w:abstractNum>
  <w:abstractNum w:abstractNumId="44">
    <w:nsid w:val="70C6A529"/>
    <w:multiLevelType w:val="hybridMultilevel"/>
    <w:lvl w:ilvl="0">
      <w:lvlJc w:val="left"/>
      <w:lvlText w:val="%1."/>
      <w:numFmt w:val="decimal"/>
      <w:start w:val="2"/>
    </w:lvl>
    <w:lvl w:ilvl="1">
      <w:lvlJc w:val="left"/>
      <w:lvlText w:val="%2"/>
      <w:numFmt w:val="lowerRoman"/>
      <w:start w:val="1"/>
    </w:lvl>
  </w:abstractNum>
  <w:abstractNum w:abstractNumId="45">
    <w:nsid w:val="520EEDD1"/>
    <w:multiLevelType w:val="hybridMultilevel"/>
    <w:lvl w:ilvl="0">
      <w:lvlJc w:val="left"/>
      <w:lvlText w:val="%1."/>
      <w:numFmt w:val="decimal"/>
      <w:start w:val="5"/>
    </w:lvl>
    <w:lvl w:ilvl="1">
      <w:lvlJc w:val="left"/>
      <w:lvlText w:val="%2."/>
      <w:numFmt w:val="lowerLetter"/>
      <w:start w:val="1"/>
    </w:lvl>
  </w:abstractNum>
  <w:abstractNum w:abstractNumId="46">
    <w:nsid w:val="374A3FE6"/>
    <w:multiLevelType w:val="hybridMultilevel"/>
    <w:lvl w:ilvl="0">
      <w:lvlJc w:val="left"/>
      <w:lvlText w:val="%1"/>
      <w:numFmt w:val="lowerRoman"/>
      <w:start w:val="1"/>
    </w:lvl>
    <w:lvl w:ilvl="1">
      <w:lvlJc w:val="left"/>
      <w:lvlText w:val="%2."/>
      <w:numFmt w:val="lowerLetter"/>
      <w:start w:val="2"/>
    </w:lvl>
  </w:abstractNum>
  <w:abstractNum w:abstractNumId="47">
    <w:nsid w:val="4F4EF005"/>
    <w:multiLevelType w:val="hybridMultilevel"/>
    <w:lvl w:ilvl="0">
      <w:lvlJc w:val="left"/>
      <w:lvlText w:val="(%1)"/>
      <w:numFmt w:val="lowerRoman"/>
      <w:start w:val="10"/>
    </w:lvl>
    <w:lvl w:ilvl="1">
      <w:lvlJc w:val="left"/>
      <w:lvlText w:val="%2"/>
      <w:numFmt w:val="lowerLetter"/>
      <w:start w:val="1"/>
    </w:lvl>
  </w:abstractNum>
  <w:abstractNum w:abstractNumId="48">
    <w:nsid w:val="23F9C13C"/>
    <w:multiLevelType w:val="hybridMultilevel"/>
    <w:lvl w:ilvl="0">
      <w:lvlJc w:val="left"/>
      <w:lvlText w:val="%1."/>
      <w:numFmt w:val="decimal"/>
      <w:start w:val="8"/>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2"/>
    </w:lvl>
    <w:lvl w:ilvl="1">
      <w:lvlJc w:val="left"/>
      <w:lvlText w:val="%2"/>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7"/>
    </w:lvl>
  </w:abstractNum>
  <w:abstractNum w:abstractNumId="54">
    <w:nsid w:val="235BA861"/>
    <w:multiLevelType w:val="hybridMultilevel"/>
    <w:lvl w:ilvl="0">
      <w:lvlJc w:val="left"/>
      <w:lvlText w:val="%1."/>
      <w:numFmt w:val="decimal"/>
      <w:start w:val="14"/>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lowerLetter"/>
      <w:start w:val="2"/>
    </w:lvl>
  </w:abstractNum>
  <w:abstractNum w:abstractNumId="59">
    <w:nsid w:val="D34B6A8"/>
    <w:multiLevelType w:val="hybridMultilevel"/>
    <w:lvl w:ilvl="0">
      <w:lvlJc w:val="left"/>
      <w:lvlText w:val="§"/>
      <w:numFmt w:val="bullet"/>
      <w:start w:val="1"/>
    </w:lvl>
    <w:lvl w:ilvl="1">
      <w:lvlJc w:val="left"/>
      <w:lvlText w:val="%2."/>
      <w:numFmt w:val="decimal"/>
      <w:start w:val="1"/>
    </w:lvl>
  </w:abstractNum>
  <w:abstractNum w:abstractNumId="60">
    <w:nsid w:val="10233C9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jpe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28" Type="http://schemas.openxmlformats.org/officeDocument/2006/relationships/hyperlink" Target="https://www.sec.gov/Archives/edgar/data/1566895/000119312520187868/d828449dex31.htm" TargetMode="External"/><Relationship Id="rId129" Type="http://schemas.openxmlformats.org/officeDocument/2006/relationships/hyperlink" Target="https://www.sec.gov/Archives/edgar/data/1566895/000119312520187868/d828449dex32.htm" TargetMode="External"/><Relationship Id="rId130" Type="http://schemas.openxmlformats.org/officeDocument/2006/relationships/hyperlink" Target="https://www.sec.gov/Archives/edgar/data/1566895/000119312520187868/d828449dex41.htm" TargetMode="External"/><Relationship Id="rId131" Type="http://schemas.openxmlformats.org/officeDocument/2006/relationships/hyperlink" Target="https://www.sec.gov/Archives/edgar/data/1566895/000119312520174870/d828449dex42.htm" TargetMode="External"/><Relationship Id="rId132" Type="http://schemas.openxmlformats.org/officeDocument/2006/relationships/hyperlink" Target="https://www.sec.gov/Archives/edgar/data/1566895/000119312520187868/d828449dex43.htm" TargetMode="External"/><Relationship Id="rId133" Type="http://schemas.openxmlformats.org/officeDocument/2006/relationships/hyperlink" Target="https://www.sec.gov/Archives/edgar/data/1566895/000119312520187868/d828449dex44.htm" TargetMode="External"/><Relationship Id="rId134" Type="http://schemas.openxmlformats.org/officeDocument/2006/relationships/hyperlink" Target="https://www.sec.gov/Archives/edgar/data/1566895/000119312520187868/d828449dex45.htm" TargetMode="External"/><Relationship Id="rId135" Type="http://schemas.openxmlformats.org/officeDocument/2006/relationships/hyperlink" Target="https://www.sec.gov/Archives/edgar/data/1566895/000119312520187868/d828449dex46.htm" TargetMode="External"/><Relationship Id="rId136" Type="http://schemas.openxmlformats.org/officeDocument/2006/relationships/hyperlink" Target="https://www.sec.gov/Archives/edgar/data/1566895/000119312520187868/d828449dex47.htm" TargetMode="External"/><Relationship Id="rId137" Type="http://schemas.openxmlformats.org/officeDocument/2006/relationships/hyperlink" Target="https://www.sec.gov/Archives/edgar/data/1566895/000119312520187868/d828449dex48.htm" TargetMode="External"/><Relationship Id="rId138" Type="http://schemas.openxmlformats.org/officeDocument/2006/relationships/hyperlink" Target="https://www.sec.gov/Archives/edgar/data/1566895/000119312520187868/d828449dex49.htm" TargetMode="External"/><Relationship Id="rId139" Type="http://schemas.openxmlformats.org/officeDocument/2006/relationships/hyperlink" Target="https://www.sec.gov/Archives/edgar/data/1566895/000119312520174870/d828449dex101.htm" TargetMode="External"/><Relationship Id="rId140" Type="http://schemas.openxmlformats.org/officeDocument/2006/relationships/hyperlink" Target="https://www.sec.gov/Archives/edgar/data/1566895/000119312520187868/d828449dex102.htm" TargetMode="External"/><Relationship Id="rId141" Type="http://schemas.openxmlformats.org/officeDocument/2006/relationships/hyperlink" Target="https://www.sec.gov/Archives/edgar/data/1566895/000119312520187868/d828449dex103.htm" TargetMode="External"/><Relationship Id="rId142" Type="http://schemas.openxmlformats.org/officeDocument/2006/relationships/hyperlink" Target="https://www.sec.gov/Archives/edgar/data/1566895/000119312520187868/d828449dex104.htm" TargetMode="External"/><Relationship Id="rId143" Type="http://schemas.openxmlformats.org/officeDocument/2006/relationships/hyperlink" Target="https://www.sec.gov/Archives/edgar/data/1566895/000119312520187868/d828449dex105.htm" TargetMode="External"/><Relationship Id="rId144" Type="http://schemas.openxmlformats.org/officeDocument/2006/relationships/hyperlink" Target="https://www.sec.gov/Archives/edgar/data/1566895/000119312520187868/d828449dex106.htm" TargetMode="External"/><Relationship Id="rId145" Type="http://schemas.openxmlformats.org/officeDocument/2006/relationships/hyperlink" Target="https://www.sec.gov/Archives/edgar/data/1566895/000119312520174870/d828449dex107.htm" TargetMode="External"/><Relationship Id="rId146" Type="http://schemas.openxmlformats.org/officeDocument/2006/relationships/hyperlink" Target="https://www.sec.gov/Archives/edgar/data/1566895/000119312520187868/d828449dex108.htm" TargetMode="External"/><Relationship Id="rId149" Type="http://schemas.openxmlformats.org/officeDocument/2006/relationships/hyperlink" Target="https://www.sec.gov/Archives/edgar/data/1566895/000162828020016993/existingbuildinglease-.htm" TargetMode="External"/><Relationship Id="rId150" Type="http://schemas.openxmlformats.org/officeDocument/2006/relationships/hyperlink" Target="https://www.sec.gov/Archives/edgar/data/1566895/000162828020016993/wilmingtoninvestorsnci.htm" TargetMode="External"/><Relationship Id="rId151" Type="http://schemas.openxmlformats.org/officeDocument/2006/relationships/hyperlink" Target="https://www.sec.gov/Archives/edgar/data/1566895/000162828020016993/ncinocloud-agreement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2021-03-31T17:10:04Z</dcterms:created>
  <dcterms:modified xsi:type="dcterms:W3CDTF">2021-03-31T17:10:04Z</dcterms:modified>
</cp:coreProperties>
</file>