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1c85ef61e0a407c97dad8b6e3f391a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FORM 10-Q</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bidi w:val="0"/>
        <w:spacing w:lineRule="auto" w:line="288" w:before="120" w:after="283"/>
        <w:jc w:val="center"/>
        <w:rPr/>
      </w:pPr>
      <w:r>
        <w:rPr>
          <w:color w:val="000000"/>
        </w:rPr>
        <w:t>☒    </w:t>
      </w:r>
      <w:r>
        <w:rPr>
          <w:rFonts w:ascii="Times New Roman;sans-serif" w:hAnsi="Times New Roman;sans-serif"/>
          <w:b/>
          <w:color w:val="000000"/>
          <w:sz w:val="16"/>
        </w:rPr>
        <w:t xml:space="preserve">QUARTERLY REPORT PURSUANT TO SECTION 13 OR 15(d) OF THE SECURITIES EXCHANGE ACT OF 1934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April 30, 2023</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0" w:after="0"/>
        <w:jc w:val="center"/>
        <w:rPr/>
      </w:pPr>
      <w:r>
        <w:rPr>
          <w:rFonts w:ascii="Times New Roman;sans-serif" w:hAnsi="Times New Roman;sans-serif"/>
          <w:b/>
          <w:color w:val="000000"/>
          <w:sz w:val="16"/>
        </w:rPr>
        <w:t>For the transition period from __to __</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001-41211</w:t>
      </w:r>
    </w:p>
    <w:p>
      <w:pPr>
        <w:pStyle w:val="TextBody"/>
        <w:bidi w:val="0"/>
        <w:spacing w:before="0" w:after="0"/>
        <w:jc w:val="center"/>
        <w:rPr/>
      </w:pPr>
      <w:r>
        <w:rPr/>
      </w:r>
    </w:p>
    <w:p>
      <w:pPr>
        <w:pStyle w:val="TextBody"/>
        <w:bidi w:val="0"/>
        <w:spacing w:lineRule="auto" w:line="288" w:before="40" w:after="283"/>
        <w:jc w:val="center"/>
        <w:rPr>
          <w:rFonts w:ascii="Times New Roman;sans-serif" w:hAnsi="Times New Roman;sans-serif"/>
          <w:b/>
          <w:color w:val="000000"/>
          <w:sz w:val="34"/>
        </w:rPr>
      </w:pPr>
      <w:r>
        <w:rPr>
          <w:rFonts w:ascii="Times New Roman;sans-serif" w:hAnsi="Times New Roman;sans-serif"/>
          <w:b/>
          <w:color w:val="000000"/>
          <w:sz w:val="34"/>
        </w:rPr>
        <w:t>nCino, Inc.</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4105" w:type="dxa"/>
        <w:jc w:val="center"/>
        <w:tblInd w:w="0" w:type="dxa"/>
        <w:tblLayout w:type="fixed"/>
        <w:tblCellMar>
          <w:top w:w="28" w:type="dxa"/>
          <w:left w:w="28" w:type="dxa"/>
          <w:bottom w:w="28" w:type="dxa"/>
          <w:right w:w="28" w:type="dxa"/>
        </w:tblCellMar>
      </w:tblPr>
      <w:tblGrid>
        <w:gridCol w:w="844"/>
        <w:gridCol w:w="745"/>
        <w:gridCol w:w="750"/>
        <w:gridCol w:w="109"/>
        <w:gridCol w:w="109"/>
        <w:gridCol w:w="109"/>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87-4154342</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6770 Parker Farm Drive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Wilmington, North Carolina 28405</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 including zip code)</w:t>
      </w:r>
    </w:p>
    <w:p>
      <w:pPr>
        <w:pStyle w:val="TextBody"/>
        <w:bidi w:val="0"/>
        <w:spacing w:before="40" w:after="283"/>
        <w:jc w:val="center"/>
        <w:rPr/>
      </w:pPr>
      <w:r>
        <w:rPr/>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(888) 676-2466</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before="40" w:after="283"/>
        <w:jc w:val="center"/>
        <w:rPr/>
      </w:pPr>
      <w:r>
        <w:rPr/>
      </w:r>
    </w:p>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977" w:type="dxa"/>
        <w:jc w:val="center"/>
        <w:tblInd w:w="0" w:type="dxa"/>
        <w:tblLayout w:type="fixed"/>
        <w:tblCellMar>
          <w:top w:w="28" w:type="dxa"/>
          <w:left w:w="28" w:type="dxa"/>
          <w:bottom w:w="28" w:type="dxa"/>
          <w:right w:w="28" w:type="dxa"/>
        </w:tblCellMar>
      </w:tblPr>
      <w:tblGrid>
        <w:gridCol w:w="1160"/>
        <w:gridCol w:w="1018"/>
        <w:gridCol w:w="1031"/>
        <w:gridCol w:w="484"/>
        <w:gridCol w:w="484"/>
        <w:gridCol w:w="486"/>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$0.0005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NCNO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before="0" w:after="0"/>
        <w:ind w:left="0" w:right="0" w:firstLine="990"/>
        <w:jc w:val="left"/>
        <w:rPr/>
      </w:pPr>
      <w:r>
        <w:rPr/>
      </w:r>
    </w:p>
    <w:p>
      <w:pPr>
        <w:pStyle w:val="TextBody"/>
        <w:bidi w:val="0"/>
        <w:spacing w:lineRule="auto" w:line="264" w:before="4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before="40" w:after="283"/>
        <w:ind w:left="0" w:right="0" w:firstLine="990"/>
        <w:jc w:val="left"/>
        <w:rPr/>
      </w:pPr>
      <w:r>
        <w:rPr/>
      </w:r>
    </w:p>
    <w:p>
      <w:pPr>
        <w:pStyle w:val="TextBody"/>
        <w:bidi w:val="0"/>
        <w:spacing w:lineRule="auto" w:line="264"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40" w:after="283"/>
        <w:jc w:val="left"/>
        <w:rPr/>
      </w:pPr>
      <w:r>
        <w:rPr/>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lineRule="auto" w:line="288" w:before="4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40" w:after="283"/>
        <w:ind w:left="0" w:right="0" w:firstLine="990"/>
        <w:jc w:val="left"/>
        <w:rPr/>
      </w:pPr>
      <w:r>
        <w:rPr/>
      </w:r>
    </w:p>
    <w:p>
      <w:pPr>
        <w:pStyle w:val="TextBody"/>
        <w:bidi w:val="0"/>
        <w:spacing w:lineRule="auto" w:line="288" w:before="40" w:after="283"/>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 112,253,503 shares of common stock, $0.0005 par value per share, as of May 26, 2023.</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4"/>
        <w:gridCol w:w="239"/>
        <w:gridCol w:w="235"/>
        <w:gridCol w:w="2997"/>
        <w:gridCol w:w="2964"/>
        <w:gridCol w:w="2972"/>
        <w:gridCol w:w="149"/>
        <w:gridCol w:w="149"/>
        <w:gridCol w:w="216"/>
      </w:tblGrid>
      <w:tr>
        <w:trPr/>
        <w:tc>
          <w:tcPr>
            <w:tcW w:w="2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10">
              <w:r>
                <w:rPr>
                  <w:rStyle w:val="InternetLink"/>
                  <w:rFonts w:ascii="Times New Roman;sans-serif" w:hAnsi="Times New Roman;sans-serif"/>
                  <w:b w:val="false"/>
                  <w:color w:val="0000FF"/>
                  <w:sz w:val="20"/>
                  <w:u w:val="single"/>
                </w:rPr>
                <w:t>Cautionary Note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10">
              <w:r>
                <w:rPr>
                  <w:rStyle w:val="InternetLink"/>
                  <w:rFonts w:ascii="Times New Roman;sans-serif" w:hAnsi="Times New Roman;sans-serif"/>
                  <w:b w:val="false"/>
                  <w:strike w:val="false"/>
                  <w:dstrike w:val="false"/>
                  <w:color w:val="000000"/>
                  <w:sz w:val="20"/>
                  <w:u w:val="none"/>
                  <w:effect w:val="none"/>
                </w:rPr>
                <w:t>i</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c85ef61e0a407c97dad8b6e3f391aa_13">
              <w:r>
                <w:rPr>
                  <w:rStyle w:val="InternetLink"/>
                  <w:rFonts w:ascii="Times New Roman;sans-serif" w:hAnsi="Times New Roman;sans-serif"/>
                  <w:b/>
                  <w:color w:val="0000FF"/>
                  <w:sz w:val="20"/>
                  <w:u w:val="single"/>
                </w:rPr>
                <w:t>Part I. 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16">
              <w:r>
                <w:rPr>
                  <w:rStyle w:val="InternetLink"/>
                  <w:rFonts w:ascii="Times New Roman;sans-serif" w:hAnsi="Times New Roman;sans-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16">
              <w:r>
                <w:rPr>
                  <w:rStyle w:val="InternetLink"/>
                  <w:rFonts w:ascii="Times New Roman;sans-serif" w:hAnsi="Times New Roman;sans-serif"/>
                  <w:b w:val="false"/>
                  <w:strike w:val="false"/>
                  <w:dstrike w:val="false"/>
                  <w:color w:val="000000"/>
                  <w:sz w:val="20"/>
                  <w:u w:val="none"/>
                  <w:effect w:val="none"/>
                </w:rPr>
                <w:t>1</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19">
              <w:r>
                <w:rPr>
                  <w:rStyle w:val="InternetLink"/>
                  <w:rFonts w:ascii="Times New Roman;sans-serif" w:hAnsi="Times New Roman;sans-serif"/>
                  <w:b w:val="false"/>
                  <w:color w:val="0000FF"/>
                  <w:sz w:val="20"/>
                  <w:u w:val="single"/>
                </w:rPr>
                <w:t>Condensed Consolidated Balance Sheets as of January 31, 2023 and April 30, 2023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19">
              <w:r>
                <w:rPr>
                  <w:rStyle w:val="InternetLink"/>
                  <w:rFonts w:ascii="Times New Roman;sans-serif" w:hAnsi="Times New Roman;sans-serif"/>
                  <w:b w:val="false"/>
                  <w:strike w:val="false"/>
                  <w:dstrike w:val="false"/>
                  <w:color w:val="000000"/>
                  <w:sz w:val="20"/>
                  <w:u w:val="none"/>
                  <w:effect w:val="none"/>
                </w:rPr>
                <w:t>1</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2">
              <w:r>
                <w:rPr>
                  <w:rStyle w:val="InternetLink"/>
                  <w:rFonts w:ascii="Times New Roman;sans-serif" w:hAnsi="Times New Roman;sans-serif"/>
                  <w:b w:val="false"/>
                  <w:color w:val="0000FF"/>
                  <w:sz w:val="20"/>
                  <w:u w:val="single"/>
                </w:rPr>
                <w:t>Unaudited Condensed Consolidated Statements of Operations for the Three Months Ended April 30, 2022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2">
              <w:r>
                <w:rPr>
                  <w:rStyle w:val="InternetLink"/>
                  <w:rFonts w:ascii="Times New Roman;sans-serif" w:hAnsi="Times New Roman;sans-serif"/>
                  <w:b w:val="false"/>
                  <w:strike w:val="false"/>
                  <w:dstrike w:val="false"/>
                  <w:color w:val="000000"/>
                  <w:sz w:val="20"/>
                  <w:u w:val="none"/>
                  <w:effect w:val="none"/>
                </w:rPr>
                <w:t>2</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5">
              <w:r>
                <w:rPr>
                  <w:rStyle w:val="InternetLink"/>
                  <w:rFonts w:ascii="Times New Roman;sans-serif" w:hAnsi="Times New Roman;sans-serif"/>
                  <w:b w:val="false"/>
                  <w:color w:val="0000FF"/>
                  <w:sz w:val="20"/>
                  <w:u w:val="single"/>
                </w:rPr>
                <w:t>Unaudited Condensed Consolidated Statements of Comprehensive Loss for the Three Months Ended April 30, 2022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5">
              <w:r>
                <w:rPr>
                  <w:rStyle w:val="InternetLink"/>
                  <w:rFonts w:ascii="Times New Roman;sans-serif" w:hAnsi="Times New Roman;sans-serif"/>
                  <w:b w:val="false"/>
                  <w:strike w:val="false"/>
                  <w:dstrike w:val="false"/>
                  <w:color w:val="000000"/>
                  <w:sz w:val="20"/>
                  <w:u w:val="none"/>
                  <w:effect w:val="none"/>
                </w:rPr>
                <w:t>3</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8">
              <w:r>
                <w:rPr>
                  <w:rStyle w:val="InternetLink"/>
                  <w:rFonts w:ascii="Times New Roman;sans-serif" w:hAnsi="Times New Roman;sans-serif"/>
                  <w:b w:val="false"/>
                  <w:color w:val="0000FF"/>
                  <w:sz w:val="20"/>
                  <w:u w:val="single"/>
                </w:rPr>
                <w:t>Unaudited Condensed Consolidated Statements of Stockholders' Equity for the Three Months Ended April 30, 2022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8">
              <w:r>
                <w:rPr>
                  <w:rStyle w:val="InternetLink"/>
                  <w:rFonts w:ascii="Times New Roman;sans-serif" w:hAnsi="Times New Roman;sans-serif"/>
                  <w:b w:val="false"/>
                  <w:strike w:val="false"/>
                  <w:dstrike w:val="false"/>
                  <w:color w:val="000000"/>
                  <w:sz w:val="20"/>
                  <w:u w:val="none"/>
                  <w:effect w:val="none"/>
                </w:rPr>
                <w:t>4</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34">
              <w:r>
                <w:rPr>
                  <w:rStyle w:val="InternetLink"/>
                  <w:rFonts w:ascii="Times New Roman;sans-serif" w:hAnsi="Times New Roman;sans-serif"/>
                  <w:b w:val="false"/>
                  <w:color w:val="0000FF"/>
                  <w:sz w:val="20"/>
                  <w:u w:val="single"/>
                </w:rPr>
                <w:t>Unaudited Condensed Consolidated Statements of Cash Flows for the Three Months Ended April 30, 2022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34">
              <w:r>
                <w:rPr>
                  <w:rStyle w:val="InternetLink"/>
                  <w:rFonts w:ascii="Times New Roman;sans-serif" w:hAnsi="Times New Roman;sans-serif"/>
                  <w:b w:val="false"/>
                  <w:strike w:val="false"/>
                  <w:dstrike w:val="false"/>
                  <w:color w:val="000000"/>
                  <w:sz w:val="20"/>
                  <w:u w:val="none"/>
                  <w:effect w:val="none"/>
                </w:rPr>
                <w:t>5</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37">
              <w:r>
                <w:rPr>
                  <w:rStyle w:val="InternetLink"/>
                  <w:rFonts w:ascii="Times New Roman;sans-serif" w:hAnsi="Times New Roman;sans-serif"/>
                  <w:b w:val="false"/>
                  <w:color w:val="0000FF"/>
                  <w:sz w:val="20"/>
                  <w:u w:val="single"/>
                </w:rPr>
                <w:t>Notes to Unaudited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37">
              <w:r>
                <w:rPr>
                  <w:rStyle w:val="InternetLink"/>
                  <w:rFonts w:ascii="Times New Roman;sans-serif" w:hAnsi="Times New Roman;sans-serif"/>
                  <w:b w:val="false"/>
                  <w:strike w:val="false"/>
                  <w:dstrike w:val="false"/>
                  <w:color w:val="000000"/>
                  <w:sz w:val="20"/>
                  <w:u w:val="none"/>
                  <w:effect w:val="none"/>
                </w:rPr>
                <w:t>6</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12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127">
              <w:r>
                <w:rPr>
                  <w:rStyle w:val="InternetLink"/>
                  <w:rFonts w:ascii="Times New Roman;sans-serif" w:hAnsi="Times New Roman;sans-serif"/>
                  <w:b w:val="false"/>
                  <w:strike w:val="false"/>
                  <w:dstrike w:val="false"/>
                  <w:color w:val="000000"/>
                  <w:sz w:val="20"/>
                  <w:u w:val="none"/>
                  <w:effect w:val="none"/>
                </w:rPr>
                <w:t>21</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187">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187">
              <w:r>
                <w:rPr>
                  <w:rStyle w:val="InternetLink"/>
                  <w:rFonts w:ascii="Times New Roman;sans-serif" w:hAnsi="Times New Roman;sans-serif"/>
                  <w:b w:val="false"/>
                  <w:strike w:val="false"/>
                  <w:dstrike w:val="false"/>
                  <w:color w:val="000000"/>
                  <w:sz w:val="20"/>
                  <w:u w:val="none"/>
                  <w:effect w:val="none"/>
                </w:rPr>
                <w:t>32</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193">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193">
              <w:r>
                <w:rPr>
                  <w:rStyle w:val="InternetLink"/>
                  <w:rFonts w:ascii="Times New Roman;sans-serif" w:hAnsi="Times New Roman;sans-serif"/>
                  <w:b w:val="false"/>
                  <w:strike w:val="false"/>
                  <w:dstrike w:val="false"/>
                  <w:color w:val="000000"/>
                  <w:sz w:val="20"/>
                  <w:u w:val="none"/>
                  <w:effect w:val="none"/>
                </w:rPr>
                <w:t>33</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c85ef61e0a407c97dad8b6e3f391aa_199">
              <w:r>
                <w:rPr>
                  <w:rStyle w:val="InternetLink"/>
                  <w:rFonts w:ascii="Times New Roman;sans-serif" w:hAnsi="Times New Roman;sans-serif"/>
                  <w:b/>
                  <w:color w:val="0000FF"/>
                  <w:sz w:val="20"/>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02">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02">
              <w:r>
                <w:rPr>
                  <w:rStyle w:val="InternetLink"/>
                  <w:rFonts w:ascii="Times New Roman;sans-serif" w:hAnsi="Times New Roman;sans-serif"/>
                  <w:b w:val="false"/>
                  <w:strike w:val="false"/>
                  <w:dstrike w:val="false"/>
                  <w:color w:val="000000"/>
                  <w:sz w:val="20"/>
                  <w:u w:val="none"/>
                  <w:effect w:val="none"/>
                </w:rPr>
                <w:t>34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05">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02">
              <w:r>
                <w:rPr>
                  <w:rStyle w:val="InternetLink"/>
                  <w:rFonts w:ascii="Times New Roman;sans-serif" w:hAnsi="Times New Roman;sans-serif"/>
                  <w:b w:val="false"/>
                  <w:strike w:val="false"/>
                  <w:dstrike w:val="false"/>
                  <w:color w:val="000000"/>
                  <w:sz w:val="20"/>
                  <w:u w:val="none"/>
                  <w:effect w:val="none"/>
                </w:rPr>
                <w:t>34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08">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08">
              <w:r>
                <w:rPr>
                  <w:rStyle w:val="InternetLink"/>
                  <w:rFonts w:ascii="Times New Roman;sans-serif" w:hAnsi="Times New Roman;sans-serif"/>
                  <w:b w:val="false"/>
                  <w:strike w:val="false"/>
                  <w:dstrike w:val="false"/>
                  <w:color w:val="000000"/>
                  <w:sz w:val="20"/>
                  <w:u w:val="none"/>
                  <w:effect w:val="none"/>
                </w:rPr>
                <w:t>34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14">
              <w:r>
                <w:rPr>
                  <w:rStyle w:val="InternetLink"/>
                  <w:rFonts w:ascii="Times New Roman;sans-serif" w:hAnsi="Times New Roman;sans-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14">
              <w:r>
                <w:rPr>
                  <w:rStyle w:val="InternetLink"/>
                  <w:rFonts w:ascii="Times New Roman;sans-serif" w:hAnsi="Times New Roman;sans-serif"/>
                  <w:b w:val="false"/>
                  <w:strike w:val="false"/>
                  <w:dstrike w:val="false"/>
                  <w:color w:val="000000"/>
                  <w:sz w:val="20"/>
                  <w:u w:val="none"/>
                  <w:effect w:val="none"/>
                </w:rPr>
                <w:t>34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17">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17">
              <w:r>
                <w:rPr>
                  <w:rStyle w:val="InternetLink"/>
                  <w:rFonts w:ascii="Times New Roman;sans-serif" w:hAnsi="Times New Roman;sans-serif"/>
                  <w:b w:val="false"/>
                  <w:strike w:val="false"/>
                  <w:dstrike w:val="false"/>
                  <w:color w:val="000000"/>
                  <w:sz w:val="20"/>
                  <w:u w:val="none"/>
                  <w:effect w:val="none"/>
                </w:rPr>
                <w:t>34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20">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20">
              <w:r>
                <w:rPr>
                  <w:rStyle w:val="InternetLink"/>
                  <w:rFonts w:ascii="Times New Roman;sans-serif" w:hAnsi="Times New Roman;sans-serif"/>
                  <w:b w:val="false"/>
                  <w:strike w:val="false"/>
                  <w:dstrike w:val="false"/>
                  <w:color w:val="000000"/>
                  <w:sz w:val="20"/>
                  <w:u w:val="none"/>
                  <w:effect w:val="none"/>
                </w:rPr>
                <w:t>34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23">
              <w:r>
                <w:rPr>
                  <w:rStyle w:val="InternetLink"/>
                  <w:rFonts w:ascii="Times New Roman;sans-serif" w:hAnsi="Times New Roman;sans-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23">
              <w:r>
                <w:rPr>
                  <w:rStyle w:val="InternetLink"/>
                  <w:rFonts w:ascii="Times New Roman;sans-serif" w:hAnsi="Times New Roman;sans-serif"/>
                  <w:b w:val="false"/>
                  <w:strike w:val="false"/>
                  <w:dstrike w:val="false"/>
                  <w:color w:val="000000"/>
                  <w:sz w:val="20"/>
                  <w:u w:val="none"/>
                  <w:effect w:val="none"/>
                </w:rPr>
                <w:t>35</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85ef61e0a407c97dad8b6e3f391aa_226">
              <w:r>
                <w:rPr>
                  <w:rStyle w:val="InternetLink"/>
                  <w:rFonts w:ascii="Times New Roman;sans-serif" w:hAnsi="Times New Roman;sans-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85ef61e0a407c97dad8b6e3f391aa_226">
              <w:r>
                <w:rPr>
                  <w:rStyle w:val="InternetLink"/>
                  <w:rFonts w:ascii="Times New Roman;sans-serif" w:hAnsi="Times New Roman;sans-serif"/>
                  <w:b w:val="false"/>
                  <w:strike w:val="false"/>
                  <w:dstrike w:val="false"/>
                  <w:color w:val="000000"/>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report, the terms “nCino,” the “Company,” “we,” “us,” and “our” mean nCino,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92"/>
        <w:gridCol w:w="2144"/>
        <w:gridCol w:w="2171"/>
        <w:gridCol w:w="216"/>
        <w:gridCol w:w="1001"/>
        <w:gridCol w:w="111"/>
        <w:gridCol w:w="109"/>
        <w:gridCol w:w="109"/>
        <w:gridCol w:w="109"/>
        <w:gridCol w:w="211"/>
        <w:gridCol w:w="976"/>
        <w:gridCol w:w="156"/>
      </w:tblGrid>
      <w:tr>
        <w:trPr/>
        <w:tc>
          <w:tcPr>
            <w:tcW w:w="2892"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(VIE: $2,019 and $1,517 at January 31, 2023 and April 30, 2023, respectively)</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$899 and $1,037 at January 31, 2023 and April 30, 2023, respectively</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current portion, net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noncurrent, net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(related party $2,500 at January 31, 2023 and April 30, 2023)</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1,327,269 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1,314,464 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stockholders’ equity</w:t>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 portion</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current portion</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current portion</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noncurrent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0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noncurrent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noncurrent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0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 (Note 3)</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and none issued and outstanding as of January 31, 2023 and April 30, 2023</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$0.0005 par value; 500,000,000 shares authorized as of January 31, 2023 and April 30, 2023; 111,424,132 and 112,200,481 shares issued and outstanding as of January 31, 2023 and April 30, 2023, respectively</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1,327,269 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1,314,464 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22" w:type="dxa"/>
        <w:jc w:val="left"/>
        <w:tblInd w:w="0" w:type="dxa"/>
        <w:tblLayout w:type="fixed"/>
        <w:tblCellMar>
          <w:top w:w="28" w:type="dxa"/>
          <w:left w:w="28" w:type="dxa"/>
          <w:bottom w:w="28" w:type="dxa"/>
          <w:right w:w="28" w:type="dxa"/>
        </w:tblCellMar>
      </w:tblPr>
      <w:tblGrid>
        <w:gridCol w:w="2144"/>
        <w:gridCol w:w="1881"/>
        <w:gridCol w:w="1899"/>
        <w:gridCol w:w="264"/>
        <w:gridCol w:w="922"/>
        <w:gridCol w:w="109"/>
        <w:gridCol w:w="109"/>
        <w:gridCol w:w="109"/>
        <w:gridCol w:w="109"/>
        <w:gridCol w:w="264"/>
        <w:gridCol w:w="922"/>
        <w:gridCol w:w="109"/>
        <w:gridCol w:w="109"/>
        <w:gridCol w:w="109"/>
        <w:gridCol w:w="109"/>
        <w:gridCol w:w="154"/>
      </w:tblGrid>
      <w:tr>
        <w:trPr/>
        <w:tc>
          <w:tcPr>
            <w:tcW w:w="214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(Note 3)</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 (Note 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nCino, Inc.</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nCino, Inc.:</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109,998,637 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112,032,536 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09" w:type="dxa"/>
        <w:jc w:val="left"/>
        <w:tblInd w:w="0" w:type="dxa"/>
        <w:tblLayout w:type="fixed"/>
        <w:tblCellMar>
          <w:top w:w="28" w:type="dxa"/>
          <w:left w:w="28" w:type="dxa"/>
          <w:bottom w:w="28" w:type="dxa"/>
          <w:right w:w="28" w:type="dxa"/>
        </w:tblCellMar>
      </w:tblPr>
      <w:tblGrid>
        <w:gridCol w:w="2375"/>
        <w:gridCol w:w="2076"/>
        <w:gridCol w:w="2118"/>
        <w:gridCol w:w="211"/>
        <w:gridCol w:w="796"/>
        <w:gridCol w:w="109"/>
        <w:gridCol w:w="109"/>
        <w:gridCol w:w="109"/>
        <w:gridCol w:w="109"/>
        <w:gridCol w:w="211"/>
        <w:gridCol w:w="796"/>
        <w:gridCol w:w="109"/>
        <w:gridCol w:w="109"/>
        <w:gridCol w:w="109"/>
        <w:gridCol w:w="109"/>
        <w:gridCol w:w="154"/>
      </w:tblGrid>
      <w:tr>
        <w:trPr/>
        <w:tc>
          <w:tcPr>
            <w:tcW w:w="2375"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comprehensive loss attributable to redeemable non-controlling interest:</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attributable to redeemable 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redeemable non-controlling interest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nCino,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20"/>
        <w:gridCol w:w="304"/>
        <w:gridCol w:w="305"/>
        <w:gridCol w:w="593"/>
        <w:gridCol w:w="593"/>
        <w:gridCol w:w="186"/>
        <w:gridCol w:w="109"/>
        <w:gridCol w:w="109"/>
        <w:gridCol w:w="109"/>
        <w:gridCol w:w="211"/>
        <w:gridCol w:w="361"/>
        <w:gridCol w:w="109"/>
        <w:gridCol w:w="109"/>
        <w:gridCol w:w="109"/>
        <w:gridCol w:w="109"/>
        <w:gridCol w:w="211"/>
        <w:gridCol w:w="976"/>
        <w:gridCol w:w="109"/>
        <w:gridCol w:w="109"/>
        <w:gridCol w:w="109"/>
        <w:gridCol w:w="109"/>
        <w:gridCol w:w="318"/>
        <w:gridCol w:w="703"/>
        <w:gridCol w:w="165"/>
        <w:gridCol w:w="109"/>
        <w:gridCol w:w="109"/>
        <w:gridCol w:w="109"/>
        <w:gridCol w:w="211"/>
        <w:gridCol w:w="842"/>
        <w:gridCol w:w="109"/>
        <w:gridCol w:w="109"/>
        <w:gridCol w:w="109"/>
        <w:gridCol w:w="109"/>
        <w:gridCol w:w="211"/>
        <w:gridCol w:w="976"/>
        <w:gridCol w:w="157"/>
      </w:tblGrid>
      <w:tr>
        <w:trPr/>
        <w:tc>
          <w:tcPr>
            <w:tcW w:w="9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2022</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br/>
              <w:t xml:space="preserve">Comprehensive </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109,778,542 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30, 2022</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110,128,561 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1,051,837 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0"/>
        <w:gridCol w:w="304"/>
        <w:gridCol w:w="305"/>
        <w:gridCol w:w="593"/>
        <w:gridCol w:w="593"/>
        <w:gridCol w:w="186"/>
        <w:gridCol w:w="109"/>
        <w:gridCol w:w="109"/>
        <w:gridCol w:w="109"/>
        <w:gridCol w:w="211"/>
        <w:gridCol w:w="361"/>
        <w:gridCol w:w="109"/>
        <w:gridCol w:w="109"/>
        <w:gridCol w:w="109"/>
        <w:gridCol w:w="109"/>
        <w:gridCol w:w="211"/>
        <w:gridCol w:w="976"/>
        <w:gridCol w:w="109"/>
        <w:gridCol w:w="109"/>
        <w:gridCol w:w="109"/>
        <w:gridCol w:w="109"/>
        <w:gridCol w:w="318"/>
        <w:gridCol w:w="703"/>
        <w:gridCol w:w="165"/>
        <w:gridCol w:w="109"/>
        <w:gridCol w:w="109"/>
        <w:gridCol w:w="109"/>
        <w:gridCol w:w="211"/>
        <w:gridCol w:w="842"/>
        <w:gridCol w:w="109"/>
        <w:gridCol w:w="109"/>
        <w:gridCol w:w="109"/>
        <w:gridCol w:w="109"/>
        <w:gridCol w:w="211"/>
        <w:gridCol w:w="976"/>
        <w:gridCol w:w="157"/>
      </w:tblGrid>
      <w:tr>
        <w:trPr/>
        <w:tc>
          <w:tcPr>
            <w:tcW w:w="9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2023</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br/>
              <w:t xml:space="preserve">Comprehensive </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111,424,132 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30, 2023</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112,200,481 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1,025,419 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34" w:type="dxa"/>
        <w:jc w:val="left"/>
        <w:tblInd w:w="0" w:type="dxa"/>
        <w:tblLayout w:type="fixed"/>
        <w:tblCellMar>
          <w:top w:w="28" w:type="dxa"/>
          <w:left w:w="28" w:type="dxa"/>
          <w:bottom w:w="28" w:type="dxa"/>
          <w:right w:w="28" w:type="dxa"/>
        </w:tblCellMar>
      </w:tblPr>
      <w:tblGrid>
        <w:gridCol w:w="2463"/>
        <w:gridCol w:w="2157"/>
        <w:gridCol w:w="2175"/>
        <w:gridCol w:w="196"/>
        <w:gridCol w:w="721"/>
        <w:gridCol w:w="109"/>
        <w:gridCol w:w="109"/>
        <w:gridCol w:w="109"/>
        <w:gridCol w:w="109"/>
        <w:gridCol w:w="196"/>
        <w:gridCol w:w="736"/>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nCino,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and adjustment attributable to redeemable non-controlling interest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costs capitalized to obtain revenue contracts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foreign currency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capitalized to obtain revenue contracts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revolving credit facility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financing obligations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exchange rate changes on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end of period:</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long-term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accrued but not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exercise of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Organization and Description of Business</w:t>
      </w:r>
    </w:p>
    <w:p>
      <w:pPr>
        <w:pStyle w:val="TextBody"/>
        <w:bidi w:val="0"/>
        <w:spacing w:lineRule="auto" w:line="288" w:before="240" w:after="283"/>
        <w:ind w:left="0" w:right="0" w:firstLine="990"/>
        <w:jc w:val="left"/>
        <w:rPr/>
      </w:pPr>
      <w:r>
        <w:rPr>
          <w:rFonts w:ascii="Times New Roman;sans-serif" w:hAnsi="Times New Roman;sans-serif"/>
          <w:b/>
          <w:color w:val="000000"/>
          <w:sz w:val="20"/>
        </w:rPr>
        <w:t>Organization:</w:t>
      </w:r>
      <w:r>
        <w:rPr>
          <w:color w:val="000000"/>
        </w:rPr>
        <w:t xml:space="preserve"> </w:t>
      </w:r>
      <w:r>
        <w:rPr>
          <w:rFonts w:ascii="Times New Roman;sans-serif" w:hAnsi="Times New Roman;sans-serif"/>
          <w:b w:val="false"/>
          <w:color w:val="000000"/>
          <w:sz w:val="20"/>
        </w:rPr>
        <w:t>On November 16, 2021, nCino, Inc. (now nCino OpCo, Inc., "nCino OpCo") entered into an Agreement and Plan of Merger (the "Merger Agreement") with Penny HoldCo, Inc. (now nCino, Inc., "nCino, Inc."), a Delaware corporation incorporated on November 12, 2021 as a wholly-owned subsidiary of nCino OpCo, and certain other parties. On January 7, 2022, in connection with the closing of the transactions contemplated by the Merger Agreement, Penny HoldCo, Inc. changed its name to nCino, Inc. and nCino, Inc. changed its name to nCino OpCo, Inc. and became a wholly-owned subsidiary of nCino, Inc.</w:t>
      </w:r>
    </w:p>
    <w:p>
      <w:pPr>
        <w:pStyle w:val="TextBody"/>
        <w:bidi w:val="0"/>
        <w:spacing w:lineRule="auto" w:line="288" w:before="240" w:after="283"/>
        <w:ind w:left="0" w:right="0" w:firstLine="990"/>
        <w:jc w:val="left"/>
        <w:rPr/>
      </w:pPr>
      <w:r>
        <w:rPr>
          <w:rFonts w:ascii="Times New Roman;sans-serif" w:hAnsi="Times New Roman;sans-serif"/>
          <w:b/>
          <w:color w:val="000000"/>
          <w:sz w:val="20"/>
        </w:rPr>
        <w:t>Merger:</w:t>
      </w:r>
      <w:r>
        <w:rPr>
          <w:color w:val="000000"/>
        </w:rPr>
        <w:t xml:space="preserve"> </w:t>
      </w:r>
      <w:r>
        <w:rPr>
          <w:rFonts w:ascii="Times New Roman;sans-serif" w:hAnsi="Times New Roman;sans-serif"/>
          <w:b w:val="false"/>
          <w:color w:val="000000"/>
          <w:sz w:val="20"/>
        </w:rPr>
        <w:t>On January 7, 2022, pursuant to the Merger Agreement, nCino, Inc. and nCino OpCo completed a series of mergers in which nCino, Inc. became the parent of nCino OpCo and SimpleNexus, LLC ("SimpleNexus"). Each share of nCino OpCo common stock, par value $0.0005 per share, issued and outstanding was converted into one fully paid and nonassessable share of nCino, Inc. common stock, par value $0.0005. nCino, Inc. became the successor issuer and reporting company to nCino OpCo pursuant to Rule 12g-3(a) under the Securities Exchange Act of 1934, as amended. On January 10, 2022, shares of nCino OpCo were suspended from trading on the Nasdaq Global Select Market, and shares of nCino, Inc. commenced using nCino OpCo's trading history under the ticker symbol "NCNO".</w:t>
      </w:r>
    </w:p>
    <w:p>
      <w:pPr>
        <w:pStyle w:val="TextBody"/>
        <w:bidi w:val="0"/>
        <w:spacing w:lineRule="auto" w:line="288" w:before="240" w:after="283"/>
        <w:ind w:left="0" w:right="0" w:firstLine="990"/>
        <w:jc w:val="left"/>
        <w:rPr/>
      </w:pPr>
      <w:r>
        <w:rPr>
          <w:rFonts w:ascii="Times New Roman;sans-serif" w:hAnsi="Times New Roman;sans-serif"/>
          <w:b/>
          <w:color w:val="000000"/>
          <w:sz w:val="20"/>
        </w:rPr>
        <w:t>Description of Business:</w:t>
      </w:r>
      <w:r>
        <w:rPr>
          <w:color w:val="000000"/>
        </w:rPr>
        <w:t xml:space="preserve"> </w:t>
      </w:r>
      <w:r>
        <w:rPr>
          <w:rFonts w:ascii="Times New Roman;sans-serif" w:hAnsi="Times New Roman;sans-serif"/>
          <w:b w:val="false"/>
          <w:color w:val="000000"/>
          <w:sz w:val="20"/>
        </w:rPr>
        <w:t>The Company is a software-as-a-service ("SaaS") company that provides software applications to financial institutions to streamline employee and client interactions. The Company is headquartered in Wilmington, North Carolina and has various locations in the U.S., North America, Europe and Asia Pacific.</w:t>
      </w:r>
    </w:p>
    <w:p>
      <w:pPr>
        <w:pStyle w:val="TextBody"/>
        <w:bidi w:val="0"/>
        <w:spacing w:lineRule="auto" w:line="288" w:before="240" w:after="283"/>
        <w:ind w:left="0" w:right="0" w:firstLine="990"/>
        <w:jc w:val="left"/>
        <w:rPr/>
      </w:pPr>
      <w:r>
        <w:rPr>
          <w:rFonts w:ascii="Times New Roman;sans-serif" w:hAnsi="Times New Roman;sans-serif"/>
          <w:b/>
          <w:color w:val="000000"/>
          <w:sz w:val="20"/>
        </w:rPr>
        <w:t>Fiscal Year End:</w:t>
      </w:r>
      <w:r>
        <w:rPr>
          <w:color w:val="000000"/>
        </w:rPr>
        <w:t xml:space="preserve"> </w:t>
      </w:r>
      <w:r>
        <w:rPr>
          <w:rFonts w:ascii="Times New Roman;sans-serif" w:hAnsi="Times New Roman;sans-serif"/>
          <w:b w:val="false"/>
          <w:color w:val="000000"/>
          <w:sz w:val="20"/>
        </w:rPr>
        <w:t>The Company’s fiscal year ends on January 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240" w:after="283"/>
        <w:ind w:left="0" w:right="0" w:firstLine="990"/>
        <w:jc w:val="left"/>
        <w:rPr/>
      </w:pPr>
      <w:r>
        <w:rPr>
          <w:rFonts w:ascii="Times New Roman;sans-serif" w:hAnsi="Times New Roman;sans-serif"/>
          <w:b/>
          <w:color w:val="000000"/>
          <w:sz w:val="20"/>
        </w:rPr>
        <w:t>Principles of Consolidation and Basis of Presentation:</w:t>
      </w:r>
      <w:r>
        <w:rPr>
          <w:color w:val="000000"/>
        </w:rPr>
        <w:t xml:space="preserve"> </w:t>
      </w: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2023 filed with the SEC on March 28, 2023. The unaudited condensed consolidated financial statements include accounts of the Company’s wholly-owned subsidiaries, as well as a variable interest entity in which the Company is the primary beneficiary. All intercompany accounts and transactions are eliminated.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2024 or any future period.</w:t>
      </w:r>
    </w:p>
    <w:p>
      <w:pPr>
        <w:pStyle w:val="TextBody"/>
        <w:bidi w:val="0"/>
        <w:spacing w:lineRule="auto" w:line="288" w:before="240" w:after="283"/>
        <w:ind w:left="0" w:right="0" w:firstLine="990"/>
        <w:jc w:val="left"/>
        <w:rPr/>
      </w:pPr>
      <w:r>
        <w:rPr>
          <w:rFonts w:ascii="Times New Roman;sans-serif" w:hAnsi="Times New Roman;sans-serif"/>
          <w:b/>
          <w:color w:val="000000"/>
          <w:sz w:val="20"/>
        </w:rPr>
        <w:t>Variable Interest Entity:</w:t>
      </w:r>
      <w:r>
        <w:rPr>
          <w:color w:val="000000"/>
        </w:rPr>
        <w:t xml:space="preserve"> </w:t>
      </w:r>
      <w:r>
        <w:rPr>
          <w:rFonts w:ascii="Times New Roman;sans-serif" w:hAnsi="Times New Roman;sans-serif"/>
          <w:b w:val="false"/>
          <w:color w:val="000000"/>
          <w:sz w:val="20"/>
        </w:rPr>
        <w:t xml:space="preserve">The Company holds an interest in a Japanese company (“nCino K.K.”) that is considered a variable interest entity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pStyle w:val="TextBody"/>
        <w:bidi w:val="0"/>
        <w:spacing w:lineRule="auto" w:line="288" w:before="240" w:after="283"/>
        <w:ind w:left="0" w:right="0" w:firstLine="990"/>
        <w:jc w:val="left"/>
        <w:rPr/>
      </w:pPr>
      <w:r>
        <w:rPr>
          <w:rFonts w:ascii="Times New Roman;sans-serif" w:hAnsi="Times New Roman;sans-serif"/>
          <w:b/>
          <w:color w:val="000000"/>
          <w:sz w:val="20"/>
        </w:rPr>
        <w:t>Redeemable Non-Controlling Interest:</w:t>
      </w:r>
      <w:r>
        <w:rPr>
          <w:color w:val="000000"/>
        </w:rPr>
        <w:t xml:space="preserve"> </w:t>
      </w:r>
      <w:r>
        <w:rPr>
          <w:rFonts w:ascii="Times New Roman;sans-serif" w:hAnsi="Times New Roman;sans-serif"/>
          <w:b w:val="false"/>
          <w:color w:val="000000"/>
          <w:sz w:val="20"/>
        </w:rPr>
        <w:t>Redeemable non-controlling interest relates to minority investors of nCino K.K. An agreement with 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pStyle w:val="TextBody"/>
        <w:bidi w:val="0"/>
        <w:spacing w:lineRule="auto" w:line="288" w:before="240" w:after="283"/>
        <w:ind w:left="0" w:right="0" w:firstLine="990"/>
        <w:jc w:val="left"/>
        <w:rPr/>
      </w:pPr>
      <w:r>
        <w:rPr>
          <w:rFonts w:ascii="Times New Roman;sans-serif" w:hAnsi="Times New Roman;sans-serif"/>
          <w:b/>
          <w:color w:val="000000"/>
          <w:sz w:val="20"/>
        </w:rPr>
        <w:t>Use of Estimates:</w:t>
      </w:r>
      <w:r>
        <w:rPr>
          <w:color w:val="000000"/>
        </w:rPr>
        <w:t xml:space="preserve"> </w:t>
      </w:r>
      <w:r>
        <w:rPr>
          <w:rFonts w:ascii="Times New Roman;sans-serif" w:hAnsi="Times New Roman;sans-serif"/>
          <w:b w:val="false"/>
          <w:color w:val="000000"/>
          <w:sz w:val="20"/>
        </w:rPr>
        <w:t>The preparation of unaudited condensed consolidated financial statements in conformity with GAAP requires management 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pStyle w:val="TextBody"/>
        <w:bidi w:val="0"/>
        <w:spacing w:lineRule="auto" w:line="288" w:before="240" w:after="283"/>
        <w:ind w:left="0" w:right="0" w:firstLine="990"/>
        <w:jc w:val="left"/>
        <w:rPr/>
      </w:pPr>
      <w:r>
        <w:rPr>
          <w:rFonts w:ascii="Times New Roman;sans-serif" w:hAnsi="Times New Roman;sans-serif"/>
          <w:b/>
          <w:color w:val="000000"/>
          <w:sz w:val="20"/>
        </w:rPr>
        <w:t>Concentration of Credit Risk and Significant Customers:</w:t>
      </w:r>
      <w:r>
        <w:rPr>
          <w:color w:val="000000"/>
        </w:rPr>
        <w:t xml:space="preserve"> </w:t>
      </w:r>
      <w:r>
        <w:rPr>
          <w:rFonts w:ascii="Times New Roman;sans-serif" w:hAnsi="Times New Roman;sans-serif"/>
          <w:b w:val="false"/>
          <w:color w:val="000000"/>
          <w:sz w:val="20"/>
        </w:rPr>
        <w:t>The Company’s financial instruments that are exposed to concentration of credit risk consist primarily of cash, cash equivalents, restricted cash and accounts receivable. The Company’s cash and cash equivalents exceeded federally insured limits at January 31, 2023 and April 30, 2023. The Company maintains its cash, cash equivalents and restricted cash with high-credit-quality financial institutions.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2023, no individual customer represented over 10% of accounts receivable and, as of April 30, 2023, one individual customer represented 14% of accounts receivable. For the three months ended April 30, 2022 and 2023, no individual customer represented more than 10% of the Company’s total revenues.</w:t>
      </w:r>
    </w:p>
    <w:p>
      <w:pPr>
        <w:pStyle w:val="TextBody"/>
        <w:bidi w:val="0"/>
        <w:spacing w:lineRule="auto" w:line="288" w:before="240" w:after="283"/>
        <w:ind w:left="0" w:right="0" w:firstLine="990"/>
        <w:jc w:val="left"/>
        <w:rPr/>
      </w:pPr>
      <w:r>
        <w:rPr>
          <w:rFonts w:ascii="Times New Roman;sans-serif" w:hAnsi="Times New Roman;sans-serif"/>
          <w:b/>
          <w:color w:val="000000"/>
          <w:sz w:val="20"/>
        </w:rPr>
        <w:t>Restricted Cash:</w:t>
      </w:r>
      <w:r>
        <w:rPr>
          <w:color w:val="000000"/>
        </w:rPr>
        <w:t xml:space="preserve"> </w:t>
      </w:r>
      <w:r>
        <w:rPr>
          <w:rFonts w:ascii="Times New Roman;sans-serif" w:hAnsi="Times New Roman;sans-serif"/>
          <w:b w:val="false"/>
          <w:color w:val="000000"/>
          <w:sz w:val="20"/>
        </w:rPr>
        <w:t>Restricted cash primarily consists of a minimum cash balance the Company maintains with a lender under the Company's revolving credit facility. The remaining restricted cash consists of deposits held as collateral for the Company's bank guarantees issued in place of security deposits for certain property leases and credit cards. Restricted cash is included in prepaid expenses and other current assets and other long-term assets at January 31, 2023 and April 30, 2023 on the unaudited condensed consolidated balance sheets.</w:t>
      </w:r>
    </w:p>
    <w:p>
      <w:pPr>
        <w:pStyle w:val="TextBody"/>
        <w:bidi w:val="0"/>
        <w:spacing w:lineRule="auto" w:line="288" w:before="240" w:after="283"/>
        <w:ind w:left="0" w:right="0" w:firstLine="990"/>
        <w:jc w:val="left"/>
        <w:rPr/>
      </w:pPr>
      <w:r>
        <w:rPr>
          <w:rFonts w:ascii="Times New Roman;sans-serif" w:hAnsi="Times New Roman;sans-serif"/>
          <w:b/>
          <w:color w:val="000000"/>
          <w:sz w:val="20"/>
        </w:rPr>
        <w:t>Accounts Receivable and Allowances:</w:t>
      </w:r>
      <w:r>
        <w:rPr>
          <w:color w:val="000000"/>
        </w:rPr>
        <w:t xml:space="preserve"> </w:t>
      </w:r>
      <w:r>
        <w:rPr>
          <w:rFonts w:ascii="Times New Roman;sans-serif" w:hAnsi="Times New Roman;sans-serif"/>
          <w:b w:val="false"/>
          <w:color w:val="000000"/>
          <w:sz w:val="20"/>
        </w:rPr>
        <w:t xml:space="preserve">A receivable is recorded when an unconditional right to invoice and receive payment exists, such that 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SimpleNexus'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This estimate is analyzed quarterly and adjusted as necessary.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the allowance for doubtful accounts is as follows:</w:t>
      </w:r>
    </w:p>
    <w:tbl>
      <w:tblPr>
        <w:tblW w:w="5265" w:type="dxa"/>
        <w:jc w:val="left"/>
        <w:tblInd w:w="0" w:type="dxa"/>
        <w:tblLayout w:type="fixed"/>
        <w:tblCellMar>
          <w:top w:w="28" w:type="dxa"/>
          <w:left w:w="28" w:type="dxa"/>
          <w:bottom w:w="28" w:type="dxa"/>
          <w:right w:w="28" w:type="dxa"/>
        </w:tblCellMar>
      </w:tblPr>
      <w:tblGrid>
        <w:gridCol w:w="901"/>
        <w:gridCol w:w="793"/>
        <w:gridCol w:w="796"/>
        <w:gridCol w:w="236"/>
        <w:gridCol w:w="522"/>
        <w:gridCol w:w="122"/>
        <w:gridCol w:w="122"/>
        <w:gridCol w:w="122"/>
        <w:gridCol w:w="122"/>
        <w:gridCol w:w="236"/>
        <w:gridCol w:w="690"/>
        <w:gridCol w:w="122"/>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bad debt expense</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other</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ans-serif" w:hAnsi="Times New Roman;sans-serif"/>
          <w:b/>
          <w:color w:val="000000"/>
          <w:sz w:val="20"/>
        </w:rPr>
        <w:t>Investments</w:t>
      </w:r>
      <w:r>
        <w:rPr>
          <w:rFonts w:ascii="Times New Roman;sans-serif" w:hAnsi="Times New Roman;sans-serif"/>
          <w:b w:val="false"/>
          <w:color w:val="000000"/>
          <w:sz w:val="20"/>
        </w:rPr>
        <w:t>: The Company's investments are non-marketable equity investments without readily determinable fair value and for which the 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the Company's unaudited condensed consolidated statements of operations. The Company assesses the investments whenever events or changes in circumstances indicate that the carrying value of the investments may not be recoverable.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Variable Interest Entity and Redeemable Non-Controlling Interest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April 30, 2023, the Company controls a majority of the outstanding common stock in nCino K.K.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$3.2 million at April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the redeemable non-controlling interests for the period indicated below:</w:t>
      </w:r>
    </w:p>
    <w:tbl>
      <w:tblPr>
        <w:tblW w:w="10205" w:type="dxa"/>
        <w:jc w:val="left"/>
        <w:tblInd w:w="0" w:type="dxa"/>
        <w:tblLayout w:type="fixed"/>
        <w:tblCellMar>
          <w:top w:w="28" w:type="dxa"/>
          <w:left w:w="28" w:type="dxa"/>
          <w:bottom w:w="28" w:type="dxa"/>
          <w:right w:w="28" w:type="dxa"/>
        </w:tblCellMar>
      </w:tblPr>
      <w:tblGrid>
        <w:gridCol w:w="2774"/>
        <w:gridCol w:w="2334"/>
        <w:gridCol w:w="2343"/>
        <w:gridCol w:w="218"/>
        <w:gridCol w:w="637"/>
        <w:gridCol w:w="112"/>
        <w:gridCol w:w="112"/>
        <w:gridCol w:w="112"/>
        <w:gridCol w:w="112"/>
        <w:gridCol w:w="218"/>
        <w:gridCol w:w="637"/>
        <w:gridCol w:w="112"/>
        <w:gridCol w:w="109"/>
        <w:gridCol w:w="109"/>
        <w:gridCol w:w="109"/>
        <w:gridCol w:w="157"/>
      </w:tblGrid>
      <w:tr>
        <w:trPr/>
        <w:tc>
          <w:tcPr>
            <w:tcW w:w="277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7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(excluding adjustment to non-controlling interest)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redeemable non-controlling interest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 expense</w:t>
            </w:r>
            <w:r>
              <w:rPr>
                <w:rFonts w:ascii="Times New Roman;sans-serif" w:hAnsi="Times New Roman;sans-serif"/>
                <w:b w:val="false"/>
                <w:color w:val="000000"/>
                <w:sz w:val="13"/>
              </w:rPr>
              <w:t>1</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nCino K.K. stock options granted in accordance with nCino K.K.'s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Fair Value Measurements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Recurring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a three-tier fair value hierarchy, which prioritizes the inputs used in the valuation methodologies in measuring fair value:</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Significant other inputs that are directly or indirectly observable in the marketplace.</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Significant unobservable inputs which are supported by little or no market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equivalents, accounts receivable, accounts payable, and accrued expenses approximate fair value as of January 31, 2023 and April 30, 2023 because of the relatively short duration of these instruments.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any outstanding borrowings on the Company's revolving credit facility approximates fair value due to the variable interest rates of the borrowings.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2023 and April 30, 2023 and indicates the fair value hierarchy of the valuation:</w:t>
      </w:r>
    </w:p>
    <w:tbl>
      <w:tblPr>
        <w:tblW w:w="10205" w:type="dxa"/>
        <w:jc w:val="left"/>
        <w:tblInd w:w="0" w:type="dxa"/>
        <w:tblLayout w:type="fixed"/>
        <w:tblCellMar>
          <w:top w:w="28" w:type="dxa"/>
          <w:left w:w="28" w:type="dxa"/>
          <w:bottom w:w="28" w:type="dxa"/>
          <w:right w:w="28" w:type="dxa"/>
        </w:tblCellMar>
      </w:tblPr>
      <w:tblGrid>
        <w:gridCol w:w="1848"/>
        <w:gridCol w:w="1626"/>
        <w:gridCol w:w="1641"/>
        <w:gridCol w:w="335"/>
        <w:gridCol w:w="1150"/>
        <w:gridCol w:w="172"/>
        <w:gridCol w:w="172"/>
        <w:gridCol w:w="172"/>
        <w:gridCol w:w="172"/>
        <w:gridCol w:w="335"/>
        <w:gridCol w:w="646"/>
        <w:gridCol w:w="172"/>
        <w:gridCol w:w="172"/>
        <w:gridCol w:w="172"/>
        <w:gridCol w:w="172"/>
        <w:gridCol w:w="335"/>
        <w:gridCol w:w="646"/>
        <w:gridCol w:w="267"/>
      </w:tblGrid>
      <w:tr>
        <w:trPr/>
        <w:tc>
          <w:tcPr>
            <w:tcW w:w="184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January 31, 2023</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other long-term assets)</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tbl>
      <w:tblPr>
        <w:tblW w:w="10205" w:type="dxa"/>
        <w:jc w:val="left"/>
        <w:tblInd w:w="0" w:type="dxa"/>
        <w:tblLayout w:type="fixed"/>
        <w:tblCellMar>
          <w:top w:w="28" w:type="dxa"/>
          <w:left w:w="28" w:type="dxa"/>
          <w:bottom w:w="28" w:type="dxa"/>
          <w:right w:w="28" w:type="dxa"/>
        </w:tblCellMar>
      </w:tblPr>
      <w:tblGrid>
        <w:gridCol w:w="1944"/>
        <w:gridCol w:w="1711"/>
        <w:gridCol w:w="1726"/>
        <w:gridCol w:w="318"/>
        <w:gridCol w:w="1089"/>
        <w:gridCol w:w="163"/>
        <w:gridCol w:w="163"/>
        <w:gridCol w:w="163"/>
        <w:gridCol w:w="163"/>
        <w:gridCol w:w="318"/>
        <w:gridCol w:w="612"/>
        <w:gridCol w:w="163"/>
        <w:gridCol w:w="163"/>
        <w:gridCol w:w="163"/>
        <w:gridCol w:w="163"/>
        <w:gridCol w:w="318"/>
        <w:gridCol w:w="612"/>
        <w:gridCol w:w="253"/>
      </w:tblGrid>
      <w:tr>
        <w:trPr/>
        <w:tc>
          <w:tcPr>
            <w:tcW w:w="19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April 30, 2023</w:t>
            </w:r>
          </w:p>
        </w:tc>
      </w:tr>
      <w:tr>
        <w:trPr/>
        <w:tc>
          <w:tcPr>
            <w:tcW w:w="5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prepaid expenses and other current assets)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other long-term assets)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money market accounts are classified within Level 1 because the Company’s money market accounts are valued using quoted market prices in active exchange markets including identical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Non-Recurring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measured at fair value on a nonrecurring basis include the investments accounted for under the measurement alternative. There was no adjustment or impairment recognized for the three months ended April 30, 2022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Revenues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Revenues by Geographic Area</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Revenues by geographic region were as follows:</w:t>
      </w:r>
    </w:p>
    <w:tbl>
      <w:tblPr>
        <w:tblW w:w="4194"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826"/>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Contract Amounts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doubtful accounts, is as follows as of January 31, 2023 and April 30, 2023:</w:t>
      </w:r>
    </w:p>
    <w:tbl>
      <w:tblPr>
        <w:tblW w:w="6535" w:type="dxa"/>
        <w:jc w:val="left"/>
        <w:tblInd w:w="0" w:type="dxa"/>
        <w:tblLayout w:type="fixed"/>
        <w:tblCellMar>
          <w:top w:w="28" w:type="dxa"/>
          <w:left w:w="28" w:type="dxa"/>
          <w:bottom w:w="28" w:type="dxa"/>
          <w:right w:w="28" w:type="dxa"/>
        </w:tblCellMar>
      </w:tblPr>
      <w:tblGrid>
        <w:gridCol w:w="1005"/>
        <w:gridCol w:w="882"/>
        <w:gridCol w:w="887"/>
        <w:gridCol w:w="368"/>
        <w:gridCol w:w="1257"/>
        <w:gridCol w:w="190"/>
        <w:gridCol w:w="109"/>
        <w:gridCol w:w="109"/>
        <w:gridCol w:w="109"/>
        <w:gridCol w:w="314"/>
        <w:gridCol w:w="1076"/>
        <w:gridCol w:w="229"/>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accounts receivable</w:t>
            </w:r>
            <w:r>
              <w:rPr>
                <w:rFonts w:ascii="Times New Roman;sans-serif" w:hAnsi="Times New Roman;sans-serif"/>
                <w:b w:val="false"/>
                <w:color w:val="000000"/>
                <w:sz w:val="13"/>
              </w:rPr>
              <w:t>1</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81,229 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$0.1 million income tax receivable of as of January 31, 2023 and April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1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 and Remaining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three months ended April 30, 2023, $68.5 million of revenues were recognized out of the deferred revenue balance as of January 31,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were $914.0 million as of April 30, 2023. The Company expects to recognize approximately 68% of its remaining performance obligation as revenues in the next 24 months, approximately 28% more in the following 25 to 48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Property and Equipment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385" w:type="dxa"/>
        <w:jc w:val="left"/>
        <w:tblInd w:w="0" w:type="dxa"/>
        <w:tblLayout w:type="fixed"/>
        <w:tblCellMar>
          <w:top w:w="28" w:type="dxa"/>
          <w:left w:w="28" w:type="dxa"/>
          <w:bottom w:w="28" w:type="dxa"/>
          <w:right w:w="28" w:type="dxa"/>
        </w:tblCellMar>
      </w:tblPr>
      <w:tblGrid>
        <w:gridCol w:w="949"/>
        <w:gridCol w:w="835"/>
        <w:gridCol w:w="840"/>
        <w:gridCol w:w="368"/>
        <w:gridCol w:w="1257"/>
        <w:gridCol w:w="190"/>
        <w:gridCol w:w="109"/>
        <w:gridCol w:w="109"/>
        <w:gridCol w:w="109"/>
        <w:gridCol w:w="314"/>
        <w:gridCol w:w="1076"/>
        <w:gridCol w:w="229"/>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2023</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equipment</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Buildings and land</w:t>
            </w:r>
            <w:r>
              <w:rPr>
                <w:rFonts w:ascii="Times New Roman;sans-serif" w:hAnsi="Times New Roman;sans-serif"/>
                <w:b w:val="false"/>
                <w:color w:val="000000"/>
                <w:sz w:val="13"/>
              </w:rPr>
              <w:t>1</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83,482 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12 "Commitments and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depreciation expense as follows:</w:t>
      </w:r>
    </w:p>
    <w:tbl>
      <w:tblPr>
        <w:tblW w:w="6777" w:type="dxa"/>
        <w:jc w:val="left"/>
        <w:tblInd w:w="0" w:type="dxa"/>
        <w:tblLayout w:type="fixed"/>
        <w:tblCellMar>
          <w:top w:w="28" w:type="dxa"/>
          <w:left w:w="28" w:type="dxa"/>
          <w:bottom w:w="28" w:type="dxa"/>
          <w:right w:w="28" w:type="dxa"/>
        </w:tblCellMar>
      </w:tblPr>
      <w:tblGrid>
        <w:gridCol w:w="1451"/>
        <w:gridCol w:w="1273"/>
        <w:gridCol w:w="1281"/>
        <w:gridCol w:w="220"/>
        <w:gridCol w:w="643"/>
        <w:gridCol w:w="113"/>
        <w:gridCol w:w="113"/>
        <w:gridCol w:w="113"/>
        <w:gridCol w:w="113"/>
        <w:gridCol w:w="220"/>
        <w:gridCol w:w="643"/>
        <w:gridCol w:w="113"/>
        <w:gridCol w:w="109"/>
        <w:gridCol w:w="109"/>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Goodwill and Intangible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carrying amounts of goodwill was as follows:</w:t>
      </w:r>
    </w:p>
    <w:tbl>
      <w:tblPr>
        <w:tblW w:w="3456" w:type="dxa"/>
        <w:jc w:val="left"/>
        <w:tblInd w:w="0" w:type="dxa"/>
        <w:tblLayout w:type="fixed"/>
        <w:tblCellMar>
          <w:top w:w="28" w:type="dxa"/>
          <w:left w:w="28" w:type="dxa"/>
          <w:bottom w:w="28" w:type="dxa"/>
          <w:right w:w="28" w:type="dxa"/>
        </w:tblCellMar>
      </w:tblPr>
      <w:tblGrid>
        <w:gridCol w:w="820"/>
        <w:gridCol w:w="721"/>
        <w:gridCol w:w="724"/>
        <w:gridCol w:w="211"/>
        <w:gridCol w:w="82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Intangible assets, net are as follows:</w:t>
      </w:r>
    </w:p>
    <w:tbl>
      <w:tblPr>
        <w:tblW w:w="10422" w:type="dxa"/>
        <w:jc w:val="left"/>
        <w:tblInd w:w="0" w:type="dxa"/>
        <w:tblLayout w:type="fixed"/>
        <w:tblCellMar>
          <w:top w:w="28" w:type="dxa"/>
          <w:left w:w="28" w:type="dxa"/>
          <w:bottom w:w="28" w:type="dxa"/>
          <w:right w:w="28" w:type="dxa"/>
        </w:tblCellMar>
      </w:tblPr>
      <w:tblGrid>
        <w:gridCol w:w="723"/>
        <w:gridCol w:w="635"/>
        <w:gridCol w:w="638"/>
        <w:gridCol w:w="211"/>
        <w:gridCol w:w="826"/>
        <w:gridCol w:w="109"/>
        <w:gridCol w:w="109"/>
        <w:gridCol w:w="109"/>
        <w:gridCol w:w="109"/>
        <w:gridCol w:w="211"/>
        <w:gridCol w:w="761"/>
        <w:gridCol w:w="109"/>
        <w:gridCol w:w="109"/>
        <w:gridCol w:w="109"/>
        <w:gridCol w:w="109"/>
        <w:gridCol w:w="211"/>
        <w:gridCol w:w="826"/>
        <w:gridCol w:w="109"/>
        <w:gridCol w:w="109"/>
        <w:gridCol w:w="109"/>
        <w:gridCol w:w="109"/>
        <w:gridCol w:w="211"/>
        <w:gridCol w:w="826"/>
        <w:gridCol w:w="109"/>
        <w:gridCol w:w="109"/>
        <w:gridCol w:w="109"/>
        <w:gridCol w:w="109"/>
        <w:gridCol w:w="211"/>
        <w:gridCol w:w="761"/>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2023</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6777" w:type="dxa"/>
        <w:jc w:val="left"/>
        <w:tblInd w:w="0" w:type="dxa"/>
        <w:tblLayout w:type="fixed"/>
        <w:tblCellMar>
          <w:top w:w="28" w:type="dxa"/>
          <w:left w:w="28" w:type="dxa"/>
          <w:bottom w:w="28" w:type="dxa"/>
          <w:right w:w="28" w:type="dxa"/>
        </w:tblCellMar>
      </w:tblPr>
      <w:tblGrid>
        <w:gridCol w:w="1451"/>
        <w:gridCol w:w="1273"/>
        <w:gridCol w:w="1281"/>
        <w:gridCol w:w="220"/>
        <w:gridCol w:w="643"/>
        <w:gridCol w:w="113"/>
        <w:gridCol w:w="113"/>
        <w:gridCol w:w="113"/>
        <w:gridCol w:w="113"/>
        <w:gridCol w:w="220"/>
        <w:gridCol w:w="643"/>
        <w:gridCol w:w="113"/>
        <w:gridCol w:w="109"/>
        <w:gridCol w:w="109"/>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future amortization expense for intangible assets as of April 30, 2023 is as follows:</w:t>
      </w:r>
    </w:p>
    <w:tbl>
      <w:tblPr>
        <w:tblW w:w="3620" w:type="dxa"/>
        <w:jc w:val="left"/>
        <w:tblInd w:w="0" w:type="dxa"/>
        <w:tblLayout w:type="fixed"/>
        <w:tblCellMar>
          <w:top w:w="28" w:type="dxa"/>
          <w:left w:w="28" w:type="dxa"/>
          <w:bottom w:w="28" w:type="dxa"/>
          <w:right w:w="28" w:type="dxa"/>
        </w:tblCellMar>
      </w:tblPr>
      <w:tblGrid>
        <w:gridCol w:w="878"/>
        <w:gridCol w:w="772"/>
        <w:gridCol w:w="779"/>
        <w:gridCol w:w="211"/>
        <w:gridCol w:w="82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Stockholders’ Equity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April 30, 2023, the Company committed a total of 35,663,524 shares of common stock for future issuance as follows:</w:t>
      </w:r>
    </w:p>
    <w:tbl>
      <w:tblPr>
        <w:tblW w:w="6635" w:type="dxa"/>
        <w:jc w:val="left"/>
        <w:tblInd w:w="0" w:type="dxa"/>
        <w:tblLayout w:type="fixed"/>
        <w:tblCellMar>
          <w:top w:w="28" w:type="dxa"/>
          <w:left w:w="28" w:type="dxa"/>
          <w:bottom w:w="28" w:type="dxa"/>
          <w:right w:w="28" w:type="dxa"/>
        </w:tblCellMar>
      </w:tblPr>
      <w:tblGrid>
        <w:gridCol w:w="1956"/>
        <w:gridCol w:w="1719"/>
        <w:gridCol w:w="1725"/>
        <w:gridCol w:w="540"/>
        <w:gridCol w:w="541"/>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issued and outstanding restricted stock units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Possible issuance under stock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30,798,898 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35,663,524 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three months ended April 30, 2023 was as follows:</w:t>
      </w:r>
    </w:p>
    <w:tbl>
      <w:tblPr>
        <w:tblW w:w="6745" w:type="dxa"/>
        <w:jc w:val="left"/>
        <w:tblInd w:w="0" w:type="dxa"/>
        <w:tblLayout w:type="fixed"/>
        <w:tblCellMar>
          <w:top w:w="28" w:type="dxa"/>
          <w:left w:w="28" w:type="dxa"/>
          <w:bottom w:w="28" w:type="dxa"/>
          <w:right w:w="28" w:type="dxa"/>
        </w:tblCellMar>
      </w:tblPr>
      <w:tblGrid>
        <w:gridCol w:w="1440"/>
        <w:gridCol w:w="1266"/>
        <w:gridCol w:w="1269"/>
        <w:gridCol w:w="488"/>
        <w:gridCol w:w="488"/>
        <w:gridCol w:w="296"/>
        <w:gridCol w:w="109"/>
        <w:gridCol w:w="109"/>
        <w:gridCol w:w="109"/>
        <w:gridCol w:w="282"/>
        <w:gridCol w:w="683"/>
        <w:gridCol w:w="206"/>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2,009,323 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 or 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(247,518)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April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1,761,555 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April 30,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1,740,055 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or expected to vest, April 30, 2023</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1,759,405 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2023, there was $0.04 million of total unrecognized compensation expense related to unvested stock-based compensation arrangements under the 2014 Stock Plan ("2014 Plan") and 2019 Equity Incentive Plan (as amended and restated, "2019 Plan"). That cost is expected to be recognized over a weighted average period of 0.43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RSU activity during the three months ended April 30, 2023 was as follows:</w:t>
      </w:r>
    </w:p>
    <w:tbl>
      <w:tblPr>
        <w:tblW w:w="5575" w:type="dxa"/>
        <w:jc w:val="left"/>
        <w:tblInd w:w="0" w:type="dxa"/>
        <w:tblLayout w:type="fixed"/>
        <w:tblCellMar>
          <w:top w:w="28" w:type="dxa"/>
          <w:left w:w="28" w:type="dxa"/>
          <w:bottom w:w="28" w:type="dxa"/>
          <w:right w:w="28" w:type="dxa"/>
        </w:tblCellMar>
      </w:tblPr>
      <w:tblGrid>
        <w:gridCol w:w="896"/>
        <w:gridCol w:w="788"/>
        <w:gridCol w:w="791"/>
        <w:gridCol w:w="488"/>
        <w:gridCol w:w="488"/>
        <w:gridCol w:w="296"/>
        <w:gridCol w:w="109"/>
        <w:gridCol w:w="109"/>
        <w:gridCol w:w="109"/>
        <w:gridCol w:w="322"/>
        <w:gridCol w:w="942"/>
        <w:gridCol w:w="237"/>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3,531,387 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119,227 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(440,528)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April 30,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3,103,071 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2023, total unrecognized compensation expense related to non-vested RSUs was $106.6 million, adjusted for estimated forfeitures, based on the estimated fair value of the Company’s common stock at the time of grant. That cost is expected to be recognized over a weighted average period of 2.73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first offering period for the Employee Stock Purchase Plan ("ESPP") began on July 1, 2021 and ended on December 31, 2021. Thereafter, offering periods begin each year on January 1 and July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ESPP shares during the three months ended April 30, 2022 and 2023 was estimated at the date of grant using the Black-Scholes option valuation model based on assumptions as follows for ESPP awards: </w:t>
      </w:r>
    </w:p>
    <w:tbl>
      <w:tblPr>
        <w:tblW w:w="4330" w:type="dxa"/>
        <w:jc w:val="left"/>
        <w:tblInd w:w="0" w:type="dxa"/>
        <w:tblLayout w:type="fixed"/>
        <w:tblCellMar>
          <w:top w:w="28" w:type="dxa"/>
          <w:left w:w="28" w:type="dxa"/>
          <w:bottom w:w="28" w:type="dxa"/>
          <w:right w:w="28" w:type="dxa"/>
        </w:tblCellMar>
      </w:tblPr>
      <w:tblGrid>
        <w:gridCol w:w="723"/>
        <w:gridCol w:w="635"/>
        <w:gridCol w:w="637"/>
        <w:gridCol w:w="248"/>
        <w:gridCol w:w="248"/>
        <w:gridCol w:w="248"/>
        <w:gridCol w:w="248"/>
        <w:gridCol w:w="248"/>
        <w:gridCol w:w="248"/>
        <w:gridCol w:w="248"/>
        <w:gridCol w:w="248"/>
        <w:gridCol w:w="351"/>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49.65%</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61.86%</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4.77%</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2023, total unrecognized compensation expense related to the ESPP was $0.4 million. That cost is expected to be recognized over the remaining term of the offering period that began on January 1, 2023 and will end on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included in our unaudited condensed consolidated statements of operations were as follows:</w:t>
      </w:r>
    </w:p>
    <w:tbl>
      <w:tblPr>
        <w:tblW w:w="6895" w:type="dxa"/>
        <w:jc w:val="left"/>
        <w:tblInd w:w="0" w:type="dxa"/>
        <w:tblLayout w:type="fixed"/>
        <w:tblCellMar>
          <w:top w:w="28" w:type="dxa"/>
          <w:left w:w="28" w:type="dxa"/>
          <w:bottom w:w="28" w:type="dxa"/>
          <w:right w:w="28" w:type="dxa"/>
        </w:tblCellMar>
      </w:tblPr>
      <w:tblGrid>
        <w:gridCol w:w="1451"/>
        <w:gridCol w:w="1273"/>
        <w:gridCol w:w="1281"/>
        <w:gridCol w:w="211"/>
        <w:gridCol w:w="721"/>
        <w:gridCol w:w="109"/>
        <w:gridCol w:w="109"/>
        <w:gridCol w:w="109"/>
        <w:gridCol w:w="109"/>
        <w:gridCol w:w="211"/>
        <w:gridCol w:w="721"/>
        <w:gridCol w:w="109"/>
        <w:gridCol w:w="109"/>
        <w:gridCol w:w="109"/>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its facilities and a portion of its equipment under various non-cancellable agreements, which expire at various times through July 2028, some of which include options to extend for up to five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4901" w:type="dxa"/>
        <w:jc w:val="left"/>
        <w:tblInd w:w="0" w:type="dxa"/>
        <w:tblLayout w:type="fixed"/>
        <w:tblCellMar>
          <w:top w:w="28" w:type="dxa"/>
          <w:left w:w="28" w:type="dxa"/>
          <w:bottom w:w="28" w:type="dxa"/>
          <w:right w:w="28" w:type="dxa"/>
        </w:tblCellMar>
      </w:tblPr>
      <w:tblGrid>
        <w:gridCol w:w="771"/>
        <w:gridCol w:w="677"/>
        <w:gridCol w:w="681"/>
        <w:gridCol w:w="220"/>
        <w:gridCol w:w="643"/>
        <w:gridCol w:w="113"/>
        <w:gridCol w:w="113"/>
        <w:gridCol w:w="113"/>
        <w:gridCol w:w="113"/>
        <w:gridCol w:w="220"/>
        <w:gridCol w:w="643"/>
        <w:gridCol w:w="113"/>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were as follows:</w:t>
      </w:r>
    </w:p>
    <w:tbl>
      <w:tblPr>
        <w:tblW w:w="8966" w:type="dxa"/>
        <w:jc w:val="left"/>
        <w:tblInd w:w="0" w:type="dxa"/>
        <w:tblLayout w:type="fixed"/>
        <w:tblCellMar>
          <w:top w:w="28" w:type="dxa"/>
          <w:left w:w="28" w:type="dxa"/>
          <w:bottom w:w="28" w:type="dxa"/>
          <w:right w:w="28" w:type="dxa"/>
        </w:tblCellMar>
      </w:tblPr>
      <w:tblGrid>
        <w:gridCol w:w="2404"/>
        <w:gridCol w:w="2107"/>
        <w:gridCol w:w="2119"/>
        <w:gridCol w:w="220"/>
        <w:gridCol w:w="642"/>
        <w:gridCol w:w="113"/>
        <w:gridCol w:w="113"/>
        <w:gridCol w:w="113"/>
        <w:gridCol w:w="113"/>
        <w:gridCol w:w="220"/>
        <w:gridCol w:w="642"/>
        <w:gridCol w:w="160"/>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obtained in exchange for operating lease liabilities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and weighted-average discount rate for the Company's operating lease liabilities as of April 30, 2023 were 3.42 years and 4.6%,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as of April 30, 2023 were as follows:</w:t>
      </w:r>
    </w:p>
    <w:tbl>
      <w:tblPr>
        <w:tblW w:w="3839" w:type="dxa"/>
        <w:jc w:val="left"/>
        <w:tblInd w:w="0" w:type="dxa"/>
        <w:tblLayout w:type="fixed"/>
        <w:tblCellMar>
          <w:top w:w="28" w:type="dxa"/>
          <w:left w:w="28" w:type="dxa"/>
          <w:bottom w:w="28" w:type="dxa"/>
          <w:right w:w="28" w:type="dxa"/>
        </w:tblCellMar>
      </w:tblPr>
      <w:tblGrid>
        <w:gridCol w:w="878"/>
        <w:gridCol w:w="772"/>
        <w:gridCol w:w="779"/>
        <w:gridCol w:w="303"/>
        <w:gridCol w:w="886"/>
        <w:gridCol w:w="221"/>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Revolving 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bear interest, at the Borrower’s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The Company is also required to pay an unused commitment fee to the Lender of 0.25% of the average daily unutilized commitments. The Company must also pay customary letter of credit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are scheduled to mature on February 11, 2024, and the Company may repay amounts borrowed any time without penalty. Borrowings under the Credit Facility may be reborrowed.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representations and warranties, affirmative, negative and financial covenants, and events of default that are customary for loans of this type. The financial covenant requires the Company and its subsidiaries on a consolidated basis to maintain Consolidated Liquidity of not less than $50.0 million. Consolidated Liquidity is measured as the sum of 100% of unrestricted and unencumbered cash of the Company and its domestic subsidiaries, 75% of unrestricted and unencumbered cash of the Company’s foreign subsidiaries and the lesser of Credit Facility availability and $25.0 million. The Company is also required to maintain at least $5.0 million of the Company's cash and/or marketable securities with the Lender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which is considered restricted cash and is included in other long-term assets as of January 31, 2023 and prepaid expenses and other current assets as of April 30, 2023 on the Company's unaudited condensed consolidated balance sheets.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Company had $30.0 million and $15.0 million outstanding and no letters of credit issued under the Credit Facility and was in compliance with all covenants as of January 31, 2023 and April 30, 2023, respectively. As of April 30, 2023, the applicable interest rate was 5.91%. The available borrowing capacity under the Credit Facility was $35.0 million</w:t>
      </w:r>
      <w:r>
        <w:rPr>
          <w:color w:val="000000"/>
        </w:rPr>
        <w:t xml:space="preserve"> </w:t>
      </w:r>
      <w:r>
        <w:rPr>
          <w:rFonts w:ascii="Times New Roman;sans-serif" w:hAnsi="Times New Roman;sans-serif"/>
          <w:b w:val="false"/>
          <w:color w:val="000000"/>
          <w:sz w:val="20"/>
        </w:rPr>
        <w:t>as of April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operating lease commitments described in Note 10 "Leases", the Company has additional contractual commitments as described further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purchase commitments consist of non-cancellable agreements to purchase goods and services, primarily licenses and hosting services, entered into in the ordinary course of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Financing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lease agreement for the Company's headquarters in November 2020 in connection with a new lessor acquiring the property. Due to a purchase option contained in that lease, the Company is deemed to have continuing involvement and is considered to be the owner of the Company's headquarters for accounting purposes. As a result, the Company did not meet the criteria to apply sale-leaseback accounting and therefore, recorded an asset and corresponding financing obligation for $16.3 million at inception of that lease. The fair value of the leased property and corresponding financing obligation are included in property and equipment, net and financing obligations on the unaudited condensed consolidated balance sheets,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entered into an amendment to its November 2020 headquarters lease to provide for construction of a parking deck, which upon completion was subject to exclusive use by the Company.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unaudited condensed consolidated balance sheets,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entered into a new lease agreement for the construction of an additional office building that is on the same parcel of land as the Company's existing headquarters. Due to a purchase option contained in that April 2021 lease, the Company is also deemed to be the owner of the additional building for accounting purposes, the costs associated with the construction of the additional building were capitalized as construction in progress with a corresponding construction liability through construction. Upon completion of the additional building in November 2022, for approximately $22.4 million, the costs of the construction in progress and the corresponding construction liability were reclassified to property and equipment, net and financing obligations on the unaudited condensed consolidated balance sheets, respectively, and the term of the Company's November 2020 lease for its headquarters and the related parking deck became coterminous with the April 2021 lease. The term of the April 2021 lease expires in October 2037 with options to extend. The purchase option expires if not exercised on or before November 30, 2026.</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leases will be analyzed for applicable lease accounting upon expiration of the purchase option, if not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 and future minimum lease payments required under financing obligations as of April 30, 2023 is as follows:</w:t>
      </w:r>
    </w:p>
    <w:tbl>
      <w:tblPr>
        <w:tblW w:w="8441" w:type="dxa"/>
        <w:jc w:val="left"/>
        <w:tblInd w:w="0" w:type="dxa"/>
        <w:tblLayout w:type="fixed"/>
        <w:tblCellMar>
          <w:top w:w="28" w:type="dxa"/>
          <w:left w:w="28" w:type="dxa"/>
          <w:bottom w:w="28" w:type="dxa"/>
          <w:right w:w="28" w:type="dxa"/>
        </w:tblCellMar>
      </w:tblPr>
      <w:tblGrid>
        <w:gridCol w:w="1263"/>
        <w:gridCol w:w="1111"/>
        <w:gridCol w:w="1121"/>
        <w:gridCol w:w="358"/>
        <w:gridCol w:w="1226"/>
        <w:gridCol w:w="186"/>
        <w:gridCol w:w="109"/>
        <w:gridCol w:w="109"/>
        <w:gridCol w:w="109"/>
        <w:gridCol w:w="553"/>
        <w:gridCol w:w="1892"/>
        <w:gridCol w:w="404"/>
      </w:tblGrid>
      <w:tr>
        <w:trPr/>
        <w:tc>
          <w:tcPr>
            <w:tcW w:w="126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obligations - leased facility</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financing obligations and assets</w:t>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55,136 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associated lease payments are recognized as interest expense and the remainder reduces the financing obligations. The weighted-average discount rate for the Company's financing obligations as of April 30, 2023 was 5.7%.</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legal proceedings or is subject to claims arising in the ordinary course of business including the following: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2021, the Company and certain of its officers and other employees were served with grand jury subpoenas wherein the Antitrust Division of the Department of Justice (the "DOJ") was seeking documents and information in connection with an investigation of the Company’s hiring and wage practices under U.S. federal antitrust laws. On February 8, 2023, the DOJ informed the Company that the investigation is closed. No fines, sanctions, actions, or penalties were imposed or taken against the Company or its officers or other employees in connection with the matter, and the costs the Company was incurring cooperating with the investigation have now ceased.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w:t>
      </w:r>
      <w:r>
        <w:rPr>
          <w:color w:val="000000"/>
        </w:rPr>
        <w:t xml:space="preserve"> </w:t>
      </w:r>
      <w:r>
        <w:rPr>
          <w:rFonts w:ascii="Times New Roman;sans-serif" w:hAnsi="Times New Roman;sans-serif"/>
          <w:b w:val="false"/>
          <w:color w:val="000000"/>
          <w:sz w:val="20"/>
        </w:rPr>
        <w:t>the Company, Live Oak Bancshares, Inc. ("Live Oak") and Apiture, Inc. ("Apiture") not to solicit or hire each other’s employees in violation of Section 1 of the Sherman Act</w:t>
      </w:r>
      <w:r>
        <w:rPr>
          <w:color w:val="000000"/>
        </w:rPr>
        <w:t xml:space="preserve"> </w:t>
      </w:r>
      <w:r>
        <w:rPr>
          <w:rFonts w:ascii="Times New Roman;sans-serif" w:hAnsi="Times New Roman;sans-serif"/>
          <w:b w:val="false"/>
          <w:color w:val="000000"/>
          <w:sz w:val="20"/>
        </w:rPr>
        <w:t>and N.C. Gen Stat. §§ 75-1 and 75-2. The complaint seeks treble damages and additional remedies, including restitution, disgorgement, reasonable attorneys’ fees, the costs of the suit,</w:t>
      </w:r>
      <w:r>
        <w:rPr>
          <w:color w:val="000000"/>
        </w:rPr>
        <w:t xml:space="preserve"> </w:t>
      </w:r>
      <w:r>
        <w:rPr>
          <w:rFonts w:ascii="Times New Roman;sans-serif" w:hAnsi="Times New Roman;sans-serif"/>
          <w:b w:val="false"/>
          <w:color w:val="000000"/>
          <w:sz w:val="20"/>
        </w:rPr>
        <w:t>and pre-judgment and post judgment interest. The complaint does not allege any specific damages. On April 28, 2022, the District Court approved settlements between the plaintiff and defendant Live Oak in the amount of approximately $3.9 million and unnamed party Apiture in the amount of approximately $0.8 million. Although there can be no assurance with respect to the outcome of this matter, the Company believes the alleged claims are not meritorious and intends to defend itself vigorously.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 LLC, et al., C.A. No. 2022-0846-MTZ, names as defendants, Insight Ventures Partners, LLC., Insight Holdings Group, LLC., the Company’s directors and certain officers, along with nCino, Inc. and nCino OpCo, Inc. as nominal defendants, and alleges that the members of the board of directors, controlling stockholders, and officers violated their fiduciary duties in the course of negotiating and approving the series of mergers. The complaint alleges damages in an unspecified amount. Pursuant to the rights in its bylaws and Delaware law, the Company is advancing the costs incurred by the director and officer defendants in this action, and the defendants may assert indemnification rights in respect of an adverse judgment or settlement of the action, if 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Given the uncertainty and preliminary stages of these matters, the Company is unable to reasonably estimate any possible loss or range of loss that may result. Therefore, the Company has not made an accrual for the above matters in the unaudited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Commitments and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Related-Party Transactions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2022, the Company's wholly-owned subsidiary, nCino OpCo, acquired preferred shares of ZestFinance, Inc. (d/b/a ZEST AI) ("Zest AI"), a private company, for $2.5 million and is included in investments as of January 31, 2023 and April 30, 2023 on the Company's unaudited condensed consolidated balance sheets. The investment is considered a related party transaction as entities affiliated with Insight Partners, a beneficial owner of the Company, own greater than ten percent of Zest AI. On May 23, 2023, the Company announced a strategic partnership with Zest AI to build an integration into the Company's consumer banking solution to enable lenders with streamlined access to consumer credit lending insights.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Basic and Diluted Loss per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months ended April 30, 2022 and 2023 and for the three months ended April 30, 2022 and 2023 is the same as the basic loss per share as there was a net loss for those periods, and inclusion of potentially issuable shares was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basic and diluted loss per share for periods presented are as follows (in thousands, except share and per share data):</w:t>
      </w:r>
    </w:p>
    <w:tbl>
      <w:tblPr>
        <w:tblW w:w="8212" w:type="dxa"/>
        <w:jc w:val="left"/>
        <w:tblInd w:w="0" w:type="dxa"/>
        <w:tblLayout w:type="fixed"/>
        <w:tblCellMar>
          <w:top w:w="28" w:type="dxa"/>
          <w:left w:w="28" w:type="dxa"/>
          <w:bottom w:w="28" w:type="dxa"/>
          <w:right w:w="28" w:type="dxa"/>
        </w:tblCellMar>
      </w:tblPr>
      <w:tblGrid>
        <w:gridCol w:w="1739"/>
        <w:gridCol w:w="1534"/>
        <w:gridCol w:w="1541"/>
        <w:gridCol w:w="264"/>
        <w:gridCol w:w="922"/>
        <w:gridCol w:w="109"/>
        <w:gridCol w:w="109"/>
        <w:gridCol w:w="109"/>
        <w:gridCol w:w="109"/>
        <w:gridCol w:w="264"/>
        <w:gridCol w:w="922"/>
        <w:gridCol w:w="109"/>
        <w:gridCol w:w="109"/>
        <w:gridCol w:w="109"/>
        <w:gridCol w:w="109"/>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 attributable to nCino, Inc.</w:t>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 outstanding common stock were excluded from the diluted loss per share computation because the effect would have been anti-dilutive:</w:t>
      </w:r>
    </w:p>
    <w:tbl>
      <w:tblPr>
        <w:tblW w:w="6699" w:type="dxa"/>
        <w:jc w:val="left"/>
        <w:tblInd w:w="0" w:type="dxa"/>
        <w:tblLayout w:type="fixed"/>
        <w:tblCellMar>
          <w:top w:w="28" w:type="dxa"/>
          <w:left w:w="28" w:type="dxa"/>
          <w:bottom w:w="28" w:type="dxa"/>
          <w:right w:w="28" w:type="dxa"/>
        </w:tblCellMar>
      </w:tblPr>
      <w:tblGrid>
        <w:gridCol w:w="1233"/>
        <w:gridCol w:w="1084"/>
        <w:gridCol w:w="1087"/>
        <w:gridCol w:w="678"/>
        <w:gridCol w:w="298"/>
        <w:gridCol w:w="248"/>
        <w:gridCol w:w="248"/>
        <w:gridCol w:w="248"/>
        <w:gridCol w:w="248"/>
        <w:gridCol w:w="678"/>
        <w:gridCol w:w="298"/>
        <w:gridCol w:w="351"/>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2,463,322 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1,761,555 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RSUs issued and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4,071,125 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3,103,071 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Restructuring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2023, the Company announced a workforce reduction of approximately 7% and office space reductions in certain markets (collectively, the “restructuring plan”) in furtherance of its efforts to improve operating margins and advance the Company’s objective of profitable growth.</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Lease termination costs were accounted for in accordance with ASC 842, Leases. The Company paid $0.8 million in the fourth quarter of fiscal 2023 to exercise an early termination clause to exit a facility during fiscal 2024, which was accounted for as a lease modification.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charges in the in the fourth quarter of the Company’s fiscal 2023 of $4.8 million in connection with the restructuring plan. The accrual for severance and related benefit costs of $5.0 million for terminated employees was included in accrued compensation and benefits on the consolidated balance sheets as of January 31, 2023 and was paid in the first quarter of the Company’s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for the three months ended April 30, 2023 were as follows:</w:t>
      </w:r>
    </w:p>
    <w:tbl>
      <w:tblPr>
        <w:tblW w:w="7404" w:type="dxa"/>
        <w:jc w:val="left"/>
        <w:tblInd w:w="0" w:type="dxa"/>
        <w:tblLayout w:type="fixed"/>
        <w:tblCellMar>
          <w:top w:w="28" w:type="dxa"/>
          <w:left w:w="28" w:type="dxa"/>
          <w:bottom w:w="28" w:type="dxa"/>
          <w:right w:w="28" w:type="dxa"/>
        </w:tblCellMar>
      </w:tblPr>
      <w:tblGrid>
        <w:gridCol w:w="1451"/>
        <w:gridCol w:w="1273"/>
        <w:gridCol w:w="1281"/>
        <w:gridCol w:w="109"/>
        <w:gridCol w:w="109"/>
        <w:gridCol w:w="109"/>
        <w:gridCol w:w="109"/>
        <w:gridCol w:w="725"/>
        <w:gridCol w:w="1601"/>
        <w:gridCol w:w="374"/>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Lease exit fees</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expenses reduced operating lease right-of-use assets on the unaudited condensed consolidated balance sheets.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restructuring charges for the three months ended April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16. Subsequent Events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2023, the Company granted 2,975,663 RSUs to the Company's employees, including executive officers. The Company expects to recognize stock-based compensation expense of $72.9 million related to the RSUs over a weighted average period of 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2023 filed with the SEC on March 28, 2023</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2024" refer to the fiscal year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is the pioneer in cloud banking. Built by bankers for bankers, the nCino Bank Operating System is a single, multi-tenant software-as-a-service (SaaS) solution that helps financial institutions ("FI") modernize, innovate and outperform. A leader in the global financial services technology industry, nCino is a proven partner that has helped more than 1,850 FIs of all sizes and complexities, including global, enterprise, regional and community banks; credit unions; new market entrants; and independent mortgage banks power distinctive experiences, drive growth efficiencies, and run with full integrity. With nCino, FIs can: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digitally serve their clients across lines of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financial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elevate employee experience and performance,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 risk and compliance more effectively,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 an active data, audit, and business intelligence hub.</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was originally founded in a bank to improve that FI’s operations and client service. After realizing that virtually all FIs were dealing with the same problems—cumbersome legacy technology, fragmented data, disconnected business functions, and a disengaged workforce made it difficult to maintain relevancy in their clients’ lives—we were spun out as a separate company in late 2011. This heritage is the foundation of our deep banking domain expertise, which differentiates us, continues to drive our strategy and makes us uniquely qualified to help FIs cross the modernization divide by providing a comprehensive solution that onboards clients, originates loans, and opens accounts on a single, cloud-based platform.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initially focused the nCino Bank Operating System on transforming commercial and small business lending for community and regional banks in the United States ("U.S."). We introduced this solution to enterprise banks in the U.S. in 2014, and then internationally in 2017, and have subsequently expanded across North America, Europe, and Asia-Pacific ("APAC"). Throughout this market expansion, we broadened the nCino Bank Operating System by adding functionality for consumer lending, client onboarding, deposit account opening, analytics and AI/ML. In fiscal 2020, we acquired nCino Portfolio Analytics, LLC (formerly Visible Equity) and FinSuite as part of our strategy to build out our nIQ capabilities, and we established our nCino K.K joint venture to facilitate our entry into the Japanese market. Additionally, in January 2022, we acquired SimpleNexus, which expanded our capabilities to the U.S. point-of-sale mortgage market.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offer our solutions on a SaaS basis under multi-year contracts and recognize subscription revenues ratably over the term of the contract. Our customers may initially purchase one of our solutions for implementing a client onboarding, loan origination, and/or deposit account opening in a specific line of business within the FI, such as commercial, small business, consumer, or mortgage. The nCino Bank Operating System is designed to scale with our customers, and once our solution is deployed, we seek to have our customers expand adoption within and across lines of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our solutions directly through our business development managers, account executives, field sales engineers, and customer success managers. Our sales efforts in the U.S. are organized around FIs based on size, whereas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we focus our sales efforts by geography. As of April 30, 2023, we had 244 sales and sales support personnel in the U.S. and 73 sales and support personnel in offices outside the 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Bank Operating System. For regional bank FIs, we work with SIs such as West Monroe Partners, and for community banks, we work with SIs or perform configuration and implementation ourselves. We expect enterprise FIs to make up a greater proportion of our nCino Bank Operating System sales. As a result, we expect the mix of our total revenues to become more heavily weighted toward 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 headcount decreased by 76 as of April 30, 2023 compared to April 30, 2022 primarily due to our workforce reduction announced in the fourth quarter of fiscal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April 30, 2022 and 2023, our total revenues were $94.2 million and $113.7 million, respectively, representing a 20.7% increase. For the three months ended April 30, 2022 and 2023, our subscription revenues were $79.2 million and $97.3 million, respectively, representing a 22.9% increase. Due to our investments in growth, we recorded net losses attributable to nCino, Inc. of $30.7 million and $11.2 million for the three months ended April 30, 2022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Operating Results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Market Adoption of Our Solution</w:t>
      </w:r>
      <w:r>
        <w:rPr>
          <w:rFonts w:ascii="Times New Roman;sans-serif" w:hAnsi="Times New Roman;sans-serif"/>
          <w:b w:val="false"/>
          <w:color w:val="000000"/>
          <w:sz w:val="20"/>
        </w:rPr>
        <w:t>. Our future growth depends on our ability to expand our reach to new FI customers and increase adoption 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In addition, growing our customer base will require us to increasingly penetrate markets outside the U.S., which accounted for 16.9% of total revenues for the three months ended April 30, 2023.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Mix of Subscription and Professional Services Revenues.</w:t>
      </w:r>
      <w:r>
        <w:rPr>
          <w:color w:val="000000"/>
        </w:rPr>
        <w:t xml:space="preserve"> </w:t>
      </w:r>
      <w:r>
        <w:rPr>
          <w:rFonts w:ascii="Times New Roman;sans-serif" w:hAnsi="Times New Roman;sans-serif"/>
          <w:b w:val="false"/>
          <w:color w:val="000000"/>
          <w:sz w:val="20"/>
        </w:rPr>
        <w:t>The initial deployment of our solutions by our customers requires a period of implementation and configuration services that typically range from three months to 18 months, depending on the scope. As a result,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 xml:space="preserve">Macroeconomic Environment. </w:t>
      </w:r>
      <w:r>
        <w:rPr>
          <w:rFonts w:ascii="Times New Roman;sans-serif" w:hAnsi="Times New Roman;sans-serif"/>
          <w:b w:val="false"/>
          <w:color w:val="000000"/>
          <w:sz w:val="20"/>
        </w:rPr>
        <w:t xml:space="preserve">We are currently operating in a rising interest rate environment as the U.S. Federal Reserve raises interest rates as a means to manage inflation. These rate increases have had an impact on the real estate market in the U.S. and specifically, the demand for mortgages and mortgage-related products and services, which has had a negative impact on our SimpleNexus business.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liquidity issues faced by certain FIs in the U.S., including Silicon Valley Bank, Signature Bank and First Republic Bank (the "Impacted FIs") have created turmoil and uncertainty surrounding the financial services industry. These Impacted FIs are customers of ours, collectively representing less than 3% of our total revenues for the year ended January 31, 2023. We have a large and diversified customer base of all types and sizes around the globe, and no individual customer represented more than 10% of the Company's revenue for our first quarter of fiscal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the impact the macroeconomic environment may have on our business.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Continued Investment in Innovation and Growth</w:t>
      </w:r>
      <w:r>
        <w:rPr>
          <w:rFonts w:ascii="Times New Roman;sans-serif" w:hAnsi="Times New Roman;sans-serif"/>
          <w:b w:val="false"/>
          <w:color w:val="000000"/>
          <w:sz w:val="20"/>
        </w:rPr>
        <w:t xml:space="preserve">. We have made substantial investments in product development, sales and marketing, and strategic acquisitions since our inception to achieve a leadership position in our market and grow our revenues and customer base. We intend to continue to increase our investment in product development in the coming years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subscription and professional services and other revenues.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Subscription Revenues</w:t>
      </w:r>
      <w:r>
        <w:rPr>
          <w:rFonts w:ascii="Times New Roman;sans-serif" w:hAnsi="Times New Roman;sans-serif"/>
          <w:b w:val="false"/>
          <w:color w:val="000000"/>
          <w:sz w:val="20"/>
        </w:rPr>
        <w:t>. Our subscription revenues consist principally of fees from customers for accessing our solutions and maintenance and support services that we generally offer under non-cancellable multi-year contracts, which typically range from three to five years for the nCino Bank Operating System and one to three years for SimpleNexus. Specifically, we offer: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Client onboarding, loan origination, and deposit account opening applications targeted at a FI’s commercial, small business, and retail lines of business, for which we generally charge on a per seat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nIQ for which we generally charge based on the asset size of the customer or on a usage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Through SimpleNexus, a digital homeownership platform uniting people, systems, and stages of the mortgage process into a seamless end-to-end journey for which we generally charge on a per seat basis.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Maintenance and support services as well as internal-use or “sandbox” development licenses, for which we generally charge as a percentage of the related subscription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SimpleNexus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Professional Services and Other Revenues</w:t>
      </w:r>
      <w:r>
        <w:rPr>
          <w:rFonts w:ascii="Times New Roman;sans-serif" w:hAnsi="Times New Roman;sans-serif"/>
          <w:b w:val="false"/>
          <w:color w:val="000000"/>
          <w:sz w:val="20"/>
        </w:rPr>
        <w:t>. Professional services and other revenues consist of fees for implementation and configuration assistance, training, and advisory services. For enterprise and larger regional FIs, we generally work with SI partners to provide the majority of implementation services for the nCino Bank Operating System, for which these SI partners bill our customers directly. We have historically delivered professional services ourselves for community banks and smaller credit unions and SimpleNexus has historically provided professional services directly to its customers.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Cost of Subscription Revenues</w:t>
      </w:r>
      <w:r>
        <w:rPr>
          <w:rFonts w:ascii="Times New Roman;sans-serif" w:hAnsi="Times New Roman;sans-serif"/>
          <w:b w:val="false"/>
          <w:color w:val="000000"/>
          <w:sz w:val="20"/>
        </w:rPr>
        <w:t xml:space="preserve">. Cost of subscription revenues consists of fees paid to Salesforce for access to the Salesforce Platform, 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Cost of Professional Services and Other Revenues</w:t>
      </w:r>
      <w:r>
        <w:rPr>
          <w:rFonts w:ascii="Times New Roman;sans-serif" w:hAnsi="Times New Roman;sans-serif"/>
          <w:b w:val="false"/>
          <w:color w:val="000000"/>
          <w:sz w:val="20"/>
        </w:rPr>
        <w:t>. Cost of professional services and other revenues consists primarily of personnel-related 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consist primarily of personnel costs of our sales and marketing employees, including 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decrease as a percentage of revenues as we leverage the investments we have made to date.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expenses consist primarily of salaries, benefits and stock-based compensation 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expenses consist primarily of salaries, benefits and stock-based compensation 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such as legal and other professional services fees. We expect general and administrative expenses will decrease as a percentage of revenues as we leverage the investments we have made to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Non-Operating Income (Expense)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Interest income consists primarily of interest earned on our cash and cash equivalents.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Interest expense consists primarily of interest related to our financing obligations along with interest expense on borrowings, commitment fees, and amortization of debt issuance costs associated with our secured revolving credit facility.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Other Expense, Net. </w:t>
      </w:r>
      <w:r>
        <w:rPr>
          <w:rFonts w:ascii="Times New Roman;sans-serif" w:hAnsi="Times New Roman;sans-serif"/>
          <w:b w:val="false"/>
          <w:color w:val="000000"/>
          <w:sz w:val="20"/>
        </w:rPr>
        <w:t>Other expense, net consists primarily of foreign currency gains and losses, the majority of which is due to intercompany loans that are denominated in currencies other than the underlying functional currency of the applicable entity.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Income Tax Provision. </w:t>
      </w:r>
      <w:r>
        <w:rPr>
          <w:rFonts w:ascii="Times New Roman;sans-serif" w:hAnsi="Times New Roman;sans-serif"/>
          <w:b w:val="false"/>
          <w:color w:val="000000"/>
          <w:sz w:val="20"/>
        </w:rPr>
        <w:t xml:space="preserve">Income tax provision consists of federal and state income taxes in the U.S. and income taxes in foreign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presented below should be reviewed in conjunction with the financial statements and notes included elsewhere in this Quarterly Report on Form 10-Q. The following tables present our selected unaudited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data for three months ended April 30, 2022 and 2023 in both dollars and as a percentage of total revenues, except as noted.</w:t>
      </w:r>
    </w:p>
    <w:tbl>
      <w:tblPr>
        <w:tblW w:w="8618" w:type="dxa"/>
        <w:jc w:val="left"/>
        <w:tblInd w:w="0" w:type="dxa"/>
        <w:tblLayout w:type="fixed"/>
        <w:tblCellMar>
          <w:top w:w="28" w:type="dxa"/>
          <w:left w:w="28" w:type="dxa"/>
          <w:bottom w:w="28" w:type="dxa"/>
          <w:right w:w="28" w:type="dxa"/>
        </w:tblCellMar>
      </w:tblPr>
      <w:tblGrid>
        <w:gridCol w:w="1892"/>
        <w:gridCol w:w="1661"/>
        <w:gridCol w:w="1667"/>
        <w:gridCol w:w="264"/>
        <w:gridCol w:w="922"/>
        <w:gridCol w:w="109"/>
        <w:gridCol w:w="109"/>
        <w:gridCol w:w="109"/>
        <w:gridCol w:w="109"/>
        <w:gridCol w:w="264"/>
        <w:gridCol w:w="922"/>
        <w:gridCol w:w="109"/>
        <w:gridCol w:w="109"/>
        <w:gridCol w:w="109"/>
        <w:gridCol w:w="109"/>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and per share amounts)</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nCino, Inc.:</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109,998,637 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112,032,536 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as follows:</w:t>
      </w:r>
    </w:p>
    <w:tbl>
      <w:tblPr>
        <w:tblW w:w="6894" w:type="dxa"/>
        <w:jc w:val="left"/>
        <w:tblInd w:w="0" w:type="dxa"/>
        <w:tblLayout w:type="fixed"/>
        <w:tblCellMar>
          <w:top w:w="28" w:type="dxa"/>
          <w:left w:w="28" w:type="dxa"/>
          <w:bottom w:w="28" w:type="dxa"/>
          <w:right w:w="28" w:type="dxa"/>
        </w:tblCellMar>
      </w:tblPr>
      <w:tblGrid>
        <w:gridCol w:w="1448"/>
        <w:gridCol w:w="1275"/>
        <w:gridCol w:w="1281"/>
        <w:gridCol w:w="211"/>
        <w:gridCol w:w="721"/>
        <w:gridCol w:w="109"/>
        <w:gridCol w:w="109"/>
        <w:gridCol w:w="109"/>
        <w:gridCol w:w="109"/>
        <w:gridCol w:w="211"/>
        <w:gridCol w:w="721"/>
        <w:gridCol w:w="109"/>
        <w:gridCol w:w="109"/>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6776" w:type="dxa"/>
        <w:jc w:val="left"/>
        <w:tblInd w:w="0" w:type="dxa"/>
        <w:tblLayout w:type="fixed"/>
        <w:tblCellMar>
          <w:top w:w="28" w:type="dxa"/>
          <w:left w:w="28" w:type="dxa"/>
          <w:bottom w:w="28" w:type="dxa"/>
          <w:right w:w="28" w:type="dxa"/>
        </w:tblCellMar>
      </w:tblPr>
      <w:tblGrid>
        <w:gridCol w:w="1448"/>
        <w:gridCol w:w="1275"/>
        <w:gridCol w:w="1281"/>
        <w:gridCol w:w="220"/>
        <w:gridCol w:w="643"/>
        <w:gridCol w:w="113"/>
        <w:gridCol w:w="113"/>
        <w:gridCol w:w="113"/>
        <w:gridCol w:w="113"/>
        <w:gridCol w:w="220"/>
        <w:gridCol w:w="643"/>
        <w:gridCol w:w="113"/>
        <w:gridCol w:w="109"/>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163" w:type="dxa"/>
        <w:jc w:val="left"/>
        <w:tblInd w:w="0" w:type="dxa"/>
        <w:tblLayout w:type="fixed"/>
        <w:tblCellMar>
          <w:top w:w="28" w:type="dxa"/>
          <w:left w:w="28" w:type="dxa"/>
          <w:bottom w:w="28" w:type="dxa"/>
          <w:right w:w="28" w:type="dxa"/>
        </w:tblCellMar>
      </w:tblPr>
      <w:tblGrid>
        <w:gridCol w:w="2142"/>
        <w:gridCol w:w="1881"/>
        <w:gridCol w:w="1902"/>
        <w:gridCol w:w="307"/>
        <w:gridCol w:w="309"/>
        <w:gridCol w:w="476"/>
        <w:gridCol w:w="191"/>
        <w:gridCol w:w="191"/>
        <w:gridCol w:w="191"/>
        <w:gridCol w:w="307"/>
        <w:gridCol w:w="309"/>
        <w:gridCol w:w="476"/>
        <w:gridCol w:w="109"/>
        <w:gridCol w:w="109"/>
        <w:gridCol w:w="109"/>
        <w:gridCol w:w="154"/>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April 30, 2022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9233" w:type="dxa"/>
        <w:jc w:val="left"/>
        <w:tblInd w:w="0" w:type="dxa"/>
        <w:tblLayout w:type="fixed"/>
        <w:tblCellMar>
          <w:top w:w="28" w:type="dxa"/>
          <w:left w:w="28" w:type="dxa"/>
          <w:bottom w:w="28" w:type="dxa"/>
          <w:right w:w="28" w:type="dxa"/>
        </w:tblCellMar>
      </w:tblPr>
      <w:tblGrid>
        <w:gridCol w:w="1220"/>
        <w:gridCol w:w="1074"/>
        <w:gridCol w:w="1080"/>
        <w:gridCol w:w="211"/>
        <w:gridCol w:w="721"/>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109"/>
        <w:gridCol w:w="109"/>
        <w:gridCol w:w="109"/>
        <w:gridCol w:w="109"/>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revenues increased $18.2 million for the three months ended April 30, 2023 compared to the three months ended April 30, 2022, due to initial revenues from customers who did not contribute to subscription revenues during the prior period, and growth from existing customers within and across lines of business. Of the increase, 69.3% was attributable to increased revenues from existing customers as additional seats were activated in accordance with contractual terms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expanded their adoption of our solutions, and 30.7% was attributable to initial revenues from customers who did not contribute to subscription revenues during the three months ended April 30, 2022. Subscription revenues were 85.6% of total revenues for the three months ended April 30, 2023 compared to 84.1% of total revenues for the three months ended April 30, 2022, primarily due to growth in our installed base.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 increased $1.3 million for the three months ended April 30, 2023 compared to the three months ended April 30, 2022, primarily due to the addition of new customers as well as expanded adoption by existing customers within and across lines of business where implementation, configuration, and training services were required.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tbl>
      <w:tblPr>
        <w:tblW w:w="10205" w:type="dxa"/>
        <w:jc w:val="left"/>
        <w:tblInd w:w="0" w:type="dxa"/>
        <w:tblLayout w:type="fixed"/>
        <w:tblCellMar>
          <w:top w:w="28" w:type="dxa"/>
          <w:left w:w="28" w:type="dxa"/>
          <w:bottom w:w="28" w:type="dxa"/>
          <w:right w:w="28" w:type="dxa"/>
        </w:tblCellMar>
      </w:tblPr>
      <w:tblGrid>
        <w:gridCol w:w="1679"/>
        <w:gridCol w:w="1444"/>
        <w:gridCol w:w="1431"/>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307"/>
        <w:gridCol w:w="309"/>
        <w:gridCol w:w="271"/>
        <w:gridCol w:w="109"/>
        <w:gridCol w:w="109"/>
        <w:gridCol w:w="109"/>
        <w:gridCol w:w="109"/>
        <w:gridCol w:w="109"/>
        <w:gridCol w:w="109"/>
        <w:gridCol w:w="109"/>
        <w:gridCol w:w="156"/>
      </w:tblGrid>
      <w:tr>
        <w:trPr/>
        <w:tc>
          <w:tcPr>
            <w:tcW w:w="1679"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 increased $3.6 million for the three months ended April 30, 2023 compared to the three months ended April 30, 2022, generating a gross margin for subscription revenues of 70.0% compared to a gross margin of 67.8% for the three months ended April 30, 2022. Costs related to Salesforce user fees increased $2.8 million as we continued to add new customers and sell additional functionality to existing customers and other costs of subscription revenues increased $0.6 million due to costs associated with access to other platforms and data center costs. We expect the cost of subscription revenues will continue to increase in absolute dollars as the number of users of the nCino Bank Operating System grows.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professional services and other revenues increased $2.2 million for the three months ended April 30, 2023 compared to the three months ended April 30, 2022, generating a gross margin for professional services and other revenues of (4.3)% compared to a gross margin of 1.5% for the three months ended April 30, 2022. For the three months ended April 30, 2023, personnel costs, including stock-based compensation expense, increased $1.7 million for professional services compared to the three months ended April 30, 2022, mainly from an increase in headcount. The increase in cost of professional services and other revenues also included an increase of $0.4 million in allocated overhead costs due to growth supporting our business. The decrease in our professional services and other gross margin for the three months ended April 30, 2023 was primarily due to a decline in realized effective billing and utilization rates in our professional services teams.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003" w:type="dxa"/>
        <w:jc w:val="left"/>
        <w:tblInd w:w="0" w:type="dxa"/>
        <w:tblLayout w:type="fixed"/>
        <w:tblCellMar>
          <w:top w:w="28" w:type="dxa"/>
          <w:left w:w="28" w:type="dxa"/>
          <w:bottom w:w="28" w:type="dxa"/>
          <w:right w:w="28" w:type="dxa"/>
        </w:tblCellMar>
      </w:tblPr>
      <w:tblGrid>
        <w:gridCol w:w="836"/>
        <w:gridCol w:w="735"/>
        <w:gridCol w:w="739"/>
        <w:gridCol w:w="211"/>
        <w:gridCol w:w="796"/>
        <w:gridCol w:w="109"/>
        <w:gridCol w:w="109"/>
        <w:gridCol w:w="109"/>
        <w:gridCol w:w="109"/>
        <w:gridCol w:w="291"/>
        <w:gridCol w:w="294"/>
        <w:gridCol w:w="271"/>
        <w:gridCol w:w="109"/>
        <w:gridCol w:w="109"/>
        <w:gridCol w:w="109"/>
        <w:gridCol w:w="211"/>
        <w:gridCol w:w="721"/>
        <w:gridCol w:w="109"/>
        <w:gridCol w:w="109"/>
        <w:gridCol w:w="109"/>
        <w:gridCol w:w="109"/>
        <w:gridCol w:w="255"/>
        <w:gridCol w:w="256"/>
        <w:gridCol w:w="271"/>
        <w:gridCol w:w="109"/>
        <w:gridCol w:w="109"/>
        <w:gridCol w:w="109"/>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$0.6 million for the three months ended April 30, 2023 compared to the three months ended April 30, 2022, primarily due to an increase of $0.6 million in third-party professional fees and an increase of $0.4 million in sales-related travel costs. The increase in sales and marketing expenses was partially offset by a decrease of $0.3 million in personnel costs, including stock-based compensation expense, mainly from a decrease in headcount offset by compensation increases, the impact of changing our merit cycle from a work anniversary basis to an annual basis, and a decrease of $0.3 million in marketing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headcount decreased by 58 from April 30, 2022 to April 30, 2023 primarily due to our workforce reduction and employees that moved to our general and administrative department due to a change in responsibilities. We expect sales and marketing expenses will decrease as a percentage of revenues as we leverage the investments we have made to date.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$0.9 million for the three months ended April 30, 2023 compared to the three months ended April 30, 2022, primarily due to a decrease of $1.0 million in third-party professional fees as a result of lower contract research and development spend and a decrease of $0.4 million in personnel costs, including stock-based compensation expense, mainly from a decrease in headcount offset by compensation increases and the impact of changing our merit cycle from a work anniversary basis to an annual basis. The decrease in research and development expenses was partially offset by an increase of $0.5 million in allocated overhead costs due to growth supporting our continued business expansion.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headcount decreased by 58 from April 30, 2022 to April 30, 2023 primarily due to our workforce reduction. We expect research and development expenses will decrease as a percentage of revenues as we leverage the investments we have made to date.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$4.7 million for the three months ended April 30, 2023 compared to the three months ended April 30, 2022, primarily due to a decrease of $3.2 million in personnel costs, mostly attributable to a $2.1 million decrease in stock-based compensation expense, and a decrease in headcount partially offset by compensation increases and the impact of changing our merit cycle from a work anniversary basis to an annual basis. The decrease in general and administrative spend also included a decrease of $1.7 million in third party professional fees for the three months ended April 30, 2023 compared to the three months ended April 30, 2022, mostly attributable to a decrease in third party professional fees and expenses related to acquisition costs for SimpleNexus and fees and expenses related to the government antitrust investigation and related civil action disclosed in Note 12 "Commitments and Contingencies" of Part I, Item I of this Quarterly Report on Form 10-Q (the "Antitrust Matters"), partially offset by an increase in other professional fees. The decrease in general and administrative expenses was partially offset by an increase of $0.3 million in allocated overhead and other general and administrative costs.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headcount decreased by 8 from April 30, 2022 to April 30, 2023 primarily due to our workforce reduction which was partially offset by employees that moved from our sales and marketing department to our general and administrative department due to a change in responsibilities. We expect general and administrative expenses will decrease as a percentage of revenues as we leverage the investments we have made to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Non-Operating Income (Expense)</w:t>
      </w:r>
    </w:p>
    <w:tbl>
      <w:tblPr>
        <w:tblW w:w="6618" w:type="dxa"/>
        <w:jc w:val="left"/>
        <w:tblInd w:w="0" w:type="dxa"/>
        <w:tblLayout w:type="fixed"/>
        <w:tblCellMar>
          <w:top w:w="28" w:type="dxa"/>
          <w:left w:w="28" w:type="dxa"/>
          <w:bottom w:w="28" w:type="dxa"/>
          <w:right w:w="28" w:type="dxa"/>
        </w:tblCellMar>
      </w:tblPr>
      <w:tblGrid>
        <w:gridCol w:w="586"/>
        <w:gridCol w:w="515"/>
        <w:gridCol w:w="519"/>
        <w:gridCol w:w="311"/>
        <w:gridCol w:w="379"/>
        <w:gridCol w:w="109"/>
        <w:gridCol w:w="109"/>
        <w:gridCol w:w="109"/>
        <w:gridCol w:w="109"/>
        <w:gridCol w:w="239"/>
        <w:gridCol w:w="241"/>
        <w:gridCol w:w="271"/>
        <w:gridCol w:w="109"/>
        <w:gridCol w:w="109"/>
        <w:gridCol w:w="109"/>
        <w:gridCol w:w="215"/>
        <w:gridCol w:w="475"/>
        <w:gridCol w:w="109"/>
        <w:gridCol w:w="109"/>
        <w:gridCol w:w="109"/>
        <w:gridCol w:w="109"/>
        <w:gridCol w:w="239"/>
        <w:gridCol w:w="241"/>
        <w:gridCol w:w="271"/>
        <w:gridCol w:w="109"/>
        <w:gridCol w:w="109"/>
        <w:gridCol w:w="109"/>
        <w:gridCol w:w="109"/>
        <w:gridCol w:w="109"/>
        <w:gridCol w:w="109"/>
        <w:gridCol w:w="109"/>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increased $0.5 million for the three months ended April 30, 2023 compared to the three months ended April 30, 2022, due to increase in our accounts earning interest and increased interest rates. Interest expense increased $0.7 million for the three months ended April 30, 2023 compared to the three months ended April 30, 2022, due to borrowing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our revolving credit facility and an increase in our financing obligations for leases for which we are considered the owners for accounting purposes. The decrease of $0.8 million in other expense, net for the three months ended April 30, 2023 compared to the three months ended April 30, 2022 was primarily driven by intercompany loans and transactions that are denominated in currencies other than the underlying functional currency of the applicable entity.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tbl>
      <w:tblPr>
        <w:tblW w:w="6818" w:type="dxa"/>
        <w:jc w:val="left"/>
        <w:tblInd w:w="0" w:type="dxa"/>
        <w:tblLayout w:type="fixed"/>
        <w:tblCellMar>
          <w:top w:w="28" w:type="dxa"/>
          <w:left w:w="28" w:type="dxa"/>
          <w:bottom w:w="28" w:type="dxa"/>
          <w:right w:w="28" w:type="dxa"/>
        </w:tblCellMar>
      </w:tblPr>
      <w:tblGrid>
        <w:gridCol w:w="667"/>
        <w:gridCol w:w="587"/>
        <w:gridCol w:w="590"/>
        <w:gridCol w:w="211"/>
        <w:gridCol w:w="46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271"/>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was $1.4 million for the three months ended April 30, 2023 compared to a provision of $0.6 million for the three months ended April 30, 2022, and resulted in an effective tax rate of (13.6)% and (1.9)%,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maintain a valuation allowance against our deferred tax assets in most jurisdictions, including the U.S. It is determined by management when a valuation allowance should be recorded, utilizing significant judgement and the use of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as required, Code Section 174, as amended by the Tax Cuts and Jobs Act of 2017. This will result in the repartition of our deferred tax asset balances from net operating losses and tax credit carryforwards to non-tax attribute deferred tax balances. In addition, this may reduce our operating cash flows in future periods through cash remittances of U.S. federal and state income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income (loss), as discussed below.</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Non-GAAP operating income (loss).</w:t>
      </w:r>
      <w:r>
        <w:rPr>
          <w:color w:val="000000"/>
        </w:rPr>
        <w:t xml:space="preserve"> </w:t>
      </w:r>
      <w:r>
        <w:rPr>
          <w:rFonts w:ascii="Times New Roman;sans-serif" w:hAnsi="Times New Roman;sans-serif"/>
          <w:b w:val="false"/>
          <w:color w:val="000000"/>
          <w:sz w:val="20"/>
        </w:rPr>
        <w:t>Non-GAAP operating income (loss) is defined as loss from operations as reported in our unaudited condensed consolidated statements of operations excluding the impact of amortization of intangible assets, stock-based compensation expense, acquisition-related expenses, legal expenses related to certain litigation, and restructuring and related charges. See Note 15 "Restructuring" of the notes to our unaudited condensed consolidated financial statements included in Part I, Item 1 of this Quarterly Report on Form 10-Q for more information on the charges related to restructuring. Non-GAAP operating income (loss) is widely used by securities analysts, investors, and other interested parties to evaluate the profitability of companies. Non-GAAP operating income (loss) eliminates potential differences in performance caused by these items that are not indicative of the Company's ongoing operating performance and hinders comparability with prior and future performance.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non-GAAP operating income (loss) to loss from operations, the most directly comparable financial measure, calculated and presented in accordance with GAAP (in thousands):</w:t>
      </w:r>
    </w:p>
    <w:tbl>
      <w:tblPr>
        <w:tblW w:w="6039" w:type="dxa"/>
        <w:jc w:val="left"/>
        <w:tblInd w:w="0" w:type="dxa"/>
        <w:tblLayout w:type="fixed"/>
        <w:tblCellMar>
          <w:top w:w="28" w:type="dxa"/>
          <w:left w:w="28" w:type="dxa"/>
          <w:bottom w:w="28" w:type="dxa"/>
          <w:right w:w="28" w:type="dxa"/>
        </w:tblCellMar>
      </w:tblPr>
      <w:tblGrid>
        <w:gridCol w:w="1111"/>
        <w:gridCol w:w="980"/>
        <w:gridCol w:w="983"/>
        <w:gridCol w:w="211"/>
        <w:gridCol w:w="796"/>
        <w:gridCol w:w="109"/>
        <w:gridCol w:w="109"/>
        <w:gridCol w:w="109"/>
        <w:gridCol w:w="109"/>
        <w:gridCol w:w="211"/>
        <w:gridCol w:w="721"/>
        <w:gridCol w:w="109"/>
        <w:gridCol w:w="109"/>
        <w:gridCol w:w="109"/>
        <w:gridCol w:w="109"/>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Litigation expenses</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legal expenses related to the Antitrust Matters and a shareholder derivative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2023, we had $98.1 million in cash and cash equivalents, and an accumulated deficit of $321.7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on a GAAP basis for the foreseeable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funded our capital needs through issuances of common stock including our initial public offering in July 2020, operating cash flows, and during fiscal 2023,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11, 2022, we entered into the Credit Facility of up to $50.0 million. We borrowed and repaid $20.0 million under the Credit Facility during the three months ended April 30, 2022 and borrowed $30.0 million during the three months ended October 31, 2022. We repaid $15.0 million under the Credit Facility during the three months ended April 30, 2023. As of April 30, 2023, the Company had $15.0 million outstanding and no letters of credit issued under the Credit Facility and was in compliance with all covenants. See Note 11 "Revolving Credit Facility" of the notes to our unaudited condensed consolidated financial statements included in Part I, Item I of this Quarterly Report on Form 10-Q for more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current cash and cash equivalents as well as borrowings available under the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nCino K.K.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of the initial carrying amount adjusted for the redeemable non-controlling interest’s share of earnings or losses and other comprehensive income or loss, or its estimated redemption value. As of January 31, 2023 and April 30, 2023, the redeemable non-controlling interest was $3.6 million and $3.2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joint venture obligations, we may be required to make an additional cash capital contribution of up to $5.0 million to nCino K.K. during fiscal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Summary Cash Flow information for the three months ended April 30, 2022 and 2023 are set forth below:</w:t>
      </w:r>
    </w:p>
    <w:tbl>
      <w:tblPr>
        <w:tblW w:w="6564" w:type="dxa"/>
        <w:jc w:val="left"/>
        <w:tblInd w:w="0" w:type="dxa"/>
        <w:tblLayout w:type="fixed"/>
        <w:tblCellMar>
          <w:top w:w="28" w:type="dxa"/>
          <w:left w:w="28" w:type="dxa"/>
          <w:bottom w:w="28" w:type="dxa"/>
          <w:right w:w="28" w:type="dxa"/>
        </w:tblCellMar>
      </w:tblPr>
      <w:tblGrid>
        <w:gridCol w:w="1524"/>
        <w:gridCol w:w="1342"/>
        <w:gridCol w:w="1349"/>
        <w:gridCol w:w="211"/>
        <w:gridCol w:w="616"/>
        <w:gridCol w:w="109"/>
        <w:gridCol w:w="109"/>
        <w:gridCol w:w="109"/>
        <w:gridCol w:w="109"/>
        <w:gridCol w:w="211"/>
        <w:gridCol w:w="72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$31.3 million provided by operating activities in the three months ended April 30, 2023 reflects our net loss of $11.6 million, offset by $24.7 million in non-cash charges and $18.3 million generated by changes in working capital accounts. Non-cash charges primarily consisted of stock-based compensation, depreciation and amortization, amortization of costs capitalized to obtain revenue contracts, foreign currency losses related to intercompany loans and transactions, and non-cash operating lease costs. Cash generated by working capital accounts was principally a function of a $18.3 million decrease in accounts receivable due to the timing of billings and collections from customers and a $16.8 million increase in deferred revenue, as we expanded our customer base and renewed existing customers. The cash generated by working capital accounts was partially offset by a $13.2 million decrease in accrued expenses and other current liabilities which includes payments of approximately $5.0 million for severance and other employee costs associated with the restructuring plan. Additional offsets were a $1.2 million increase in prepaid expenses and other assets, payments of $1.0 million of capitalized costs to obtain revenue contracts, which consisted primarily of sales commissions, a $1.0 million decrease in operating lease liabilities, and a $0.3 million decrease in accounts payable.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$1.2 million provided by operating activities in the three months ended April 30, 2022 reflects our net loss of $30.0 million, offset by $26.8 million in non-cash charges and $4.5 million generated by changes in working capital accounts. Non-cash charges primarily consisted of stock-based compensation, depreciation and amortization, amortization of costs capitalized to obtain revenue contracts, foreign currency losses related to intercompany loans and transactions, and non-cash operating lease costs. Cash generated by working capital accounts was principally a function of a $22.4 million increase in deferred revenue, as we expanded our customer base and renewed existing customers, and a $0.5 million decrease in accounts receivable due to the timing of billings. The cash generated by working capital accounts was partially offset by a $10.8 million decrease in accrued expenses and other current liabilities, a $2.3 million decrease in accounts payable, payments of $2.2 million of capitalized costs to obtain revenue contracts, which consisted primarily of sales commissions, a $2.0 million increase in prepaid expenses and other assets, and a $1.2 million decrease in operating lease liabilities.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$2.0 million used in investing activities in the three months ended April 30, 2023 was comprised of $1.6 million for the purchase of property and equipment and leasehold improvements to support the expansion of our business and $0.4 million for the final cash considerations relating to an asset acquisition completed in August 2022. We used $4.7 million in investing activities in the three months ended April 30, 2022 for the purchase of property and equipment and leasehold improvements to support the expansion of our business.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Financing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$(13.9) million used in financing activities in the three months ended April 30, 2023 was comprised principally of payments of $15.0 million on the Credit Facility and principal payments of $0.2 million on financing obligations. The cash used in financing activities was partially offset by $1.4 million of proceeds from the exercise of stock options. The $0.3 million provided by financing activities in the three months ended April 30, 2022 was comprised principally of $0.8 million of proceeds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the exercise of stock options, partially reduced by payments of debt issuance costs of $0.4 million, and principal payments of $0.2 million on financing obligations. We borrowed and repaid $20.0 million under our revolving credit facility during the three months ended April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estimated future obligations principally consist of leases related to our facilities, purchase obligations related primarily to licenses and hosting services, financing obligations for leases for which we are considered the owners for accounting purposes and the Credit Facility. See Note 10 "Leases," Note 11 "Revolving Credit Facility," and Note 12 "Commitments and Contingencies" of the notes to our unaudited condensed consolidated financial statements included in Part I, Item 1 of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pStyle w:val="TextBody"/>
        <w:bidi w:val="0"/>
        <w:spacing w:lineRule="auto" w:line="256" w:before="24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or estimates as compared to those disclosed in the Annual Report on Form 10-K for the fiscal year ended January 31, 2023 filed with the SEC on March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April 30, 2023, we had cash, cash equivalents and restricted cash of $103.5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11, 2022, we entered into a senior secured revolving credit facility of up to $50.0 million. Borrowings bear interest, at the Company's option, at: (i) a base rate equal to the greater of (a) the lender’s “prime rate,” (b) the federal funds rate plus 0.50%, and (c) the BSBY rate plus 1.00%, plus a margin of 0.00% (provided that the base rate shall not be less than 0.00%); or (ii) the BSBY rate (provided that the BSBY shall not be less than 0.00%), plus a margin of 1.00%. As a result, we are exposed to increased interest rate risk as we make draws. At April 30, 2023, we had $15.0 million outstanding under the Credit Facility. We are exposed to the risk of increasing interest rates as the Credit Facility is at a variable interest rate. As of April 30, 2023, the applicable interest rate was 5.91%. A hypothetical 100 basis point change in interest rates would not have had a material impact on our financial results included in this Quarterly Report on Form 10-Q. See Note 11, "Revolving Credit Facility" of the notes to our unaudited condensed consolidated financial statements included in Part I, Item 1 of this Quarterly Report on Form 10-Q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unaudited condensed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April 30, 2023, the last day of the period covered by this Quarterly Report on Form 10-Q. Based on this evaluation, our Chief Executive Officer and Chief Financial Officer have concluded that, at April 30, 2023, our disclosure controls and procedures were effective at the reasonable assurance level.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Inherent Limitations on the Effectiveness of Controls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changes to the risk factors in the Company's Annual Report on Form 10-K for the fiscal year ended January 31, 2023 filed with the SEC on March 28, 2023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8"/>
        <w:gridCol w:w="236"/>
        <w:gridCol w:w="237"/>
        <w:gridCol w:w="1968"/>
        <w:gridCol w:w="1666"/>
        <w:gridCol w:w="1648"/>
        <w:gridCol w:w="216"/>
        <w:gridCol w:w="216"/>
        <w:gridCol w:w="214"/>
        <w:gridCol w:w="260"/>
        <w:gridCol w:w="260"/>
        <w:gridCol w:w="226"/>
        <w:gridCol w:w="217"/>
        <w:gridCol w:w="217"/>
        <w:gridCol w:w="218"/>
        <w:gridCol w:w="533"/>
        <w:gridCol w:w="356"/>
        <w:gridCol w:w="283"/>
        <w:gridCol w:w="280"/>
        <w:gridCol w:w="280"/>
        <w:gridCol w:w="406"/>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5282"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8-K12B</w:t>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2022</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2022</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First Amendment to Office Lease (New Building) by and between nCino, Inc. and Cloud Real Estate Holdings, LLC, dated March 20, 2023</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Third Amendment to Office Lease (Existing Building) by and between nCino, Inc. and Cloud Real Estate Holdings, LLC, dated March 20, 2023</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02410q.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02410q.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202410q.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202410q.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5282" w:type="dxa"/>
            <w:gridSpan w:val="3"/>
            <w:tcBorders/>
            <w:vAlign w:val="center"/>
          </w:tcPr>
          <w:p>
            <w:pPr>
              <w:pStyle w:val="TableContents"/>
              <w:bidi w:val="0"/>
              <w:spacing w:before="0" w:after="283"/>
              <w:jc w:val="left"/>
              <w:rPr>
                <w:sz w:val="4"/>
                <w:szCs w:val="4"/>
              </w:rPr>
            </w:pPr>
            <w:r>
              <w:rPr>
                <w:sz w:val="4"/>
                <w:szCs w:val="4"/>
              </w:rPr>
            </w:r>
          </w:p>
        </w:tc>
        <w:tc>
          <w:tcPr>
            <w:tcW w:w="4182" w:type="dxa"/>
            <w:gridSpan w:val="15"/>
            <w:tcBorders/>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5282" w:type="dxa"/>
            <w:gridSpan w:val="3"/>
            <w:tcBorders/>
            <w:vAlign w:val="center"/>
          </w:tcPr>
          <w:p>
            <w:pPr>
              <w:pStyle w:val="TableContents"/>
              <w:bidi w:val="0"/>
              <w:spacing w:before="0" w:after="283"/>
              <w:jc w:val="left"/>
              <w:rPr>
                <w:sz w:val="4"/>
                <w:szCs w:val="4"/>
              </w:rPr>
            </w:pPr>
            <w:r>
              <w:rPr>
                <w:sz w:val="4"/>
                <w:szCs w:val="4"/>
              </w:rPr>
            </w:r>
          </w:p>
        </w:tc>
        <w:tc>
          <w:tcPr>
            <w:tcW w:w="4182" w:type="dxa"/>
            <w:gridSpan w:val="15"/>
            <w:tcBorders/>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1c85ef61e0a407c97dad8b6e3f391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tbl>
      <w:tblPr>
        <w:tblW w:w="5738"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13"/>
        <w:gridCol w:w="113"/>
        <w:gridCol w:w="113"/>
        <w:gridCol w:w="953"/>
        <w:gridCol w:w="953"/>
        <w:gridCol w:w="134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nCino,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31,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Pierre Naudé</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Pierre Naudé</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31,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D. Orenstein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D. Orenstein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&amp; Treasurer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Pierre Naudé,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Quarterly Report on Form 10-Q of nCino, Inc.;</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ind w:left="0" w:right="0" w:hanging="360"/>
        <w:jc w:val="left"/>
        <w:rPr/>
      </w:pPr>
      <w:r>
        <w:rPr/>
      </w:r>
    </w:p>
    <w:p>
      <w:pPr>
        <w:pStyle w:val="TextBody"/>
        <w:bidi w:val="0"/>
        <w:spacing w:lineRule="auto" w:line="288" w:before="0" w:after="2"/>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2"/>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
        <w:ind w:left="0" w:right="0" w:hanging="360"/>
        <w:jc w:val="left"/>
        <w:rPr/>
      </w:pPr>
      <w:r>
        <w:rPr/>
      </w:r>
    </w:p>
    <w:p>
      <w:pPr>
        <w:pStyle w:val="TextBody"/>
        <w:bidi w:val="0"/>
        <w:spacing w:lineRule="auto" w:line="288" w:before="0" w:after="2"/>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
        <w:ind w:left="0" w:right="0" w:hanging="360"/>
        <w:jc w:val="left"/>
        <w:rPr/>
      </w:pPr>
      <w:r>
        <w:rPr/>
      </w:r>
    </w:p>
    <w:p>
      <w:pPr>
        <w:pStyle w:val="TextBody"/>
        <w:bidi w:val="0"/>
        <w:spacing w:lineRule="auto" w:line="288" w:before="0" w:after="2"/>
        <w:ind w:left="0" w:right="0" w:hanging="72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566"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144"/>
        <w:gridCol w:w="144"/>
        <w:gridCol w:w="146"/>
        <w:gridCol w:w="1112"/>
        <w:gridCol w:w="1112"/>
        <w:gridCol w:w="1586"/>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 Pierre Naudé</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Pierre Naudé</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Gregory D. Orenstein,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Quarterly Report on Form 10-Q of nCino, Inc.;</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235"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144"/>
        <w:gridCol w:w="144"/>
        <w:gridCol w:w="146"/>
        <w:gridCol w:w="1016"/>
        <w:gridCol w:w="1016"/>
        <w:gridCol w:w="1447"/>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36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CERTIFICATION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nCino, Inc. (the “Company”) on Form 10-Q for the period ending April 30,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6505"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144"/>
        <w:gridCol w:w="144"/>
        <w:gridCol w:w="146"/>
        <w:gridCol w:w="1096"/>
        <w:gridCol w:w="1096"/>
        <w:gridCol w:w="1557"/>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Pierre Naudé</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Pierre Naudé</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Chairman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36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CERTIFICATION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nCino, Inc. (the “Company”) on Form 10-Q for the period ending April 30,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6235"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144"/>
        <w:gridCol w:w="144"/>
        <w:gridCol w:w="146"/>
        <w:gridCol w:w="1016"/>
        <w:gridCol w:w="1016"/>
        <w:gridCol w:w="1447"/>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2733/000119312522005239/d246602dex31.htm" TargetMode="External"/><Relationship Id="rId3" Type="http://schemas.openxmlformats.org/officeDocument/2006/relationships/hyperlink" Target="https://www.sec.gov/Archives/edgar/data/1902733/000190273322000031/amendedandrestatedbylaws.htm" TargetMode="External"/><Relationship Id="rId4" Type="http://schemas.openxmlformats.org/officeDocument/2006/relationships/hyperlink" Target="https://www.sec.gov/Archives/edgar/data/1902733/000190273323000024/exhibit1025firstamendmentt.htm" TargetMode="External"/><Relationship Id="rId5" Type="http://schemas.openxmlformats.org/officeDocument/2006/relationships/hyperlink" Target="https://www.sec.gov/Archives/edgar/data/1902733/000190273323000024/exhibit1026thirdamendmentt.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19183</Words>
  <Characters>108165</Characters>
  <CharactersWithSpaces>125938</CharactersWithSpaces>
  <Paragraphs>2079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