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366" w:lineRule="exact"/>
        <w:rPr>
          <w:sz w:val="24"/>
          <w:szCs w:val="24"/>
          <w:color w:val="auto"/>
        </w:rPr>
      </w:pPr>
    </w:p>
    <w:p>
      <w:pPr>
        <w:ind w:left="4460" w:right="1820" w:hanging="2635"/>
        <w:spacing w:after="0" w:line="271" w:lineRule="auto"/>
        <w:tabs>
          <w:tab w:leader="none" w:pos="210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001-41211</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9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47"/>
        </w:trPr>
        <w:tc>
          <w:tcPr>
            <w:tcW w:w="1340" w:type="dxa"/>
            <w:vAlign w:val="bottom"/>
          </w:tcPr>
          <w:p>
            <w:pPr>
              <w:spacing w:after="0"/>
              <w:rPr>
                <w:sz w:val="21"/>
                <w:szCs w:val="21"/>
                <w:color w:val="auto"/>
              </w:rPr>
            </w:pPr>
          </w:p>
        </w:tc>
        <w:tc>
          <w:tcPr>
            <w:tcW w:w="232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4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b w:val="1"/>
                <w:bCs w:val="1"/>
                <w:color w:val="auto"/>
              </w:rPr>
              <w:t>87-4154342</w:t>
            </w:r>
          </w:p>
        </w:tc>
      </w:tr>
      <w:tr>
        <w:trPr>
          <w:trHeight w:val="168"/>
        </w:trPr>
        <w:tc>
          <w:tcPr>
            <w:tcW w:w="3660" w:type="dxa"/>
            <w:vAlign w:val="bottom"/>
            <w:gridSpan w:val="3"/>
          </w:tcPr>
          <w:p>
            <w:pPr>
              <w:jc w:val="center"/>
              <w:ind w:left="4"/>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71"/>
        </w:trPr>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3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80"/>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9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6"/>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1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9"/>
                <w:szCs w:val="19"/>
                <w:color w:val="auto"/>
              </w:rPr>
            </w:pPr>
          </w:p>
        </w:tc>
        <w:tc>
          <w:tcPr>
            <w:tcW w:w="4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4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366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Common stock, par value $0.0005 per share</w:t>
            </w:r>
          </w:p>
        </w:tc>
        <w:tc>
          <w:tcPr>
            <w:tcW w:w="1380" w:type="dxa"/>
            <w:vAlign w:val="bottom"/>
          </w:tcPr>
          <w:p>
            <w:pPr>
              <w:spacing w:after="0"/>
              <w:rPr>
                <w:sz w:val="18"/>
                <w:szCs w:val="18"/>
                <w:color w:val="auto"/>
              </w:rPr>
            </w:pPr>
          </w:p>
        </w:tc>
        <w:tc>
          <w:tcPr>
            <w:tcW w:w="26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NCNO</w:t>
            </w: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25"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3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63"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343"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59" w:lineRule="exact"/>
        <w:rPr>
          <w:sz w:val="24"/>
          <w:szCs w:val="24"/>
          <w:color w:val="auto"/>
        </w:rPr>
      </w:pPr>
    </w:p>
    <w:p>
      <w:pPr>
        <w:spacing w:after="0" w:line="161" w:lineRule="exact"/>
        <w:tabs>
          <w:tab w:leader="none" w:pos="666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56"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115,084,198 shares of common stock, $0.0005 par value per share, as of May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0" w:type="dxa"/>
            <w:vAlign w:val="bottom"/>
          </w:tcPr>
          <w:p>
            <w:pPr>
              <w:spacing w:after="0"/>
              <w:rPr>
                <w:sz w:val="18"/>
                <w:szCs w:val="18"/>
                <w:color w:val="auto"/>
              </w:rPr>
            </w:pPr>
          </w:p>
        </w:tc>
        <w:tc>
          <w:tcPr>
            <w:tcW w:w="9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5800" w:type="dxa"/>
            <w:vAlign w:val="bottom"/>
            <w:gridSpan w:val="13"/>
          </w:tcPr>
          <w:p>
            <w:pPr>
              <w:jc w:val="center"/>
              <w:ind w:right="26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12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120" w:type="dxa"/>
            <w:vAlign w:val="bottom"/>
            <w:gridSpan w:val="6"/>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31, 2024 and April 30, 2024 (Unaudited)</w:t>
            </w:r>
          </w:p>
        </w:tc>
        <w:tc>
          <w:tcPr>
            <w:tcW w:w="2140" w:type="dxa"/>
            <w:vAlign w:val="bottom"/>
            <w:gridSpan w:val="4"/>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April 30, 2023 and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Months Ended April 30, 2023 and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Stockholders' Equity for the Three Months Ended April 30, 2023 and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Months Ended April 30, 2023 and 2024</w:t>
            </w:r>
          </w:p>
        </w:tc>
        <w:tc>
          <w:tcPr>
            <w:tcW w:w="6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gridSpan w:val="5"/>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00" w:type="dxa"/>
            <w:vAlign w:val="bottom"/>
            <w:gridSpan w:val="9"/>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11"/>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12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220" w:type="dxa"/>
            <w:vAlign w:val="bottom"/>
            <w:gridSpan w:val="7"/>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2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720" w:type="dxa"/>
            <w:vAlign w:val="bottom"/>
            <w:gridSpan w:val="10"/>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40" w:type="dxa"/>
            <w:vAlign w:val="bottom"/>
            <w:gridSpan w:val="14"/>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300" w:type="dxa"/>
            <w:vAlign w:val="bottom"/>
            <w:gridSpan w:val="15"/>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460" w:type="dxa"/>
            <w:vAlign w:val="bottom"/>
            <w:gridSpan w:val="21"/>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160" w:type="dxa"/>
            <w:vAlign w:val="bottom"/>
          </w:tcPr>
          <w:p>
            <w:pPr>
              <w:spacing w:after="0"/>
              <w:rPr>
                <w:sz w:val="16"/>
                <w:szCs w:val="16"/>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(VIE: $2,277 and $1,983 at January 31, 2024 and April 30, 2024,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129,481</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less allowances of $1,451 and $1,100 at January 31, 2024 and April 30, 2024, respectively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78,508</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236,584</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907,513</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142,705</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(related party $2,500 at January 31, 2024 and April 30, 2024)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1,340,430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1,423,892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16,118</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179,835</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221,691</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noncurrent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287,826</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355,910</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75"/>
        </w:trPr>
        <w:tc>
          <w:tcPr>
            <w:tcW w:w="85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 as of</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31, 2024 and April 30, 2024</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500,000,000 shares authorized as of January 31, 2024 and April 30, 2024;</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4"/>
        </w:trPr>
        <w:tc>
          <w:tcPr>
            <w:tcW w:w="8560" w:type="dxa"/>
            <w:vAlign w:val="bottom"/>
            <w:shd w:val="clear" w:color="auto" w:fill="CCEEFF"/>
          </w:tcPr>
          <w:p>
            <w:pPr>
              <w:ind w:left="620"/>
              <w:spacing w:after="0" w:line="184" w:lineRule="exact"/>
              <w:rPr>
                <w:sz w:val="20"/>
                <w:szCs w:val="20"/>
                <w:color w:val="auto"/>
              </w:rPr>
            </w:pPr>
            <w:r>
              <w:rPr>
                <w:rFonts w:ascii="Times New Roman" w:cs="Times New Roman" w:eastAsia="Times New Roman" w:hAnsi="Times New Roman"/>
                <w:sz w:val="18"/>
                <w:szCs w:val="18"/>
                <w:color w:val="auto"/>
              </w:rPr>
              <w:t>113,684,299 and 114,339,887 shares issued and outstanding as of January 31, 2024 and April 30, 2024,</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1,417,838</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(354,890)</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1,063,877</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1,340,430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1,423,892</w:t>
            </w:r>
          </w:p>
        </w:tc>
      </w:tr>
      <w:tr>
        <w:trPr>
          <w:trHeight w:val="21"/>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128,087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 (Note 3)</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 (Note 3)</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 attributable to nCino,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nCino, Inc.: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112,032,536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114,197,068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 interest: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attributable to redeemable non-controlling interest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redeemable non-controlling interest</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nCino,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r>
      <w:tr>
        <w:trPr>
          <w:trHeight w:val="21"/>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April 30, 2023</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120" w:type="dxa"/>
            <w:vAlign w:val="bottom"/>
            <w:gridSpan w:val="3"/>
            <w:vMerge w:val="restart"/>
          </w:tcPr>
          <w:p>
            <w:pPr>
              <w:jc w:val="right"/>
              <w:ind w:right="376"/>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8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Comprehensive</w:t>
            </w:r>
          </w:p>
        </w:tc>
        <w:tc>
          <w:tcPr>
            <w:tcW w:w="160" w:type="dxa"/>
            <w:vAlign w:val="bottom"/>
          </w:tcPr>
          <w:p>
            <w:pPr>
              <w:spacing w:after="0"/>
              <w:rPr>
                <w:sz w:val="8"/>
                <w:szCs w:val="8"/>
                <w:color w:val="auto"/>
              </w:rPr>
            </w:pPr>
          </w:p>
        </w:tc>
        <w:tc>
          <w:tcPr>
            <w:tcW w:w="108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7"/>
                <w:szCs w:val="17"/>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111,424,132</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(310,341)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1,024,078</w:t>
            </w: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528,831</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76"/>
        </w:trPr>
        <w:tc>
          <w:tcPr>
            <w:tcW w:w="38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4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0" w:type="dxa"/>
            <w:vAlign w:val="bottom"/>
          </w:tcPr>
          <w:p>
            <w:pPr>
              <w:spacing w:after="0"/>
              <w:rPr>
                <w:sz w:val="1"/>
                <w:szCs w:val="1"/>
                <w:color w:val="auto"/>
              </w:rPr>
            </w:pPr>
          </w:p>
        </w:tc>
      </w:tr>
      <w:tr>
        <w:trPr>
          <w:trHeight w:val="248"/>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112,200,481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1,025,419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12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113,684,299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1,400,881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1,049,176</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456,288</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75"/>
        </w:trPr>
        <w:tc>
          <w:tcPr>
            <w:tcW w:w="38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48"/>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114,339,887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1,063,877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33655</wp:posOffset>
            </wp:positionV>
            <wp:extent cx="1791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5" w:lineRule="exact"/>
        <w:rPr>
          <w:sz w:val="20"/>
          <w:szCs w:val="20"/>
          <w:color w:val="auto"/>
        </w:rPr>
      </w:pPr>
    </w:p>
    <w:p>
      <w:pPr>
        <w:ind w:left="896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117"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loss attributable to nCino, Inc.</w:t>
      </w:r>
    </w:p>
    <w:p>
      <w:pPr>
        <w:spacing w:after="0" w:line="46" w:lineRule="exact"/>
        <w:rPr>
          <w:sz w:val="20"/>
          <w:szCs w:val="20"/>
          <w:color w:val="auto"/>
        </w:rPr>
      </w:pPr>
    </w:p>
    <w:p>
      <w:pPr>
        <w:ind w:left="360" w:right="2500"/>
        <w:spacing w:after="0" w:line="299" w:lineRule="auto"/>
        <w:rPr>
          <w:sz w:val="20"/>
          <w:szCs w:val="20"/>
          <w:color w:val="auto"/>
        </w:rPr>
      </w:pPr>
      <w:r>
        <w:rPr>
          <w:rFonts w:ascii="Times New Roman" w:cs="Times New Roman" w:eastAsia="Times New Roman" w:hAnsi="Times New Roman"/>
          <w:sz w:val="16"/>
          <w:szCs w:val="16"/>
          <w:color w:val="auto"/>
        </w:rPr>
        <w:t>Net loss and adjustment attributable to redeemable non-controlling interest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Provision for (recovery of) bad debt</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Net foreign currency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Accrued expenses and other liabilities</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5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assets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of debt issuance costs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payments on financing obligations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20"/>
        <w:spacing w:after="0"/>
        <w:tabs>
          <w:tab w:leader="none" w:pos="760" w:val="left"/>
          <w:tab w:leader="none" w:pos="1460" w:val="left"/>
          <w:tab w:leader="none" w:pos="23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(11,243)</w:t>
        <w:tab/>
        <w:t>$</w:t>
      </w:r>
      <w:r>
        <w:rPr>
          <w:sz w:val="20"/>
          <w:szCs w:val="20"/>
          <w:color w:val="auto"/>
        </w:rPr>
        <w:tab/>
      </w:r>
      <w:r>
        <w:rPr>
          <w:rFonts w:ascii="Times New Roman" w:cs="Times New Roman" w:eastAsia="Times New Roman" w:hAnsi="Times New Roman"/>
          <w:sz w:val="16"/>
          <w:szCs w:val="16"/>
          <w:color w:val="auto"/>
        </w:rPr>
        <w:t>(2,976)</w:t>
      </w:r>
    </w:p>
    <w:p>
      <w:pPr>
        <w:spacing w:after="0" w:line="32" w:lineRule="exact"/>
        <w:rPr>
          <w:sz w:val="20"/>
          <w:szCs w:val="20"/>
          <w:color w:val="auto"/>
        </w:rPr>
      </w:pPr>
    </w:p>
    <w:p>
      <w:pPr>
        <w:ind w:left="2500" w:hanging="1516"/>
        <w:spacing w:after="0"/>
        <w:tabs>
          <w:tab w:leader="none" w:pos="2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791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9" w:lineRule="exact"/>
        <w:rPr>
          <w:sz w:val="20"/>
          <w:szCs w:val="20"/>
          <w:color w:val="auto"/>
        </w:rPr>
      </w:pPr>
    </w:p>
    <w:p>
      <w:pPr>
        <w:jc w:val="both"/>
        <w:ind w:left="780"/>
        <w:spacing w:after="0"/>
        <w:tabs>
          <w:tab w:leader="none" w:pos="2300" w:val="left"/>
        </w:tabs>
        <w:rPr>
          <w:sz w:val="20"/>
          <w:szCs w:val="20"/>
          <w:color w:val="auto"/>
        </w:rPr>
      </w:pPr>
      <w:r>
        <w:rPr>
          <w:rFonts w:ascii="Times New Roman" w:cs="Times New Roman" w:eastAsia="Times New Roman" w:hAnsi="Times New Roman"/>
          <w:sz w:val="16"/>
          <w:szCs w:val="16"/>
          <w:color w:val="auto"/>
        </w:rPr>
        <w:t>(11,644)</w:t>
      </w:r>
      <w:r>
        <w:rPr>
          <w:sz w:val="20"/>
          <w:szCs w:val="20"/>
          <w:color w:val="auto"/>
        </w:rPr>
        <w:tab/>
      </w:r>
      <w:r>
        <w:rPr>
          <w:rFonts w:ascii="Times New Roman" w:cs="Times New Roman" w:eastAsia="Times New Roman" w:hAnsi="Times New Roman"/>
          <w:sz w:val="16"/>
          <w:szCs w:val="16"/>
          <w:color w:val="auto"/>
        </w:rPr>
        <w:t>(2,297)</w:t>
      </w: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9,131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8,290</w:t>
            </w:r>
          </w:p>
        </w:tc>
      </w:tr>
      <w:tr>
        <w:trPr>
          <w:trHeight w:val="216"/>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1,189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r>
      <w:tr>
        <w:trPr>
          <w:trHeight w:val="216"/>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2,439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r>
      <w:tr>
        <w:trPr>
          <w:trHeight w:val="216"/>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10,865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16,205</w:t>
            </w:r>
          </w:p>
        </w:tc>
      </w:tr>
      <w:tr>
        <w:trPr>
          <w:trHeight w:val="216"/>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332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r>
      <w:tr>
        <w:trPr>
          <w:trHeight w:val="216"/>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298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6"/>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363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459"/>
        </w:trPr>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18,278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37,464</w:t>
            </w:r>
          </w:p>
        </w:tc>
      </w:tr>
      <w:tr>
        <w:trPr>
          <w:trHeight w:val="216"/>
        </w:trPr>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(1,035)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w:t>
            </w:r>
          </w:p>
        </w:tc>
      </w:tr>
      <w:tr>
        <w:trPr>
          <w:trHeight w:val="243"/>
        </w:trPr>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(1,238)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r>
    </w:tbl>
    <w:p>
      <w:pPr>
        <w:spacing w:after="0" w:line="33" w:lineRule="exact"/>
        <w:rPr>
          <w:sz w:val="20"/>
          <w:szCs w:val="20"/>
          <w:color w:val="auto"/>
        </w:rPr>
      </w:pPr>
    </w:p>
    <w:p>
      <w:pPr>
        <w:ind w:left="2380" w:hanging="1396"/>
        <w:spacing w:after="0"/>
        <w:tabs>
          <w:tab w:leader="none" w:pos="2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3,812</w:t>
      </w:r>
    </w:p>
    <w:p>
      <w:pPr>
        <w:spacing w:after="0" w:line="59"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8"/>
              </w:rPr>
              <w:t>(13,227)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w:t>
            </w:r>
          </w:p>
        </w:tc>
      </w:tr>
      <w:tr>
        <w:trPr>
          <w:trHeight w:val="216"/>
        </w:trPr>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16,755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w:t>
            </w:r>
          </w:p>
        </w:tc>
      </w:tr>
    </w:tbl>
    <w:p>
      <w:pPr>
        <w:spacing w:after="0" w:line="33" w:lineRule="exact"/>
        <w:rPr>
          <w:sz w:val="20"/>
          <w:szCs w:val="20"/>
          <w:color w:val="auto"/>
        </w:rPr>
      </w:pPr>
    </w:p>
    <w:p>
      <w:pPr>
        <w:ind w:left="2320" w:hanging="1336"/>
        <w:spacing w:after="0"/>
        <w:tabs>
          <w:tab w:leader="none" w:pos="2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791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6" w:lineRule="exact"/>
        <w:rPr>
          <w:sz w:val="20"/>
          <w:szCs w:val="20"/>
          <w:color w:val="auto"/>
        </w:rPr>
      </w:pPr>
    </w:p>
    <w:p>
      <w:pPr>
        <w:ind w:left="840"/>
        <w:spacing w:after="0"/>
        <w:tabs>
          <w:tab w:leader="none" w:pos="2280" w:val="left"/>
        </w:tabs>
        <w:rPr>
          <w:sz w:val="20"/>
          <w:szCs w:val="20"/>
          <w:color w:val="auto"/>
        </w:rPr>
      </w:pPr>
      <w:r>
        <w:rPr>
          <w:rFonts w:ascii="Times New Roman" w:cs="Times New Roman" w:eastAsia="Times New Roman" w:hAnsi="Times New Roman"/>
          <w:sz w:val="16"/>
          <w:szCs w:val="16"/>
          <w:color w:val="auto"/>
        </w:rPr>
        <w:t>31,303</w:t>
      </w:r>
      <w:r>
        <w:rPr>
          <w:sz w:val="20"/>
          <w:szCs w:val="20"/>
          <w:color w:val="auto"/>
        </w:rPr>
        <w:tab/>
      </w:r>
      <w:r>
        <w:rPr>
          <w:rFonts w:ascii="Times New Roman" w:cs="Times New Roman" w:eastAsia="Times New Roman" w:hAnsi="Times New Roman"/>
          <w:sz w:val="16"/>
          <w:szCs w:val="16"/>
          <w:color w:val="auto"/>
        </w:rPr>
        <w:t>54,442</w:t>
      </w:r>
    </w:p>
    <w:p>
      <w:pPr>
        <w:spacing w:after="0" w:line="30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—(90,737)</w:t>
      </w:r>
    </w:p>
    <w:p>
      <w:pPr>
        <w:spacing w:after="0" w:line="59" w:lineRule="exact"/>
        <w:rPr>
          <w:sz w:val="20"/>
          <w:szCs w:val="20"/>
          <w:color w:val="auto"/>
        </w:rPr>
      </w:pPr>
    </w:p>
    <w:p>
      <w:pPr>
        <w:ind w:left="2440" w:hanging="1456"/>
        <w:spacing w:after="0"/>
        <w:tabs>
          <w:tab w:leader="none" w:pos="2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2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(91,229)</w:t>
            </w:r>
          </w:p>
        </w:tc>
      </w:tr>
      <w:tr>
        <w:trPr>
          <w:trHeight w:val="463"/>
        </w:trPr>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43"/>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43"/>
        </w:trPr>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43"/>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r>
    </w:tbl>
    <w:p>
      <w:pPr>
        <w:spacing w:after="0" w:line="33" w:lineRule="exact"/>
        <w:rPr>
          <w:sz w:val="20"/>
          <w:szCs w:val="20"/>
          <w:color w:val="auto"/>
        </w:rPr>
      </w:pPr>
    </w:p>
    <w:p>
      <w:pPr>
        <w:ind w:left="2440" w:hanging="1456"/>
        <w:spacing w:after="0"/>
        <w:tabs>
          <w:tab w:leader="none" w:pos="24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(359)</w:t>
      </w:r>
    </w:p>
    <w:p>
      <w:pPr>
        <w:spacing w:after="0" w:line="26" w:lineRule="exact"/>
        <w:rPr>
          <w:sz w:val="20"/>
          <w:szCs w:val="20"/>
          <w:color w:val="auto"/>
        </w:rPr>
      </w:pPr>
    </w:p>
    <w:p>
      <w:pPr>
        <w:sectPr>
          <w:pgSz w:w="11900" w:h="16838" w:orient="portrait"/>
          <w:cols w:equalWidth="0" w:num="2">
            <w:col w:w="7700" w:space="720"/>
            <w:col w:w="28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(13,856)</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55,980</w:t>
            </w:r>
          </w:p>
        </w:tc>
      </w:tr>
      <w:tr>
        <w:trPr>
          <w:trHeight w:val="22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cash equivalents, and restricted cash</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r>
      <w:tr>
        <w:trPr>
          <w:trHeight w:val="220"/>
        </w:trPr>
        <w:tc>
          <w:tcPr>
            <w:tcW w:w="842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17,394</w:t>
            </w: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117,444</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103,497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134,838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98,136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129,481</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long-term prepaid expenses and other assets</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103,497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134,838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4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costs, accrued but not paid</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Receivables from exercise of stock options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purchase price related to acquisitions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bl>
    <w:p>
      <w:pPr>
        <w:spacing w:after="0" w:line="128"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9"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is a software-as-a-service ("SaaS") company that provides software applications to financial institutions to streamline employee and client interactions. The Company is headquartered in Wilmington, North Carolina and has various locations in the U.S., North America, Europe, Asia Pacific, and South Africa.</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On September 8, 2023, SimpleNexus began operating as SimpleNexus, LLC d/b/a nCino Mortgage, LLC ("nCino Mortgage").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Company’s fiscal year ends on January 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2024 filed with the SEC on March 26, 2024. The unaudited condensed consolidated financial statements include accounts of the Company’s wholly-owned subsidiaries, as well as a variable interest entity in which the Company is the primary beneficiary. All intercompany accounts and transactions are eliminated.</w:t>
      </w:r>
    </w:p>
    <w:p>
      <w:pPr>
        <w:spacing w:after="0" w:line="192"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76"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2025 or any future period.</w:t>
      </w:r>
    </w:p>
    <w:p>
      <w:pPr>
        <w:spacing w:after="0" w:line="17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9"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1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cash equivalents, restricted cash, and accounts receivable. The Company’s cash and cash equivalents exceeded federally insured limits at January 31, 2024 and April 30, 2024. The Company maintains its cash, cash equivalents and restricted cash with high-credit-quality financial institutions.</w:t>
      </w:r>
    </w:p>
    <w:p>
      <w:pPr>
        <w:spacing w:after="0" w:line="180"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As of January 31, 2024, no individual customer represented more than 10% of accounts receivable. As of April 30, 2024, one individual customer represented 15% of accounts receivable. For the three months ended April 30, 2023 and 2024, no individual customer represented more than 10% of the Company’s total revenues.</w:t>
      </w:r>
    </w:p>
    <w:p>
      <w:pPr>
        <w:spacing w:after="0" w:line="172" w:lineRule="exact"/>
        <w:rPr>
          <w:sz w:val="20"/>
          <w:szCs w:val="20"/>
          <w:color w:val="auto"/>
        </w:rPr>
      </w:pPr>
    </w:p>
    <w:p>
      <w:pPr>
        <w:ind w:right="12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Restricted cash primarily consists of a minimum cash balance the Company maintains with a lender under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revolving credit facility. The remaining restricted cash consists of deposits held as collateral for the Company's bank guarantees issued in place of security deposits for certain property leases and credit cards. Restricted cash is included in long-term prepaid expenses and other assets at January 31, 2024 and April 30, 2024 on the unaudited condensed consolidated balance sheets.</w:t>
      </w:r>
    </w:p>
    <w:p>
      <w:pPr>
        <w:spacing w:after="0" w:line="176" w:lineRule="exact"/>
        <w:rPr>
          <w:sz w:val="20"/>
          <w:szCs w:val="20"/>
          <w:color w:val="auto"/>
        </w:rPr>
      </w:pPr>
    </w:p>
    <w:p>
      <w:pPr>
        <w:ind w:right="80" w:firstLine="891"/>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Allowances: </w:t>
      </w:r>
      <w:r>
        <w:rPr>
          <w:rFonts w:ascii="Times New Roman" w:cs="Times New Roman" w:eastAsia="Times New Roman" w:hAnsi="Times New Roman"/>
          <w:sz w:val="17"/>
          <w:szCs w:val="17"/>
          <w:color w:val="auto"/>
        </w:rPr>
        <w:t>The Company records allowances for doubtful accounts based upon the credit worthiness of customers, historical experience,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unaudited condensed consolidated statements of operations, included in general and administrative expenses, up to the amount of revenues recognized to date. Any incremental allowance is recorded as an offset to deferred revenue on the unaudited condensed consolidated balance sheets. Receivables are written off and charged against the recorded allowance when the Company has exhausted collection efforts without success.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and reserve for expected credit losses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48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9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1,451</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(recovery of) bad debt expense</w:t>
            </w:r>
          </w:p>
        </w:tc>
        <w:tc>
          <w:tcPr>
            <w:tcW w:w="3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3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9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9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The Company's investments are non-marketable equity investments without readily determinable fair value and for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the Company's unaudited condensed consolidated statements of operations. The Company assesses the investments whenever events or changes in circumstances indicate that the carrying value of the investments may not be recoverable.</w:t>
      </w:r>
    </w:p>
    <w:p>
      <w:pPr>
        <w:spacing w:after="0" w:line="182" w:lineRule="exact"/>
        <w:rPr>
          <w:sz w:val="20"/>
          <w:szCs w:val="20"/>
          <w:color w:val="auto"/>
        </w:rPr>
      </w:pPr>
    </w:p>
    <w:p>
      <w:pPr>
        <w:ind w:right="6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Not Yet Adopted: </w:t>
      </w: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The guidance includes amendments to improve reportable segment disclosure requirements, primarily through enhanced disclosures about significant segment expenses. The ASU is effective for fiscal years beginning after December 15, 2023 on a retrospective basis, and interim periods within fiscal years beginning after December 15, 2024. Early adoption is permitted. The Company is currently evaluating the impact that the adoption of this standard will have on the Company’s unaudited condensed consolidated financial statements.</w:t>
      </w:r>
    </w:p>
    <w:p>
      <w:pPr>
        <w:spacing w:after="0" w:line="186"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includes amendments to enhance existing income tax disclosure requirements, primarily related to the rate reconciliation and income taxes paid disclosures. The ASU is effective for annual periods beginning after December 15, 2024 on a prospective basis with the option to apply the ASU retrospectively. Early adoption is permitted. The Company is currently evaluating the impact that the adoption of this standard will have on the Company’s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 in the investment, organization, management, and operation of nCino K.K. that is focused on the distribution of the Company’s products in 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2019, the Company initially contributed $4.7 million in cash in exchange for 51% of the outstanding common stock of nCino K.K.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2024, the Company controls a majority of the outstanding common stock in nCino K.K. In October 2023, the Company made a further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nCino K.K. of $1.0 million that, including additional investments in nCino K.K. of $1.0 million by existing third-party investors in October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maintained the Company's ownership of 51%.</w:t>
      </w:r>
    </w:p>
    <w:p>
      <w:pPr>
        <w:spacing w:after="0" w:line="207"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$4.1 million at April 30, 2024.</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3,428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 (excluding adjustment to non-controlling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4,105</w:t>
            </w:r>
          </w:p>
        </w:tc>
      </w:tr>
      <w:tr>
        <w:trPr>
          <w:trHeight w:val="21"/>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nCino K.K. stock options granted in accordance with nCino K.K.'s equity incentive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as of January 31, 2024 and April 30, 2024 because of the relatively short duration of these instruments.</w:t>
      </w:r>
    </w:p>
    <w:p>
      <w:pPr>
        <w:spacing w:after="0" w:line="162"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any outstanding borrowings on the Company's revolving credit facility approximates fair value due to the variable interest rates of the borrowings.</w:t>
      </w:r>
    </w:p>
    <w:p>
      <w:pPr>
        <w:spacing w:after="0" w:line="16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2024 and April 30, 2024 and indicates the fair value hierarchy of the valuation: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Time deposits (included in long-term prepaid expenses and other assets)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40"/>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April</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30, 2024</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Non-Recurring Basis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the investments accounted for under the measurement alternative. There was no adjustment or impairment recognized for the three months ended April 30, 2023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Geographic Area</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102,241</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25,846</w:t>
            </w: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For the three months ended April 30, 2023 and 2024, no country outside the United States represented 10% or more of total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Amounts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2024 and April 30,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13"/>
                <w:szCs w:val="13"/>
                <w:color w:val="auto"/>
              </w:rPr>
            </w:pPr>
          </w:p>
        </w:tc>
        <w:tc>
          <w:tcPr>
            <w:tcW w:w="13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68,564</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Deferred Revenue and Remaining Performance Obligations</w:t>
      </w:r>
    </w:p>
    <w:p>
      <w:pPr>
        <w:spacing w:after="0" w:line="227"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were offset by decreases due to revenues recognized in the period. During the three months ended April 30, 2024, $78.9 million of revenues were recognized out of the deferred revenue balance as of January 31, 2024.</w:t>
      </w:r>
    </w:p>
    <w:p>
      <w:pPr>
        <w:spacing w:after="0" w:line="162" w:lineRule="exact"/>
        <w:rPr>
          <w:sz w:val="20"/>
          <w:szCs w:val="20"/>
          <w:color w:val="auto"/>
        </w:rPr>
      </w:pPr>
    </w:p>
    <w:p>
      <w:pPr>
        <w:ind w:right="420" w:firstLine="891"/>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were $1.07 billion as of April 30, 2024. The Company expects to recognize approximately 66% of its remaining performance obligation as revenues in the next 24 months, approximately 28% more in the following 25 to 48 months, and the remainder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13"/>
                <w:szCs w:val="13"/>
                <w:color w:val="auto"/>
              </w:rPr>
            </w:pPr>
          </w:p>
        </w:tc>
        <w:tc>
          <w:tcPr>
            <w:tcW w:w="13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land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0" w:type="dxa"/>
            <w:vAlign w:val="bottom"/>
          </w:tcPr>
          <w:p>
            <w:pPr>
              <w:spacing w:after="0"/>
              <w:rPr>
                <w:sz w:val="1"/>
                <w:szCs w:val="1"/>
                <w:color w:val="auto"/>
              </w:rPr>
            </w:pPr>
          </w:p>
        </w:tc>
      </w:tr>
      <w:tr>
        <w:trPr>
          <w:trHeight w:val="21"/>
        </w:trPr>
        <w:tc>
          <w:tcPr>
            <w:tcW w:w="82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DocFox, Inc. (“DocFox”)</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On March 20, 2024 (the "DocFox Acquisition Date"), the Company acquired through a merger the outstanding equity interests of DocFox, which provides a solution to automate onboarding experiences for commercial and business banking. The Company acquired DocFox for its complementary product set, which helps simplify and automate the onboarding and account opening process. The Company has included the financial results of DocFox in the consolidated statements of operations from the DocFox Acquisition Date. Including the $2.0 million in post combination expense referenced below, transaction costs associated with the DocFox acquisition were approximately $3.9 million and were recorded in general and administrative expenses for the three months ended April 30, 2024.</w:t>
      </w:r>
    </w:p>
    <w:p>
      <w:pPr>
        <w:spacing w:after="0" w:line="187"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Company paid a total of $74.3 million in cash as of the DocFox Acquisition Date. Included in the total cash paid was $6.2 million for DocFox common stock options that were cash settled on the DocFox Acquisition Date. The $6.2 million fair value of the DocFox common stock options was allocated between consideration transferred and post combination expense in the amounts of $4.2 million and $2.0 million, respectively. As there was no future service requirement due to accelerated vesting of these options, the entire $2.0 million was recorded as transaction cost immediately following the acquisition and not in consideration transferred. The $2.0 million is included within general and administrative expense for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April 30, 2024. The estimated fair value of the consideration transferred was $72.4 million on the DocFox Acquisition Date.</w:t>
      </w:r>
    </w:p>
    <w:p>
      <w:pPr>
        <w:spacing w:after="0" w:line="225"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198,505 RSUs with an approximate fair value of $6.1 million to certain employees of DocFox,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DocFox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DocFox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2025, but no later than one year from the DocFox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(iii) finalizing the evaluation and valuation of certain legal matters and/or loss contingencies, including those that the Company may not yet be aware of but meet the requirement to qualify as a pre-acquisition contingency, (iv) finalizing our estimate of the impact of acquisition accounting on deferred income taxes or liabilities, including uncertain tax positions, and (v) finalizing the Company’s review of the acquired contracts and related contract assets and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DocFox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40" w:firstLine="891"/>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preliminary fair value of DocFox's technology. Customer relationships represent the preliminary fair value of the underlying relationships with DocFox's customers. Trade names represents the preliminary fair value of DocFox’s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80"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expected to be deductible for tax.</w:t>
      </w:r>
    </w:p>
    <w:p>
      <w:pPr>
        <w:spacing w:after="0" w:line="162"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DocFox since the DocFox Acquisition Date are included in the Company's unaudited condensed consolidated financial statements and are not material to the Company. The Company has not disclosed pro-forma revenue and earnings attributable to DocFox as they did not have a material effect on the Company’s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Lending Technologies, LLC (“ILT”)</w:t>
      </w:r>
    </w:p>
    <w:p>
      <w:pPr>
        <w:spacing w:after="0" w:line="229" w:lineRule="exact"/>
        <w:rPr>
          <w:sz w:val="20"/>
          <w:szCs w:val="20"/>
          <w:color w:val="auto"/>
        </w:rPr>
      </w:pPr>
    </w:p>
    <w:p>
      <w:pPr>
        <w:ind w:right="220" w:firstLine="891"/>
        <w:spacing w:after="0" w:line="258" w:lineRule="auto"/>
        <w:rPr>
          <w:sz w:val="20"/>
          <w:szCs w:val="20"/>
          <w:color w:val="auto"/>
        </w:rPr>
      </w:pPr>
      <w:r>
        <w:rPr>
          <w:rFonts w:ascii="Times New Roman" w:cs="Times New Roman" w:eastAsia="Times New Roman" w:hAnsi="Times New Roman"/>
          <w:sz w:val="18"/>
          <w:szCs w:val="18"/>
          <w:color w:val="auto"/>
        </w:rPr>
        <w:t>On April 1, 2024 (the "ILT Acquisition Date”), the Company acquired all outstanding membership interests of ILT, which provides industry-leading consumer loan origination software that streamlines direct and indirect lending operations. The Company acquired ILT for its complementary products and believes this will provide greater value for new and existing customers. The Company has included the financial results of ILT in the consolidated statements of operations from the ILT Acquisition Date. Transaction costs associated with the ILT acquisition were approximately $0.9 million and were recorded in general and administrative expenses for the three months ended April 30, 2024.</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fair value of the consideration transferred was $19.9 million and paid in cash on the ILT Acquisition Date, subject to a net working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ILT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19,936</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ILT Acquisition Date. Any excess consideration over the fair value of the assets acquired and liabilities assumed was recognized as goodwill and is subject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revision as the purchase price allocation is completed. The Company determined the acquisition date contract assets and liabilities in accordance with ASC 606.</w:t>
      </w:r>
    </w:p>
    <w:p>
      <w:pPr>
        <w:spacing w:after="0" w:line="162"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2025, but no later than one year from the ILT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and valuations are finalized.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and (iii) finalizing the Company’s review of the acquired contracts and related contract assets and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94"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ILT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60" w:firstLine="891"/>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preliminary estimated fair value of ILT’s technology. Customer relationships represent the preliminary estimated fair value of the underlying relationships with ILT’s customers. Trade name represents the preliminary estimated fair value of ILT’s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80" w:lineRule="exact"/>
        <w:rPr>
          <w:sz w:val="20"/>
          <w:szCs w:val="20"/>
          <w:color w:val="auto"/>
        </w:rPr>
      </w:pPr>
    </w:p>
    <w:p>
      <w:pPr>
        <w:jc w:val="both"/>
        <w:ind w:right="28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and approximately $11.0 million is expected to be deductible for tax purposes.</w:t>
      </w:r>
    </w:p>
    <w:p>
      <w:pPr>
        <w:spacing w:after="0" w:line="16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ILT since the ILT Acquisition Date are included in the Company's unaudited condensed consolidated financial statements and are not material to the Company. The Company has not disclosed pro-forma revenue and earnings attributable to ILT as they did not have a material effect on the Company’s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change in the carrying amounts of goodwill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6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838,869</w:t>
            </w: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6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68,439</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60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April 30, 2024</w:t>
            </w:r>
          </w:p>
        </w:tc>
        <w:tc>
          <w:tcPr>
            <w:tcW w:w="60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907,513</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6000" w:type="dxa"/>
            <w:vAlign w:val="bottom"/>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80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1"/>
        </w:trPr>
        <w:tc>
          <w:tcPr>
            <w:tcW w:w="30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w:t>
            </w: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89,568</w:t>
            </w: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142,705</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40"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2023 and 2024, the Company wrote off approximately $0.0 million and $20.6 million of fully amortized intangible assets and the corresponding accumulated amortization, respectively.</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4,118</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2,482</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6,682</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891"/>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2024, the Company rebranded the SimpleNexus solution to nCino Mortgage, resulting in a change to the trade name useful life and recorded incremental amortization of $10.1 million to fully amortize the remaining trade name intangible asset.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April 30, 2024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w:t>
            </w: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28,860</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27,593</w:t>
            </w: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13,135</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three months ended April 30, 2024 was as follows:</w:t>
      </w:r>
    </w:p>
    <w:p>
      <w:pPr>
        <w:spacing w:after="0" w:line="200" w:lineRule="exact"/>
        <w:rPr>
          <w:sz w:val="20"/>
          <w:szCs w:val="20"/>
          <w:color w:val="auto"/>
        </w:rPr>
      </w:pPr>
    </w:p>
    <w:p>
      <w:pPr>
        <w:spacing w:after="0" w:line="208"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200"/>
        <w:spacing w:after="0" w:line="209" w:lineRule="auto"/>
        <w:rPr>
          <w:sz w:val="20"/>
          <w:szCs w:val="20"/>
          <w:color w:val="auto"/>
        </w:rPr>
      </w:pPr>
      <w:r>
        <w:rPr>
          <w:rFonts w:ascii="Times New Roman" w:cs="Times New Roman" w:eastAsia="Times New Roman" w:hAnsi="Times New Roman"/>
          <w:sz w:val="14"/>
          <w:szCs w:val="14"/>
          <w:b w:val="1"/>
          <w:bCs w:val="1"/>
          <w:color w:val="auto"/>
        </w:rPr>
        <w:t>Average</w:t>
      </w:r>
    </w:p>
    <w:p>
      <w:pPr>
        <w:spacing w:after="0"/>
        <w:rPr>
          <w:sz w:val="20"/>
          <w:szCs w:val="20"/>
          <w:color w:val="auto"/>
        </w:rPr>
      </w:pPr>
      <w:r>
        <w:rPr>
          <w:rFonts w:ascii="Times New Roman" w:cs="Times New Roman" w:eastAsia="Times New Roman" w:hAnsi="Times New Roman"/>
          <w:sz w:val="14"/>
          <w:szCs w:val="14"/>
          <w:b w:val="1"/>
          <w:bCs w:val="1"/>
          <w:color w:val="auto"/>
        </w:rPr>
        <w:t>Exercise Price</w:t>
      </w:r>
    </w:p>
    <w:p>
      <w:pPr>
        <w:spacing w:after="0" w:line="24" w:lineRule="exact"/>
        <w:rPr>
          <w:sz w:val="20"/>
          <w:szCs w:val="20"/>
          <w:color w:val="auto"/>
        </w:rPr>
      </w:pPr>
    </w:p>
    <w:p>
      <w:pPr>
        <w:sectPr>
          <w:pgSz w:w="11900" w:h="16838" w:orient="portrait"/>
          <w:cols w:equalWidth="0" w:num="2">
            <w:col w:w="9320" w:space="720"/>
            <w:col w:w="12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8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1,212,704</w:t>
            </w: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(199,300)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April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1,012,404</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April 30, 2024</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1,012,404</w:t>
            </w:r>
          </w:p>
        </w:tc>
        <w:tc>
          <w:tcPr>
            <w:tcW w:w="40" w:type="dxa"/>
            <w:vAlign w:val="bottom"/>
            <w:tcBorders>
              <w:bottom w:val="single" w:sz="8" w:color="auto"/>
            </w:tcBorders>
          </w:tcPr>
          <w:p>
            <w:pPr>
              <w:spacing w:after="0"/>
              <w:rPr>
                <w:sz w:val="17"/>
                <w:szCs w:val="17"/>
                <w:color w:val="auto"/>
              </w:rPr>
            </w:pPr>
          </w:p>
        </w:tc>
        <w:tc>
          <w:tcPr>
            <w:tcW w:w="2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or expected to vest, April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1,012,404</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RSU activity during the three months ended April 30, 2024 was as follows:</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2024</w:t>
            </w: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5,626,125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2,207,404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(322,795)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April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7,054,446</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As of April 30, 2024, total unrecognized compensation expense related to non-vested RSUs was $190.2 million, adjusted for estimated forfeitures, based on the estimated fair value of the Company’s common stock at the time of grant. That cost is expected to be recognized over a weighted average period of 3.08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first offering period for the Employee Stock Purchase Plan ("ESPP") began on July 1, 2021 and ended on December 31, 2021. Thereafter, offering periods begin each year on January 1 and July 1.</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fair value of ESPP shares during the three months ended April 30, 2023 and 2024 was estimated at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based on assumptions as follows for ESPP awards: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38.70%</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stock-based compensation expense included in our unaudited condensed consolidated statements of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10,865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w:t>
            </w:r>
          </w:p>
        </w:tc>
      </w:tr>
      <w:tr>
        <w:trPr>
          <w:trHeight w:val="21"/>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under various non-cancellable agreements, which expire at various times through December 2033, some of which include options to extend for up to five years.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2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1,334</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2,047</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2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 obtained in exchange for operating lease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 and operating lease liabilities disposed of</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the Company's operating lease liabilities as of April 30, 2024 were 6.18 years and 6.7%,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nCino,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NOTES TO UNAUDITED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 and unless otherwise indicated)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Future minimum lease payments as of April 30, 2024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Revolving Credit Facility</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February 11, 2022, the Company entered into a Credit Agreement (the “Credit Agreement”), by and among the Company, nCino OpCo (the “Borrower”), certain subsidiaries of the Company as guarantors, and Bank of America, N.A. as lender (the “Lender”), pursuant to which the Lender provided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spacing w:after="0" w:line="183"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On February 9, 2024, the Company entered into a First Amendment to extend the existing maturity date of the Credit Facility provided for under the Credit Agreement to February 11, 2025.</w:t>
      </w:r>
    </w:p>
    <w:p>
      <w:pPr>
        <w:spacing w:after="0" w:line="162"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On March 17, 2024, the Company entered into the Second Amendment which increased our borrowing availability to $100.0 million and extended the existing maturity date of the Credit Facility under the Credit Facility to March 17, 2029.</w:t>
      </w:r>
    </w:p>
    <w:p>
      <w:pPr>
        <w:spacing w:after="0" w:line="162"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Borrowings under the Credit Facility bear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The Company is also required to pay an unused commitment fee to the Lender of 0.30% of the average daily unutilized commitments (with a step down based on achievement of a certain leverage ratio). The Company must also pay customary letter of credit fees.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may repay amounts borrowed any time without penalty. Borrowings under the Credit Facility may be reborrowed.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Credit Agreement contains representations and warranties, affirmative, negative and financial covenants, and events of default that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for loans of this type. The financial covenants require the Company and its subsidiaries on a consolidated basis to maintain (i) a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Leverage Ratio not in excess of 2.50:1.00 as of the end of any fiscal quarter, and (ii) a Consolidated Interest Coverage Ratio not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3.00:1.00 as of the end of any fiscal quarter beginning with the second quarter of fiscal year 2025. The Company is also required to maintain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of the Company's cash and/or marketable securities with the Lender which is considered restricted cash and is included in long-term 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other assets as of January 31, 2024 and April 30, 2024 on the Company's unaudited condensed consolidated balance sheets.</w:t>
      </w:r>
    </w:p>
    <w:p>
      <w:pPr>
        <w:spacing w:after="0" w:line="207"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The Credit Facility is guaranteed by the Company and each of its current and future material domestic subsidiaries (the “Guarantors”) and secured by substantially all of the personal property, subject to customary exceptions, of the Borrower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62" w:lineRule="exact"/>
        <w:rPr>
          <w:sz w:val="20"/>
          <w:szCs w:val="20"/>
          <w:color w:val="auto"/>
        </w:rPr>
      </w:pPr>
    </w:p>
    <w:p>
      <w:pPr>
        <w:ind w:right="220" w:firstLine="891"/>
        <w:spacing w:after="0" w:line="266" w:lineRule="auto"/>
        <w:rPr>
          <w:sz w:val="20"/>
          <w:szCs w:val="20"/>
          <w:color w:val="auto"/>
        </w:rPr>
      </w:pPr>
      <w:r>
        <w:rPr>
          <w:rFonts w:ascii="Times New Roman" w:cs="Times New Roman" w:eastAsia="Times New Roman" w:hAnsi="Times New Roman"/>
          <w:sz w:val="18"/>
          <w:szCs w:val="18"/>
          <w:color w:val="auto"/>
        </w:rPr>
        <w:t>The Company had $0.0 million and $55.0 million outstanding and no letters of credit issued under the Credit Facility and was in compliance with all covenants as of January 31, 2024 and April 30, 2024, respectively. As of April 30, 2024, the applicable interest rate was 7.36%. The available borrowing capacity under the Credit Facility was $45.0 million as of April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ind w:right="560" w:firstLine="891"/>
        <w:spacing w:after="0" w:line="282" w:lineRule="auto"/>
        <w:rPr>
          <w:sz w:val="20"/>
          <w:szCs w:val="20"/>
          <w:color w:val="auto"/>
        </w:rPr>
      </w:pPr>
      <w:r>
        <w:rPr>
          <w:rFonts w:ascii="Times New Roman" w:cs="Times New Roman" w:eastAsia="Times New Roman" w:hAnsi="Times New Roman"/>
          <w:sz w:val="18"/>
          <w:szCs w:val="18"/>
          <w:color w:val="auto"/>
        </w:rPr>
        <w:t>In addition to the operating lease commitments described in Note 10 "Leases", the Company has additional contractual commitments as described further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non-cancellable agreements to purchase goods and services, primarily licenses and hosting services,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Company's financing obligations consist of leases for the Company's headquarters and parking deck in which the Company is deemed the owner of for accounting purposes. The leases will be analyzed for applicable lease accounting upon expiration of the purchase option, if not exercised.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Purchase commitments and future minimum lease payments required under financing obligations as of April 30, 2024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obligations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27" w:lineRule="exact"/>
              <w:rPr>
                <w:sz w:val="20"/>
                <w:szCs w:val="20"/>
                <w:color w:val="auto"/>
              </w:rPr>
            </w:pPr>
            <w:r>
              <w:rPr>
                <w:rFonts w:ascii="Times New Roman" w:cs="Times New Roman" w:eastAsia="Times New Roman" w:hAnsi="Times New Roman"/>
                <w:sz w:val="14"/>
                <w:szCs w:val="14"/>
                <w:b w:val="1"/>
                <w:bCs w:val="1"/>
                <w:color w:val="auto"/>
              </w:rPr>
              <w:t>- leased facility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49,476</w:t>
            </w: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20" w:firstLine="891"/>
        <w:spacing w:after="0" w:line="282" w:lineRule="auto"/>
        <w:rPr>
          <w:sz w:val="20"/>
          <w:szCs w:val="20"/>
          <w:color w:val="auto"/>
        </w:rPr>
      </w:pPr>
      <w:r>
        <w:rPr>
          <w:rFonts w:ascii="Times New Roman" w:cs="Times New Roman" w:eastAsia="Times New Roman" w:hAnsi="Times New Roman"/>
          <w:sz w:val="18"/>
          <w:szCs w:val="18"/>
          <w:color w:val="auto"/>
        </w:rPr>
        <w:t>A portion of the associated lease payments are recognized as interest expense and the remainder reduces the financing obligations. The weighted-average discount rate for the Company's financing obligations as of April 30, 2024 was 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 accrued any material liabilities related to such obligations in the accompanying unaudited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From time to time, the Company is involved in legal proceedings or is subject to claims arising in the ordinary course of business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 the Company, Live Oak Bancshares, Inc. ("Live Oak") and Apiture, Inc. ("Apiture")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In July 2023, through mediation, the Company and the plaintiff reached a settlement agreement in principle of approximately $2.2 million. The Company remitted the $2.2 million settlement to an escrow agent in the fourth quarter of fiscal 2024, and the District Court entered the Final Judgement of Dismissal on March 14, 2024.</w:t>
      </w:r>
    </w:p>
    <w:p>
      <w:pPr>
        <w:spacing w:after="0" w:line="188"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 Given the uncertainty and preliminary stages of this matter, the Company is unable to reasonably estimate any possible loss or range of loss that may result. Therefore, the Company has not made an accrual for the above matter in the unaudited condensed consolidated financial statements. On December 28, 2023, the Delaware Court of Chancery granted in full defendants' motions to dismiss the complaint. On January 25, 2024, the plaintiff filed a notice of appeal.</w:t>
      </w:r>
    </w:p>
    <w:p>
      <w:pPr>
        <w:spacing w:after="0" w:line="190"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Related-Party Transactions</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November 1, 2022, the Company's wholly-owned subsidiary, nCino OpCo, acquired preferred shares of ZestFinance, Inc. (d/b/a ZEST AI) ("Zest AI"), a private company, for $2.5 million and is included in investments as of January 31, 2024 and April 30, 2024 on the Company's unaudited condensed consolidated balance sheets. The investment is considered a related party transaction as entities affiliated with Insight Partners, a beneficial owner of the Company, own greater than ten percent of Zest AI. On May 23, 2023, the Company announced a strategic partnership with Zest AI to build an integration into the Company's consumer banking solution to enable lenders with streamlined access to consumer credit lending insights.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Basic and Diluted Loss per Share</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April 30, 2023 and 2024 is the same as the basic loss per share as there was a net loss for those periods, and inclusion of potentially issuable shares was anti-dilutive.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loss per share for periods presented are as follows (in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112,032,536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114,197,068</w:t>
            </w:r>
          </w:p>
        </w:tc>
      </w:tr>
      <w:tr>
        <w:trPr>
          <w:trHeight w:val="234"/>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loss per share attributable to nCino, Inc.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287"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following potential outstanding common stock were excluded from the diluted loss per share computation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9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42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24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40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1,761,555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1,012,404</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54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3,103,071</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7,054,446</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54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98,750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106,134</w:t>
            </w:r>
          </w:p>
        </w:tc>
      </w:tr>
      <w:tr>
        <w:trPr>
          <w:trHeight w:val="891"/>
        </w:trPr>
        <w:tc>
          <w:tcPr>
            <w:tcW w:w="4240" w:type="dxa"/>
            <w:vAlign w:val="bottom"/>
          </w:tcPr>
          <w:p>
            <w:pPr>
              <w:spacing w:after="0"/>
              <w:rPr>
                <w:sz w:val="24"/>
                <w:szCs w:val="24"/>
                <w:color w:val="auto"/>
              </w:rPr>
            </w:pPr>
          </w:p>
        </w:tc>
        <w:tc>
          <w:tcPr>
            <w:tcW w:w="40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2024 filed with the SEC on March 26, 2024.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2025" refer to the fiscal year ended January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40" w:firstLine="891"/>
        <w:spacing w:after="0" w:line="266" w:lineRule="auto"/>
        <w:rPr>
          <w:sz w:val="20"/>
          <w:szCs w:val="20"/>
          <w:color w:val="auto"/>
        </w:rPr>
      </w:pPr>
      <w:r>
        <w:rPr>
          <w:rFonts w:ascii="Times New Roman" w:cs="Times New Roman" w:eastAsia="Times New Roman" w:hAnsi="Times New Roman"/>
          <w:sz w:val="18"/>
          <w:szCs w:val="18"/>
          <w:color w:val="auto"/>
        </w:rPr>
        <w:t>Through its single software-as-a-service ("SaaS") platform, nCino helps financial institutions ("FI") serving corporate and commercial, small business, consumer, and mortgage customers modernize and more effectively onboard clients, open accounts, make loans and navigate the loan lifecycle, and effectively monitor and manage their portfolio. With the nCino Bank Operating System, FIs can:</w:t>
      </w:r>
    </w:p>
    <w:p>
      <w:pPr>
        <w:spacing w:after="0" w:line="176"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lines of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efficiency,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employee experience and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active data, audit, and business intelligence hub,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the value of intelligent automation and uncover data-driven insights.</w:t>
      </w:r>
    </w:p>
    <w:p>
      <w:pPr>
        <w:spacing w:after="0" w:line="225"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nCino was originally founded in a bank to improve that FI’s operations and client service. After realizing that the same problems— cumbersome legacy technology, fragmented data, disconnected business functions, and a disengaged workforce made it difficult to maintain relevancy in their clients' lives—were endemic across the financial services industry, nCino spun out as a separate company in late 2011. This heritage is the foundation of our deep banking domain expertise, which differentiates us, continues to drive our strategy, and makes us uniquely qualified to help FIs become more efficient by providing an end-to-end platform that spans business lines and combines capabilities for a seamless experience.</w:t>
      </w:r>
    </w:p>
    <w:p>
      <w:pPr>
        <w:spacing w:after="0" w:line="183"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The nCino Bank Operating System was initially designed to help transform commercial and small business lending for community and regional banks. This solution was introduced to enterprise banks in the United States ("U.S.") in 2014, and then internationally in 2017, and has subsequently expanded across North America, Europe, the Middle East, South Africa and Asia-Pacific. Throughout this market expansion, we broadened the nCino Bank Operating System by adding functionality for consumer lending, client onboarding, deposit account opening, analytics and artificial intelligence and machine learning. In fiscal 2020, we made two acquisitions as part of our strategy to build out our nIQ capabilities and we established our nCino K.K joint venture to facilitate our entry into the Japanese market. An acquisition in fiscal 2022 expanded our capabilities to the U.S. point-of-sale mortgage market.</w:t>
      </w:r>
    </w:p>
    <w:p>
      <w:pPr>
        <w:spacing w:after="0" w:line="189" w:lineRule="exact"/>
        <w:rPr>
          <w:sz w:val="20"/>
          <w:szCs w:val="20"/>
          <w:color w:val="auto"/>
        </w:rPr>
      </w:pPr>
    </w:p>
    <w:p>
      <w:pPr>
        <w:ind w:right="240" w:firstLine="891"/>
        <w:spacing w:after="0" w:line="258" w:lineRule="auto"/>
        <w:rPr>
          <w:sz w:val="20"/>
          <w:szCs w:val="20"/>
          <w:color w:val="auto"/>
        </w:rPr>
      </w:pPr>
      <w:r>
        <w:rPr>
          <w:rFonts w:ascii="Times New Roman" w:cs="Times New Roman" w:eastAsia="Times New Roman" w:hAnsi="Times New Roman"/>
          <w:sz w:val="18"/>
          <w:szCs w:val="18"/>
          <w:color w:val="auto"/>
        </w:rPr>
        <w:t>On March 20, 2024 (the "DocFox Acquisition Date"), we acquired DocFox, Inc. ("DocFox") which provides a solution for automating onboarding experiences for commercial and business banking, for an aggregate preliminary purchase price of $74.3 million. We funded the purchase consideration with $75.0 million borrowed under the Credit Facility as further described in Note 11 "Revolving Credit Facility" of the notes to our unaudited condensed consolidated financial statements included in Part I, Item 1 of this Quarterly Report on Form 10-Q. We have included the financial results of DocFox in our unaudited condensed consolidated financial statements from the DocFox Acquisition Date.</w:t>
      </w:r>
    </w:p>
    <w:p>
      <w:pPr>
        <w:spacing w:after="0" w:line="183" w:lineRule="exact"/>
        <w:rPr>
          <w:sz w:val="20"/>
          <w:szCs w:val="20"/>
          <w:color w:val="auto"/>
        </w:rPr>
      </w:pPr>
    </w:p>
    <w:p>
      <w:pPr>
        <w:ind w:right="340" w:firstLine="891"/>
        <w:spacing w:after="0" w:line="282" w:lineRule="auto"/>
        <w:rPr>
          <w:sz w:val="20"/>
          <w:szCs w:val="20"/>
          <w:color w:val="auto"/>
        </w:rPr>
      </w:pPr>
      <w:r>
        <w:rPr>
          <w:rFonts w:ascii="Times New Roman" w:cs="Times New Roman" w:eastAsia="Times New Roman" w:hAnsi="Times New Roman"/>
          <w:sz w:val="18"/>
          <w:szCs w:val="18"/>
          <w:color w:val="auto"/>
        </w:rPr>
        <w:t>We acquired Integrated Lending Technologies, LLC ("ILT") on April 1, 2024 (the "ILT Acquisition Date"), which provides consumer loan origination software that streamlines direct and indirect lending operations, for an aggregate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preliminary purchase price of $19.9 million in cash. We have included the financial results of ILT in our unaudited condensed consolidated financial statements from the ILT Acquisition Date.</w:t>
      </w:r>
    </w:p>
    <w:p>
      <w:pPr>
        <w:spacing w:after="0" w:line="162"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See Note 7 "Business Combinations" of the notes to our unaudited condensed consolidated financial statements included in Part I, Item 1 of this Quarterly Report on Form 10-Q for more information on the DocFox and ILT acquisitions.</w:t>
      </w:r>
    </w:p>
    <w:p>
      <w:pPr>
        <w:spacing w:after="0" w:line="162" w:lineRule="exact"/>
        <w:rPr>
          <w:sz w:val="20"/>
          <w:szCs w:val="20"/>
          <w:color w:val="auto"/>
        </w:rPr>
      </w:pPr>
    </w:p>
    <w:p>
      <w:pPr>
        <w:ind w:right="280" w:firstLine="891"/>
        <w:spacing w:after="0" w:line="266" w:lineRule="auto"/>
        <w:rPr>
          <w:sz w:val="20"/>
          <w:szCs w:val="20"/>
          <w:color w:val="auto"/>
        </w:rPr>
      </w:pPr>
      <w:r>
        <w:rPr>
          <w:rFonts w:ascii="Times New Roman" w:cs="Times New Roman" w:eastAsia="Times New Roman" w:hAnsi="Times New Roman"/>
          <w:sz w:val="18"/>
          <w:szCs w:val="18"/>
          <w:color w:val="auto"/>
        </w:rPr>
        <w:t>We generally offer the nCino Bank Operating System on a subscription basis pursuant to non-cancellable multi-year contracts that typically range from three to five years, and we employ a “land and expand” business model. The nCino Bank Operating System is designed to scale with our customers, and once our solution is deployed, we seek to have our customers expand adoption within and across lines of business.</w:t>
      </w:r>
    </w:p>
    <w:p>
      <w:pPr>
        <w:spacing w:after="0" w:line="176" w:lineRule="exact"/>
        <w:rPr>
          <w:sz w:val="20"/>
          <w:szCs w:val="20"/>
          <w:color w:val="auto"/>
        </w:rPr>
      </w:pPr>
    </w:p>
    <w:p>
      <w:pPr>
        <w:jc w:val="both"/>
        <w:ind w:right="320" w:firstLine="891"/>
        <w:spacing w:after="0" w:line="289" w:lineRule="auto"/>
        <w:rPr>
          <w:sz w:val="20"/>
          <w:szCs w:val="20"/>
          <w:color w:val="auto"/>
        </w:rPr>
      </w:pPr>
      <w:r>
        <w:rPr>
          <w:rFonts w:ascii="Times New Roman" w:cs="Times New Roman" w:eastAsia="Times New Roman" w:hAnsi="Times New Roman"/>
          <w:sz w:val="17"/>
          <w:szCs w:val="17"/>
          <w:color w:val="auto"/>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April 30, 2024, we had 205 sales and sales support personnel in the U.S. and 88 sales and support personnel in offices outside the U.S.</w:t>
      </w:r>
    </w:p>
    <w:p>
      <w:pPr>
        <w:spacing w:after="0" w:line="158"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Bank Operating System. For regional FIs, we work with SIs such as West Monroe Partners, and for community banks, we work with SIs or perform configuration and implementation ourselves. We expect enterprise FIs to make up a greater proportion of our nCino Bank Operating System sales.</w:t>
      </w:r>
    </w:p>
    <w:p>
      <w:pPr>
        <w:spacing w:after="0" w:line="183" w:lineRule="exact"/>
        <w:rPr>
          <w:sz w:val="20"/>
          <w:szCs w:val="20"/>
          <w:color w:val="auto"/>
        </w:rPr>
      </w:pPr>
    </w:p>
    <w:p>
      <w:pPr>
        <w:ind w:right="160" w:firstLine="891"/>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2023 and 2024, our total revenues were $113.7 million and $128.1 million, respectively, representing a 12.7% increase. For the three months ended April 30, 2023 and 2024, our subscription revenues were $97.3 million and $110.4 million, respectively, representing an 13.4% increase. Due to our investments in growth, we recorded net losses attributable to nCino, Inc. of $11.2 million and $3.0 million for the three months ended April 30, 2023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 customers and increase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In addition, growing our customer base will require us to increasingly penetrate markets outside the U.S., which accounted for 20.2% of total revenues for the three months ended April 30, 2024.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88" w:lineRule="exact"/>
        <w:rPr>
          <w:sz w:val="20"/>
          <w:szCs w:val="20"/>
          <w:color w:val="auto"/>
        </w:rPr>
      </w:pPr>
    </w:p>
    <w:p>
      <w:pPr>
        <w:ind w:right="12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our solutions by our customers requires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and configuration services that typically range from three months to 18 months, depending on the scope. As a result,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82" w:lineRule="exact"/>
        <w:rPr>
          <w:sz w:val="20"/>
          <w:szCs w:val="20"/>
          <w:color w:val="auto"/>
        </w:rPr>
      </w:pPr>
    </w:p>
    <w:p>
      <w:pPr>
        <w:ind w:right="6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Macroeconomic Environment. </w:t>
      </w:r>
      <w:r>
        <w:rPr>
          <w:rFonts w:ascii="Times New Roman" w:cs="Times New Roman" w:eastAsia="Times New Roman" w:hAnsi="Times New Roman"/>
          <w:sz w:val="18"/>
          <w:szCs w:val="18"/>
          <w:color w:val="auto"/>
        </w:rPr>
        <w:t>We are currently operating in a higher interest rate environment as the U.S. Federal Reserve has raised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as a means to manage inflation. These rate increases have had an impact on the real estate market in the U.S. and specifically, the demand for mortgages and mortgage-related products and services, which has had a negative impact on our nCino Mortgage business.</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will continue to monitor the impact the macroeconomic environment may have on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and other revenues.</w:t>
      </w:r>
    </w:p>
    <w:p>
      <w:pPr>
        <w:spacing w:after="0" w:line="223" w:lineRule="exact"/>
        <w:rPr>
          <w:sz w:val="20"/>
          <w:szCs w:val="20"/>
          <w:color w:val="auto"/>
        </w:rPr>
      </w:pPr>
    </w:p>
    <w:p>
      <w:pPr>
        <w:ind w:right="12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Subscription Revenues</w:t>
      </w:r>
      <w:r>
        <w:rPr>
          <w:rFonts w:ascii="Times New Roman" w:cs="Times New Roman" w:eastAsia="Times New Roman" w:hAnsi="Times New Roman"/>
          <w:sz w:val="18"/>
          <w:szCs w:val="18"/>
          <w:color w:val="auto"/>
        </w:rPr>
        <w:t>. Our subscription revenues consist principally of fees from customers for accessing our solutions and maintenance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services that we generally offer under non-cancellable multi-year contracts, which typically range from three to five years for the nCino Bank Operating System and one to three years for nCino Mortgage. Specifically, we offer:</w:t>
      </w:r>
    </w:p>
    <w:p>
      <w:pPr>
        <w:spacing w:after="0" w:line="175" w:lineRule="exact"/>
        <w:rPr>
          <w:sz w:val="20"/>
          <w:szCs w:val="20"/>
          <w:color w:val="auto"/>
        </w:rPr>
      </w:pPr>
    </w:p>
    <w:p>
      <w:pPr>
        <w:ind w:left="1300" w:right="30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applications targeted at a FI’s commercial, small business, and retail lines of business,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for which we generally charge based on the asset size of the customer or on a usage basis.</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nCino Mortgage, a digital homeownership solution uniting people, systems, and stages of the mortgage process into a seamless end-to-end journey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generally charge as a percentage of the related subscription fees.</w:t>
      </w:r>
    </w:p>
    <w:p>
      <w:pPr>
        <w:spacing w:after="0" w:line="162"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nCino Mortgage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86"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Services and Other Revenues</w:t>
      </w:r>
      <w:r>
        <w:rPr>
          <w:rFonts w:ascii="Times New Roman" w:cs="Times New Roman" w:eastAsia="Times New Roman" w:hAnsi="Times New Roman"/>
          <w:sz w:val="18"/>
          <w:szCs w:val="18"/>
          <w:color w:val="auto"/>
        </w:rPr>
        <w:t>. Professional services and other revenues consist of fees for implementation and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training, and advisory services. For enterprise and larger regional FIs, we generally work with SI partners to provide the majority of implementation services for the nCino Bank Operating System, for which these SI partners bill our customers directly. We have historically delivered professional services ourselves for community banks and smaller credit unions and nCino Mortgage has historically provided professional services directly to its customers.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right="72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along with certain integration fees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5"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r>
        <w:rPr>
          <w:rFonts w:ascii="Times New Roman" w:cs="Times New Roman" w:eastAsia="Times New Roman" w:hAnsi="Times New Roman"/>
          <w:sz w:val="18"/>
          <w:szCs w:val="18"/>
          <w:color w:val="auto"/>
        </w:rPr>
        <w:t>. Cost of professional services and other revenues consists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spacing w:after="0" w:line="18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spacing w:after="0" w:line="180"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which are primarily related to legal, consulting and other professional services fees. We expect general and administrative expenses will decrease as a percentage of revenues over the long term as we leverage the investments we have made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and cash equivalents.</w:t>
      </w:r>
    </w:p>
    <w:p>
      <w:pPr>
        <w:spacing w:after="0" w:line="225" w:lineRule="exact"/>
        <w:rPr>
          <w:sz w:val="20"/>
          <w:szCs w:val="20"/>
          <w:color w:val="auto"/>
        </w:rPr>
      </w:pPr>
    </w:p>
    <w:p>
      <w:pPr>
        <w:ind w:right="6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related to our financing obligations along with interest expense on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fees, and amortization of debt issuance costs associated with our secured revolving credit facility.</w:t>
      </w:r>
    </w:p>
    <w:p>
      <w:pPr>
        <w:spacing w:after="0" w:line="158" w:lineRule="exact"/>
        <w:rPr>
          <w:sz w:val="20"/>
          <w:szCs w:val="20"/>
          <w:color w:val="auto"/>
        </w:rPr>
      </w:pPr>
    </w:p>
    <w:p>
      <w:pPr>
        <w:ind w:right="18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consists primarily of foreign currency gains and losses, the majority of which is due to intercompany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denominated in currencies other than the underlying functional currency of the applicable entity.</w:t>
      </w:r>
    </w:p>
    <w:p>
      <w:pPr>
        <w:spacing w:after="0" w:line="158" w:lineRule="exact"/>
        <w:rPr>
          <w:sz w:val="20"/>
          <w:szCs w:val="20"/>
          <w:color w:val="auto"/>
        </w:rPr>
      </w:pPr>
    </w:p>
    <w:p>
      <w:pPr>
        <w:ind w:right="48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Income tax provision (benefit) consists of federal and state income taxes in the U.S. and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jurisdictions.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Quarterly Report on Form 10-Q. The following tables present our selected unaudited condensed consolidated statements of operations data for three months ended April 30, 2023 and 2024 in both dollars and as a percentage of total revenues, except as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128,087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3"/>
        </w:trPr>
        <w:tc>
          <w:tcPr>
            <w:tcW w:w="8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3"/>
        </w:trPr>
        <w:tc>
          <w:tcPr>
            <w:tcW w:w="8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nCino, Inc.: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112,032,536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114,197,068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8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6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vMerge w:val="continue"/>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w:t>
            </w:r>
          </w:p>
        </w:tc>
      </w:tr>
      <w:tr>
        <w:trPr>
          <w:trHeight w:val="21"/>
        </w:trPr>
        <w:tc>
          <w:tcPr>
            <w:tcW w:w="8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gridSpan w:val="9"/>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7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7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7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April 30, 2023 and 2024</w:t>
            </w: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9"/>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97,340</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110,406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1180" w:type="dxa"/>
            <w:vAlign w:val="bottom"/>
            <w:gridSpan w:val="4"/>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17,681</w:t>
            </w: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7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113,672</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128,087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Subscription revenues increased $13.1 million for the three months ended April 30, 2024 compared to the three months ended April 30, 2023, due to initial revenues from customers who did not contribute to subscription revenues during the prior period, and growth from existing customers within and across lines of business. Of the increase, 54.5% was attributable to increased revenues from existing customers as additional seats were activated in accordance with contractual terms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customers expanded their adoption of our solutions, and 45.5% was attributable to initial revenues from customers who did not contribute to subscription revenues during the three months ended April 30, 2023. Subscription revenues were 86.2% of total revenues for the three months ended April 30, 2024 compared to 85.6% of total revenues for the three months ended April 30, 2023, primarily due to growth in our installed base.</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increased $1.3 million for the three months ended April 30, 2024 compared to the three months ended April 30, 2023, primarily due to the addition of new customers as well as expanded adoption by existing customers within and across lines of business where implementation, configuration, and training services were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3"/>
        </w:trPr>
        <w:tc>
          <w:tcPr>
            <w:tcW w:w="7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46,188</w:t>
            </w:r>
          </w:p>
        </w:tc>
        <w:tc>
          <w:tcPr>
            <w:tcW w:w="3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3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67,484</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Cost of subscription revenues increased $2.6 million for the three months ended April 30, 2024 compared to the three months ended April 30, 2023, generating a gross margin for subscription revenues of 71.2% compared to a gross margin of 70.0% for the three months ended April 30, 2023. Costs related to Salesforce user fees increased $1.3 million as we continued to add new customers and sell additional functionality to existing customers, and other costs of subscription revenues increased $0.4 million due to costs associated with access to other platforms and data center costs. Personnel costs, including stock-based compensation expense, increased $1.1 million, mainly from an increase in headcount. We expect the cost of subscription revenues will continue to increase in absolute dollars as the number of users of the nCino Bank Operating System grows.</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p>
    <w:p>
      <w:pPr>
        <w:spacing w:after="0" w:line="227"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$2.4 million for the three months ended April 30, 2024 compared to the three months ended April 30, 2023, generating a gross margin for professional services and other revenues of (9.7)% compared to a gross margin of (4.3)% for the three months ended April 30, 2023. Stock-based compensation expense was $1.6 million and $2.8 million for the three months ended April 30, 2023 and 2024, respectively. For the three months ended April 30, 2024, personnel costs, including stock-based compensation expense, increased $2.5 million for professional services compared to the three months ended April 30, 2023, mainly from an increase in headcount.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CCEEFF"/>
            </w:tcBorders>
            <w:vMerge w:val="continue"/>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26.3 %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22,544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80,570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41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Loss from operations</w:t>
            </w:r>
          </w:p>
        </w:tc>
        <w:tc>
          <w:tcPr>
            <w:tcW w:w="29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8"/>
              </w:rPr>
              <w:t>(3,663)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98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1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Sales and marketing expenses decreased $1.9 million for the three months ended April 30, 2024 compared to the three months ended April 30, 2023, primarily due to a decrease of $0.6 million in sales-related travel costs, a decrease of $0.6 million in amortization expense due to fully amortizing the remaining trade name intangible asset as a result of the rebranding of the SimpleNexus solution to nCino Mortgage during the third quarter of fiscal 2024, and a decrease of $0.5 million in third-party professional fees. The decrease in sales and marketing expenses also included a decrease of $0.3 million in marketing costs. Sales and marketing personnel costs were comparable for the three months ended April 30, 2024 compared to the three months ended April 30, 2023, due to an increase in stock-based compensation expense offset by a decrease in headcount.</w:t>
      </w:r>
    </w:p>
    <w:p>
      <w:pPr>
        <w:spacing w:after="0" w:line="187"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Our sales and marketing headcount decreased by 20 from April 30, 2023 to April 30, 2024. We expect sales and marketing expenses will decrease as a percentage of revenues as we leverage the investments we have made to date.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$1.8 million for the three months ended April 30, 2024 compared to the three months ended April 30, 2023, primarily due to an increase of $2.0 million in personnel costs, mainly from an increase in headcount and a $1.2 million increase in stock-based compensation expense.</w:t>
      </w:r>
    </w:p>
    <w:p>
      <w:pPr>
        <w:spacing w:after="0" w:line="176"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Our research and development headcount increased by 9 from April 30, 2023 to April 30, 2024. We expect research and development expenses will decrease as a percentage of revenues as we leverage the investments we have made to date.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$4.6 million for the three months ended April 30, 2024 compared to the three months ended April 30, 2023, primarily due to an increase of $3.0 million in third party professional fees and expenses related to the acquisitions of DocFox and ILT, partially offset by decreases in fees and expenses related to other litigation expenses including the closure of the government antitrust investigation and settlement of the related civil action (the "Antitrust Matters") disclosed in Note 12 "Commitments and Contingencies" of Part I, Item I of this Quarterly Report on Form 10-Q and a decrease in other professional fees. The increase in general and administrative expenses for the three months ended April 30, 2024 compared to the three months ended April 30, 2023 also included an increase of $2.1 million in personnel costs, mostly attributable to an increase of $2.0 million in stock-based compensation expense. The increase in general and administrative expenses was partially offset by a decrease of $0.5 million in allocated overhead and other general and administrative costs.</w:t>
      </w:r>
    </w:p>
    <w:p>
      <w:pPr>
        <w:spacing w:after="0" w:line="192" w:lineRule="exact"/>
        <w:rPr>
          <w:sz w:val="20"/>
          <w:szCs w:val="20"/>
          <w:color w:val="auto"/>
        </w:rPr>
      </w:pPr>
    </w:p>
    <w:p>
      <w:pPr>
        <w:ind w:right="660" w:firstLine="891"/>
        <w:spacing w:after="0" w:line="282" w:lineRule="auto"/>
        <w:rPr>
          <w:sz w:val="20"/>
          <w:szCs w:val="20"/>
          <w:color w:val="auto"/>
        </w:rPr>
      </w:pPr>
      <w:r>
        <w:rPr>
          <w:rFonts w:ascii="Times New Roman" w:cs="Times New Roman" w:eastAsia="Times New Roman" w:hAnsi="Times New Roman"/>
          <w:sz w:val="18"/>
          <w:szCs w:val="18"/>
          <w:color w:val="auto"/>
        </w:rPr>
        <w:t>Our general and administrative headcount increased by 2 from April 30, 2023 to April 30, 2024. We expect general and administrative expenses will decrease as a percentage of revenues as we leverage the investments we have made to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537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605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(1,379)</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(1,477)</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(782)</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(744)</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Non-operating income (expense) for the three months ended April 30, 2024 was essentially flat as compared to the three months ended April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rPr>
              <w:t>1,393</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   (2,982)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Income tax benefit was $3.0 million for the three months ended April 30, 2024 compared to a provision of $1.4 million for the three months ended April 30, 2023, and resulted in an effective tax rate of 56.5% and (13.6)%, respectively.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change in the effective tax rate for the three months ended April 30, 2024 compared to the effective tax rate for the three months ended April 30, 2023 was primarily due to a reduction of our valuation allowance.</w:t>
      </w:r>
    </w:p>
    <w:p>
      <w:pPr>
        <w:spacing w:after="0" w:line="162"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Prior to the DocFox acquisition, we continued to maintain a valuation allowance against our deferred tax assets in several jurisdictions, including the U.S. On the DocFox Acquisition Date, the Company measured and recorded net U.S. deferred tax liabilities, most of which relate to identifiable intangible assets. The deferred tax liabilities recognized provide additional positive evidence that a portion of the Company's U.S. deferred tax assets are realizable. As a result, the Company reduced the valuation allowance by $3.6 million during the three months ended April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3" w:lineRule="exact"/>
        <w:rPr>
          <w:sz w:val="20"/>
          <w:szCs w:val="20"/>
          <w:color w:val="auto"/>
        </w:rPr>
      </w:pPr>
    </w:p>
    <w:p>
      <w:pPr>
        <w:ind w:right="200" w:firstLine="891"/>
        <w:spacing w:after="0" w:line="256"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income, as discussed below.</w:t>
      </w:r>
    </w:p>
    <w:p>
      <w:pPr>
        <w:spacing w:after="0" w:line="185"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Non-GAAP operating income. </w:t>
      </w:r>
      <w:r>
        <w:rPr>
          <w:rFonts w:ascii="Times New Roman" w:cs="Times New Roman" w:eastAsia="Times New Roman" w:hAnsi="Times New Roman"/>
          <w:sz w:val="18"/>
          <w:szCs w:val="18"/>
          <w:color w:val="auto"/>
        </w:rPr>
        <w:t>Non-GAAP operating income is defined as loss from operations as reported in our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excluding the impact of amortization of intangible assets, stock-based compensation expense, acquisition-related expenses, legal expenses related to certain litigation, and restructuring and related charges. Non-GAAP operating income is widely used by securities analysts, investors, and other interested parties to evaluate the profitability of companies. Non-GAAP operating income eliminates potential differences in performance caused by these items that are not indicative of the Company's ongoing operating performance and hinders comparability with prior and future performance.</w:t>
      </w:r>
    </w:p>
    <w:p>
      <w:pPr>
        <w:spacing w:after="0" w:line="184"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4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income to loss from operations, the most directly comparable financial measure, calculated and presented in accordance with GAAP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Litigation expenses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Represents legal expenses related to the Antitrust Matters and a shareholder derivative lawsuit.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40" w:firstLine="891"/>
        <w:spacing w:after="0" w:line="266" w:lineRule="auto"/>
        <w:rPr>
          <w:sz w:val="20"/>
          <w:szCs w:val="20"/>
          <w:color w:val="auto"/>
        </w:rPr>
      </w:pPr>
      <w:r>
        <w:rPr>
          <w:rFonts w:ascii="Times New Roman" w:cs="Times New Roman" w:eastAsia="Times New Roman" w:hAnsi="Times New Roman"/>
          <w:sz w:val="18"/>
          <w:szCs w:val="18"/>
          <w:color w:val="auto"/>
        </w:rPr>
        <w:t>As of April 30, 2024, we had $129.5 million in cash and cash equivalents, and an accumulated deficit of $354.9 million. Our net losses have been driven by our investments in developing the nCino Bank Operating System and scaling our sales and marketing organization and finance and administrative functions to support our rapid growth.</w:t>
      </w:r>
    </w:p>
    <w:p>
      <w:pPr>
        <w:spacing w:after="0" w:line="176"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including our initial public offering in July 2020, operating cash flows, and starting fiscal 2023,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spacing w:after="0" w:line="180"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On March 17, 2024, the Company entered into the Second Amendment for the Credit Facility which, among other things, increased our borrowing availability to $100.0 million. In March 2024, we borrowed $75.0 million under the Credit Facility to fund the acquisition of DocFox. In April 2024, we repaid $20.0 million under the Credit Facility. As of April 30, 2024, the applicable interest rate was 7.36%. The Company had $55.0 million outstanding and no letters of credit issued under the Credit Facility and was in compliance with all covenants as of April 30, 2024. See Note 11 "Revolving Credit Facility" of the notes to our unaudited condensed consolidated financial statements included in Part I, Item I of this Quarterly Report on Form 10-Q for more information.</w:t>
      </w:r>
    </w:p>
    <w:p>
      <w:pPr>
        <w:spacing w:after="0" w:line="187"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capital expenditure requirements, and any potential future acquisitions. We expect to incur capital expenditures in fiscal 2025 for planned office build-outs to accommodate our growth, primarily for an international office, which we estimate to be approximately $8.2 million.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2024 and April 30, 2024, the redeemable non-controlling interest was $3.4 million and $4.1 million, respectively.</w:t>
      </w:r>
    </w:p>
    <w:p>
      <w:pPr>
        <w:spacing w:after="0" w:line="176"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As part of our joint venture obligations, we made an additional cash capital contribution of $1.0 million to nCino K.K. during the third quarter of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three months ended April 30, 2023 and 2024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54,442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(91,229)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55,980</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right="100" w:firstLine="891"/>
        <w:spacing w:after="0" w:line="253" w:lineRule="auto"/>
        <w:rPr>
          <w:sz w:val="20"/>
          <w:szCs w:val="20"/>
          <w:color w:val="auto"/>
        </w:rPr>
      </w:pPr>
      <w:r>
        <w:rPr>
          <w:rFonts w:ascii="Times New Roman" w:cs="Times New Roman" w:eastAsia="Times New Roman" w:hAnsi="Times New Roman"/>
          <w:sz w:val="18"/>
          <w:szCs w:val="18"/>
          <w:color w:val="auto"/>
        </w:rPr>
        <w:t>The $54.4 million provided by operating activities in the three months ended April 30, 2024 reflects our net loss of $2.3 million, offset by $30.7 million generated by changes in working capital accounts and $26.0 million in non-cash charges. Non-cash charges primarily consisted of stock-based compensation, depreciation and amortization, deferred income taxes, non-cash operating lease costs, amortization of costs capitalized to obtain revenue contracts, foreign currency losses related to intercompany loans and transactions, and recovery of bad debt. Cash generated by working capital accounts was principally a function of a $37.5 million decrease in accounts receivable due to the timing of billings and collections from customers, a $6.2 million increase in deferred revenue due to the timing of billings and revenue recognition, and a $3.8 million increase in accounts payable which includes acquisition related expenses. The cash generated by working capital accounts was partially offset by a $8.2 million decrease in accrued expenses and other liabilities primarily due to the payout of bonuses and commissions, an increase of $5.1 million of capitalized costs to obtain revenue contracts, which consisted primarily of sales commissions, a $2.1 million increase in prepaid expenses and other assets, and a $1.4 million decrease in operating lease liabilities.</w:t>
      </w:r>
    </w:p>
    <w:p>
      <w:pPr>
        <w:spacing w:after="0" w:line="194" w:lineRule="exact"/>
        <w:rPr>
          <w:sz w:val="20"/>
          <w:szCs w:val="20"/>
          <w:color w:val="auto"/>
        </w:rPr>
      </w:pPr>
    </w:p>
    <w:p>
      <w:pPr>
        <w:ind w:right="80" w:firstLine="891"/>
        <w:spacing w:after="0" w:line="253" w:lineRule="auto"/>
        <w:rPr>
          <w:sz w:val="20"/>
          <w:szCs w:val="20"/>
          <w:color w:val="auto"/>
        </w:rPr>
      </w:pPr>
      <w:r>
        <w:rPr>
          <w:rFonts w:ascii="Times New Roman" w:cs="Times New Roman" w:eastAsia="Times New Roman" w:hAnsi="Times New Roman"/>
          <w:sz w:val="18"/>
          <w:szCs w:val="18"/>
          <w:color w:val="auto"/>
        </w:rPr>
        <w:t>The $31.3 million provided by operating activities in the three months ended April 30, 2023 reflects our net loss of $11.6 million, offset by $24.7 million in non-cash charges and $18.3 million generated by changes in working capital accounts. Non-cash charges primarily consisted of stock-based compensation, depreciation and amortization, amortization of costs capitalized to obtain revenue contracts, foreign currency losses related to intercompany loans and transactions, and non-cash operating lease costs. Cash generated by working capital accounts was principally a function of a $18.3 million decrease in accounts receivable due to timing of billings and collections from customers and a $16.8 million increase in deferred revenue, as we expanded our customer base and renewed existing customers. The cash generated by working capital accounts was partially offset by a $13.2 million decrease in accrued expenses and other liabilities which includes payments of approximately $5.0 million for severance and other employee costs associated with restructuring. Additional offsets were a $1.2 million increase in prepaid expenses and other assets, payments of $1.0 million of capitalized costs to obtain revenue contracts, which consisted primarily of sales commissions, a $1.0 million decrease in operating lease liabilities, and a $0.3 million decrease in accounts payable.</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The $91.2 million used in investing activities in the three months ended April 30, 2024 was comprised of $90.7 million used for the acquisitions of DocFox and ILT, $0.3 million for the purchase of property and equipment and leasehold improvements to support the expansion of our business, and $0.2 million for an asset acquisition. The $2.0 million used in investing activities in the three months ended April 30, 2023 was comprised of $1.6 million for the purchase of property and equipment and leasehold improvements to support the expansion of our business and $0.4 million for the final cash consideration relating to an asset acquisition completed in August 2022.</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right="180" w:firstLine="891"/>
        <w:spacing w:after="0" w:line="256" w:lineRule="auto"/>
        <w:rPr>
          <w:sz w:val="20"/>
          <w:szCs w:val="20"/>
          <w:color w:val="auto"/>
        </w:rPr>
      </w:pPr>
      <w:r>
        <w:rPr>
          <w:rFonts w:ascii="Times New Roman" w:cs="Times New Roman" w:eastAsia="Times New Roman" w:hAnsi="Times New Roman"/>
          <w:sz w:val="18"/>
          <w:szCs w:val="18"/>
          <w:color w:val="auto"/>
        </w:rPr>
        <w:t>The $56.0 million provided by financing activities in the three months ended April 30, 2024 was comprised principally of $75.0 million proceeds from borrowings on the Credit Facility to fund the acquisition of DocFox and $1.6 million of proceeds from the exercise of stock options. The cash provided by financing activities was partially offset by payments of $20.0 million on the Credit Facility, principal payments of $0.4 million on financing obligations, and payments of debt issuance costs of $0.3 million. The $13.9 million used in financing activities in the three months ended April 30, 2023 was comprised principally of payments of $15.0 million on the Credit Facility and principal payments of $0.2 million on financing obligations. The cash used in financing activities was partially offset by $1.4 million of proceeds from the exercise of stock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360" w:firstLine="891"/>
        <w:spacing w:after="0" w:line="261" w:lineRule="auto"/>
        <w:rPr>
          <w:sz w:val="20"/>
          <w:szCs w:val="20"/>
          <w:color w:val="auto"/>
        </w:rPr>
      </w:pPr>
      <w:r>
        <w:rPr>
          <w:rFonts w:ascii="Times New Roman" w:cs="Times New Roman" w:eastAsia="Times New Roman" w:hAnsi="Times New Roman"/>
          <w:sz w:val="18"/>
          <w:szCs w:val="18"/>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10 "Leases," Note 11 "Revolving Credit Facility," and Note 12 "Commitments and Contingencies" of the notes to our unaudited condensed consolidated financial statements included in Part I, Item 1 of this Quarterly Report on Form 10-Q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87"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Annual Report on Form 10-K for the fiscal year ended January 31, 2024 filed with the SEC on March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100" w:firstLine="891"/>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0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At April 30, 2024, we had cash, cash equivalents and restricted cash of $134.8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3"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On February 11, 2022, we entered into a senior secured revolving credit facility of up to $50.0 million. On March 17, 2024, the Company entered into the Second Amendment which, among other things, increased our borrowing availability to $100.0 million. Borrowings bear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As a result, we are exposed to increased interest rate risk as we make draws. At April 30, 2024, we had $55.0</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million outstanding under the Credit Facility. A hypothetical 100 basis point change in interest rates would not have had a material impact on our financial results included in this Quarterly Report on Form 10-Q. See Note 11 "Revolving Credit Facility" of the notes to our unaudited condensed consolidated financial statements included in Part I, Item 1 of this Quarterly Report on Form 10-Q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unaudited condensed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88" w:lineRule="exact"/>
        <w:rPr>
          <w:sz w:val="20"/>
          <w:szCs w:val="20"/>
          <w:color w:val="auto"/>
        </w:rPr>
      </w:pPr>
    </w:p>
    <w:p>
      <w:pPr>
        <w:jc w:val="both"/>
        <w:ind w:right="240" w:firstLine="891"/>
        <w:spacing w:after="0" w:line="266" w:lineRule="auto"/>
        <w:rPr>
          <w:sz w:val="20"/>
          <w:szCs w:val="20"/>
          <w:color w:val="auto"/>
        </w:rPr>
      </w:pPr>
      <w:r>
        <w:rPr>
          <w:rFonts w:ascii="Times New Roman" w:cs="Times New Roman" w:eastAsia="Times New Roman" w:hAnsi="Times New Roman"/>
          <w:sz w:val="18"/>
          <w:szCs w:val="18"/>
          <w:color w:val="auto"/>
        </w:rPr>
        <w:t>At April 30, 2024, based on the balances of our cash, cash equivalents, and restricted cash denominated in foreign currencies, a hypothetical 10% increase or decrease in foreign currency exchange rates would have had an impact of approximately $8.5 million on our cash, cash equivalents and restricted cash at April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April 30, 2024, the last day of the period covered by this Quarterly Report on Form 10-Q. Based on this evaluation, our Chief Executive Officer and Chief Financial Officer have concluded that, at April 30, 2024,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See Note 12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881"/>
        <w:spacing w:after="0" w:line="255" w:lineRule="auto"/>
        <w:rPr>
          <w:sz w:val="20"/>
          <w:szCs w:val="20"/>
          <w:color w:val="auto"/>
        </w:rPr>
      </w:pPr>
      <w:r>
        <w:rPr>
          <w:rFonts w:ascii="Times New Roman" w:cs="Times New Roman" w:eastAsia="Times New Roman" w:hAnsi="Times New Roman"/>
          <w:sz w:val="18"/>
          <w:szCs w:val="18"/>
          <w:color w:val="auto"/>
        </w:rPr>
        <w:t>There are no material changes to the risk factors in the Company's Annual Report on Form 10-K for the fiscal year ended January 31, 2024 filed with the SEC on March 26, 2024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540"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2024, the following Section 16 officer adopted, modified or terminated a “Rule 10b5-1 trading arrangement” as defined in Item 408 of Regulation S-K, as follows:</w:t>
      </w:r>
    </w:p>
    <w:p>
      <w:pPr>
        <w:spacing w:after="0" w:line="162"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On April 3, 2024, Matthew Hansen, Chief Product Officer, adopted a Rule 10b5-1 trading arrangement providing for the sale from time to time of an aggregate of up to 285,000 shares of our common stock. The trading arrangement is intended to satisfy the affirmative defense in Rule 10b5-1(c). The duration of the trading arrangement is until May 1, 2025, or earlier if all transactions under the trading arrangement are completed.</w:t>
      </w:r>
    </w:p>
    <w:p>
      <w:pPr>
        <w:spacing w:after="0" w:line="176"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On April 12, 2024, April Rieger, Chief Legal &amp; Compliance Officer and Secretary, terminated a Rule 10b5-1 trading arrangement providing for the sale from time to time of an aggregate of up to 39,144 shares of our common stock. The trading arrangement was intended to satisfy the affirmative defense in Rule 10b5-1(c). The duration of the trading arrangement was until January 17, 2025, or earlier if all transactions under the trading arrangement had been completed.</w:t>
      </w:r>
    </w:p>
    <w:p>
      <w:pPr>
        <w:spacing w:after="0" w:line="180"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On April 12, 2024, April Rieger, Chief Legal &amp; Compliance Officer and Secretary, adopted a Rule 10b5-1 trading arrangement providing for the sale from time to time of an aggregate of up to 29,700 shares of our common stock. The trading arrangement is intended to satisfy the affirmative defense in Rule 10b5-1(c). The duration of the trading arrangement is until March 28, 2025, or earlier if all transactions under the trading arrangement are completed.</w:t>
      </w:r>
    </w:p>
    <w:p>
      <w:pPr>
        <w:spacing w:after="0" w:line="126"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modified, or terminated a “Rule 10b5-1 trading arrangement” or a “non-Rule 10b5-1 trading arrangement,” as defined in Regulation S-K Item 408, during the fiscal quarter.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3580" w:type="dxa"/>
            <w:vAlign w:val="bottom"/>
            <w:gridSpan w:val="21"/>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21"/>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3720" w:type="dxa"/>
            <w:vAlign w:val="bottom"/>
            <w:tcBorders>
              <w:bottom w:val="single" w:sz="8" w:color="0000FF"/>
            </w:tcBorders>
            <w:gridSpan w:val="9"/>
          </w:tcPr>
          <w:p>
            <w:pPr>
              <w:spacing w:after="0" w:line="188"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Amended and Restated Certificate of Incorporation</w:t>
              </w:r>
            </w:hyperlink>
          </w:p>
        </w:tc>
        <w:tc>
          <w:tcPr>
            <w:tcW w:w="560" w:type="dxa"/>
            <w:vAlign w:val="bottom"/>
            <w:gridSpan w:val="13"/>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8-K12B</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January 10, 2022</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Amended and Restated Bylaws</w:t>
              </w:r>
            </w:hyperlink>
          </w:p>
        </w:tc>
        <w:tc>
          <w:tcPr>
            <w:tcW w:w="2020" w:type="dxa"/>
            <w:vAlign w:val="bottom"/>
            <w:gridSpan w:val="18"/>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280" w:type="dxa"/>
            <w:vAlign w:val="bottom"/>
            <w:gridSpan w:val="22"/>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First Amendment to Credit Agreement by and among</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8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nCino, Inc., nCino OpCo, Inc., certain subsidiaries of</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8"/>
              </w:rPr>
            </w:pPr>
            <w:hyperlink r:id="rId76">
              <w:r>
                <w:rPr>
                  <w:rFonts w:ascii="Times New Roman" w:cs="Times New Roman" w:eastAsia="Times New Roman" w:hAnsi="Times New Roman"/>
                  <w:sz w:val="18"/>
                  <w:szCs w:val="18"/>
                  <w:color w:val="0000FF"/>
                  <w:w w:val="98"/>
                </w:rPr>
                <w:t>nCino, Inc. as guarantors and Bank of America, N.A.,</w:t>
              </w:r>
            </w:hyperlink>
          </w:p>
        </w:tc>
        <w:tc>
          <w:tcPr>
            <w:tcW w:w="40" w:type="dxa"/>
            <w:vAlign w:val="bottom"/>
            <w:tcBorders>
              <w:bottom w:val="single" w:sz="8" w:color="0000FF"/>
            </w:tcBorders>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68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dated February 9, 2024</w:t>
              </w:r>
            </w:hyperlink>
          </w:p>
        </w:tc>
        <w:tc>
          <w:tcPr>
            <w:tcW w:w="2200" w:type="dxa"/>
            <w:vAlign w:val="bottom"/>
            <w:gridSpan w:val="9"/>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4280" w:type="dxa"/>
            <w:vAlign w:val="bottom"/>
            <w:gridSpan w:val="22"/>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Second Amendment to Credit Agreement by and among</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nCino, Inc., nCino OpCo, Inc., certain subsidiaries of</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8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w w:val="98"/>
              </w:rPr>
            </w:pPr>
            <w:hyperlink r:id="rId77">
              <w:r>
                <w:rPr>
                  <w:rFonts w:ascii="Times New Roman" w:cs="Times New Roman" w:eastAsia="Times New Roman" w:hAnsi="Times New Roman"/>
                  <w:sz w:val="18"/>
                  <w:szCs w:val="18"/>
                  <w:color w:val="0000FF"/>
                  <w:w w:val="98"/>
                </w:rPr>
                <w:t>nCino, Inc. as guarantors and Bank of America, N.A.,</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8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dated March 17, 2024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Independent Contractor Agreement with Joshua Glover</w:t>
            </w:r>
          </w:p>
        </w:tc>
        <w:tc>
          <w:tcPr>
            <w:tcW w:w="280" w:type="dxa"/>
            <w:vAlign w:val="bottom"/>
            <w:gridSpan w:val="6"/>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with Sean</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36"/>
        </w:trPr>
        <w:tc>
          <w:tcPr>
            <w:tcW w:w="980" w:type="dxa"/>
            <w:vAlign w:val="bottom"/>
          </w:tcPr>
          <w:p>
            <w:pPr>
              <w:spacing w:after="0"/>
              <w:rPr>
                <w:sz w:val="11"/>
                <w:szCs w:val="11"/>
                <w:color w:val="auto"/>
              </w:rPr>
            </w:pPr>
          </w:p>
        </w:tc>
        <w:tc>
          <w:tcPr>
            <w:tcW w:w="700" w:type="dxa"/>
            <w:vAlign w:val="bottom"/>
            <w:tcBorders>
              <w:top w:val="single" w:sz="8" w:color="0000FF"/>
              <w:bottom w:val="single" w:sz="8" w:color="0000FF"/>
            </w:tcBorders>
          </w:tcPr>
          <w:p>
            <w:pPr>
              <w:spacing w:after="0" w:line="136" w:lineRule="exact"/>
              <w:rPr>
                <w:sz w:val="20"/>
                <w:szCs w:val="20"/>
                <w:color w:val="auto"/>
              </w:rPr>
            </w:pPr>
            <w:r>
              <w:rPr>
                <w:rFonts w:ascii="Times New Roman" w:cs="Times New Roman" w:eastAsia="Times New Roman" w:hAnsi="Times New Roman"/>
                <w:sz w:val="15"/>
                <w:szCs w:val="15"/>
                <w:color w:val="0000FF"/>
              </w:rPr>
              <w:t>Desmond</w:t>
            </w:r>
          </w:p>
        </w:tc>
        <w:tc>
          <w:tcPr>
            <w:tcW w:w="2000" w:type="dxa"/>
            <w:vAlign w:val="bottom"/>
            <w:tcBorders>
              <w:top w:val="single" w:sz="8" w:color="0000FF"/>
            </w:tcBorders>
            <w:gridSpan w:val="5"/>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80" w:type="dxa"/>
            <w:vAlign w:val="bottom"/>
            <w:tcBorders>
              <w:top w:val="single" w:sz="8" w:color="0000FF"/>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40" w:type="dxa"/>
            <w:vAlign w:val="bottom"/>
            <w:tcBorders>
              <w:top w:val="single" w:sz="8" w:color="0000FF"/>
            </w:tcBorders>
            <w:gridSpan w:val="5"/>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2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12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5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17"/>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22"/>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22"/>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22"/>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22"/>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980" w:hanging="95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7" w:lineRule="exact"/>
        <w:rPr>
          <w:sz w:val="20"/>
          <w:szCs w:val="20"/>
          <w:color w:val="auto"/>
        </w:rPr>
      </w:pPr>
    </w:p>
    <w:p>
      <w:pPr>
        <w:ind w:left="980" w:right="300" w:hanging="954"/>
        <w:spacing w:after="0" w:line="229"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4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nCino, Inc.</w:t>
            </w:r>
          </w:p>
        </w:tc>
      </w:tr>
      <w:tr>
        <w:trPr>
          <w:trHeight w:val="39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2024</w:t>
            </w:r>
          </w:p>
        </w:tc>
        <w:tc>
          <w:tcPr>
            <w:tcW w:w="33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Pierre Naudé</w:t>
            </w:r>
          </w:p>
        </w:tc>
      </w:tr>
      <w:tr>
        <w:trPr>
          <w:trHeight w:val="218"/>
        </w:trPr>
        <w:tc>
          <w:tcPr>
            <w:tcW w:w="3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Pierre Naudé</w:t>
            </w:r>
          </w:p>
        </w:tc>
      </w:tr>
      <w:tr>
        <w:trPr>
          <w:trHeight w:val="230"/>
        </w:trPr>
        <w:tc>
          <w:tcPr>
            <w:tcW w:w="34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2024</w:t>
            </w:r>
          </w:p>
        </w:tc>
        <w:tc>
          <w:tcPr>
            <w:tcW w:w="33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D. Orenstein</w:t>
            </w:r>
          </w:p>
        </w:tc>
      </w:tr>
      <w:tr>
        <w:trPr>
          <w:trHeight w:val="218"/>
        </w:trPr>
        <w:tc>
          <w:tcPr>
            <w:tcW w:w="3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D. Orenstein</w:t>
            </w:r>
          </w:p>
        </w:tc>
      </w:tr>
      <w:tr>
        <w:trPr>
          <w:trHeight w:val="229"/>
        </w:trPr>
        <w:tc>
          <w:tcPr>
            <w:tcW w:w="34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234"/>
        </w:trPr>
        <w:tc>
          <w:tcPr>
            <w:tcW w:w="3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5"/>
        </w:trPr>
        <w:tc>
          <w:tcPr>
            <w:tcW w:w="3480" w:type="dxa"/>
            <w:vAlign w:val="bottom"/>
          </w:tcPr>
          <w:p>
            <w:pPr>
              <w:spacing w:after="0"/>
              <w:rPr>
                <w:sz w:val="24"/>
                <w:szCs w:val="24"/>
                <w:color w:val="auto"/>
              </w:rPr>
            </w:pPr>
          </w:p>
        </w:tc>
        <w:tc>
          <w:tcPr>
            <w:tcW w:w="33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37</w:t>
            </w:r>
          </w:p>
        </w:tc>
        <w:tc>
          <w:tcPr>
            <w:tcW w:w="4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Calibri" w:cs="Calibri" w:eastAsia="Calibri" w:hAnsi="Calibri"/>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8"/>
        <w:spacing w:after="0"/>
        <w:rPr>
          <w:sz w:val="20"/>
          <w:szCs w:val="20"/>
          <w:color w:val="auto"/>
        </w:rPr>
      </w:pPr>
      <w:r>
        <w:rPr>
          <w:rFonts w:ascii="Calibri" w:cs="Calibri" w:eastAsia="Calibri" w:hAnsi="Calibri"/>
          <w:sz w:val="20"/>
          <w:szCs w:val="20"/>
          <w:color w:val="auto"/>
        </w:rPr>
        <w:t>INDEPENDENT CONTRACTOR AGREEMENT</w:t>
      </w:r>
    </w:p>
    <w:p>
      <w:pPr>
        <w:spacing w:after="0" w:line="171" w:lineRule="exact"/>
        <w:rPr>
          <w:sz w:val="20"/>
          <w:szCs w:val="20"/>
          <w:color w:val="auto"/>
        </w:rPr>
      </w:pPr>
    </w:p>
    <w:p>
      <w:pPr>
        <w:ind w:left="322" w:right="600"/>
        <w:spacing w:after="0" w:line="236" w:lineRule="auto"/>
        <w:rPr>
          <w:sz w:val="20"/>
          <w:szCs w:val="20"/>
          <w:color w:val="auto"/>
        </w:rPr>
      </w:pPr>
      <w:r>
        <w:rPr>
          <w:rFonts w:ascii="Calibri" w:cs="Calibri" w:eastAsia="Calibri" w:hAnsi="Calibri"/>
          <w:sz w:val="20"/>
          <w:szCs w:val="20"/>
          <w:color w:val="auto"/>
        </w:rPr>
        <w:t>This Independent Contractor Agreement (this “Agreement”) sets forth the terms and conditons between nCino OpCo, Inc., its subsidiaries and afliated companies (hereinafer, the “Company”) and Josh Glover (the “Contractor”), concerning certain professional services to be rendered to the Company as specifed below.</w:t>
      </w:r>
    </w:p>
    <w:p>
      <w:pPr>
        <w:sectPr>
          <w:pgSz w:w="11900" w:h="16838" w:orient="portrait"/>
          <w:cols w:equalWidth="0" w:num="1">
            <w:col w:w="11142"/>
          </w:cols>
          <w:pgMar w:left="418" w:top="65" w:right="339" w:bottom="1440" w:gutter="0" w:footer="0" w:header="0"/>
        </w:sectPr>
      </w:pPr>
    </w:p>
    <w:p>
      <w:pPr>
        <w:spacing w:after="0" w:line="319" w:lineRule="exact"/>
        <w:rPr>
          <w:sz w:val="20"/>
          <w:szCs w:val="20"/>
          <w:color w:val="auto"/>
        </w:rPr>
      </w:pPr>
    </w:p>
    <w:p>
      <w:pPr>
        <w:jc w:val="both"/>
        <w:ind w:left="322" w:hanging="322"/>
        <w:spacing w:after="0" w:line="234" w:lineRule="auto"/>
        <w:tabs>
          <w:tab w:leader="none" w:pos="314" w:val="left"/>
        </w:tabs>
        <w:numPr>
          <w:ilvl w:val="0"/>
          <w:numId w:val="13"/>
        </w:numPr>
        <w:rPr>
          <w:rFonts w:ascii="Calibri" w:cs="Calibri" w:eastAsia="Calibri" w:hAnsi="Calibri"/>
          <w:sz w:val="20"/>
          <w:szCs w:val="20"/>
          <w:color w:val="auto"/>
        </w:rPr>
      </w:pPr>
      <w:r>
        <w:rPr>
          <w:rFonts w:ascii="Calibri" w:cs="Calibri" w:eastAsia="Calibri" w:hAnsi="Calibri"/>
          <w:sz w:val="20"/>
          <w:szCs w:val="20"/>
          <w:b w:val="1"/>
          <w:bCs w:val="1"/>
          <w:color w:val="auto"/>
        </w:rPr>
        <w:t>SERVICES</w:t>
      </w:r>
      <w:r>
        <w:rPr>
          <w:rFonts w:ascii="Calibri" w:cs="Calibri" w:eastAsia="Calibri" w:hAnsi="Calibri"/>
          <w:sz w:val="20"/>
          <w:szCs w:val="20"/>
          <w:color w:val="auto"/>
        </w:rPr>
        <w:t>. Contractor will perform services, as more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partcularly described in one or more Statement(s) of Work</w:t>
      </w:r>
    </w:p>
    <w:p>
      <w:pPr>
        <w:spacing w:after="0" w:line="23"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(“SOW”), for Company as an independent contractor (the “Services”), in a format substantally similar to that of Exhibit A atached hereto, agreed upon and signed by both the Company and Contractor. Such SOW will be atached to and</w:t>
      </w:r>
    </w:p>
    <w:p>
      <w:pPr>
        <w:spacing w:after="0" w:line="25"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become part of this Agreement. Services have been ordered and commissioned by Company, and Contractor will perform such Services in a diligent and workmanlike manner in</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accordance with the schedule, if any, set forth in each applicable SOW. Contractor shall perform only those Services described in an executed SOW. If additonal services are</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requested by the Company or if the partes agree to modify the Services previously agreed to, a new SOW must be executed and added to this Agreement, or the existng SOW</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must be amended. The content, style, form, and format of the Services shall be completely satsfactory to Company and will be consistent with Company’s standards. Except as</w:t>
      </w:r>
    </w:p>
    <w:p>
      <w:pPr>
        <w:spacing w:after="0" w:line="22" w:lineRule="exact"/>
        <w:rPr>
          <w:rFonts w:ascii="Calibri" w:cs="Calibri" w:eastAsia="Calibri" w:hAnsi="Calibri"/>
          <w:sz w:val="20"/>
          <w:szCs w:val="20"/>
          <w:color w:val="auto"/>
        </w:rPr>
      </w:pPr>
    </w:p>
    <w:p>
      <w:pPr>
        <w:jc w:val="both"/>
        <w:ind w:left="322"/>
        <w:spacing w:after="0"/>
        <w:rPr>
          <w:rFonts w:ascii="Calibri" w:cs="Calibri" w:eastAsia="Calibri" w:hAnsi="Calibri"/>
          <w:sz w:val="20"/>
          <w:szCs w:val="20"/>
          <w:color w:val="auto"/>
        </w:rPr>
      </w:pPr>
      <w:r>
        <w:rPr>
          <w:rFonts w:ascii="Calibri" w:cs="Calibri" w:eastAsia="Calibri" w:hAnsi="Calibri"/>
          <w:sz w:val="20"/>
          <w:szCs w:val="20"/>
          <w:color w:val="auto"/>
        </w:rPr>
        <w:t>specifed in an applicable SOW, Company agrees that Contractor’s Services need not be rendered at any specifc locaton and may be rendered at any locaton selected by Contractor.</w:t>
      </w:r>
    </w:p>
    <w:p>
      <w:pPr>
        <w:spacing w:after="0" w:line="255" w:lineRule="exact"/>
        <w:rPr>
          <w:rFonts w:ascii="Calibri" w:cs="Calibri" w:eastAsia="Calibri" w:hAnsi="Calibri"/>
          <w:sz w:val="20"/>
          <w:szCs w:val="20"/>
          <w:color w:val="auto"/>
        </w:rPr>
      </w:pPr>
    </w:p>
    <w:p>
      <w:pPr>
        <w:ind w:left="322" w:hanging="322"/>
        <w:spacing w:after="0"/>
        <w:tabs>
          <w:tab w:leader="none" w:pos="322" w:val="left"/>
        </w:tabs>
        <w:numPr>
          <w:ilvl w:val="0"/>
          <w:numId w:val="13"/>
        </w:numPr>
        <w:rPr>
          <w:rFonts w:ascii="Calibri" w:cs="Calibri" w:eastAsia="Calibri" w:hAnsi="Calibri"/>
          <w:sz w:val="20"/>
          <w:szCs w:val="20"/>
          <w:color w:val="auto"/>
        </w:rPr>
      </w:pPr>
      <w:r>
        <w:rPr>
          <w:rFonts w:ascii="Calibri" w:cs="Calibri" w:eastAsia="Calibri" w:hAnsi="Calibri"/>
          <w:sz w:val="20"/>
          <w:szCs w:val="20"/>
          <w:b w:val="1"/>
          <w:bCs w:val="1"/>
          <w:color w:val="auto"/>
        </w:rPr>
        <w:t>RELATIONSHIP  OF  THE  PARTIES</w:t>
      </w:r>
      <w:r>
        <w:rPr>
          <w:rFonts w:ascii="Calibri" w:cs="Calibri" w:eastAsia="Calibri" w:hAnsi="Calibri"/>
          <w:sz w:val="20"/>
          <w:szCs w:val="20"/>
          <w:color w:val="auto"/>
        </w:rPr>
        <w:t>.   Contractor   is   an</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independent contractor, and nothing contained in this Agreement shall be construed to give either party any right or authority to create or assume any obligaton of any kind</w:t>
      </w:r>
    </w:p>
    <w:p>
      <w:pPr>
        <w:spacing w:after="0" w:line="22" w:lineRule="exact"/>
        <w:rPr>
          <w:rFonts w:ascii="Calibri" w:cs="Calibri" w:eastAsia="Calibri" w:hAnsi="Calibri"/>
          <w:sz w:val="20"/>
          <w:szCs w:val="20"/>
          <w:color w:val="auto"/>
        </w:rPr>
      </w:pPr>
    </w:p>
    <w:p>
      <w:pPr>
        <w:jc w:val="both"/>
        <w:ind w:left="322" w:right="20"/>
        <w:spacing w:after="0"/>
        <w:rPr>
          <w:rFonts w:ascii="Calibri" w:cs="Calibri" w:eastAsia="Calibri" w:hAnsi="Calibri"/>
          <w:sz w:val="20"/>
          <w:szCs w:val="20"/>
          <w:color w:val="auto"/>
        </w:rPr>
      </w:pPr>
      <w:r>
        <w:rPr>
          <w:rFonts w:ascii="Calibri" w:cs="Calibri" w:eastAsia="Calibri" w:hAnsi="Calibri"/>
          <w:sz w:val="20"/>
          <w:szCs w:val="20"/>
          <w:color w:val="auto"/>
        </w:rPr>
        <w:t>on behalf of the other party. All Services shall be performed only by Contractor. Under no circumstances shall Contractor look to Company as its employer, partner, agent, or principal. Contractor shall not be enttled to any benefts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both"/>
        <w:ind w:left="321" w:right="640"/>
        <w:spacing w:after="0"/>
        <w:rPr>
          <w:sz w:val="20"/>
          <w:szCs w:val="20"/>
          <w:color w:val="auto"/>
        </w:rPr>
      </w:pPr>
      <w:r>
        <w:rPr>
          <w:rFonts w:ascii="Calibri" w:cs="Calibri" w:eastAsia="Calibri" w:hAnsi="Calibri"/>
          <w:sz w:val="20"/>
          <w:szCs w:val="20"/>
          <w:color w:val="auto"/>
        </w:rPr>
        <w:t>accorded to Company’s employees including without limitaton worker’s compensaton, disability insurance, vacaton or sick pay. Contractor shall be responsible for providing, at Contractor’s expense in Contractor’s</w:t>
      </w:r>
    </w:p>
    <w:p>
      <w:pPr>
        <w:spacing w:after="0" w:line="22" w:lineRule="exact"/>
        <w:rPr>
          <w:sz w:val="20"/>
          <w:szCs w:val="20"/>
          <w:color w:val="auto"/>
        </w:rPr>
      </w:pPr>
    </w:p>
    <w:p>
      <w:pPr>
        <w:jc w:val="both"/>
        <w:ind w:left="321" w:right="660"/>
        <w:spacing w:after="0" w:line="236" w:lineRule="auto"/>
        <w:rPr>
          <w:sz w:val="20"/>
          <w:szCs w:val="20"/>
          <w:color w:val="auto"/>
        </w:rPr>
      </w:pPr>
      <w:r>
        <w:rPr>
          <w:rFonts w:ascii="Calibri" w:cs="Calibri" w:eastAsia="Calibri" w:hAnsi="Calibri"/>
          <w:sz w:val="20"/>
          <w:szCs w:val="20"/>
          <w:color w:val="auto"/>
        </w:rPr>
        <w:t>name, unemployment, disability, worker’s compensaton, and all other insurance and benefts, as well as licenses and permits, usual or necessary for conductng the Services.</w:t>
      </w:r>
    </w:p>
    <w:p>
      <w:pPr>
        <w:spacing w:after="0" w:line="272" w:lineRule="exact"/>
        <w:rPr>
          <w:sz w:val="20"/>
          <w:szCs w:val="20"/>
          <w:color w:val="auto"/>
        </w:rPr>
      </w:pPr>
    </w:p>
    <w:p>
      <w:pPr>
        <w:ind w:left="321" w:hanging="321"/>
        <w:spacing w:after="0"/>
        <w:tabs>
          <w:tab w:leader="none" w:pos="321" w:val="left"/>
        </w:tabs>
        <w:numPr>
          <w:ilvl w:val="0"/>
          <w:numId w:val="14"/>
        </w:numPr>
        <w:rPr>
          <w:rFonts w:ascii="Calibri" w:cs="Calibri" w:eastAsia="Calibri" w:hAnsi="Calibri"/>
          <w:sz w:val="20"/>
          <w:szCs w:val="20"/>
          <w:color w:val="auto"/>
        </w:rPr>
      </w:pPr>
      <w:r>
        <w:rPr>
          <w:rFonts w:ascii="Calibri" w:cs="Calibri" w:eastAsia="Calibri" w:hAnsi="Calibri"/>
          <w:sz w:val="20"/>
          <w:szCs w:val="20"/>
          <w:b w:val="1"/>
          <w:bCs w:val="1"/>
          <w:color w:val="auto"/>
        </w:rPr>
        <w:t>TERM</w:t>
      </w:r>
      <w:r>
        <w:rPr>
          <w:rFonts w:ascii="Calibri" w:cs="Calibri" w:eastAsia="Calibri" w:hAnsi="Calibri"/>
          <w:sz w:val="20"/>
          <w:szCs w:val="20"/>
          <w:color w:val="auto"/>
        </w:rPr>
        <w:t>. This Agreement shall commence on April 15,</w:t>
      </w:r>
    </w:p>
    <w:p>
      <w:pPr>
        <w:spacing w:after="0" w:line="22" w:lineRule="exact"/>
        <w:rPr>
          <w:rFonts w:ascii="Calibri" w:cs="Calibri" w:eastAsia="Calibri" w:hAnsi="Calibri"/>
          <w:sz w:val="20"/>
          <w:szCs w:val="20"/>
          <w:color w:val="auto"/>
        </w:rPr>
      </w:pPr>
    </w:p>
    <w:p>
      <w:pPr>
        <w:jc w:val="both"/>
        <w:ind w:left="321" w:right="640"/>
        <w:spacing w:after="0"/>
        <w:rPr>
          <w:rFonts w:ascii="Calibri" w:cs="Calibri" w:eastAsia="Calibri" w:hAnsi="Calibri"/>
          <w:sz w:val="20"/>
          <w:szCs w:val="20"/>
          <w:color w:val="auto"/>
        </w:rPr>
      </w:pPr>
      <w:r>
        <w:rPr>
          <w:rFonts w:ascii="Calibri" w:cs="Calibri" w:eastAsia="Calibri" w:hAnsi="Calibri"/>
          <w:sz w:val="20"/>
          <w:szCs w:val="20"/>
          <w:color w:val="auto"/>
        </w:rPr>
        <w:t>2024, (the “Efectve Date”) and will expire upon expiraton of all SOWs under this Agreement or June 30, 2024, whichever comes earliest, unless earlier terminated in accordance with this Agreement.</w:t>
      </w:r>
    </w:p>
    <w:p>
      <w:pPr>
        <w:spacing w:after="0" w:line="255" w:lineRule="exact"/>
        <w:rPr>
          <w:rFonts w:ascii="Calibri" w:cs="Calibri" w:eastAsia="Calibri" w:hAnsi="Calibri"/>
          <w:sz w:val="20"/>
          <w:szCs w:val="20"/>
          <w:color w:val="auto"/>
        </w:rPr>
      </w:pPr>
    </w:p>
    <w:p>
      <w:pPr>
        <w:ind w:left="321" w:hanging="321"/>
        <w:spacing w:after="0"/>
        <w:tabs>
          <w:tab w:leader="none" w:pos="321" w:val="left"/>
        </w:tabs>
        <w:numPr>
          <w:ilvl w:val="0"/>
          <w:numId w:val="14"/>
        </w:numPr>
        <w:rPr>
          <w:rFonts w:ascii="Calibri" w:cs="Calibri" w:eastAsia="Calibri" w:hAnsi="Calibri"/>
          <w:sz w:val="20"/>
          <w:szCs w:val="20"/>
          <w:color w:val="auto"/>
        </w:rPr>
      </w:pPr>
      <w:r>
        <w:rPr>
          <w:rFonts w:ascii="Calibri" w:cs="Calibri" w:eastAsia="Calibri" w:hAnsi="Calibri"/>
          <w:sz w:val="20"/>
          <w:szCs w:val="20"/>
          <w:b w:val="1"/>
          <w:bCs w:val="1"/>
          <w:color w:val="auto"/>
        </w:rPr>
        <w:t>COMPENSATION</w:t>
      </w:r>
      <w:r>
        <w:rPr>
          <w:rFonts w:ascii="Calibri" w:cs="Calibri" w:eastAsia="Calibri" w:hAnsi="Calibri"/>
          <w:sz w:val="20"/>
          <w:szCs w:val="20"/>
          <w:color w:val="auto"/>
        </w:rPr>
        <w:t>.  For  those  Services  rendered  by</w:t>
      </w:r>
    </w:p>
    <w:p>
      <w:pPr>
        <w:spacing w:after="0" w:line="22" w:lineRule="exact"/>
        <w:rPr>
          <w:rFonts w:ascii="Calibri" w:cs="Calibri" w:eastAsia="Calibri" w:hAnsi="Calibri"/>
          <w:sz w:val="20"/>
          <w:szCs w:val="20"/>
          <w:color w:val="auto"/>
        </w:rPr>
      </w:pPr>
    </w:p>
    <w:p>
      <w:pPr>
        <w:jc w:val="both"/>
        <w:ind w:left="321" w:right="6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Contractor in accordance with the applicable SOW, the Company shall compensate Contractor as provided in the atached SOW.</w:t>
      </w:r>
    </w:p>
    <w:p>
      <w:pPr>
        <w:spacing w:after="0" w:line="278" w:lineRule="exact"/>
        <w:rPr>
          <w:rFonts w:ascii="Calibri" w:cs="Calibri" w:eastAsia="Calibri" w:hAnsi="Calibri"/>
          <w:sz w:val="20"/>
          <w:szCs w:val="20"/>
          <w:color w:val="auto"/>
        </w:rPr>
      </w:pPr>
    </w:p>
    <w:p>
      <w:pPr>
        <w:jc w:val="both"/>
        <w:ind w:left="321" w:right="660" w:hanging="321"/>
        <w:spacing w:after="0" w:line="236" w:lineRule="auto"/>
        <w:tabs>
          <w:tab w:leader="none" w:pos="316" w:val="left"/>
        </w:tabs>
        <w:numPr>
          <w:ilvl w:val="0"/>
          <w:numId w:val="1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EXPENSES</w:t>
      </w:r>
      <w:r>
        <w:rPr>
          <w:rFonts w:ascii="Calibri" w:cs="Calibri" w:eastAsia="Calibri" w:hAnsi="Calibri"/>
          <w:sz w:val="20"/>
          <w:szCs w:val="20"/>
          <w:color w:val="auto"/>
        </w:rPr>
        <w:t>. The Company will reimburse Contractor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all reasonable out-of-pocket expenses incurred by Contractor to meet its obligatons under the SOW and</w:t>
      </w:r>
    </w:p>
    <w:p>
      <w:pPr>
        <w:spacing w:after="0" w:line="22" w:lineRule="exact"/>
        <w:rPr>
          <w:rFonts w:ascii="Calibri" w:cs="Calibri" w:eastAsia="Calibri" w:hAnsi="Calibri"/>
          <w:sz w:val="20"/>
          <w:szCs w:val="20"/>
          <w:b w:val="1"/>
          <w:bCs w:val="1"/>
          <w:color w:val="auto"/>
        </w:rPr>
      </w:pPr>
    </w:p>
    <w:p>
      <w:pPr>
        <w:jc w:val="both"/>
        <w:ind w:left="321" w:right="66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approved in writng by the Company prior to the Contractor incurring such expenses. Whenever possible Contractor will seek multple bids for any</w:t>
      </w:r>
    </w:p>
    <w:p>
      <w:pPr>
        <w:spacing w:after="0" w:line="22" w:lineRule="exact"/>
        <w:rPr>
          <w:rFonts w:ascii="Calibri" w:cs="Calibri" w:eastAsia="Calibri" w:hAnsi="Calibri"/>
          <w:sz w:val="20"/>
          <w:szCs w:val="20"/>
          <w:b w:val="1"/>
          <w:bCs w:val="1"/>
          <w:color w:val="auto"/>
        </w:rPr>
      </w:pPr>
    </w:p>
    <w:p>
      <w:pPr>
        <w:jc w:val="both"/>
        <w:ind w:left="321" w:right="66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research or other services to be provided by third partes in conjuncton with Contractor’s obligatons hereunder. Whenever possible, Contractor will book</w:t>
      </w:r>
    </w:p>
    <w:p>
      <w:pPr>
        <w:spacing w:after="0" w:line="22" w:lineRule="exact"/>
        <w:rPr>
          <w:rFonts w:ascii="Calibri" w:cs="Calibri" w:eastAsia="Calibri" w:hAnsi="Calibri"/>
          <w:sz w:val="20"/>
          <w:szCs w:val="20"/>
          <w:b w:val="1"/>
          <w:bCs w:val="1"/>
          <w:color w:val="auto"/>
        </w:rPr>
      </w:pPr>
    </w:p>
    <w:p>
      <w:pPr>
        <w:jc w:val="both"/>
        <w:ind w:left="321" w:right="66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hotel reservatons with the Company’s preferred providers. Air travel will be booked in economy class for any domestc fights and internatonal fights</w:t>
      </w:r>
    </w:p>
    <w:p>
      <w:pPr>
        <w:spacing w:after="0" w:line="22" w:lineRule="exact"/>
        <w:rPr>
          <w:rFonts w:ascii="Calibri" w:cs="Calibri" w:eastAsia="Calibri" w:hAnsi="Calibri"/>
          <w:sz w:val="20"/>
          <w:szCs w:val="20"/>
          <w:b w:val="1"/>
          <w:bCs w:val="1"/>
          <w:color w:val="auto"/>
        </w:rPr>
      </w:pPr>
    </w:p>
    <w:p>
      <w:pPr>
        <w:ind w:left="321" w:right="66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scheduled for fve (5) hours or less. Internatonal fights scheduled to</w:t>
      </w:r>
    </w:p>
    <w:p>
      <w:pPr>
        <w:sectPr>
          <w:pgSz w:w="11900" w:h="16838" w:orient="portrait"/>
          <w:cols w:equalWidth="0" w:num="2">
            <w:col w:w="5382" w:space="239"/>
            <w:col w:w="5521"/>
          </w:cols>
          <w:pgMar w:left="418" w:top="65" w:right="339" w:bottom="1440" w:gutter="0" w:footer="0" w:header="0"/>
          <w:type w:val="continuous"/>
        </w:sectPr>
      </w:pPr>
    </w:p>
    <w:bookmarkStart w:id="41" w:name="page42"/>
    <w:bookmarkEnd w:id="41"/>
    <w:p>
      <w:pPr>
        <w:spacing w:after="0" w:line="191" w:lineRule="exact"/>
        <w:rPr>
          <w:sz w:val="20"/>
          <w:szCs w:val="20"/>
          <w:color w:val="auto"/>
        </w:rPr>
      </w:pPr>
    </w:p>
    <w:p>
      <w:pPr>
        <w:ind w:left="322"/>
        <w:spacing w:after="0"/>
        <w:rPr>
          <w:sz w:val="20"/>
          <w:szCs w:val="20"/>
          <w:color w:val="auto"/>
        </w:rPr>
      </w:pPr>
      <w:r>
        <w:rPr>
          <w:rFonts w:ascii="Calibri" w:cs="Calibri" w:eastAsia="Calibri" w:hAnsi="Calibri"/>
          <w:sz w:val="20"/>
          <w:szCs w:val="20"/>
          <w:color w:val="auto"/>
        </w:rPr>
        <w:t>take fve (5) hours or more may be booked in business class.</w:t>
      </w:r>
    </w:p>
    <w:p>
      <w:pPr>
        <w:spacing w:after="0" w:line="279" w:lineRule="exact"/>
        <w:rPr>
          <w:sz w:val="20"/>
          <w:szCs w:val="20"/>
          <w:color w:val="auto"/>
        </w:rPr>
      </w:pPr>
    </w:p>
    <w:p>
      <w:pPr>
        <w:jc w:val="both"/>
        <w:ind w:left="322" w:hanging="322"/>
        <w:spacing w:after="0" w:line="234" w:lineRule="auto"/>
        <w:tabs>
          <w:tab w:leader="none" w:pos="316" w:val="left"/>
        </w:tabs>
        <w:numPr>
          <w:ilvl w:val="0"/>
          <w:numId w:val="15"/>
        </w:numPr>
        <w:rPr>
          <w:rFonts w:ascii="Calibri" w:cs="Calibri" w:eastAsia="Calibri" w:hAnsi="Calibri"/>
          <w:sz w:val="20"/>
          <w:szCs w:val="20"/>
          <w:color w:val="auto"/>
        </w:rPr>
      </w:pPr>
      <w:r>
        <w:rPr>
          <w:rFonts w:ascii="Calibri" w:cs="Calibri" w:eastAsia="Calibri" w:hAnsi="Calibri"/>
          <w:sz w:val="20"/>
          <w:szCs w:val="20"/>
          <w:b w:val="1"/>
          <w:bCs w:val="1"/>
          <w:color w:val="auto"/>
        </w:rPr>
        <w:t>INVOICES AND TERMS OF PAYMENT</w:t>
      </w:r>
      <w:r>
        <w:rPr>
          <w:rFonts w:ascii="Calibri" w:cs="Calibri" w:eastAsia="Calibri" w:hAnsi="Calibri"/>
          <w:sz w:val="20"/>
          <w:szCs w:val="20"/>
          <w:color w:val="auto"/>
        </w:rPr>
        <w:t>. Unless otherwise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agreed to in a SOW, the following payment terms shall apply:</w:t>
      </w:r>
    </w:p>
    <w:p>
      <w:pPr>
        <w:spacing w:after="0" w:line="23"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Payment terms shall be net thirty (30) days from the date of Contractor’s invoice unless otherwise provided in the applicable SOW. Contractor shall, if requested by Company,</w:t>
      </w:r>
    </w:p>
    <w:p>
      <w:pPr>
        <w:spacing w:after="0" w:line="22" w:lineRule="exact"/>
        <w:rPr>
          <w:rFonts w:ascii="Calibri" w:cs="Calibri" w:eastAsia="Calibri" w:hAnsi="Calibri"/>
          <w:sz w:val="20"/>
          <w:szCs w:val="20"/>
          <w:color w:val="auto"/>
        </w:rPr>
      </w:pPr>
    </w:p>
    <w:p>
      <w:pPr>
        <w:ind w:left="322"/>
        <w:spacing w:after="0" w:line="234" w:lineRule="auto"/>
        <w:rPr>
          <w:rFonts w:ascii="Calibri" w:cs="Calibri" w:eastAsia="Calibri" w:hAnsi="Calibri"/>
          <w:sz w:val="20"/>
          <w:szCs w:val="20"/>
          <w:color w:val="auto"/>
        </w:rPr>
      </w:pPr>
      <w:r>
        <w:rPr>
          <w:rFonts w:ascii="Calibri" w:cs="Calibri" w:eastAsia="Calibri" w:hAnsi="Calibri"/>
          <w:sz w:val="20"/>
          <w:szCs w:val="20"/>
          <w:color w:val="auto"/>
        </w:rPr>
        <w:t>submit supportng documentaton for all invoiced amounts billed on a tme and materials basis.</w:t>
      </w:r>
    </w:p>
    <w:p>
      <w:pPr>
        <w:spacing w:after="0" w:line="279" w:lineRule="exact"/>
        <w:rPr>
          <w:rFonts w:ascii="Calibri" w:cs="Calibri" w:eastAsia="Calibri" w:hAnsi="Calibri"/>
          <w:sz w:val="20"/>
          <w:szCs w:val="20"/>
          <w:color w:val="auto"/>
        </w:rPr>
      </w:pPr>
    </w:p>
    <w:p>
      <w:pPr>
        <w:jc w:val="both"/>
        <w:ind w:left="322" w:right="40"/>
        <w:spacing w:after="0" w:line="236" w:lineRule="auto"/>
        <w:rPr>
          <w:rFonts w:ascii="Calibri" w:cs="Calibri" w:eastAsia="Calibri" w:hAnsi="Calibri"/>
          <w:sz w:val="20"/>
          <w:szCs w:val="20"/>
          <w:color w:val="auto"/>
        </w:rPr>
      </w:pPr>
      <w:r>
        <w:rPr>
          <w:rFonts w:ascii="Calibri" w:cs="Calibri" w:eastAsia="Calibri" w:hAnsi="Calibri"/>
          <w:sz w:val="20"/>
          <w:szCs w:val="20"/>
          <w:u w:val="single" w:color="auto"/>
          <w:color w:val="auto"/>
        </w:rPr>
        <w:t>Taxes</w:t>
      </w:r>
      <w:r>
        <w:rPr>
          <w:rFonts w:ascii="Calibri" w:cs="Calibri" w:eastAsia="Calibri" w:hAnsi="Calibri"/>
          <w:sz w:val="20"/>
          <w:szCs w:val="20"/>
          <w:color w:val="auto"/>
        </w:rPr>
        <w:t>: The Company will pay all taxes related to the Company’s receipt of the Services other than taxes based on Contractor’s income, property, and employees. Contractor</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shall be solely responsible for any and all taxes, social security contributons, or payments, disability insurance, unemployment taxes, and any other payroll type taxes</w:t>
      </w:r>
    </w:p>
    <w:p>
      <w:pPr>
        <w:spacing w:after="0" w:line="22" w:lineRule="exact"/>
        <w:rPr>
          <w:rFonts w:ascii="Calibri" w:cs="Calibri" w:eastAsia="Calibri" w:hAnsi="Calibri"/>
          <w:sz w:val="20"/>
          <w:szCs w:val="20"/>
          <w:color w:val="auto"/>
        </w:rPr>
      </w:pPr>
    </w:p>
    <w:p>
      <w:pPr>
        <w:jc w:val="both"/>
        <w:ind w:left="322" w:right="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applicable to fees paid under this Agreement. Contractor hereby indemnifes and hold Company harmless from any claims, losses, costs, fees, liabilites, damages, or injuries</w:t>
      </w:r>
    </w:p>
    <w:p>
      <w:pPr>
        <w:spacing w:after="0" w:line="22" w:lineRule="exact"/>
        <w:rPr>
          <w:rFonts w:ascii="Calibri" w:cs="Calibri" w:eastAsia="Calibri" w:hAnsi="Calibri"/>
          <w:sz w:val="20"/>
          <w:szCs w:val="20"/>
          <w:color w:val="auto"/>
        </w:rPr>
      </w:pPr>
    </w:p>
    <w:p>
      <w:pPr>
        <w:ind w:left="322" w:right="4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sufered by Company arising out of Contractor’s failure with respect to its obligaton in this Secton.</w:t>
      </w:r>
    </w:p>
    <w:p>
      <w:pPr>
        <w:spacing w:after="0" w:line="279" w:lineRule="exact"/>
        <w:rPr>
          <w:rFonts w:ascii="Calibri" w:cs="Calibri" w:eastAsia="Calibri" w:hAnsi="Calibri"/>
          <w:sz w:val="20"/>
          <w:szCs w:val="20"/>
          <w:color w:val="auto"/>
        </w:rPr>
      </w:pPr>
    </w:p>
    <w:p>
      <w:pPr>
        <w:jc w:val="both"/>
        <w:ind w:left="322" w:right="40" w:hanging="322"/>
        <w:spacing w:after="0"/>
        <w:tabs>
          <w:tab w:leader="none" w:pos="317" w:val="left"/>
        </w:tabs>
        <w:numPr>
          <w:ilvl w:val="0"/>
          <w:numId w:val="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COMPANY CONTACT</w:t>
      </w:r>
      <w:r>
        <w:rPr>
          <w:rFonts w:ascii="Calibri" w:cs="Calibri" w:eastAsia="Calibri" w:hAnsi="Calibri"/>
          <w:sz w:val="20"/>
          <w:szCs w:val="20"/>
          <w:color w:val="auto"/>
        </w:rPr>
        <w:t>. Each SOW will identfy the Company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with whom Contractor shall communicate concerning the applicable SOW and any obligatons thereunder.</w:t>
      </w:r>
    </w:p>
    <w:p>
      <w:pPr>
        <w:spacing w:after="0" w:line="255" w:lineRule="exact"/>
        <w:rPr>
          <w:rFonts w:ascii="Calibri" w:cs="Calibri" w:eastAsia="Calibri" w:hAnsi="Calibri"/>
          <w:sz w:val="20"/>
          <w:szCs w:val="20"/>
          <w:b w:val="1"/>
          <w:bCs w:val="1"/>
          <w:color w:val="auto"/>
        </w:rPr>
      </w:pPr>
    </w:p>
    <w:p>
      <w:pPr>
        <w:ind w:left="322" w:hanging="322"/>
        <w:spacing w:after="0"/>
        <w:tabs>
          <w:tab w:leader="none" w:pos="322" w:val="left"/>
        </w:tabs>
        <w:numPr>
          <w:ilvl w:val="0"/>
          <w:numId w:val="15"/>
        </w:numPr>
        <w:rPr>
          <w:rFonts w:ascii="Calibri" w:cs="Calibri" w:eastAsia="Calibri" w:hAnsi="Calibri"/>
          <w:sz w:val="20"/>
          <w:szCs w:val="20"/>
          <w:color w:val="auto"/>
        </w:rPr>
      </w:pPr>
      <w:r>
        <w:rPr>
          <w:rFonts w:ascii="Calibri" w:cs="Calibri" w:eastAsia="Calibri" w:hAnsi="Calibri"/>
          <w:sz w:val="20"/>
          <w:szCs w:val="20"/>
          <w:b w:val="1"/>
          <w:bCs w:val="1"/>
          <w:color w:val="auto"/>
        </w:rPr>
        <w:t>COMPANY COOPERATION</w:t>
      </w:r>
      <w:r>
        <w:rPr>
          <w:rFonts w:ascii="Calibri" w:cs="Calibri" w:eastAsia="Calibri" w:hAnsi="Calibri"/>
          <w:sz w:val="20"/>
          <w:szCs w:val="20"/>
          <w:color w:val="auto"/>
        </w:rPr>
        <w:t>.</w:t>
      </w:r>
    </w:p>
    <w:p>
      <w:pPr>
        <w:spacing w:after="0" w:line="22" w:lineRule="exact"/>
        <w:rPr>
          <w:sz w:val="20"/>
          <w:szCs w:val="20"/>
          <w:color w:val="auto"/>
        </w:rPr>
      </w:pPr>
    </w:p>
    <w:p>
      <w:pPr>
        <w:jc w:val="both"/>
        <w:ind w:left="322" w:right="40" w:hanging="322"/>
        <w:spacing w:after="0" w:line="234" w:lineRule="auto"/>
        <w:tabs>
          <w:tab w:leader="none" w:pos="316"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The Company will make available to the Contractor any and all informaton and documentaton within the Company’s</w:t>
      </w:r>
    </w:p>
    <w:p>
      <w:pPr>
        <w:spacing w:after="0" w:line="23" w:lineRule="exact"/>
        <w:rPr>
          <w:rFonts w:ascii="Calibri" w:cs="Calibri" w:eastAsia="Calibri" w:hAnsi="Calibri"/>
          <w:sz w:val="20"/>
          <w:szCs w:val="20"/>
          <w:color w:val="auto"/>
        </w:rPr>
      </w:pPr>
    </w:p>
    <w:p>
      <w:pPr>
        <w:ind w:left="322" w:right="4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possession or control that is necessary for the Contractor to provide its Services.</w:t>
      </w:r>
    </w:p>
    <w:p>
      <w:pPr>
        <w:spacing w:after="0" w:line="1" w:lineRule="exact"/>
        <w:rPr>
          <w:rFonts w:ascii="Calibri" w:cs="Calibri" w:eastAsia="Calibri" w:hAnsi="Calibri"/>
          <w:sz w:val="20"/>
          <w:szCs w:val="20"/>
          <w:color w:val="auto"/>
        </w:rPr>
      </w:pPr>
    </w:p>
    <w:p>
      <w:pPr>
        <w:ind w:left="322" w:hanging="322"/>
        <w:spacing w:after="0" w:line="238" w:lineRule="auto"/>
        <w:tabs>
          <w:tab w:leader="none" w:pos="322"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If the Company fails to fulfll its obligatons in accordance</w:t>
      </w:r>
    </w:p>
    <w:p>
      <w:pPr>
        <w:spacing w:after="0" w:line="22" w:lineRule="exact"/>
        <w:rPr>
          <w:rFonts w:ascii="Calibri" w:cs="Calibri" w:eastAsia="Calibri" w:hAnsi="Calibri"/>
          <w:sz w:val="20"/>
          <w:szCs w:val="20"/>
          <w:color w:val="auto"/>
        </w:rPr>
      </w:pPr>
    </w:p>
    <w:p>
      <w:pPr>
        <w:jc w:val="both"/>
        <w:ind w:left="322" w:right="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with this Secton afer writen notce by the Contractor and such failure leads to delays in the provision of Services by the Contractor, (i) the deadlines set forth in the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left="322" w:right="20"/>
        <w:spacing w:after="0"/>
        <w:rPr>
          <w:sz w:val="20"/>
          <w:szCs w:val="20"/>
          <w:color w:val="auto"/>
        </w:rPr>
      </w:pPr>
      <w:r>
        <w:rPr>
          <w:rFonts w:ascii="Calibri" w:cs="Calibri" w:eastAsia="Calibri" w:hAnsi="Calibri"/>
          <w:sz w:val="20"/>
          <w:szCs w:val="20"/>
          <w:color w:val="auto"/>
        </w:rPr>
        <w:t>applicable SOW shall be extended by a reasonable period of tme, and (ii) the Company shall bear any additonal costs incurred by the Contractor to the extent atributable to such failure.</w:t>
      </w:r>
    </w:p>
    <w:p>
      <w:pPr>
        <w:spacing w:after="0" w:line="279" w:lineRule="exact"/>
        <w:rPr>
          <w:sz w:val="20"/>
          <w:szCs w:val="20"/>
          <w:color w:val="auto"/>
        </w:rPr>
      </w:pPr>
    </w:p>
    <w:p>
      <w:pPr>
        <w:jc w:val="both"/>
        <w:ind w:left="322" w:right="20" w:hanging="322"/>
        <w:spacing w:after="0" w:line="233" w:lineRule="auto"/>
        <w:tabs>
          <w:tab w:leader="none" w:pos="315" w:val="left"/>
        </w:tabs>
        <w:numPr>
          <w:ilvl w:val="1"/>
          <w:numId w:val="17"/>
        </w:numPr>
        <w:rPr>
          <w:rFonts w:ascii="Calibri" w:cs="Calibri" w:eastAsia="Calibri" w:hAnsi="Calibri"/>
          <w:sz w:val="20"/>
          <w:szCs w:val="20"/>
          <w:color w:val="auto"/>
        </w:rPr>
      </w:pPr>
      <w:r>
        <w:rPr>
          <w:rFonts w:ascii="Calibri" w:cs="Calibri" w:eastAsia="Calibri" w:hAnsi="Calibri"/>
          <w:sz w:val="20"/>
          <w:szCs w:val="20"/>
          <w:b w:val="1"/>
          <w:bCs w:val="1"/>
          <w:color w:val="auto"/>
        </w:rPr>
        <w:t>OTHER CONSULTING PROJECTS</w:t>
      </w:r>
      <w:r>
        <w:rPr>
          <w:rFonts w:ascii="Calibri" w:cs="Calibri" w:eastAsia="Calibri" w:hAnsi="Calibri"/>
          <w:sz w:val="20"/>
          <w:szCs w:val="20"/>
          <w:color w:val="auto"/>
        </w:rPr>
        <w:t>. The Company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acknowledges that during the term of this Agreement and thereafer, Contractor may ofer, undertake, and contnue providing services without limitaton for clients other than Company. Contractor acknowledges during the term of this Agreement and thereafer, Company may solicit and utlize other contractors to perform the same or similar Services and generally all other types of service.</w:t>
      </w:r>
    </w:p>
    <w:p>
      <w:pPr>
        <w:spacing w:after="0" w:line="260" w:lineRule="exact"/>
        <w:rPr>
          <w:rFonts w:ascii="Calibri" w:cs="Calibri" w:eastAsia="Calibri" w:hAnsi="Calibri"/>
          <w:sz w:val="20"/>
          <w:szCs w:val="20"/>
          <w:color w:val="auto"/>
        </w:rPr>
      </w:pPr>
    </w:p>
    <w:p>
      <w:pPr>
        <w:ind w:left="322" w:hanging="322"/>
        <w:spacing w:after="0"/>
        <w:tabs>
          <w:tab w:leader="none" w:pos="322" w:val="left"/>
        </w:tabs>
        <w:numPr>
          <w:ilvl w:val="1"/>
          <w:numId w:val="17"/>
        </w:numPr>
        <w:rPr>
          <w:rFonts w:ascii="Calibri" w:cs="Calibri" w:eastAsia="Calibri" w:hAnsi="Calibri"/>
          <w:sz w:val="20"/>
          <w:szCs w:val="20"/>
          <w:color w:val="auto"/>
        </w:rPr>
      </w:pPr>
      <w:r>
        <w:rPr>
          <w:rFonts w:ascii="Calibri" w:cs="Calibri" w:eastAsia="Calibri" w:hAnsi="Calibri"/>
          <w:sz w:val="20"/>
          <w:szCs w:val="20"/>
          <w:b w:val="1"/>
          <w:bCs w:val="1"/>
          <w:color w:val="auto"/>
        </w:rPr>
        <w:t>NON-SOLICITATION.</w:t>
      </w:r>
    </w:p>
    <w:p>
      <w:pPr>
        <w:spacing w:after="0" w:line="22" w:lineRule="exact"/>
        <w:rPr>
          <w:rFonts w:ascii="Calibri" w:cs="Calibri" w:eastAsia="Calibri" w:hAnsi="Calibri"/>
          <w:sz w:val="20"/>
          <w:szCs w:val="20"/>
          <w:color w:val="auto"/>
        </w:rPr>
      </w:pPr>
    </w:p>
    <w:p>
      <w:pPr>
        <w:jc w:val="both"/>
        <w:ind w:left="322" w:right="20" w:hanging="322"/>
        <w:spacing w:after="0" w:line="236" w:lineRule="auto"/>
        <w:tabs>
          <w:tab w:leader="none" w:pos="316" w:val="left"/>
        </w:tabs>
        <w:numPr>
          <w:ilvl w:val="0"/>
          <w:numId w:val="18"/>
        </w:numPr>
        <w:rPr>
          <w:rFonts w:ascii="Calibri" w:cs="Calibri" w:eastAsia="Calibri" w:hAnsi="Calibri"/>
          <w:sz w:val="20"/>
          <w:szCs w:val="20"/>
          <w:color w:val="auto"/>
        </w:rPr>
      </w:pPr>
      <w:r>
        <w:rPr>
          <w:rFonts w:ascii="Calibri" w:cs="Calibri" w:eastAsia="Calibri" w:hAnsi="Calibri"/>
          <w:sz w:val="20"/>
          <w:szCs w:val="20"/>
          <w:u w:val="single" w:color="auto"/>
          <w:color w:val="auto"/>
        </w:rPr>
        <w:t>Non-Solicitaton of Employees</w:t>
      </w:r>
      <w:r>
        <w:rPr>
          <w:rFonts w:ascii="Calibri" w:cs="Calibri" w:eastAsia="Calibri" w:hAnsi="Calibri"/>
          <w:sz w:val="20"/>
          <w:szCs w:val="20"/>
          <w:color w:val="auto"/>
        </w:rPr>
        <w:t>. The Contractor understands and acknowledges that the Employer has expended and contnues to expend signifcant tme and</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expense in recruitng and training its employees and that the loss of employees would cause signifcant and irreparable harm to the Employer. The Contractor agrees and covenants not to directly or indirectly</w:t>
      </w:r>
    </w:p>
    <w:p>
      <w:pPr>
        <w:spacing w:after="0" w:line="25"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solicit, hire, or recruit for their own beneft or the beneft of any other person or company, or so atempt to solicit, hire, or recruit, any actve employee of the</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Employer ("Covered Employee") or induce any Covered Employee to terminate their employment, through December 31, 2025 ("Restricted Period").</w:t>
      </w:r>
    </w:p>
    <w:p>
      <w:pPr>
        <w:spacing w:after="0" w:line="22" w:lineRule="exact"/>
        <w:rPr>
          <w:rFonts w:ascii="Calibri" w:cs="Calibri" w:eastAsia="Calibri" w:hAnsi="Calibri"/>
          <w:sz w:val="20"/>
          <w:szCs w:val="20"/>
          <w:color w:val="auto"/>
        </w:rPr>
      </w:pPr>
    </w:p>
    <w:p>
      <w:pPr>
        <w:jc w:val="both"/>
        <w:ind w:left="982" w:hanging="334"/>
        <w:spacing w:after="0" w:line="236" w:lineRule="auto"/>
        <w:tabs>
          <w:tab w:leader="none" w:pos="983" w:val="left"/>
        </w:tabs>
        <w:numPr>
          <w:ilvl w:val="2"/>
          <w:numId w:val="18"/>
        </w:numPr>
        <w:rPr>
          <w:rFonts w:ascii="Calibri" w:cs="Calibri" w:eastAsia="Calibri" w:hAnsi="Calibri"/>
          <w:sz w:val="20"/>
          <w:szCs w:val="20"/>
          <w:color w:val="auto"/>
        </w:rPr>
      </w:pPr>
      <w:r>
        <w:rPr>
          <w:rFonts w:ascii="Calibri" w:cs="Calibri" w:eastAsia="Calibri" w:hAnsi="Calibri"/>
          <w:sz w:val="20"/>
          <w:szCs w:val="20"/>
          <w:color w:val="auto"/>
        </w:rPr>
        <w:t>This non-solicitaton provision explicitly covers all forms of oral, writen, or electronic communicaton, including, but not limited to,</w:t>
      </w:r>
    </w:p>
    <w:p>
      <w:pPr>
        <w:spacing w:after="0" w:line="22" w:lineRule="exact"/>
        <w:rPr>
          <w:rFonts w:ascii="Calibri" w:cs="Calibri" w:eastAsia="Calibri" w:hAnsi="Calibri"/>
          <w:sz w:val="20"/>
          <w:szCs w:val="20"/>
          <w:color w:val="auto"/>
        </w:rPr>
      </w:pPr>
    </w:p>
    <w:p>
      <w:pPr>
        <w:jc w:val="both"/>
        <w:ind w:left="98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communicatons by email, regular mail, express mail, telephone, fax, instant message, and social media, including, but not limited to,</w:t>
      </w:r>
    </w:p>
    <w:p>
      <w:pPr>
        <w:spacing w:after="0" w:line="22" w:lineRule="exact"/>
        <w:rPr>
          <w:rFonts w:ascii="Calibri" w:cs="Calibri" w:eastAsia="Calibri" w:hAnsi="Calibri"/>
          <w:sz w:val="20"/>
          <w:szCs w:val="20"/>
          <w:color w:val="auto"/>
        </w:rPr>
      </w:pPr>
    </w:p>
    <w:p>
      <w:pPr>
        <w:jc w:val="both"/>
        <w:ind w:left="982" w:right="20"/>
        <w:spacing w:after="0"/>
        <w:rPr>
          <w:rFonts w:ascii="Calibri" w:cs="Calibri" w:eastAsia="Calibri" w:hAnsi="Calibri"/>
          <w:sz w:val="20"/>
          <w:szCs w:val="20"/>
          <w:color w:val="auto"/>
        </w:rPr>
      </w:pPr>
      <w:r>
        <w:rPr>
          <w:rFonts w:ascii="Calibri" w:cs="Calibri" w:eastAsia="Calibri" w:hAnsi="Calibri"/>
          <w:sz w:val="20"/>
          <w:szCs w:val="20"/>
          <w:color w:val="auto"/>
        </w:rPr>
        <w:t>Facebook, LinkedIn, Instagram, and X, and any other social media platorm, whether or not in existence at the tme of entering into this Agreement.</w:t>
      </w:r>
    </w:p>
    <w:p>
      <w:pPr>
        <w:sectPr>
          <w:pgSz w:w="11900" w:h="16838" w:orient="portrait"/>
          <w:cols w:equalWidth="0" w:num="2">
            <w:col w:w="5402" w:space="218"/>
            <w:col w:w="4882"/>
          </w:cols>
          <w:pgMar w:left="418" w:top="1440" w:right="979" w:bottom="1440" w:gutter="0" w:footer="0" w:header="0"/>
        </w:sectPr>
      </w:pPr>
    </w:p>
    <w:bookmarkStart w:id="42" w:name="page43"/>
    <w:bookmarkEnd w:id="42"/>
    <w:p>
      <w:pPr>
        <w:spacing w:after="0" w:line="201" w:lineRule="exact"/>
        <w:rPr>
          <w:sz w:val="20"/>
          <w:szCs w:val="20"/>
          <w:color w:val="auto"/>
        </w:rPr>
      </w:pPr>
    </w:p>
    <w:p>
      <w:pPr>
        <w:jc w:val="both"/>
        <w:ind w:left="962" w:right="20"/>
        <w:spacing w:after="0" w:line="241" w:lineRule="auto"/>
        <w:rPr>
          <w:sz w:val="20"/>
          <w:szCs w:val="20"/>
          <w:color w:val="auto"/>
        </w:rPr>
      </w:pPr>
      <w:r>
        <w:rPr>
          <w:rFonts w:ascii="Calibri" w:cs="Calibri" w:eastAsia="Calibri" w:hAnsi="Calibri"/>
          <w:sz w:val="20"/>
          <w:szCs w:val="20"/>
          <w:color w:val="auto"/>
        </w:rPr>
        <w:t>However, it will not be deemed a violaton of this Agreement if the Contractor merely updates the Contractor's LinkedIn profle/social media status to refect the Contractor's new employment or connects with a Covered Employee on Facebook, LinkedIn, or other social media platorm without engaging in any other substantve communicaton, by social media or otherwise, that is prohibited by this secton.</w:t>
      </w:r>
    </w:p>
    <w:p>
      <w:pPr>
        <w:spacing w:after="0" w:line="23" w:lineRule="exact"/>
        <w:rPr>
          <w:sz w:val="20"/>
          <w:szCs w:val="20"/>
          <w:color w:val="auto"/>
        </w:rPr>
      </w:pPr>
    </w:p>
    <w:p>
      <w:pPr>
        <w:jc w:val="both"/>
        <w:ind w:left="962" w:hanging="314"/>
        <w:spacing w:after="0" w:line="236" w:lineRule="auto"/>
        <w:tabs>
          <w:tab w:leader="none" w:pos="964"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This Secton does not restrict or impede, in any way, and shall not be interpreted or understood as restrictng or impeding, the Contractor from</w:t>
      </w:r>
    </w:p>
    <w:p>
      <w:pPr>
        <w:spacing w:after="0" w:line="22" w:lineRule="exact"/>
        <w:rPr>
          <w:sz w:val="20"/>
          <w:szCs w:val="20"/>
          <w:color w:val="auto"/>
        </w:rPr>
      </w:pPr>
    </w:p>
    <w:p>
      <w:pPr>
        <w:jc w:val="both"/>
        <w:ind w:left="962" w:right="20"/>
        <w:spacing w:after="0"/>
        <w:rPr>
          <w:sz w:val="20"/>
          <w:szCs w:val="20"/>
          <w:color w:val="auto"/>
        </w:rPr>
      </w:pPr>
      <w:r>
        <w:rPr>
          <w:rFonts w:ascii="Calibri" w:cs="Calibri" w:eastAsia="Calibri" w:hAnsi="Calibri"/>
          <w:sz w:val="20"/>
          <w:szCs w:val="20"/>
          <w:color w:val="auto"/>
        </w:rPr>
        <w:t>discussing the terms and conditons of the Contractor's agreement with workers or union representatves/exercising any rights under Secton 7 of the Natonal Labor Relatons Act (NLRA)/exercising protected rights that cannot be waived by agreement.</w:t>
      </w:r>
    </w:p>
    <w:p>
      <w:pPr>
        <w:spacing w:after="0" w:line="264" w:lineRule="exact"/>
        <w:rPr>
          <w:sz w:val="20"/>
          <w:szCs w:val="20"/>
          <w:color w:val="auto"/>
        </w:rPr>
      </w:pPr>
    </w:p>
    <w:p>
      <w:pPr>
        <w:jc w:val="both"/>
        <w:ind w:left="322" w:right="20" w:hanging="322"/>
        <w:spacing w:after="0" w:line="236" w:lineRule="auto"/>
        <w:tabs>
          <w:tab w:leader="none" w:pos="321" w:val="left"/>
        </w:tabs>
        <w:numPr>
          <w:ilvl w:val="0"/>
          <w:numId w:val="20"/>
        </w:numPr>
        <w:rPr>
          <w:rFonts w:ascii="Calibri" w:cs="Calibri" w:eastAsia="Calibri" w:hAnsi="Calibri"/>
          <w:sz w:val="20"/>
          <w:szCs w:val="20"/>
          <w:color w:val="auto"/>
        </w:rPr>
      </w:pPr>
      <w:r>
        <w:rPr>
          <w:rFonts w:ascii="Calibri" w:cs="Calibri" w:eastAsia="Calibri" w:hAnsi="Calibri"/>
          <w:sz w:val="20"/>
          <w:szCs w:val="20"/>
          <w:u w:val="single" w:color="auto"/>
          <w:color w:val="auto"/>
        </w:rPr>
        <w:t>Non-Solicitaton of Customers.</w:t>
      </w:r>
      <w:r>
        <w:rPr>
          <w:rFonts w:ascii="Calibri" w:cs="Calibri" w:eastAsia="Calibri" w:hAnsi="Calibri"/>
          <w:sz w:val="20"/>
          <w:szCs w:val="20"/>
          <w:color w:val="auto"/>
        </w:rPr>
        <w:t xml:space="preserve"> The Contractor understands and acknowledges that because of the Contractor's experience with, training by, and relatonship to the</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Employer, they will have had access to and learned about the Employer's customer informaton. "Customer Informaton" includes, but is not limited to, names, phone numbers,</w:t>
      </w:r>
    </w:p>
    <w:p>
      <w:pPr>
        <w:spacing w:after="0" w:line="22" w:lineRule="exact"/>
        <w:rPr>
          <w:rFonts w:ascii="Calibri" w:cs="Calibri" w:eastAsia="Calibri" w:hAnsi="Calibri"/>
          <w:sz w:val="20"/>
          <w:szCs w:val="20"/>
          <w:color w:val="auto"/>
        </w:rPr>
      </w:pPr>
    </w:p>
    <w:p>
      <w:pPr>
        <w:jc w:val="both"/>
        <w:ind w:left="322" w:right="20"/>
        <w:spacing w:after="0"/>
        <w:rPr>
          <w:rFonts w:ascii="Calibri" w:cs="Calibri" w:eastAsia="Calibri" w:hAnsi="Calibri"/>
          <w:sz w:val="20"/>
          <w:szCs w:val="20"/>
          <w:color w:val="auto"/>
        </w:rPr>
      </w:pPr>
      <w:r>
        <w:rPr>
          <w:rFonts w:ascii="Calibri" w:cs="Calibri" w:eastAsia="Calibri" w:hAnsi="Calibri"/>
          <w:sz w:val="20"/>
          <w:szCs w:val="20"/>
          <w:color w:val="auto"/>
        </w:rPr>
        <w:t>addresses, email addresses, order history, order preferences, chain of command, pricing informaton, and other informaton identfying facts and circumstances specifc to the customer and relevant to sales/services.</w:t>
      </w:r>
    </w:p>
    <w:p>
      <w:pPr>
        <w:spacing w:after="0" w:line="8" w:lineRule="exact"/>
        <w:rPr>
          <w:rFonts w:ascii="Calibri" w:cs="Calibri" w:eastAsia="Calibri" w:hAnsi="Calibri"/>
          <w:sz w:val="20"/>
          <w:szCs w:val="20"/>
          <w:color w:val="auto"/>
        </w:rPr>
      </w:pPr>
    </w:p>
    <w:p>
      <w:pPr>
        <w:jc w:val="both"/>
        <w:ind w:left="962" w:right="20" w:hanging="314"/>
        <w:spacing w:after="0" w:line="234" w:lineRule="auto"/>
        <w:tabs>
          <w:tab w:leader="none" w:pos="964"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The Contractor understands and acknowledges that the loss of any such customer relatonship or</w:t>
      </w:r>
    </w:p>
    <w:p>
      <w:pPr>
        <w:spacing w:after="0" w:line="23" w:lineRule="exact"/>
        <w:rPr>
          <w:rFonts w:ascii="Calibri" w:cs="Calibri" w:eastAsia="Calibri" w:hAnsi="Calibri"/>
          <w:sz w:val="20"/>
          <w:szCs w:val="20"/>
          <w:color w:val="auto"/>
        </w:rPr>
      </w:pPr>
    </w:p>
    <w:p>
      <w:pPr>
        <w:ind w:left="962"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goodwill will cause signifcant and irreparable harm to the Employer.</w:t>
      </w:r>
    </w:p>
    <w:p>
      <w:pPr>
        <w:spacing w:after="0" w:line="1" w:lineRule="exact"/>
        <w:rPr>
          <w:rFonts w:ascii="Calibri" w:cs="Calibri" w:eastAsia="Calibri" w:hAnsi="Calibri"/>
          <w:sz w:val="20"/>
          <w:szCs w:val="20"/>
          <w:color w:val="auto"/>
        </w:rPr>
      </w:pPr>
    </w:p>
    <w:p>
      <w:pPr>
        <w:ind w:left="982" w:hanging="334"/>
        <w:spacing w:after="0" w:line="238" w:lineRule="auto"/>
        <w:tabs>
          <w:tab w:leader="none" w:pos="982"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The Contractor agrees and covenants not to directly</w:t>
      </w:r>
    </w:p>
    <w:p>
      <w:pPr>
        <w:spacing w:after="0" w:line="22" w:lineRule="exact"/>
        <w:rPr>
          <w:rFonts w:ascii="Calibri" w:cs="Calibri" w:eastAsia="Calibri" w:hAnsi="Calibri"/>
          <w:sz w:val="20"/>
          <w:szCs w:val="20"/>
          <w:color w:val="auto"/>
        </w:rPr>
      </w:pPr>
    </w:p>
    <w:p>
      <w:pPr>
        <w:ind w:left="962"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or indirectly solicit or contact, or atempt to solicit or contact,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left="981" w:right="20"/>
        <w:spacing w:after="0" w:line="242" w:lineRule="auto"/>
        <w:rPr>
          <w:sz w:val="20"/>
          <w:szCs w:val="20"/>
          <w:color w:val="auto"/>
        </w:rPr>
      </w:pPr>
      <w:r>
        <w:rPr>
          <w:rFonts w:ascii="Calibri" w:cs="Calibri" w:eastAsia="Calibri" w:hAnsi="Calibri"/>
          <w:sz w:val="20"/>
          <w:szCs w:val="20"/>
          <w:color w:val="auto"/>
        </w:rPr>
        <w:t>using any form of oral, writen, or electronic communicatons, the Employer's current, former, or prospectve customers for the purpose of ofering or acceptng goods or services similar to or compettve with those ofered by the Employer on behalf of the Contractor or any other individual or entty through the Restricted Period, December 31, 2025.</w:t>
      </w:r>
    </w:p>
    <w:p>
      <w:pPr>
        <w:spacing w:after="0" w:line="12" w:lineRule="exact"/>
        <w:rPr>
          <w:sz w:val="20"/>
          <w:szCs w:val="20"/>
          <w:color w:val="auto"/>
        </w:rPr>
      </w:pPr>
    </w:p>
    <w:p>
      <w:pPr>
        <w:jc w:val="both"/>
        <w:ind w:left="981" w:right="20" w:hanging="333"/>
        <w:spacing w:after="0" w:line="234" w:lineRule="auto"/>
        <w:tabs>
          <w:tab w:leader="none" w:pos="982" w:val="left"/>
        </w:tabs>
        <w:numPr>
          <w:ilvl w:val="1"/>
          <w:numId w:val="21"/>
        </w:numPr>
        <w:rPr>
          <w:rFonts w:ascii="Calibri" w:cs="Calibri" w:eastAsia="Calibri" w:hAnsi="Calibri"/>
          <w:sz w:val="20"/>
          <w:szCs w:val="20"/>
          <w:color w:val="auto"/>
        </w:rPr>
      </w:pPr>
      <w:r>
        <w:rPr>
          <w:rFonts w:ascii="Calibri" w:cs="Calibri" w:eastAsia="Calibri" w:hAnsi="Calibri"/>
          <w:sz w:val="20"/>
          <w:szCs w:val="20"/>
          <w:color w:val="auto"/>
        </w:rPr>
        <w:t>Communicatons include, but are not limited to, email, regular mail, express mail, telephone,</w:t>
      </w:r>
    </w:p>
    <w:p>
      <w:pPr>
        <w:spacing w:after="0" w:line="23" w:lineRule="exact"/>
        <w:rPr>
          <w:rFonts w:ascii="Calibri" w:cs="Calibri" w:eastAsia="Calibri" w:hAnsi="Calibri"/>
          <w:sz w:val="20"/>
          <w:szCs w:val="20"/>
          <w:color w:val="auto"/>
        </w:rPr>
      </w:pPr>
    </w:p>
    <w:p>
      <w:pPr>
        <w:jc w:val="both"/>
        <w:ind w:left="981"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fax, or instant message, or social media, including but not limited to Facebook, LinkedIn, Instagram or X, or any other social</w:t>
      </w:r>
    </w:p>
    <w:p>
      <w:pPr>
        <w:spacing w:after="0" w:line="22" w:lineRule="exact"/>
        <w:rPr>
          <w:rFonts w:ascii="Calibri" w:cs="Calibri" w:eastAsia="Calibri" w:hAnsi="Calibri"/>
          <w:sz w:val="20"/>
          <w:szCs w:val="20"/>
          <w:color w:val="auto"/>
        </w:rPr>
      </w:pPr>
    </w:p>
    <w:p>
      <w:pPr>
        <w:jc w:val="both"/>
        <w:ind w:left="981"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media platorm, whether or not in existence at the tme of entering into this agreement. However, it will not be deemed a violaton of</w:t>
      </w:r>
    </w:p>
    <w:p>
      <w:pPr>
        <w:spacing w:after="0" w:line="22" w:lineRule="exact"/>
        <w:rPr>
          <w:rFonts w:ascii="Calibri" w:cs="Calibri" w:eastAsia="Calibri" w:hAnsi="Calibri"/>
          <w:sz w:val="20"/>
          <w:szCs w:val="20"/>
          <w:color w:val="auto"/>
        </w:rPr>
      </w:pPr>
    </w:p>
    <w:p>
      <w:pPr>
        <w:jc w:val="both"/>
        <w:ind w:left="981" w:right="20"/>
        <w:spacing w:after="0"/>
        <w:rPr>
          <w:rFonts w:ascii="Calibri" w:cs="Calibri" w:eastAsia="Calibri" w:hAnsi="Calibri"/>
          <w:sz w:val="20"/>
          <w:szCs w:val="20"/>
          <w:color w:val="auto"/>
        </w:rPr>
      </w:pPr>
      <w:r>
        <w:rPr>
          <w:rFonts w:ascii="Calibri" w:cs="Calibri" w:eastAsia="Calibri" w:hAnsi="Calibri"/>
          <w:sz w:val="20"/>
          <w:szCs w:val="20"/>
          <w:color w:val="auto"/>
        </w:rPr>
        <w:t>this Agreement if the Contractor merely updates the Contractor's LinkedIn or other social media profle to refect the Contractor's new employment.</w:t>
      </w:r>
    </w:p>
    <w:p>
      <w:pPr>
        <w:spacing w:after="0" w:line="265" w:lineRule="exact"/>
        <w:rPr>
          <w:rFonts w:ascii="Calibri" w:cs="Calibri" w:eastAsia="Calibri" w:hAnsi="Calibri"/>
          <w:sz w:val="20"/>
          <w:szCs w:val="20"/>
          <w:color w:val="auto"/>
        </w:rPr>
      </w:pPr>
    </w:p>
    <w:p>
      <w:pPr>
        <w:ind w:left="321" w:right="20" w:hanging="321"/>
        <w:spacing w:after="0" w:line="242" w:lineRule="auto"/>
        <w:tabs>
          <w:tab w:leader="none" w:pos="321" w:val="left"/>
        </w:tabs>
        <w:numPr>
          <w:ilvl w:val="0"/>
          <w:numId w:val="22"/>
        </w:numPr>
        <w:rPr>
          <w:rFonts w:ascii="Calibri" w:cs="Calibri" w:eastAsia="Calibri" w:hAnsi="Calibri"/>
          <w:sz w:val="20"/>
          <w:szCs w:val="20"/>
          <w:color w:val="auto"/>
        </w:rPr>
      </w:pPr>
      <w:r>
        <w:rPr>
          <w:rFonts w:ascii="Calibri" w:cs="Calibri" w:eastAsia="Calibri" w:hAnsi="Calibri"/>
          <w:sz w:val="20"/>
          <w:szCs w:val="20"/>
          <w:b w:val="1"/>
          <w:bCs w:val="1"/>
          <w:color w:val="auto"/>
        </w:rPr>
        <w:t>TERMINATION</w:t>
      </w:r>
      <w:r>
        <w:rPr>
          <w:rFonts w:ascii="Calibri" w:cs="Calibri" w:eastAsia="Calibri" w:hAnsi="Calibri"/>
          <w:sz w:val="20"/>
          <w:szCs w:val="20"/>
          <w:color w:val="auto"/>
        </w:rPr>
        <w:t>. This Agreement may be terminated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described below.</w:t>
      </w:r>
    </w:p>
    <w:p>
      <w:pPr>
        <w:spacing w:after="0" w:line="7" w:lineRule="exact"/>
        <w:rPr>
          <w:sz w:val="20"/>
          <w:szCs w:val="20"/>
          <w:color w:val="auto"/>
        </w:rPr>
      </w:pPr>
    </w:p>
    <w:p>
      <w:pPr>
        <w:jc w:val="both"/>
        <w:ind w:left="321" w:right="20" w:hanging="323"/>
        <w:spacing w:after="0"/>
        <w:tabs>
          <w:tab w:leader="none" w:pos="301" w:val="left"/>
        </w:tabs>
        <w:rPr>
          <w:sz w:val="20"/>
          <w:szCs w:val="20"/>
          <w:color w:val="auto"/>
        </w:rPr>
      </w:pPr>
      <w:r>
        <w:rPr>
          <w:rFonts w:ascii="Calibri" w:cs="Calibri" w:eastAsia="Calibri" w:hAnsi="Calibri"/>
          <w:sz w:val="20"/>
          <w:szCs w:val="20"/>
          <w:color w:val="auto"/>
        </w:rPr>
        <w:t>A.</w:t>
        <w:tab/>
        <w:t>Either party may terminate this Agreement immediately if the other party materially breaches this Agreement and fails to cure such breach within thirty</w:t>
      </w:r>
    </w:p>
    <w:p>
      <w:pPr>
        <w:spacing w:after="0" w:line="10" w:lineRule="exact"/>
        <w:rPr>
          <w:sz w:val="20"/>
          <w:szCs w:val="20"/>
          <w:color w:val="auto"/>
        </w:rPr>
      </w:pPr>
    </w:p>
    <w:p>
      <w:pPr>
        <w:ind w:left="321" w:right="20" w:firstLine="3"/>
        <w:spacing w:after="0" w:line="234" w:lineRule="auto"/>
        <w:tabs>
          <w:tab w:leader="none" w:pos="754" w:val="left"/>
        </w:tabs>
        <w:numPr>
          <w:ilvl w:val="1"/>
          <w:numId w:val="23"/>
        </w:numPr>
        <w:rPr>
          <w:rFonts w:ascii="Calibri" w:cs="Calibri" w:eastAsia="Calibri" w:hAnsi="Calibri"/>
          <w:sz w:val="20"/>
          <w:szCs w:val="20"/>
          <w:color w:val="auto"/>
        </w:rPr>
      </w:pPr>
      <w:r>
        <w:rPr>
          <w:rFonts w:ascii="Calibri" w:cs="Calibri" w:eastAsia="Calibri" w:hAnsi="Calibri"/>
          <w:sz w:val="20"/>
          <w:szCs w:val="20"/>
          <w:color w:val="auto"/>
        </w:rPr>
        <w:t>days of being provided writen notce of such breach.</w:t>
      </w:r>
    </w:p>
    <w:p>
      <w:pPr>
        <w:spacing w:after="0" w:line="23" w:lineRule="exact"/>
        <w:rPr>
          <w:rFonts w:ascii="Calibri" w:cs="Calibri" w:eastAsia="Calibri" w:hAnsi="Calibri"/>
          <w:sz w:val="20"/>
          <w:szCs w:val="20"/>
          <w:color w:val="auto"/>
        </w:rPr>
      </w:pPr>
    </w:p>
    <w:p>
      <w:pPr>
        <w:jc w:val="both"/>
        <w:ind w:left="321" w:right="20" w:hanging="321"/>
        <w:spacing w:after="0" w:line="236" w:lineRule="auto"/>
        <w:tabs>
          <w:tab w:leader="none" w:pos="32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Either party may terminate this Agreement without cause by giving thirty (30) days prior notce of terminaton in writng to the other party.</w:t>
      </w:r>
    </w:p>
    <w:p>
      <w:pPr>
        <w:spacing w:after="0" w:line="12" w:lineRule="exact"/>
        <w:rPr>
          <w:rFonts w:ascii="Calibri" w:cs="Calibri" w:eastAsia="Calibri" w:hAnsi="Calibri"/>
          <w:sz w:val="20"/>
          <w:szCs w:val="20"/>
          <w:color w:val="auto"/>
        </w:rPr>
      </w:pPr>
    </w:p>
    <w:p>
      <w:pPr>
        <w:ind w:left="321" w:hanging="321"/>
        <w:spacing w:after="0"/>
        <w:tabs>
          <w:tab w:leader="none" w:pos="321"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Upon the expiraton or terminaton of this Agreement,</w:t>
      </w:r>
    </w:p>
    <w:p>
      <w:pPr>
        <w:spacing w:after="0" w:line="8" w:lineRule="exact"/>
        <w:rPr>
          <w:rFonts w:ascii="Calibri" w:cs="Calibri" w:eastAsia="Calibri" w:hAnsi="Calibri"/>
          <w:sz w:val="20"/>
          <w:szCs w:val="20"/>
          <w:color w:val="auto"/>
        </w:rPr>
      </w:pPr>
    </w:p>
    <w:p>
      <w:pPr>
        <w:jc w:val="both"/>
        <w:ind w:left="321"/>
        <w:spacing w:after="0" w:line="234" w:lineRule="auto"/>
        <w:rPr>
          <w:rFonts w:ascii="Calibri" w:cs="Calibri" w:eastAsia="Calibri" w:hAnsi="Calibri"/>
          <w:sz w:val="20"/>
          <w:szCs w:val="20"/>
          <w:color w:val="auto"/>
        </w:rPr>
      </w:pPr>
      <w:r>
        <w:rPr>
          <w:rFonts w:ascii="Calibri" w:cs="Calibri" w:eastAsia="Calibri" w:hAnsi="Calibri"/>
          <w:sz w:val="20"/>
          <w:szCs w:val="20"/>
          <w:color w:val="auto"/>
        </w:rPr>
        <w:t>(i) Contractor shall deliver to the Company the work product described in any applicable SOWs as</w:t>
      </w:r>
    </w:p>
    <w:p>
      <w:pPr>
        <w:spacing w:after="0" w:line="23" w:lineRule="exact"/>
        <w:rPr>
          <w:rFonts w:ascii="Calibri" w:cs="Calibri" w:eastAsia="Calibri" w:hAnsi="Calibri"/>
          <w:sz w:val="20"/>
          <w:szCs w:val="20"/>
          <w:color w:val="auto"/>
        </w:rPr>
      </w:pPr>
    </w:p>
    <w:p>
      <w:pPr>
        <w:jc w:val="both"/>
        <w:ind w:left="321"/>
        <w:spacing w:after="0"/>
        <w:rPr>
          <w:rFonts w:ascii="Calibri" w:cs="Calibri" w:eastAsia="Calibri" w:hAnsi="Calibri"/>
          <w:sz w:val="20"/>
          <w:szCs w:val="20"/>
          <w:color w:val="auto"/>
        </w:rPr>
      </w:pPr>
      <w:r>
        <w:rPr>
          <w:rFonts w:ascii="Calibri" w:cs="Calibri" w:eastAsia="Calibri" w:hAnsi="Calibri"/>
          <w:sz w:val="20"/>
          <w:szCs w:val="20"/>
          <w:color w:val="auto"/>
        </w:rPr>
        <w:t>completed or partally completed through the efectve date of terminaton, and (ii) all compensaton from the Company shall immediately cease, provided that the Company shall promptly pay all amounts</w:t>
      </w:r>
    </w:p>
    <w:p>
      <w:pPr>
        <w:sectPr>
          <w:pgSz w:w="11900" w:h="16838" w:orient="portrait"/>
          <w:cols w:equalWidth="0" w:num="2">
            <w:col w:w="5382" w:space="239"/>
            <w:col w:w="4881"/>
          </w:cols>
          <w:pgMar w:left="418" w:top="1440" w:right="979" w:bottom="1440" w:gutter="0" w:footer="0" w:header="0"/>
        </w:sectPr>
      </w:pPr>
    </w:p>
    <w:bookmarkStart w:id="43" w:name="page44"/>
    <w:bookmarkEnd w:id="43"/>
    <w:p>
      <w:pPr>
        <w:spacing w:after="0" w:line="201" w:lineRule="exact"/>
        <w:rPr>
          <w:sz w:val="20"/>
          <w:szCs w:val="20"/>
          <w:color w:val="auto"/>
        </w:rPr>
      </w:pPr>
    </w:p>
    <w:p>
      <w:pPr>
        <w:jc w:val="both"/>
        <w:ind w:left="322"/>
        <w:spacing w:after="0"/>
        <w:rPr>
          <w:sz w:val="20"/>
          <w:szCs w:val="20"/>
          <w:color w:val="auto"/>
        </w:rPr>
      </w:pPr>
      <w:r>
        <w:rPr>
          <w:rFonts w:ascii="Calibri" w:cs="Calibri" w:eastAsia="Calibri" w:hAnsi="Calibri"/>
          <w:sz w:val="20"/>
          <w:szCs w:val="20"/>
          <w:color w:val="auto"/>
        </w:rPr>
        <w:t>owed to Contractor, including any amounts owed for partally completed Services, incurred prior to the expiraton or terminaton of this Agreement.</w:t>
      </w:r>
    </w:p>
    <w:p>
      <w:pPr>
        <w:spacing w:after="0" w:line="10" w:lineRule="exact"/>
        <w:rPr>
          <w:sz w:val="20"/>
          <w:szCs w:val="20"/>
          <w:color w:val="auto"/>
        </w:rPr>
      </w:pPr>
    </w:p>
    <w:p>
      <w:pPr>
        <w:ind w:left="322" w:hanging="322"/>
        <w:spacing w:after="0" w:line="234" w:lineRule="auto"/>
        <w:tabs>
          <w:tab w:leader="none" w:pos="318"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Sectons 10 – 13, 15, 14, and 21 through 29 shall survive terminaton or expiraton of this Agreement.</w:t>
      </w:r>
    </w:p>
    <w:p>
      <w:pPr>
        <w:spacing w:after="0" w:line="270" w:lineRule="exact"/>
        <w:rPr>
          <w:rFonts w:ascii="Calibri" w:cs="Calibri" w:eastAsia="Calibri" w:hAnsi="Calibri"/>
          <w:sz w:val="20"/>
          <w:szCs w:val="20"/>
          <w:color w:val="auto"/>
        </w:rPr>
      </w:pPr>
    </w:p>
    <w:p>
      <w:pPr>
        <w:ind w:left="322" w:hanging="322"/>
        <w:spacing w:after="0"/>
        <w:tabs>
          <w:tab w:leader="none" w:pos="322" w:val="left"/>
        </w:tabs>
        <w:numPr>
          <w:ilvl w:val="1"/>
          <w:numId w:val="25"/>
        </w:numPr>
        <w:rPr>
          <w:rFonts w:ascii="Calibri" w:cs="Calibri" w:eastAsia="Calibri" w:hAnsi="Calibri"/>
          <w:sz w:val="20"/>
          <w:szCs w:val="20"/>
          <w:color w:val="auto"/>
        </w:rPr>
      </w:pPr>
      <w:r>
        <w:rPr>
          <w:rFonts w:ascii="Calibri" w:cs="Calibri" w:eastAsia="Calibri" w:hAnsi="Calibri"/>
          <w:sz w:val="20"/>
          <w:szCs w:val="20"/>
          <w:b w:val="1"/>
          <w:bCs w:val="1"/>
          <w:color w:val="auto"/>
        </w:rPr>
        <w:t>CONFIDENTIAL INFORMATION</w:t>
      </w:r>
      <w:r>
        <w:rPr>
          <w:rFonts w:ascii="Calibri" w:cs="Calibri" w:eastAsia="Calibri" w:hAnsi="Calibri"/>
          <w:sz w:val="20"/>
          <w:szCs w:val="20"/>
          <w:color w:val="auto"/>
        </w:rPr>
        <w:t>.</w:t>
      </w:r>
    </w:p>
    <w:p>
      <w:pPr>
        <w:spacing w:after="0" w:line="12" w:lineRule="exact"/>
        <w:rPr>
          <w:sz w:val="20"/>
          <w:szCs w:val="20"/>
          <w:color w:val="auto"/>
        </w:rPr>
      </w:pPr>
    </w:p>
    <w:p>
      <w:pPr>
        <w:ind w:left="2"/>
        <w:spacing w:after="0"/>
        <w:tabs>
          <w:tab w:leader="none" w:pos="302" w:val="left"/>
        </w:tabs>
        <w:rPr>
          <w:sz w:val="20"/>
          <w:szCs w:val="20"/>
          <w:color w:val="auto"/>
        </w:rPr>
      </w:pPr>
      <w:r>
        <w:rPr>
          <w:rFonts w:ascii="Calibri" w:cs="Calibri" w:eastAsia="Calibri" w:hAnsi="Calibri"/>
          <w:sz w:val="20"/>
          <w:szCs w:val="20"/>
          <w:color w:val="auto"/>
        </w:rPr>
        <w:t>A.</w:t>
        <w:tab/>
        <w:t>DEFINITION:</w:t>
      </w:r>
    </w:p>
    <w:p>
      <w:pPr>
        <w:spacing w:after="0" w:line="12" w:lineRule="exact"/>
        <w:rPr>
          <w:sz w:val="20"/>
          <w:szCs w:val="20"/>
          <w:color w:val="auto"/>
        </w:rPr>
      </w:pPr>
    </w:p>
    <w:p>
      <w:pPr>
        <w:ind w:left="322" w:hanging="322"/>
        <w:spacing w:after="0"/>
        <w:tabs>
          <w:tab w:leader="none" w:pos="322"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“Confdental Informaton” means any and all informaton,</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data, documents, agreements, fles, and other materials related to the Disclosing Party’s business, research, development, manufacturing, purchasing, accountng,</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engineering, selling, marketng, leasing, servicing, fnancing, business systems and techniques, shareholders, employees, customers, prospectve customers, programs, procedures,</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inventons, discoveries, devices, products, sofware, patents, copyrights and other intellectual property, pricing, and fnancial informaton to the extent disclosed to Recipient</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hereunder. All proprietary informaton of a party which is treated by such party as Confdental Informaton, or which a party has a reasonable basis to believe is Confdental</w:t>
      </w:r>
    </w:p>
    <w:p>
      <w:pPr>
        <w:spacing w:after="0" w:line="22" w:lineRule="exact"/>
        <w:rPr>
          <w:rFonts w:ascii="Calibri" w:cs="Calibri" w:eastAsia="Calibri" w:hAnsi="Calibri"/>
          <w:sz w:val="20"/>
          <w:szCs w:val="20"/>
          <w:color w:val="auto"/>
        </w:rPr>
      </w:pPr>
    </w:p>
    <w:p>
      <w:pPr>
        <w:ind w:left="322"/>
        <w:spacing w:after="0" w:line="234" w:lineRule="auto"/>
        <w:rPr>
          <w:rFonts w:ascii="Calibri" w:cs="Calibri" w:eastAsia="Calibri" w:hAnsi="Calibri"/>
          <w:sz w:val="20"/>
          <w:szCs w:val="20"/>
          <w:color w:val="auto"/>
        </w:rPr>
      </w:pPr>
      <w:r>
        <w:rPr>
          <w:rFonts w:ascii="Calibri" w:cs="Calibri" w:eastAsia="Calibri" w:hAnsi="Calibri"/>
          <w:sz w:val="20"/>
          <w:szCs w:val="20"/>
          <w:color w:val="auto"/>
        </w:rPr>
        <w:t>Informaton of the other party, shall be presumed to be Confdental Informaton.</w:t>
      </w:r>
    </w:p>
    <w:p>
      <w:pPr>
        <w:spacing w:after="0" w:line="1" w:lineRule="exact"/>
        <w:rPr>
          <w:rFonts w:ascii="Calibri" w:cs="Calibri" w:eastAsia="Calibri" w:hAnsi="Calibri"/>
          <w:sz w:val="20"/>
          <w:szCs w:val="20"/>
          <w:color w:val="auto"/>
        </w:rPr>
      </w:pPr>
    </w:p>
    <w:p>
      <w:pPr>
        <w:ind w:left="322" w:hanging="322"/>
        <w:spacing w:after="0" w:line="238" w:lineRule="auto"/>
        <w:tabs>
          <w:tab w:leader="none" w:pos="322"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“Disclosing Party” means the party or an afliate of the party</w:t>
      </w:r>
    </w:p>
    <w:p>
      <w:pPr>
        <w:spacing w:after="0" w:line="22" w:lineRule="exact"/>
        <w:rPr>
          <w:rFonts w:ascii="Calibri" w:cs="Calibri" w:eastAsia="Calibri" w:hAnsi="Calibri"/>
          <w:sz w:val="20"/>
          <w:szCs w:val="20"/>
          <w:color w:val="auto"/>
        </w:rPr>
      </w:pPr>
    </w:p>
    <w:p>
      <w:pPr>
        <w:ind w:left="322"/>
        <w:spacing w:after="0" w:line="234" w:lineRule="auto"/>
        <w:rPr>
          <w:rFonts w:ascii="Calibri" w:cs="Calibri" w:eastAsia="Calibri" w:hAnsi="Calibri"/>
          <w:sz w:val="20"/>
          <w:szCs w:val="20"/>
          <w:color w:val="auto"/>
        </w:rPr>
      </w:pPr>
      <w:r>
        <w:rPr>
          <w:rFonts w:ascii="Calibri" w:cs="Calibri" w:eastAsia="Calibri" w:hAnsi="Calibri"/>
          <w:sz w:val="20"/>
          <w:szCs w:val="20"/>
          <w:color w:val="auto"/>
        </w:rPr>
        <w:t>(i.e. either Company or Contractor) which provides the Confdental Informaton.</w:t>
      </w:r>
    </w:p>
    <w:p>
      <w:pPr>
        <w:spacing w:after="0" w:line="9" w:lineRule="exact"/>
        <w:rPr>
          <w:rFonts w:ascii="Calibri" w:cs="Calibri" w:eastAsia="Calibri" w:hAnsi="Calibri"/>
          <w:sz w:val="20"/>
          <w:szCs w:val="20"/>
          <w:color w:val="auto"/>
        </w:rPr>
      </w:pPr>
    </w:p>
    <w:p>
      <w:pPr>
        <w:ind w:left="322" w:hanging="322"/>
        <w:spacing w:after="0" w:line="234" w:lineRule="auto"/>
        <w:tabs>
          <w:tab w:leader="none" w:pos="318"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“Recipient” means the party (i.e. either Company or Contractor) which receives the Confdental Informaton.</w:t>
      </w:r>
    </w:p>
    <w:p>
      <w:pPr>
        <w:spacing w:after="0" w:line="23" w:lineRule="exact"/>
        <w:rPr>
          <w:sz w:val="20"/>
          <w:szCs w:val="20"/>
          <w:color w:val="auto"/>
        </w:rPr>
      </w:pPr>
    </w:p>
    <w:p>
      <w:pPr>
        <w:ind w:left="322" w:hanging="322"/>
        <w:spacing w:after="0" w:line="234" w:lineRule="auto"/>
        <w:tabs>
          <w:tab w:leader="none" w:pos="321"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EXCEPTIONS: The term Confdental Informaton shall not apply to informaton to the extent:</w:t>
      </w:r>
    </w:p>
    <w:p>
      <w:pPr>
        <w:ind w:left="322" w:hanging="322"/>
        <w:spacing w:after="0"/>
        <w:tabs>
          <w:tab w:leader="none" w:pos="322" w:val="left"/>
        </w:tabs>
        <w:numPr>
          <w:ilvl w:val="0"/>
          <w:numId w:val="28"/>
        </w:numPr>
        <w:rPr>
          <w:rFonts w:ascii="Calibri" w:cs="Calibri" w:eastAsia="Calibri" w:hAnsi="Calibri"/>
          <w:sz w:val="20"/>
          <w:szCs w:val="20"/>
          <w:color w:val="auto"/>
        </w:rPr>
      </w:pPr>
      <w:r>
        <w:rPr>
          <w:rFonts w:ascii="Calibri" w:cs="Calibri" w:eastAsia="Calibri" w:hAnsi="Calibri"/>
          <w:sz w:val="20"/>
          <w:szCs w:val="20"/>
          <w:color w:val="auto"/>
        </w:rPr>
        <w:t>The  Recipient  can  establish  that  such  informaton  was</w:t>
      </w:r>
    </w:p>
    <w:p>
      <w:pPr>
        <w:spacing w:after="0" w:line="22" w:lineRule="exact"/>
        <w:rPr>
          <w:rFonts w:ascii="Calibri" w:cs="Calibri" w:eastAsia="Calibri" w:hAnsi="Calibri"/>
          <w:sz w:val="20"/>
          <w:szCs w:val="20"/>
          <w:color w:val="auto"/>
        </w:rPr>
      </w:pPr>
    </w:p>
    <w:p>
      <w:pPr>
        <w:ind w:left="322"/>
        <w:spacing w:after="0" w:line="234" w:lineRule="auto"/>
        <w:rPr>
          <w:rFonts w:ascii="Calibri" w:cs="Calibri" w:eastAsia="Calibri" w:hAnsi="Calibri"/>
          <w:sz w:val="20"/>
          <w:szCs w:val="20"/>
          <w:color w:val="auto"/>
        </w:rPr>
      </w:pPr>
      <w:r>
        <w:rPr>
          <w:rFonts w:ascii="Calibri" w:cs="Calibri" w:eastAsia="Calibri" w:hAnsi="Calibri"/>
          <w:sz w:val="20"/>
          <w:szCs w:val="20"/>
          <w:color w:val="auto"/>
        </w:rPr>
        <w:t>rightully known to Recipient prior to receipt thereof by Recipient from the Disclosing Party; or</w:t>
      </w:r>
    </w:p>
    <w:p>
      <w:pPr>
        <w:spacing w:after="0" w:line="9" w:lineRule="exact"/>
        <w:rPr>
          <w:rFonts w:ascii="Calibri" w:cs="Calibri" w:eastAsia="Calibri" w:hAnsi="Calibri"/>
          <w:sz w:val="20"/>
          <w:szCs w:val="20"/>
          <w:color w:val="auto"/>
        </w:rPr>
      </w:pPr>
    </w:p>
    <w:p>
      <w:pPr>
        <w:ind w:left="322" w:hanging="322"/>
        <w:spacing w:after="0" w:line="242" w:lineRule="auto"/>
        <w:tabs>
          <w:tab w:leader="none" w:pos="318" w:val="left"/>
        </w:tabs>
        <w:numPr>
          <w:ilvl w:val="0"/>
          <w:numId w:val="28"/>
        </w:numPr>
        <w:rPr>
          <w:rFonts w:ascii="Calibri" w:cs="Calibri" w:eastAsia="Calibri" w:hAnsi="Calibri"/>
          <w:sz w:val="20"/>
          <w:szCs w:val="20"/>
          <w:color w:val="auto"/>
        </w:rPr>
      </w:pPr>
      <w:r>
        <w:rPr>
          <w:rFonts w:ascii="Calibri" w:cs="Calibri" w:eastAsia="Calibri" w:hAnsi="Calibri"/>
          <w:sz w:val="20"/>
          <w:szCs w:val="20"/>
          <w:color w:val="auto"/>
        </w:rPr>
        <w:t>Such informaton is lawfully disclosed to Recipient by a third party without restricton on disclosure; or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left="322" w:right="20" w:hanging="322"/>
        <w:spacing w:after="0"/>
        <w:tabs>
          <w:tab w:leader="none" w:pos="318"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Such informaton is part of the public domain or becomes part of the public domain through no fault of Recipient; or</w:t>
      </w:r>
    </w:p>
    <w:p>
      <w:pPr>
        <w:spacing w:after="0" w:line="10" w:lineRule="exact"/>
        <w:rPr>
          <w:rFonts w:ascii="Calibri" w:cs="Calibri" w:eastAsia="Calibri" w:hAnsi="Calibri"/>
          <w:sz w:val="20"/>
          <w:szCs w:val="20"/>
          <w:color w:val="auto"/>
        </w:rPr>
      </w:pPr>
    </w:p>
    <w:p>
      <w:pPr>
        <w:jc w:val="both"/>
        <w:ind w:left="322" w:right="20" w:hanging="322"/>
        <w:spacing w:after="0" w:line="234" w:lineRule="auto"/>
        <w:tabs>
          <w:tab w:leader="none" w:pos="318"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Such informaton is independently developed by Recipient without using the Disclosing Party’s</w:t>
      </w:r>
    </w:p>
    <w:p>
      <w:pPr>
        <w:spacing w:after="0" w:line="23" w:lineRule="exact"/>
        <w:rPr>
          <w:sz w:val="20"/>
          <w:szCs w:val="20"/>
          <w:color w:val="auto"/>
        </w:rPr>
      </w:pPr>
    </w:p>
    <w:p>
      <w:pPr>
        <w:ind w:left="322" w:right="20"/>
        <w:spacing w:after="0" w:line="234" w:lineRule="auto"/>
        <w:rPr>
          <w:sz w:val="20"/>
          <w:szCs w:val="20"/>
          <w:color w:val="auto"/>
        </w:rPr>
      </w:pPr>
      <w:r>
        <w:rPr>
          <w:rFonts w:ascii="Calibri" w:cs="Calibri" w:eastAsia="Calibri" w:hAnsi="Calibri"/>
          <w:sz w:val="20"/>
          <w:szCs w:val="20"/>
          <w:color w:val="auto"/>
        </w:rPr>
        <w:t>Confdental Informaton and such independent development is shown by documentary evidence.</w:t>
      </w:r>
    </w:p>
    <w:p>
      <w:pPr>
        <w:spacing w:after="0" w:line="23" w:lineRule="exact"/>
        <w:rPr>
          <w:sz w:val="20"/>
          <w:szCs w:val="20"/>
          <w:color w:val="auto"/>
        </w:rPr>
      </w:pPr>
    </w:p>
    <w:p>
      <w:pPr>
        <w:jc w:val="both"/>
        <w:ind w:left="322" w:hanging="323"/>
        <w:spacing w:after="0" w:line="239" w:lineRule="auto"/>
        <w:tabs>
          <w:tab w:leader="none" w:pos="302" w:val="left"/>
        </w:tabs>
        <w:rPr>
          <w:sz w:val="20"/>
          <w:szCs w:val="20"/>
          <w:color w:val="auto"/>
        </w:rPr>
      </w:pPr>
      <w:r>
        <w:rPr>
          <w:rFonts w:ascii="Calibri" w:cs="Calibri" w:eastAsia="Calibri" w:hAnsi="Calibri"/>
          <w:sz w:val="20"/>
          <w:szCs w:val="20"/>
          <w:color w:val="auto"/>
        </w:rPr>
        <w:t>C.</w:t>
        <w:tab/>
        <w:t>DUTIES: Recipient shall (a) hold all Confdental Informaton in strict confdence and take reasonable precautons to protect the confdentality of such Confdental Informaton (including, without limitaton, all precautons Recipient employs with respect to its own confdental materials); (b) only use the Confdental Informaton in furtherance of the Services;</w:t>
      </w:r>
    </w:p>
    <w:p>
      <w:pPr>
        <w:spacing w:after="0" w:line="26" w:lineRule="exact"/>
        <w:rPr>
          <w:sz w:val="20"/>
          <w:szCs w:val="20"/>
          <w:color w:val="auto"/>
        </w:rPr>
      </w:pPr>
    </w:p>
    <w:p>
      <w:pPr>
        <w:jc w:val="both"/>
        <w:ind w:left="322" w:right="20" w:firstLine="2"/>
        <w:spacing w:after="0" w:line="236" w:lineRule="auto"/>
        <w:tabs>
          <w:tab w:leader="none" w:pos="636"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not divulge any Confdental Informaton to any third party (other than to employees, agents, or contractors of Recipient); and (d) not copy or reverse</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engineer any Confdental Informaton or remove any proprietary markings for any Confdental Informaton. Any employee, agent, or contractor of Contractor that</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is given access to Confdental Informaton must have a legitmate “need to know” such informaton, and Contractor shall remain responsible for such person’s</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compliance with this Agreement. The obligatons under this secton shall survive the terminaton of this Agreement for whatever reason.</w:t>
      </w:r>
    </w:p>
    <w:p>
      <w:pPr>
        <w:spacing w:after="0" w:line="22" w:lineRule="exact"/>
        <w:rPr>
          <w:rFonts w:ascii="Calibri" w:cs="Calibri" w:eastAsia="Calibri" w:hAnsi="Calibri"/>
          <w:sz w:val="20"/>
          <w:szCs w:val="20"/>
          <w:color w:val="auto"/>
        </w:rPr>
      </w:pPr>
    </w:p>
    <w:p>
      <w:pPr>
        <w:jc w:val="both"/>
        <w:ind w:left="322" w:right="20" w:hanging="322"/>
        <w:spacing w:after="0" w:line="234" w:lineRule="auto"/>
        <w:tabs>
          <w:tab w:leader="none" w:pos="317"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Within ten (10) days of terminaton of this Agreement or upon the Disclosing Party’s request, Recipient shall</w:t>
      </w:r>
    </w:p>
    <w:p>
      <w:pPr>
        <w:spacing w:after="0" w:line="1" w:lineRule="exact"/>
        <w:rPr>
          <w:rFonts w:ascii="Calibri" w:cs="Calibri" w:eastAsia="Calibri" w:hAnsi="Calibri"/>
          <w:sz w:val="20"/>
          <w:szCs w:val="20"/>
          <w:color w:val="auto"/>
        </w:rPr>
      </w:pPr>
    </w:p>
    <w:p>
      <w:pPr>
        <w:ind w:left="582" w:hanging="258"/>
        <w:spacing w:after="0" w:line="238" w:lineRule="auto"/>
        <w:tabs>
          <w:tab w:leader="none" w:pos="582" w:val="left"/>
        </w:tabs>
        <w:numPr>
          <w:ilvl w:val="1"/>
          <w:numId w:val="31"/>
        </w:numPr>
        <w:rPr>
          <w:rFonts w:ascii="Calibri" w:cs="Calibri" w:eastAsia="Calibri" w:hAnsi="Calibri"/>
          <w:sz w:val="20"/>
          <w:szCs w:val="20"/>
          <w:color w:val="auto"/>
        </w:rPr>
      </w:pPr>
      <w:r>
        <w:rPr>
          <w:rFonts w:ascii="Calibri" w:cs="Calibri" w:eastAsia="Calibri" w:hAnsi="Calibri"/>
          <w:sz w:val="20"/>
          <w:szCs w:val="20"/>
          <w:color w:val="auto"/>
        </w:rPr>
        <w:t>cease using the Confdental Informaton; (b) deliver</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to the Disclosing Party or, to the extent not prohibited by law, rule, regulaton, or judicial or regulatory acton, destroy all Confdental Informaton of the Disclosing</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Party in Recipient’s possession; and (c) confrm in writng that it has complied with these obligatons. Recipient’s obligatons with respect to the Confdental</w:t>
      </w:r>
    </w:p>
    <w:p>
      <w:pPr>
        <w:spacing w:after="0" w:line="22" w:lineRule="exact"/>
        <w:rPr>
          <w:rFonts w:ascii="Calibri" w:cs="Calibri" w:eastAsia="Calibri" w:hAnsi="Calibri"/>
          <w:sz w:val="20"/>
          <w:szCs w:val="20"/>
          <w:color w:val="auto"/>
        </w:rPr>
      </w:pPr>
    </w:p>
    <w:p>
      <w:pPr>
        <w:ind w:left="322"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Informaton of the Disclosing Party shall survive terminaton or expiraton of this Agreement.</w:t>
      </w:r>
    </w:p>
    <w:p>
      <w:pPr>
        <w:sectPr>
          <w:pgSz w:w="11900" w:h="16838" w:orient="portrait"/>
          <w:cols w:equalWidth="0" w:num="2">
            <w:col w:w="5362" w:space="258"/>
            <w:col w:w="4882"/>
          </w:cols>
          <w:pgMar w:left="418" w:top="1440" w:right="979" w:bottom="1440" w:gutter="0" w:footer="0" w:header="0"/>
        </w:sectPr>
      </w:pPr>
    </w:p>
    <w:bookmarkStart w:id="44" w:name="page45"/>
    <w:bookmarkEnd w:id="44"/>
    <w:p>
      <w:pPr>
        <w:spacing w:after="0" w:line="191" w:lineRule="exact"/>
        <w:rPr>
          <w:sz w:val="20"/>
          <w:szCs w:val="20"/>
          <w:color w:val="auto"/>
        </w:rPr>
      </w:pPr>
    </w:p>
    <w:p>
      <w:pPr>
        <w:ind w:left="322" w:hanging="322"/>
        <w:spacing w:after="0"/>
        <w:tabs>
          <w:tab w:leader="none" w:pos="322" w:val="left"/>
        </w:tabs>
        <w:numPr>
          <w:ilvl w:val="1"/>
          <w:numId w:val="32"/>
        </w:numPr>
        <w:rPr>
          <w:rFonts w:ascii="Calibri" w:cs="Calibri" w:eastAsia="Calibri" w:hAnsi="Calibri"/>
          <w:sz w:val="20"/>
          <w:szCs w:val="20"/>
          <w:color w:val="auto"/>
        </w:rPr>
      </w:pPr>
      <w:r>
        <w:rPr>
          <w:rFonts w:ascii="Calibri" w:cs="Calibri" w:eastAsia="Calibri" w:hAnsi="Calibri"/>
          <w:sz w:val="20"/>
          <w:szCs w:val="20"/>
          <w:b w:val="1"/>
          <w:bCs w:val="1"/>
          <w:color w:val="auto"/>
        </w:rPr>
        <w:t>OWNERSHIP OF MATERIALS</w:t>
      </w:r>
      <w:r>
        <w:rPr>
          <w:rFonts w:ascii="Calibri" w:cs="Calibri" w:eastAsia="Calibri" w:hAnsi="Calibri"/>
          <w:sz w:val="20"/>
          <w:szCs w:val="20"/>
          <w:color w:val="auto"/>
        </w:rPr>
        <w:t>.</w:t>
      </w:r>
    </w:p>
    <w:p>
      <w:pPr>
        <w:spacing w:after="0" w:line="22" w:lineRule="exact"/>
        <w:rPr>
          <w:rFonts w:ascii="Calibri" w:cs="Calibri" w:eastAsia="Calibri" w:hAnsi="Calibri"/>
          <w:sz w:val="20"/>
          <w:szCs w:val="20"/>
          <w:color w:val="auto"/>
        </w:rPr>
      </w:pPr>
    </w:p>
    <w:p>
      <w:pPr>
        <w:jc w:val="both"/>
        <w:ind w:left="322" w:right="20" w:hanging="322"/>
        <w:spacing w:after="0" w:line="234" w:lineRule="auto"/>
        <w:tabs>
          <w:tab w:leader="none" w:pos="316" w:val="left"/>
        </w:tabs>
        <w:numPr>
          <w:ilvl w:val="0"/>
          <w:numId w:val="33"/>
        </w:numPr>
        <w:rPr>
          <w:rFonts w:ascii="Calibri" w:cs="Calibri" w:eastAsia="Calibri" w:hAnsi="Calibri"/>
          <w:sz w:val="20"/>
          <w:szCs w:val="20"/>
          <w:color w:val="auto"/>
        </w:rPr>
      </w:pPr>
      <w:r>
        <w:rPr>
          <w:rFonts w:ascii="Calibri" w:cs="Calibri" w:eastAsia="Calibri" w:hAnsi="Calibri"/>
          <w:sz w:val="20"/>
          <w:szCs w:val="20"/>
          <w:color w:val="auto"/>
        </w:rPr>
        <w:t>Contractor acknowledges and agrees that the Company exclusively owns all right, ttle, and interest in and to its</w:t>
      </w:r>
    </w:p>
    <w:p>
      <w:pPr>
        <w:spacing w:after="0" w:line="23"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Confdental Informaton and intellectual property, including all improvements, enhancements, modifcatons, and derivatve works thereof. Additonally, all right, ttle, and</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interest in and to any and all ideas, technology, products, inventons, programs, designs, innovaton, materials, work product, deliverables, copyrights, patents, know- how,</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trademarks, service marks, and other intellectual property that may be developed or conceived jointly or solely by Contractor under this Agreement or any SOW (collectvely,</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“Deliverables”) shall be the sole and exclusive property of the Company. All Deliverables shall be deemed to be “Works Made for Hire” for the Company as such term is defned</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under United States copyright laws. To the extent that all right, ttle, and interest in and to any such Deliverables may not otherwise exclusively vest in the Company, or any such</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Deliverables may not be considered Works Made for Hire, Contractor hereby irrevocably assigns all right, ttle, and interest therein to the Company. Contractor agrees to give</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reasonable assistance, at the Company’s expense, in perfectng or evidencing the Company’s rights in this Secton including without limitaton by executng and delivering all</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documents reasonably requested by Company for such purposes. Further, in the event Contractor uses any subcontractor or other third party to perform any of the</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Services contracted for under this Agreement, Contractor agrees to enter into such writen agreements with such third party and to take such other steps as are or as may be</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required to secure for Company the rights called for in this Secton. Contractor further agrees to provide the names and addresses or all agents, contractors, consultants,</w:t>
      </w:r>
    </w:p>
    <w:p>
      <w:pPr>
        <w:spacing w:after="0" w:line="22" w:lineRule="exact"/>
        <w:rPr>
          <w:rFonts w:ascii="Calibri" w:cs="Calibri" w:eastAsia="Calibri" w:hAnsi="Calibri"/>
          <w:sz w:val="20"/>
          <w:szCs w:val="20"/>
          <w:color w:val="auto"/>
        </w:rPr>
      </w:pPr>
    </w:p>
    <w:p>
      <w:pPr>
        <w:ind w:left="322"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representatves or other third partes who perform work on behalf of Contractor under this Agreement.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left="322" w:right="20" w:hanging="319"/>
        <w:spacing w:after="0" w:line="243" w:lineRule="auto"/>
        <w:tabs>
          <w:tab w:leader="none" w:pos="302" w:val="left"/>
        </w:tabs>
        <w:rPr>
          <w:sz w:val="20"/>
          <w:szCs w:val="20"/>
          <w:color w:val="auto"/>
        </w:rPr>
      </w:pPr>
      <w:r>
        <w:rPr>
          <w:rFonts w:ascii="Calibri" w:cs="Calibri" w:eastAsia="Calibri" w:hAnsi="Calibri"/>
          <w:sz w:val="20"/>
          <w:szCs w:val="20"/>
          <w:color w:val="auto"/>
        </w:rPr>
        <w:t>B.</w:t>
        <w:tab/>
        <w:t>Nothing</w:t>
      </w:r>
      <w:r>
        <w:rPr>
          <w:sz w:val="20"/>
          <w:szCs w:val="20"/>
          <w:color w:val="auto"/>
        </w:rPr>
        <w:t xml:space="preserve"> </w:t>
      </w:r>
      <w:r>
        <w:rPr>
          <w:rFonts w:ascii="Calibri" w:cs="Calibri" w:eastAsia="Calibri" w:hAnsi="Calibri"/>
          <w:sz w:val="20"/>
          <w:szCs w:val="20"/>
          <w:color w:val="auto"/>
        </w:rPr>
        <w:t>in this Agreement shall consttute an assignment or transfer of ownership of any Pre-existng Intellectual Property Rights and neither party shall obtain ownership rights in the Pre- existng Intellectual Property Rights of the other party.</w:t>
      </w:r>
    </w:p>
    <w:p>
      <w:pPr>
        <w:spacing w:after="0" w:line="6" w:lineRule="exact"/>
        <w:rPr>
          <w:sz w:val="20"/>
          <w:szCs w:val="20"/>
          <w:color w:val="auto"/>
        </w:rPr>
      </w:pPr>
    </w:p>
    <w:p>
      <w:pPr>
        <w:jc w:val="both"/>
        <w:ind w:left="322" w:hanging="322"/>
        <w:spacing w:after="0" w:line="234" w:lineRule="auto"/>
        <w:tabs>
          <w:tab w:leader="none" w:pos="320" w:val="left"/>
        </w:tabs>
        <w:numPr>
          <w:ilvl w:val="0"/>
          <w:numId w:val="34"/>
        </w:numPr>
        <w:rPr>
          <w:rFonts w:ascii="Calibri" w:cs="Calibri" w:eastAsia="Calibri" w:hAnsi="Calibri"/>
          <w:sz w:val="20"/>
          <w:szCs w:val="20"/>
          <w:color w:val="auto"/>
        </w:rPr>
      </w:pPr>
      <w:r>
        <w:rPr>
          <w:rFonts w:ascii="Calibri" w:cs="Calibri" w:eastAsia="Calibri" w:hAnsi="Calibri"/>
          <w:sz w:val="20"/>
          <w:szCs w:val="20"/>
          <w:color w:val="auto"/>
        </w:rPr>
        <w:t>Contractor grants to Company a worldwide (to the extent permited by applicable law), royalty- free,</w:t>
      </w:r>
    </w:p>
    <w:p>
      <w:pPr>
        <w:spacing w:after="0" w:line="23"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perpetual, irrevocable, transferable, sublicensable, and non-exclusive license to use, copy, modify, enhance, improve, or create further derivatve works of Pre-</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existng Intellectual Property Rights in any Deliverables that contain Contractor’s Pre-existng Intellectual Property Rights. This license survives the terminaton or expiry of this Agreement.</w:t>
      </w:r>
    </w:p>
    <w:p>
      <w:pPr>
        <w:spacing w:after="0" w:line="25" w:lineRule="exact"/>
        <w:rPr>
          <w:rFonts w:ascii="Calibri" w:cs="Calibri" w:eastAsia="Calibri" w:hAnsi="Calibri"/>
          <w:sz w:val="20"/>
          <w:szCs w:val="20"/>
          <w:color w:val="auto"/>
        </w:rPr>
      </w:pPr>
    </w:p>
    <w:p>
      <w:pPr>
        <w:jc w:val="both"/>
        <w:ind w:left="322" w:hanging="322"/>
        <w:spacing w:after="0" w:line="236" w:lineRule="auto"/>
        <w:tabs>
          <w:tab w:leader="none" w:pos="318" w:val="left"/>
        </w:tabs>
        <w:numPr>
          <w:ilvl w:val="0"/>
          <w:numId w:val="34"/>
        </w:numPr>
        <w:rPr>
          <w:rFonts w:ascii="Calibri" w:cs="Calibri" w:eastAsia="Calibri" w:hAnsi="Calibri"/>
          <w:sz w:val="20"/>
          <w:szCs w:val="20"/>
          <w:color w:val="auto"/>
        </w:rPr>
      </w:pPr>
      <w:r>
        <w:rPr>
          <w:rFonts w:ascii="Calibri" w:cs="Calibri" w:eastAsia="Calibri" w:hAnsi="Calibri"/>
          <w:sz w:val="20"/>
          <w:szCs w:val="20"/>
          <w:color w:val="auto"/>
        </w:rPr>
        <w:t>The following defnitons shall apply to this Secton: “Intellectual Property Rights” means all industrial and intellectual property rights of any kind including but</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not limited to copyright (including rights in compute sofware), trade mark, service mark, design, patent, trade secret, semiconductor or circuit layout rights,</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trade, business, domain or company names, know how or other proprietary rights (whether or not any of these registered and including any applicaton for</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registraton) and all rights or forms of protecton of a similar nature or having equivalent or similar efect to any of these which may subsist anywhere in the world.</w:t>
      </w:r>
    </w:p>
    <w:p>
      <w:pPr>
        <w:spacing w:after="0" w:line="22" w:lineRule="exact"/>
        <w:rPr>
          <w:rFonts w:ascii="Calibri" w:cs="Calibri" w:eastAsia="Calibri" w:hAnsi="Calibri"/>
          <w:sz w:val="20"/>
          <w:szCs w:val="20"/>
          <w:color w:val="auto"/>
        </w:rPr>
      </w:pPr>
    </w:p>
    <w:p>
      <w:pPr>
        <w:jc w:val="both"/>
        <w:ind w:left="322"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“Pre-existng Intellectual Property Rights” shall mean a party’s Intellectual Property Rights (i) existng prior to the commencement of this Agreement, (ii) brought</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into existence afer the commencement of this Agreement by or on behalf of a party or third party outside the scope of this Agreement</w:t>
      </w:r>
    </w:p>
    <w:p>
      <w:pPr>
        <w:spacing w:after="0" w:line="22" w:lineRule="exact"/>
        <w:rPr>
          <w:rFonts w:ascii="Calibri" w:cs="Calibri" w:eastAsia="Calibri" w:hAnsi="Calibri"/>
          <w:sz w:val="20"/>
          <w:szCs w:val="20"/>
          <w:color w:val="auto"/>
        </w:rPr>
      </w:pPr>
    </w:p>
    <w:p>
      <w:pPr>
        <w:jc w:val="both"/>
        <w:ind w:left="322" w:right="20" w:firstLine="2"/>
        <w:spacing w:after="0"/>
        <w:tabs>
          <w:tab w:leader="none" w:pos="693" w:val="left"/>
        </w:tabs>
        <w:numPr>
          <w:ilvl w:val="2"/>
          <w:numId w:val="34"/>
        </w:numPr>
        <w:rPr>
          <w:rFonts w:ascii="Calibri" w:cs="Calibri" w:eastAsia="Calibri" w:hAnsi="Calibri"/>
          <w:sz w:val="20"/>
          <w:szCs w:val="20"/>
          <w:color w:val="auto"/>
        </w:rPr>
      </w:pPr>
      <w:r>
        <w:rPr>
          <w:rFonts w:ascii="Calibri" w:cs="Calibri" w:eastAsia="Calibri" w:hAnsi="Calibri"/>
          <w:sz w:val="20"/>
          <w:szCs w:val="20"/>
          <w:color w:val="auto"/>
        </w:rPr>
        <w:t>acquired by a party from a third party or (iv) any improvements, enhancements, modifcatons, derivatve works, or developments of such Intellectual Property Rights described in (i) to (iii).</w:t>
      </w:r>
    </w:p>
    <w:p>
      <w:pPr>
        <w:spacing w:after="0" w:line="265" w:lineRule="exact"/>
        <w:rPr>
          <w:rFonts w:ascii="Calibri" w:cs="Calibri" w:eastAsia="Calibri" w:hAnsi="Calibri"/>
          <w:sz w:val="20"/>
          <w:szCs w:val="20"/>
          <w:color w:val="auto"/>
        </w:rPr>
      </w:pPr>
    </w:p>
    <w:p>
      <w:pPr>
        <w:ind w:left="322" w:right="20" w:hanging="322"/>
        <w:spacing w:after="0" w:line="234" w:lineRule="auto"/>
        <w:tabs>
          <w:tab w:leader="none" w:pos="323" w:val="left"/>
        </w:tabs>
        <w:numPr>
          <w:ilvl w:val="1"/>
          <w:numId w:val="34"/>
        </w:numPr>
        <w:rPr>
          <w:rFonts w:ascii="Calibri" w:cs="Calibri" w:eastAsia="Calibri" w:hAnsi="Calibri"/>
          <w:sz w:val="20"/>
          <w:szCs w:val="20"/>
          <w:color w:val="auto"/>
        </w:rPr>
      </w:pPr>
      <w:r>
        <w:rPr>
          <w:rFonts w:ascii="Calibri" w:cs="Calibri" w:eastAsia="Calibri" w:hAnsi="Calibri"/>
          <w:sz w:val="20"/>
          <w:szCs w:val="20"/>
          <w:b w:val="1"/>
          <w:bCs w:val="1"/>
          <w:color w:val="auto"/>
        </w:rPr>
        <w:t>REPRESENTATIONS AND WARRANTY</w:t>
      </w:r>
      <w:r>
        <w:rPr>
          <w:rFonts w:ascii="Calibri" w:cs="Calibri" w:eastAsia="Calibri" w:hAnsi="Calibri"/>
          <w:sz w:val="20"/>
          <w:szCs w:val="20"/>
          <w:color w:val="auto"/>
        </w:rPr>
        <w:t>. Both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Contractor and Company represent and warrant</w:t>
      </w:r>
    </w:p>
    <w:p>
      <w:pPr>
        <w:sectPr>
          <w:pgSz w:w="11900" w:h="16838" w:orient="portrait"/>
          <w:cols w:equalWidth="0" w:num="2">
            <w:col w:w="5382" w:space="238"/>
            <w:col w:w="4882"/>
          </w:cols>
          <w:pgMar w:left="418" w:top="1440" w:right="979" w:bottom="1440" w:gutter="0" w:footer="0" w:header="0"/>
        </w:sectPr>
      </w:pPr>
    </w:p>
    <w:bookmarkStart w:id="45" w:name="page46"/>
    <w:bookmarkEnd w:id="45"/>
    <w:p>
      <w:pPr>
        <w:spacing w:after="0" w:line="201" w:lineRule="exact"/>
        <w:rPr>
          <w:sz w:val="20"/>
          <w:szCs w:val="20"/>
          <w:color w:val="auto"/>
        </w:rPr>
      </w:pPr>
    </w:p>
    <w:p>
      <w:pPr>
        <w:jc w:val="both"/>
        <w:ind w:left="322"/>
        <w:spacing w:after="0" w:line="242" w:lineRule="auto"/>
        <w:rPr>
          <w:sz w:val="20"/>
          <w:szCs w:val="20"/>
          <w:color w:val="auto"/>
        </w:rPr>
      </w:pPr>
      <w:r>
        <w:rPr>
          <w:rFonts w:ascii="Calibri" w:cs="Calibri" w:eastAsia="Calibri" w:hAnsi="Calibri"/>
          <w:sz w:val="20"/>
          <w:szCs w:val="20"/>
          <w:color w:val="auto"/>
        </w:rPr>
        <w:t>to the other that: (a) such party has the right to enter into this Agreement; (b) such party has no obligatons to any other person or entty which are in confict with such party’s obligatons under this Agreement; (c) such party shall comply with all applicable laws, rules, and regulatons when performing its obligatons hereunder and when using the deliverables and informaton produced under this Agreement; and (d) the performance by the party of its obligatons under this Agreement will not infringe any copyrights, trademarks, trade secrets, rights of privacy or any other rights of any third partes. Contractor represents and warrants to the Company that it shall (a) carry out the Services with reasonable care, skill, and diligence and in a professional and workmanlike manner; (b) not engage in any deceptve, misleading, illegal, or unethical practces; (c) ensure the Services and/or Deliverables will comply with Company’s specifcatons; (d) ensure no assignment has been made to any of the rights in Deliverables; and (d) not use, license, or otherwise permit the use of any .</w:t>
      </w:r>
    </w:p>
    <w:p>
      <w:pPr>
        <w:spacing w:after="0" w:line="268" w:lineRule="exact"/>
        <w:rPr>
          <w:sz w:val="20"/>
          <w:szCs w:val="20"/>
          <w:color w:val="auto"/>
        </w:rPr>
      </w:pPr>
    </w:p>
    <w:p>
      <w:pPr>
        <w:ind w:left="322" w:hanging="322"/>
        <w:spacing w:after="0"/>
        <w:tabs>
          <w:tab w:leader="none" w:pos="322" w:val="left"/>
        </w:tabs>
        <w:numPr>
          <w:ilvl w:val="0"/>
          <w:numId w:val="35"/>
        </w:numPr>
        <w:rPr>
          <w:rFonts w:ascii="Calibri" w:cs="Calibri" w:eastAsia="Calibri" w:hAnsi="Calibri"/>
          <w:sz w:val="20"/>
          <w:szCs w:val="20"/>
          <w:color w:val="auto"/>
        </w:rPr>
      </w:pPr>
      <w:r>
        <w:rPr>
          <w:rFonts w:ascii="Calibri" w:cs="Calibri" w:eastAsia="Calibri" w:hAnsi="Calibri"/>
          <w:sz w:val="20"/>
          <w:szCs w:val="20"/>
          <w:b w:val="1"/>
          <w:bCs w:val="1"/>
          <w:color w:val="auto"/>
        </w:rPr>
        <w:t>INSURANCE</w:t>
      </w:r>
      <w:r>
        <w:rPr>
          <w:rFonts w:ascii="Calibri" w:cs="Calibri" w:eastAsia="Calibri" w:hAnsi="Calibri"/>
          <w:sz w:val="20"/>
          <w:szCs w:val="20"/>
          <w:color w:val="auto"/>
        </w:rPr>
        <w:t>. Contractor shall obtain and maintain during the</w:t>
      </w:r>
    </w:p>
    <w:p>
      <w:pPr>
        <w:spacing w:after="0" w:line="22" w:lineRule="exact"/>
        <w:rPr>
          <w:rFonts w:ascii="Calibri" w:cs="Calibri" w:eastAsia="Calibri" w:hAnsi="Calibri"/>
          <w:sz w:val="20"/>
          <w:szCs w:val="20"/>
          <w:color w:val="auto"/>
        </w:rPr>
      </w:pPr>
    </w:p>
    <w:p>
      <w:pPr>
        <w:ind w:left="322"/>
        <w:spacing w:after="0" w:line="234" w:lineRule="auto"/>
        <w:rPr>
          <w:rFonts w:ascii="Calibri" w:cs="Calibri" w:eastAsia="Calibri" w:hAnsi="Calibri"/>
          <w:sz w:val="20"/>
          <w:szCs w:val="20"/>
          <w:color w:val="auto"/>
        </w:rPr>
      </w:pPr>
      <w:r>
        <w:rPr>
          <w:rFonts w:ascii="Calibri" w:cs="Calibri" w:eastAsia="Calibri" w:hAnsi="Calibri"/>
          <w:sz w:val="20"/>
          <w:szCs w:val="20"/>
          <w:color w:val="auto"/>
        </w:rPr>
        <w:t>term of this Agreement the following minimum insurance coverages:</w:t>
      </w:r>
    </w:p>
    <w:p>
      <w:pPr>
        <w:spacing w:after="0" w:line="23" w:lineRule="exact"/>
        <w:rPr>
          <w:sz w:val="20"/>
          <w:szCs w:val="20"/>
          <w:color w:val="auto"/>
        </w:rPr>
      </w:pPr>
    </w:p>
    <w:p>
      <w:pPr>
        <w:jc w:val="both"/>
        <w:ind w:left="322" w:hanging="323"/>
        <w:spacing w:after="0" w:line="236" w:lineRule="auto"/>
        <w:tabs>
          <w:tab w:leader="none" w:pos="302" w:val="left"/>
        </w:tabs>
        <w:rPr>
          <w:sz w:val="20"/>
          <w:szCs w:val="20"/>
          <w:color w:val="auto"/>
        </w:rPr>
      </w:pPr>
      <w:r>
        <w:rPr>
          <w:rFonts w:ascii="Calibri" w:cs="Calibri" w:eastAsia="Calibri" w:hAnsi="Calibri"/>
          <w:sz w:val="20"/>
          <w:szCs w:val="20"/>
          <w:color w:val="auto"/>
        </w:rPr>
        <w:t>A.</w:t>
        <w:tab/>
        <w:t>Commercial general liability insurance to cover personal injuries, including death, and broad form contractual liability coverage of at least</w:t>
      </w:r>
    </w:p>
    <w:p>
      <w:pPr>
        <w:spacing w:after="0" w:line="22" w:lineRule="exact"/>
        <w:rPr>
          <w:sz w:val="20"/>
          <w:szCs w:val="20"/>
          <w:color w:val="auto"/>
        </w:rPr>
      </w:pPr>
    </w:p>
    <w:p>
      <w:pPr>
        <w:ind w:left="322"/>
        <w:spacing w:after="0" w:line="234" w:lineRule="auto"/>
        <w:rPr>
          <w:sz w:val="20"/>
          <w:szCs w:val="20"/>
          <w:color w:val="auto"/>
        </w:rPr>
      </w:pPr>
      <w:r>
        <w:rPr>
          <w:rFonts w:ascii="Calibri" w:cs="Calibri" w:eastAsia="Calibri" w:hAnsi="Calibri"/>
          <w:sz w:val="20"/>
          <w:szCs w:val="20"/>
          <w:color w:val="auto"/>
        </w:rPr>
        <w:t>$1,000,000 for each person, $1,000,000 for each occurrence and property damage of at least</w:t>
      </w:r>
    </w:p>
    <w:p>
      <w:pPr>
        <w:spacing w:after="0" w:line="14" w:lineRule="exact"/>
        <w:rPr>
          <w:sz w:val="20"/>
          <w:szCs w:val="20"/>
          <w:color w:val="auto"/>
        </w:rPr>
      </w:pPr>
    </w:p>
    <w:p>
      <w:pPr>
        <w:ind w:left="322"/>
        <w:spacing w:after="0"/>
        <w:rPr>
          <w:sz w:val="20"/>
          <w:szCs w:val="20"/>
          <w:color w:val="auto"/>
        </w:rPr>
      </w:pPr>
      <w:r>
        <w:rPr>
          <w:rFonts w:ascii="Calibri" w:cs="Calibri" w:eastAsia="Calibri" w:hAnsi="Calibri"/>
          <w:sz w:val="20"/>
          <w:szCs w:val="20"/>
          <w:color w:val="auto"/>
        </w:rPr>
        <w:t>$250,000 for each occurrence.</w:t>
      </w:r>
    </w:p>
    <w:p>
      <w:pPr>
        <w:ind w:left="322" w:hanging="322"/>
        <w:spacing w:after="0" w:line="238" w:lineRule="auto"/>
        <w:tabs>
          <w:tab w:leader="none" w:pos="322" w:val="left"/>
        </w:tabs>
        <w:numPr>
          <w:ilvl w:val="0"/>
          <w:numId w:val="36"/>
        </w:numPr>
        <w:rPr>
          <w:rFonts w:ascii="Calibri" w:cs="Calibri" w:eastAsia="Calibri" w:hAnsi="Calibri"/>
          <w:sz w:val="20"/>
          <w:szCs w:val="20"/>
          <w:color w:val="auto"/>
        </w:rPr>
      </w:pPr>
      <w:r>
        <w:rPr>
          <w:rFonts w:ascii="Calibri" w:cs="Calibri" w:eastAsia="Calibri" w:hAnsi="Calibri"/>
          <w:sz w:val="20"/>
          <w:szCs w:val="20"/>
          <w:color w:val="auto"/>
        </w:rPr>
        <w:t>Automobile liability insurance to cover personal injuries,</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including death, of at least $300,000 for each person, $500,000 for each occurrence, and property damage of at least $100,000 for each occurrence.</w:t>
      </w:r>
    </w:p>
    <w:p>
      <w:pPr>
        <w:spacing w:after="0" w:line="157" w:lineRule="exact"/>
        <w:rPr>
          <w:rFonts w:ascii="Calibri" w:cs="Calibri" w:eastAsia="Calibri" w:hAnsi="Calibri"/>
          <w:sz w:val="20"/>
          <w:szCs w:val="20"/>
          <w:color w:val="auto"/>
        </w:rPr>
      </w:pPr>
    </w:p>
    <w:p>
      <w:pPr>
        <w:ind w:left="322"/>
        <w:spacing w:after="0" w:line="242" w:lineRule="auto"/>
        <w:rPr>
          <w:rFonts w:ascii="Calibri" w:cs="Calibri" w:eastAsia="Calibri" w:hAnsi="Calibri"/>
          <w:sz w:val="20"/>
          <w:szCs w:val="20"/>
          <w:color w:val="auto"/>
        </w:rPr>
      </w:pPr>
      <w:r>
        <w:rPr>
          <w:rFonts w:ascii="Calibri" w:cs="Calibri" w:eastAsia="Calibri" w:hAnsi="Calibri"/>
          <w:sz w:val="20"/>
          <w:szCs w:val="20"/>
          <w:color w:val="auto"/>
        </w:rPr>
        <w:t>Contractor will provide a certfcate of insurance upon request of Company.</w:t>
      </w:r>
    </w:p>
    <w:p>
      <w:pPr>
        <w:spacing w:after="0" w:line="145" w:lineRule="exact"/>
        <w:rPr>
          <w:rFonts w:ascii="Calibri" w:cs="Calibri" w:eastAsia="Calibri" w:hAnsi="Calibri"/>
          <w:sz w:val="20"/>
          <w:szCs w:val="20"/>
          <w:color w:val="auto"/>
        </w:rPr>
      </w:pPr>
    </w:p>
    <w:p>
      <w:pPr>
        <w:ind w:left="322" w:hanging="322"/>
        <w:spacing w:after="0"/>
        <w:tabs>
          <w:tab w:leader="none" w:pos="322" w:val="left"/>
        </w:tabs>
        <w:numPr>
          <w:ilvl w:val="1"/>
          <w:numId w:val="36"/>
        </w:numPr>
        <w:rPr>
          <w:rFonts w:ascii="Calibri" w:cs="Calibri" w:eastAsia="Calibri" w:hAnsi="Calibri"/>
          <w:sz w:val="20"/>
          <w:szCs w:val="20"/>
          <w:color w:val="auto"/>
        </w:rPr>
      </w:pPr>
      <w:r>
        <w:rPr>
          <w:rFonts w:ascii="Calibri" w:cs="Calibri" w:eastAsia="Calibri" w:hAnsi="Calibri"/>
          <w:sz w:val="20"/>
          <w:szCs w:val="20"/>
          <w:b w:val="1"/>
          <w:bCs w:val="1"/>
          <w:color w:val="auto"/>
        </w:rPr>
        <w:t>INDEMNIFICATION; LIMITATION OF LIABLITY</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left="320" w:right="20" w:hanging="320"/>
        <w:spacing w:after="0" w:line="234" w:lineRule="auto"/>
        <w:tabs>
          <w:tab w:leader="none" w:pos="314" w:val="left"/>
        </w:tabs>
        <w:numPr>
          <w:ilvl w:val="0"/>
          <w:numId w:val="37"/>
        </w:numPr>
        <w:rPr>
          <w:rFonts w:ascii="Calibri" w:cs="Calibri" w:eastAsia="Calibri" w:hAnsi="Calibri"/>
          <w:sz w:val="20"/>
          <w:szCs w:val="20"/>
          <w:color w:val="auto"/>
        </w:rPr>
      </w:pPr>
      <w:r>
        <w:rPr>
          <w:rFonts w:ascii="Calibri" w:cs="Calibri" w:eastAsia="Calibri" w:hAnsi="Calibri"/>
          <w:sz w:val="20"/>
          <w:szCs w:val="20"/>
          <w:color w:val="auto"/>
        </w:rPr>
        <w:t>The Contractor agrees to defend, indemnify, and hold harmless the Company and its directors, ofcers, and</w:t>
      </w:r>
    </w:p>
    <w:p>
      <w:pPr>
        <w:spacing w:after="0" w:line="23" w:lineRule="exact"/>
        <w:rPr>
          <w:rFonts w:ascii="Calibri" w:cs="Calibri" w:eastAsia="Calibri" w:hAnsi="Calibri"/>
          <w:sz w:val="20"/>
          <w:szCs w:val="20"/>
          <w:color w:val="auto"/>
        </w:rPr>
      </w:pPr>
    </w:p>
    <w:p>
      <w:pPr>
        <w:jc w:val="both"/>
        <w:ind w:left="3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employees, from and against any and all third party claims, actons, demands, or legal proceedings, as well as any liabilites, damages, losses, judgments,</w:t>
      </w:r>
    </w:p>
    <w:p>
      <w:pPr>
        <w:spacing w:after="0" w:line="22" w:lineRule="exact"/>
        <w:rPr>
          <w:rFonts w:ascii="Calibri" w:cs="Calibri" w:eastAsia="Calibri" w:hAnsi="Calibri"/>
          <w:sz w:val="20"/>
          <w:szCs w:val="20"/>
          <w:color w:val="auto"/>
        </w:rPr>
      </w:pPr>
    </w:p>
    <w:p>
      <w:pPr>
        <w:jc w:val="both"/>
        <w:ind w:left="320"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setlements, costs or expenses, including without limitaton atorneys’ fees incurred by Company to the extent such liabilites, damages, losses, judgments,</w:t>
      </w:r>
    </w:p>
    <w:p>
      <w:pPr>
        <w:spacing w:after="0" w:line="22" w:lineRule="exact"/>
        <w:rPr>
          <w:rFonts w:ascii="Calibri" w:cs="Calibri" w:eastAsia="Calibri" w:hAnsi="Calibri"/>
          <w:sz w:val="20"/>
          <w:szCs w:val="20"/>
          <w:color w:val="auto"/>
        </w:rPr>
      </w:pPr>
    </w:p>
    <w:p>
      <w:pPr>
        <w:jc w:val="both"/>
        <w:ind w:left="3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setlements, costs or expenses resultng from the Contractor’s acts or omissions pursuant to this Agreement.</w:t>
      </w:r>
    </w:p>
    <w:p>
      <w:pPr>
        <w:spacing w:after="0" w:line="22" w:lineRule="exact"/>
        <w:rPr>
          <w:rFonts w:ascii="Calibri" w:cs="Calibri" w:eastAsia="Calibri" w:hAnsi="Calibri"/>
          <w:sz w:val="20"/>
          <w:szCs w:val="20"/>
          <w:color w:val="auto"/>
        </w:rPr>
      </w:pPr>
    </w:p>
    <w:p>
      <w:pPr>
        <w:jc w:val="both"/>
        <w:ind w:left="320" w:right="20" w:hanging="320"/>
        <w:spacing w:after="0" w:line="236" w:lineRule="auto"/>
        <w:tabs>
          <w:tab w:leader="none" w:pos="319" w:val="left"/>
        </w:tabs>
        <w:numPr>
          <w:ilvl w:val="0"/>
          <w:numId w:val="37"/>
        </w:numPr>
        <w:rPr>
          <w:rFonts w:ascii="Calibri" w:cs="Calibri" w:eastAsia="Calibri" w:hAnsi="Calibri"/>
          <w:sz w:val="20"/>
          <w:szCs w:val="20"/>
          <w:color w:val="auto"/>
        </w:rPr>
      </w:pPr>
      <w:r>
        <w:rPr>
          <w:rFonts w:ascii="Calibri" w:cs="Calibri" w:eastAsia="Calibri" w:hAnsi="Calibri"/>
          <w:sz w:val="20"/>
          <w:szCs w:val="20"/>
          <w:color w:val="auto"/>
        </w:rPr>
        <w:t>Unless otherwise agreed to in a SOW, the Contractor does not provide legal, regulatory, or tax advice regarding its Services or deliverables. The Company</w:t>
      </w:r>
    </w:p>
    <w:p>
      <w:pPr>
        <w:spacing w:after="0" w:line="22" w:lineRule="exact"/>
        <w:rPr>
          <w:rFonts w:ascii="Calibri" w:cs="Calibri" w:eastAsia="Calibri" w:hAnsi="Calibri"/>
          <w:sz w:val="20"/>
          <w:szCs w:val="20"/>
          <w:color w:val="auto"/>
        </w:rPr>
      </w:pPr>
    </w:p>
    <w:p>
      <w:pPr>
        <w:jc w:val="both"/>
        <w:ind w:left="3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agrees that it will seek the advice of its own counsel and tax advisors regarding any legal, regulatory or tax implicatons associated with implementng the results</w:t>
      </w:r>
    </w:p>
    <w:p>
      <w:pPr>
        <w:spacing w:after="0" w:line="22" w:lineRule="exact"/>
        <w:rPr>
          <w:rFonts w:ascii="Calibri" w:cs="Calibri" w:eastAsia="Calibri" w:hAnsi="Calibri"/>
          <w:sz w:val="20"/>
          <w:szCs w:val="20"/>
          <w:color w:val="auto"/>
        </w:rPr>
      </w:pPr>
    </w:p>
    <w:p>
      <w:pPr>
        <w:ind w:left="320"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of the Contractor’s Services or with utlizing any of the deliverables provided by Contractor.</w:t>
      </w:r>
    </w:p>
    <w:p>
      <w:pPr>
        <w:spacing w:after="0" w:line="1" w:lineRule="exact"/>
        <w:rPr>
          <w:rFonts w:ascii="Calibri" w:cs="Calibri" w:eastAsia="Calibri" w:hAnsi="Calibri"/>
          <w:sz w:val="20"/>
          <w:szCs w:val="20"/>
          <w:color w:val="auto"/>
        </w:rPr>
      </w:pPr>
    </w:p>
    <w:p>
      <w:pPr>
        <w:ind w:left="320" w:hanging="320"/>
        <w:spacing w:after="0" w:line="238" w:lineRule="auto"/>
        <w:tabs>
          <w:tab w:leader="none" w:pos="320" w:val="left"/>
        </w:tabs>
        <w:numPr>
          <w:ilvl w:val="0"/>
          <w:numId w:val="37"/>
        </w:numPr>
        <w:rPr>
          <w:rFonts w:ascii="Calibri" w:cs="Calibri" w:eastAsia="Calibri" w:hAnsi="Calibri"/>
          <w:sz w:val="20"/>
          <w:szCs w:val="20"/>
          <w:color w:val="auto"/>
        </w:rPr>
      </w:pPr>
      <w:r>
        <w:rPr>
          <w:rFonts w:ascii="Calibri" w:cs="Calibri" w:eastAsia="Calibri" w:hAnsi="Calibri"/>
          <w:sz w:val="20"/>
          <w:szCs w:val="20"/>
          <w:color w:val="auto"/>
        </w:rPr>
        <w:t>NOTWITHSTANDING THE FOREGOING, NEITHER PARTY</w:t>
      </w:r>
    </w:p>
    <w:p>
      <w:pPr>
        <w:spacing w:after="0" w:line="22" w:lineRule="exact"/>
        <w:rPr>
          <w:rFonts w:ascii="Calibri" w:cs="Calibri" w:eastAsia="Calibri" w:hAnsi="Calibri"/>
          <w:sz w:val="20"/>
          <w:szCs w:val="20"/>
          <w:color w:val="auto"/>
        </w:rPr>
      </w:pPr>
    </w:p>
    <w:p>
      <w:pPr>
        <w:jc w:val="both"/>
        <w:ind w:left="320"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SHALL BE LIABLE FOR ANY INDIRECT, INCIDENTAL, OR CONSEQUENTIAL DAMAGES OF ANY TYPE, INCLUDING LOST PROFITS, OR LOST DATA, ARISING OUT OF OR IN</w:t>
      </w:r>
    </w:p>
    <w:p>
      <w:pPr>
        <w:spacing w:after="0" w:line="22" w:lineRule="exact"/>
        <w:rPr>
          <w:rFonts w:ascii="Calibri" w:cs="Calibri" w:eastAsia="Calibri" w:hAnsi="Calibri"/>
          <w:sz w:val="20"/>
          <w:szCs w:val="20"/>
          <w:color w:val="auto"/>
        </w:rPr>
      </w:pPr>
    </w:p>
    <w:p>
      <w:pPr>
        <w:jc w:val="both"/>
        <w:ind w:left="320"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CONNECTION WITH THIS AGREEMENT EVEN IF A PARTY HAS BEEN ADVISED OF THE POSSIBILITY OF SUCH DAMAGES.</w:t>
      </w:r>
    </w:p>
    <w:p>
      <w:pPr>
        <w:spacing w:after="0" w:line="279" w:lineRule="exact"/>
        <w:rPr>
          <w:sz w:val="20"/>
          <w:szCs w:val="20"/>
          <w:color w:val="auto"/>
        </w:rPr>
      </w:pPr>
    </w:p>
    <w:p>
      <w:pPr>
        <w:jc w:val="both"/>
        <w:ind w:left="320" w:right="20" w:hanging="320"/>
        <w:spacing w:after="0" w:line="234" w:lineRule="auto"/>
        <w:tabs>
          <w:tab w:leader="none" w:pos="320" w:val="left"/>
        </w:tabs>
        <w:numPr>
          <w:ilvl w:val="0"/>
          <w:numId w:val="38"/>
        </w:numPr>
        <w:rPr>
          <w:rFonts w:ascii="Calibri" w:cs="Calibri" w:eastAsia="Calibri" w:hAnsi="Calibri"/>
          <w:sz w:val="20"/>
          <w:szCs w:val="20"/>
          <w:color w:val="auto"/>
        </w:rPr>
      </w:pPr>
      <w:r>
        <w:rPr>
          <w:rFonts w:ascii="Calibri" w:cs="Calibri" w:eastAsia="Calibri" w:hAnsi="Calibri"/>
          <w:sz w:val="20"/>
          <w:szCs w:val="20"/>
          <w:b w:val="1"/>
          <w:bCs w:val="1"/>
          <w:color w:val="auto"/>
        </w:rPr>
        <w:t>ASSIGNMENT</w:t>
      </w:r>
      <w:r>
        <w:rPr>
          <w:rFonts w:ascii="Calibri" w:cs="Calibri" w:eastAsia="Calibri" w:hAnsi="Calibri"/>
          <w:sz w:val="20"/>
          <w:szCs w:val="20"/>
          <w:color w:val="auto"/>
        </w:rPr>
        <w:t>. Neither party shall assign its rights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delegate its dutes under this Agreement without the</w:t>
      </w:r>
    </w:p>
    <w:p>
      <w:pPr>
        <w:spacing w:after="0" w:line="23" w:lineRule="exact"/>
        <w:rPr>
          <w:rFonts w:ascii="Calibri" w:cs="Calibri" w:eastAsia="Calibri" w:hAnsi="Calibri"/>
          <w:sz w:val="20"/>
          <w:szCs w:val="20"/>
          <w:color w:val="auto"/>
        </w:rPr>
      </w:pPr>
    </w:p>
    <w:p>
      <w:pPr>
        <w:jc w:val="both"/>
        <w:ind w:left="320" w:right="20"/>
        <w:spacing w:after="0"/>
        <w:rPr>
          <w:rFonts w:ascii="Calibri" w:cs="Calibri" w:eastAsia="Calibri" w:hAnsi="Calibri"/>
          <w:sz w:val="20"/>
          <w:szCs w:val="20"/>
          <w:color w:val="auto"/>
        </w:rPr>
      </w:pPr>
      <w:r>
        <w:rPr>
          <w:rFonts w:ascii="Calibri" w:cs="Calibri" w:eastAsia="Calibri" w:hAnsi="Calibri"/>
          <w:sz w:val="20"/>
          <w:szCs w:val="20"/>
          <w:color w:val="auto"/>
        </w:rPr>
        <w:t>other party’s prior writen consent. Any assignment or transfer of this Agreement or any interest in this Agreement without the non-assigning party’s prior writen consent shall be null and void.</w:t>
      </w:r>
    </w:p>
    <w:p>
      <w:pPr>
        <w:spacing w:after="0" w:line="265" w:lineRule="exact"/>
        <w:rPr>
          <w:rFonts w:ascii="Calibri" w:cs="Calibri" w:eastAsia="Calibri" w:hAnsi="Calibri"/>
          <w:sz w:val="20"/>
          <w:szCs w:val="20"/>
          <w:color w:val="auto"/>
        </w:rPr>
      </w:pPr>
    </w:p>
    <w:p>
      <w:pPr>
        <w:jc w:val="both"/>
        <w:ind w:left="320" w:right="20" w:hanging="320"/>
        <w:spacing w:after="0" w:line="234" w:lineRule="auto"/>
        <w:tabs>
          <w:tab w:leader="none" w:pos="320" w:val="left"/>
        </w:tabs>
        <w:numPr>
          <w:ilvl w:val="0"/>
          <w:numId w:val="38"/>
        </w:numPr>
        <w:rPr>
          <w:rFonts w:ascii="Calibri" w:cs="Calibri" w:eastAsia="Calibri" w:hAnsi="Calibri"/>
          <w:sz w:val="20"/>
          <w:szCs w:val="20"/>
          <w:color w:val="auto"/>
        </w:rPr>
      </w:pPr>
      <w:r>
        <w:rPr>
          <w:rFonts w:ascii="Calibri" w:cs="Calibri" w:eastAsia="Calibri" w:hAnsi="Calibri"/>
          <w:sz w:val="20"/>
          <w:szCs w:val="20"/>
          <w:b w:val="1"/>
          <w:bCs w:val="1"/>
          <w:color w:val="auto"/>
        </w:rPr>
        <w:t>DATA PRIVACY</w:t>
      </w:r>
      <w:r>
        <w:rPr>
          <w:rFonts w:ascii="Calibri" w:cs="Calibri" w:eastAsia="Calibri" w:hAnsi="Calibri"/>
          <w:sz w:val="20"/>
          <w:szCs w:val="20"/>
          <w:color w:val="auto"/>
        </w:rPr>
        <w:t>. If applicable, Company and Contractor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shall enter into a data processing agreement (the</w:t>
      </w:r>
    </w:p>
    <w:p>
      <w:pPr>
        <w:spacing w:after="0" w:line="23" w:lineRule="exact"/>
        <w:rPr>
          <w:rFonts w:ascii="Calibri" w:cs="Calibri" w:eastAsia="Calibri" w:hAnsi="Calibri"/>
          <w:sz w:val="20"/>
          <w:szCs w:val="20"/>
          <w:color w:val="auto"/>
        </w:rPr>
      </w:pPr>
    </w:p>
    <w:p>
      <w:pPr>
        <w:jc w:val="both"/>
        <w:ind w:left="320" w:right="20"/>
        <w:spacing w:after="0"/>
        <w:rPr>
          <w:rFonts w:ascii="Calibri" w:cs="Calibri" w:eastAsia="Calibri" w:hAnsi="Calibri"/>
          <w:sz w:val="20"/>
          <w:szCs w:val="20"/>
          <w:color w:val="auto"/>
        </w:rPr>
      </w:pPr>
      <w:r>
        <w:rPr>
          <w:rFonts w:ascii="Calibri" w:cs="Calibri" w:eastAsia="Calibri" w:hAnsi="Calibri"/>
          <w:sz w:val="20"/>
          <w:szCs w:val="20"/>
          <w:color w:val="auto"/>
        </w:rPr>
        <w:t>“DPA”), which governs the processing of any personal data that Company provides to Contractor in connecton with the Services and the processing of any personal data</w:t>
      </w:r>
    </w:p>
    <w:p>
      <w:pPr>
        <w:sectPr>
          <w:pgSz w:w="11900" w:h="16838" w:orient="portrait"/>
          <w:cols w:equalWidth="0" w:num="2">
            <w:col w:w="5362" w:space="260"/>
            <w:col w:w="4880"/>
          </w:cols>
          <w:pgMar w:left="418" w:top="1440" w:right="979" w:bottom="1440" w:gutter="0" w:footer="0" w:header="0"/>
        </w:sectPr>
      </w:pPr>
    </w:p>
    <w:bookmarkStart w:id="46" w:name="page47"/>
    <w:bookmarkEnd w:id="46"/>
    <w:p>
      <w:pPr>
        <w:spacing w:after="0" w:line="41" w:lineRule="exact"/>
        <w:rPr>
          <w:sz w:val="20"/>
          <w:szCs w:val="20"/>
          <w:color w:val="auto"/>
        </w:rPr>
      </w:pPr>
    </w:p>
    <w:p>
      <w:pPr>
        <w:jc w:val="both"/>
        <w:ind w:left="322"/>
        <w:spacing w:after="0"/>
        <w:rPr>
          <w:sz w:val="20"/>
          <w:szCs w:val="20"/>
          <w:color w:val="auto"/>
        </w:rPr>
      </w:pPr>
      <w:r>
        <w:rPr>
          <w:rFonts w:ascii="Calibri" w:cs="Calibri" w:eastAsia="Calibri" w:hAnsi="Calibri"/>
          <w:sz w:val="20"/>
          <w:szCs w:val="20"/>
          <w:color w:val="auto"/>
        </w:rPr>
        <w:t>that Contractor provides to Company in connecton with the Services. In the event of any confict or inconsistency between the terms of the DPA and this Agreement, the provisions of the DPA shall prevail.</w:t>
      </w:r>
    </w:p>
    <w:p>
      <w:pPr>
        <w:spacing w:after="0" w:line="279" w:lineRule="exact"/>
        <w:rPr>
          <w:sz w:val="20"/>
          <w:szCs w:val="20"/>
          <w:color w:val="auto"/>
        </w:rPr>
      </w:pPr>
    </w:p>
    <w:p>
      <w:pPr>
        <w:jc w:val="both"/>
        <w:ind w:left="322" w:hanging="322"/>
        <w:spacing w:after="0" w:line="234" w:lineRule="auto"/>
        <w:tabs>
          <w:tab w:leader="none" w:pos="322" w:val="left"/>
        </w:tabs>
        <w:numPr>
          <w:ilvl w:val="0"/>
          <w:numId w:val="39"/>
        </w:numPr>
        <w:rPr>
          <w:rFonts w:ascii="Calibri" w:cs="Calibri" w:eastAsia="Calibri" w:hAnsi="Calibri"/>
          <w:sz w:val="20"/>
          <w:szCs w:val="20"/>
          <w:color w:val="auto"/>
        </w:rPr>
      </w:pPr>
      <w:r>
        <w:rPr>
          <w:rFonts w:ascii="Calibri" w:cs="Calibri" w:eastAsia="Calibri" w:hAnsi="Calibri"/>
          <w:sz w:val="20"/>
          <w:szCs w:val="20"/>
          <w:b w:val="1"/>
          <w:bCs w:val="1"/>
          <w:color w:val="auto"/>
        </w:rPr>
        <w:t>ENTIRE AGREEMENT</w:t>
      </w:r>
      <w:r>
        <w:rPr>
          <w:rFonts w:ascii="Calibri" w:cs="Calibri" w:eastAsia="Calibri" w:hAnsi="Calibri"/>
          <w:sz w:val="20"/>
          <w:szCs w:val="20"/>
          <w:color w:val="auto"/>
        </w:rPr>
        <w:t>. This Agreement, the executed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Statement(s) of Work, and any referenced Exhibits issued</w:t>
      </w:r>
    </w:p>
    <w:p>
      <w:pPr>
        <w:spacing w:after="0" w:line="23"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pursuant to this Agreement shall consttute the entre understanding between the Company and Contractor with regard to the subject mater hereof and all other prior or</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contemporaneous representatves, warrantes, covenant, or agreements between the Company and Contractor, or its representatves, with respect to the subject mater shall be</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superseded. In the event that any writen document conficts with a provision or the intent of this Agreement, this Agreement shall control unless the confictng document is</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signed and atached to this Agreement and explicitly states that its terms govern in the event of confict with this Agreement.</w:t>
      </w:r>
    </w:p>
    <w:p>
      <w:pPr>
        <w:spacing w:after="0" w:line="278" w:lineRule="exact"/>
        <w:rPr>
          <w:rFonts w:ascii="Calibri" w:cs="Calibri" w:eastAsia="Calibri" w:hAnsi="Calibri"/>
          <w:sz w:val="20"/>
          <w:szCs w:val="20"/>
          <w:color w:val="auto"/>
        </w:rPr>
      </w:pPr>
    </w:p>
    <w:p>
      <w:pPr>
        <w:jc w:val="both"/>
        <w:ind w:left="322" w:hanging="322"/>
        <w:spacing w:after="0" w:line="236" w:lineRule="auto"/>
        <w:tabs>
          <w:tab w:leader="none" w:pos="322" w:val="left"/>
        </w:tabs>
        <w:numPr>
          <w:ilvl w:val="0"/>
          <w:numId w:val="39"/>
        </w:numPr>
        <w:rPr>
          <w:rFonts w:ascii="Calibri" w:cs="Calibri" w:eastAsia="Calibri" w:hAnsi="Calibri"/>
          <w:sz w:val="20"/>
          <w:szCs w:val="20"/>
          <w:color w:val="auto"/>
        </w:rPr>
      </w:pPr>
      <w:r>
        <w:rPr>
          <w:rFonts w:ascii="Calibri" w:cs="Calibri" w:eastAsia="Calibri" w:hAnsi="Calibri"/>
          <w:sz w:val="20"/>
          <w:szCs w:val="20"/>
          <w:b w:val="1"/>
          <w:bCs w:val="1"/>
          <w:color w:val="auto"/>
        </w:rPr>
        <w:t>DISPUTE RESOLUTION</w:t>
      </w:r>
      <w:r>
        <w:rPr>
          <w:rFonts w:ascii="Calibri" w:cs="Calibri" w:eastAsia="Calibri" w:hAnsi="Calibri"/>
          <w:sz w:val="20"/>
          <w:szCs w:val="20"/>
          <w:color w:val="auto"/>
        </w:rPr>
        <w:t>. The Company and Contractor shall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atempt to resolve any controversy, claim, or dispute (“Dispute”) that arises out of or is related to this Agreement</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through good faith negotatons. Any Dispute not resolved within thirty (30) days of writen notce of the Dispute shall become subject to mediaton pursuant to the Commercial</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Mediaton Rules of the American Arbitraton Associaton using a mediator with a background in the industry or subject mater of the Dispute. Mediator costs and fees shall be</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shared equally. If despite the good faith eforts of the partes, the Dispute has not been resolved by the mediaton process within sixty (60) days afer commencement of the process,</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litgaton may be initated. The procedures of this secton are exclusive and must be fully exhausted prior to the initaton of litgaton. Notwithstanding the</w:t>
      </w:r>
    </w:p>
    <w:p>
      <w:pPr>
        <w:spacing w:after="0" w:line="20" w:lineRule="exact"/>
        <w:rPr>
          <w:sz w:val="20"/>
          <w:szCs w:val="20"/>
          <w:color w:val="auto"/>
        </w:rPr>
      </w:pPr>
      <w:r>
        <w:rPr>
          <w:sz w:val="20"/>
          <w:szCs w:val="20"/>
          <w:color w:val="auto"/>
        </w:rPr>
        <w:br w:type="column"/>
      </w:r>
    </w:p>
    <w:p>
      <w:pPr>
        <w:jc w:val="both"/>
        <w:ind w:left="320" w:right="20"/>
        <w:spacing w:after="0"/>
        <w:rPr>
          <w:sz w:val="20"/>
          <w:szCs w:val="20"/>
          <w:color w:val="auto"/>
        </w:rPr>
      </w:pPr>
      <w:r>
        <w:rPr>
          <w:rFonts w:ascii="Calibri" w:cs="Calibri" w:eastAsia="Calibri" w:hAnsi="Calibri"/>
          <w:sz w:val="20"/>
          <w:szCs w:val="20"/>
          <w:color w:val="auto"/>
        </w:rPr>
        <w:t>foregoing, nothing in this secton shall preclude either party from taking any acton necessary to prevent imminent and irreparable harm.</w:t>
      </w:r>
    </w:p>
    <w:p>
      <w:pPr>
        <w:spacing w:after="0" w:line="280" w:lineRule="exact"/>
        <w:rPr>
          <w:sz w:val="20"/>
          <w:szCs w:val="20"/>
          <w:color w:val="auto"/>
        </w:rPr>
      </w:pPr>
    </w:p>
    <w:p>
      <w:pPr>
        <w:jc w:val="both"/>
        <w:ind w:left="320" w:hanging="320"/>
        <w:spacing w:after="0" w:line="236" w:lineRule="auto"/>
        <w:tabs>
          <w:tab w:leader="none" w:pos="321" w:val="left"/>
        </w:tabs>
        <w:numPr>
          <w:ilvl w:val="0"/>
          <w:numId w:val="40"/>
        </w:numPr>
        <w:rPr>
          <w:rFonts w:ascii="Calibri" w:cs="Calibri" w:eastAsia="Calibri" w:hAnsi="Calibri"/>
          <w:sz w:val="20"/>
          <w:szCs w:val="20"/>
          <w:color w:val="auto"/>
        </w:rPr>
      </w:pPr>
      <w:r>
        <w:rPr>
          <w:rFonts w:ascii="Calibri" w:cs="Calibri" w:eastAsia="Calibri" w:hAnsi="Calibri"/>
          <w:sz w:val="20"/>
          <w:szCs w:val="20"/>
          <w:b w:val="1"/>
          <w:bCs w:val="1"/>
          <w:color w:val="auto"/>
        </w:rPr>
        <w:t>GOVERNING LAW; JURISDICTION</w:t>
      </w:r>
      <w:r>
        <w:rPr>
          <w:rFonts w:ascii="Calibri" w:cs="Calibri" w:eastAsia="Calibri" w:hAnsi="Calibri"/>
          <w:sz w:val="20"/>
          <w:szCs w:val="20"/>
          <w:color w:val="auto"/>
        </w:rPr>
        <w:t>. This Agreement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shall be governed by and construed in accordance with the laws of the State of Delaware and the federal laws</w:t>
      </w:r>
    </w:p>
    <w:p>
      <w:pPr>
        <w:spacing w:after="0" w:line="22" w:lineRule="exact"/>
        <w:rPr>
          <w:rFonts w:ascii="Calibri" w:cs="Calibri" w:eastAsia="Calibri" w:hAnsi="Calibri"/>
          <w:sz w:val="20"/>
          <w:szCs w:val="20"/>
          <w:color w:val="auto"/>
        </w:rPr>
      </w:pPr>
    </w:p>
    <w:p>
      <w:pPr>
        <w:jc w:val="both"/>
        <w:ind w:left="320"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of the United States of America. The partes consent to personal and exclusive jurisdicton of the federal and state courts of New Hanover County, North Carolina.</w:t>
      </w:r>
    </w:p>
    <w:p>
      <w:pPr>
        <w:spacing w:after="0" w:line="279" w:lineRule="exact"/>
        <w:rPr>
          <w:sz w:val="20"/>
          <w:szCs w:val="20"/>
          <w:color w:val="auto"/>
        </w:rPr>
      </w:pPr>
    </w:p>
    <w:p>
      <w:pPr>
        <w:jc w:val="both"/>
        <w:ind w:left="320" w:right="20" w:hanging="322"/>
        <w:spacing w:after="0"/>
        <w:rPr>
          <w:sz w:val="20"/>
          <w:szCs w:val="20"/>
          <w:color w:val="auto"/>
        </w:rPr>
      </w:pPr>
      <w:r>
        <w:rPr>
          <w:rFonts w:ascii="Calibri" w:cs="Calibri" w:eastAsia="Calibri" w:hAnsi="Calibri"/>
          <w:sz w:val="20"/>
          <w:szCs w:val="20"/>
          <w:color w:val="auto"/>
        </w:rPr>
        <w:t xml:space="preserve">22. </w:t>
      </w:r>
      <w:r>
        <w:rPr>
          <w:rFonts w:ascii="Calibri" w:cs="Calibri" w:eastAsia="Calibri" w:hAnsi="Calibri"/>
          <w:sz w:val="20"/>
          <w:szCs w:val="20"/>
          <w:b w:val="1"/>
          <w:bCs w:val="1"/>
          <w:color w:val="auto"/>
        </w:rPr>
        <w:t>MODIFICATIONS;</w:t>
      </w:r>
      <w:r>
        <w:rPr>
          <w:sz w:val="20"/>
          <w:szCs w:val="20"/>
          <w:color w:val="auto"/>
        </w:rPr>
        <w:t xml:space="preserve"> </w:t>
      </w:r>
      <w:r>
        <w:rPr>
          <w:rFonts w:ascii="Calibri" w:cs="Calibri" w:eastAsia="Calibri" w:hAnsi="Calibri"/>
          <w:sz w:val="20"/>
          <w:szCs w:val="20"/>
          <w:b w:val="1"/>
          <w:bCs w:val="1"/>
          <w:color w:val="auto"/>
        </w:rPr>
        <w:t>AMENDMENTS</w:t>
      </w:r>
      <w:r>
        <w:rPr>
          <w:rFonts w:ascii="Calibri" w:cs="Calibri" w:eastAsia="Calibri" w:hAnsi="Calibri"/>
          <w:sz w:val="20"/>
          <w:szCs w:val="20"/>
          <w:color w:val="auto"/>
        </w:rPr>
        <w:t>. No modifcaton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amendment to this Agreement shall be efectve unless made in writng and signed by both the Company and Contractor.</w:t>
      </w:r>
    </w:p>
    <w:p>
      <w:pPr>
        <w:spacing w:after="0" w:line="200" w:lineRule="exact"/>
        <w:rPr>
          <w:sz w:val="20"/>
          <w:szCs w:val="20"/>
          <w:color w:val="auto"/>
        </w:rPr>
      </w:pPr>
    </w:p>
    <w:p>
      <w:pPr>
        <w:spacing w:after="0" w:line="323" w:lineRule="exact"/>
        <w:rPr>
          <w:sz w:val="20"/>
          <w:szCs w:val="20"/>
          <w:color w:val="auto"/>
        </w:rPr>
      </w:pPr>
    </w:p>
    <w:p>
      <w:pPr>
        <w:jc w:val="both"/>
        <w:ind w:left="320" w:hanging="320"/>
        <w:spacing w:after="0" w:line="236" w:lineRule="auto"/>
        <w:tabs>
          <w:tab w:leader="none" w:pos="321" w:val="left"/>
        </w:tabs>
        <w:numPr>
          <w:ilvl w:val="0"/>
          <w:numId w:val="41"/>
        </w:numPr>
        <w:rPr>
          <w:rFonts w:ascii="Calibri" w:cs="Calibri" w:eastAsia="Calibri" w:hAnsi="Calibri"/>
          <w:sz w:val="20"/>
          <w:szCs w:val="20"/>
          <w:color w:val="auto"/>
        </w:rPr>
      </w:pPr>
      <w:r>
        <w:rPr>
          <w:rFonts w:ascii="Calibri" w:cs="Calibri" w:eastAsia="Calibri" w:hAnsi="Calibri"/>
          <w:sz w:val="20"/>
          <w:szCs w:val="20"/>
          <w:b w:val="1"/>
          <w:bCs w:val="1"/>
          <w:color w:val="auto"/>
        </w:rPr>
        <w:t>COUNTERPARTS; ELECTRONIC SIGNATURE &amp; COPIES</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This Agreement may be executed in multple counterparts, each of which will be deemed an original</w:t>
      </w:r>
    </w:p>
    <w:p>
      <w:pPr>
        <w:spacing w:after="0" w:line="22" w:lineRule="exact"/>
        <w:rPr>
          <w:rFonts w:ascii="Calibri" w:cs="Calibri" w:eastAsia="Calibri" w:hAnsi="Calibri"/>
          <w:sz w:val="20"/>
          <w:szCs w:val="20"/>
          <w:color w:val="auto"/>
        </w:rPr>
      </w:pPr>
    </w:p>
    <w:p>
      <w:pPr>
        <w:jc w:val="both"/>
        <w:ind w:left="3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but all of which together will consttute one and the same instrument. A party may execute this Agreement by an electronic and/or facsimile signature and may</w:t>
      </w:r>
    </w:p>
    <w:p>
      <w:pPr>
        <w:spacing w:after="0" w:line="22" w:lineRule="exact"/>
        <w:rPr>
          <w:rFonts w:ascii="Calibri" w:cs="Calibri" w:eastAsia="Calibri" w:hAnsi="Calibri"/>
          <w:sz w:val="20"/>
          <w:szCs w:val="20"/>
          <w:color w:val="auto"/>
        </w:rPr>
      </w:pPr>
    </w:p>
    <w:p>
      <w:pPr>
        <w:jc w:val="both"/>
        <w:ind w:left="320"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deliver a signed copy of this Agreement in PDF or other electronic form, and such signatures and electronic copies will be deemed to bind the party in the same</w:t>
      </w:r>
    </w:p>
    <w:p>
      <w:pPr>
        <w:spacing w:after="0" w:line="22" w:lineRule="exact"/>
        <w:rPr>
          <w:rFonts w:ascii="Calibri" w:cs="Calibri" w:eastAsia="Calibri" w:hAnsi="Calibri"/>
          <w:sz w:val="20"/>
          <w:szCs w:val="20"/>
          <w:color w:val="auto"/>
        </w:rPr>
      </w:pPr>
    </w:p>
    <w:p>
      <w:pPr>
        <w:ind w:left="320"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manner as physical delivery of a counterpart of this Agreement bearing an original printed signature.</w:t>
      </w:r>
    </w:p>
    <w:p>
      <w:pPr>
        <w:spacing w:after="0" w:line="279" w:lineRule="exact"/>
        <w:rPr>
          <w:rFonts w:ascii="Calibri" w:cs="Calibri" w:eastAsia="Calibri" w:hAnsi="Calibri"/>
          <w:sz w:val="20"/>
          <w:szCs w:val="20"/>
          <w:color w:val="auto"/>
        </w:rPr>
      </w:pPr>
    </w:p>
    <w:p>
      <w:pPr>
        <w:jc w:val="both"/>
        <w:ind w:left="320" w:right="20" w:hanging="320"/>
        <w:spacing w:after="0" w:line="236" w:lineRule="auto"/>
        <w:tabs>
          <w:tab w:leader="none" w:pos="320" w:val="left"/>
        </w:tabs>
        <w:numPr>
          <w:ilvl w:val="0"/>
          <w:numId w:val="41"/>
        </w:numPr>
        <w:rPr>
          <w:rFonts w:ascii="Calibri" w:cs="Calibri" w:eastAsia="Calibri" w:hAnsi="Calibri"/>
          <w:sz w:val="20"/>
          <w:szCs w:val="20"/>
          <w:color w:val="auto"/>
        </w:rPr>
      </w:pPr>
      <w:r>
        <w:rPr>
          <w:rFonts w:ascii="Calibri" w:cs="Calibri" w:eastAsia="Calibri" w:hAnsi="Calibri"/>
          <w:sz w:val="20"/>
          <w:szCs w:val="20"/>
          <w:b w:val="1"/>
          <w:bCs w:val="1"/>
          <w:color w:val="auto"/>
        </w:rPr>
        <w:t>WAIVER</w:t>
      </w:r>
      <w:r>
        <w:rPr>
          <w:rFonts w:ascii="Calibri" w:cs="Calibri" w:eastAsia="Calibri" w:hAnsi="Calibri"/>
          <w:sz w:val="20"/>
          <w:szCs w:val="20"/>
          <w:color w:val="auto"/>
        </w:rPr>
        <w:t>. The failure of either party to enforce at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tme for any period any provision hereof shall not be construed to be a waiver of such provision or of the</w:t>
      </w:r>
    </w:p>
    <w:p>
      <w:pPr>
        <w:spacing w:after="0" w:line="22" w:lineRule="exact"/>
        <w:rPr>
          <w:rFonts w:ascii="Calibri" w:cs="Calibri" w:eastAsia="Calibri" w:hAnsi="Calibri"/>
          <w:sz w:val="20"/>
          <w:szCs w:val="20"/>
          <w:color w:val="auto"/>
        </w:rPr>
      </w:pPr>
    </w:p>
    <w:p>
      <w:pPr>
        <w:jc w:val="both"/>
        <w:ind w:left="320"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right of such party thereafer to enforce such provision, nor shall any single or partal exercise of any right or remedy hereunder preclude any other or further</w:t>
      </w:r>
    </w:p>
    <w:p>
      <w:pPr>
        <w:spacing w:after="0" w:line="22" w:lineRule="exact"/>
        <w:rPr>
          <w:rFonts w:ascii="Calibri" w:cs="Calibri" w:eastAsia="Calibri" w:hAnsi="Calibri"/>
          <w:sz w:val="20"/>
          <w:szCs w:val="20"/>
          <w:color w:val="auto"/>
        </w:rPr>
      </w:pPr>
    </w:p>
    <w:p>
      <w:pPr>
        <w:ind w:left="320"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exercise thereof or the exercise of any other right or remedy.</w:t>
      </w:r>
    </w:p>
    <w:p>
      <w:pPr>
        <w:spacing w:after="0" w:line="279" w:lineRule="exact"/>
        <w:rPr>
          <w:rFonts w:ascii="Calibri" w:cs="Calibri" w:eastAsia="Calibri" w:hAnsi="Calibri"/>
          <w:sz w:val="20"/>
          <w:szCs w:val="20"/>
          <w:color w:val="auto"/>
        </w:rPr>
      </w:pPr>
    </w:p>
    <w:p>
      <w:pPr>
        <w:jc w:val="both"/>
        <w:ind w:left="320" w:hanging="320"/>
        <w:spacing w:after="0" w:line="231" w:lineRule="auto"/>
        <w:tabs>
          <w:tab w:leader="none" w:pos="321" w:val="left"/>
        </w:tabs>
        <w:numPr>
          <w:ilvl w:val="0"/>
          <w:numId w:val="41"/>
        </w:numPr>
        <w:rPr>
          <w:rFonts w:ascii="Calibri" w:cs="Calibri" w:eastAsia="Calibri" w:hAnsi="Calibri"/>
          <w:sz w:val="20"/>
          <w:szCs w:val="20"/>
          <w:color w:val="auto"/>
        </w:rPr>
      </w:pPr>
      <w:r>
        <w:rPr>
          <w:rFonts w:ascii="Calibri" w:cs="Calibri" w:eastAsia="Calibri" w:hAnsi="Calibri"/>
          <w:sz w:val="20"/>
          <w:szCs w:val="20"/>
          <w:b w:val="1"/>
          <w:bCs w:val="1"/>
          <w:color w:val="auto"/>
        </w:rPr>
        <w:t>NO THIRD-PARTY BENEFICIARIES</w:t>
      </w:r>
      <w:r>
        <w:rPr>
          <w:rFonts w:ascii="Calibri" w:cs="Calibri" w:eastAsia="Calibri" w:hAnsi="Calibri"/>
          <w:sz w:val="20"/>
          <w:szCs w:val="20"/>
          <w:color w:val="auto"/>
        </w:rPr>
        <w:t>. The Company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acknowledges and agrees that any work product provided by the Contractor under this</w:t>
      </w:r>
    </w:p>
    <w:p>
      <w:pPr>
        <w:sectPr>
          <w:pgSz w:w="11900" w:h="16838" w:orient="portrait"/>
          <w:cols w:equalWidth="0" w:num="2">
            <w:col w:w="5362" w:space="260"/>
            <w:col w:w="4880"/>
          </w:cols>
          <w:pgMar w:left="418" w:top="1357" w:right="979" w:bottom="1440" w:gutter="0" w:footer="0" w:header="0"/>
        </w:sectPr>
      </w:pPr>
    </w:p>
    <w:bookmarkStart w:id="47" w:name="page48"/>
    <w:bookmarkEnd w:id="47"/>
    <w:p>
      <w:pPr>
        <w:spacing w:after="0" w:line="201" w:lineRule="exact"/>
        <w:rPr>
          <w:sz w:val="20"/>
          <w:szCs w:val="20"/>
          <w:color w:val="auto"/>
        </w:rPr>
      </w:pPr>
    </w:p>
    <w:p>
      <w:pPr>
        <w:jc w:val="both"/>
        <w:ind w:left="322"/>
        <w:spacing w:after="0" w:line="242" w:lineRule="auto"/>
        <w:rPr>
          <w:sz w:val="20"/>
          <w:szCs w:val="20"/>
          <w:color w:val="auto"/>
        </w:rPr>
      </w:pPr>
      <w:r>
        <w:rPr>
          <w:rFonts w:ascii="Calibri" w:cs="Calibri" w:eastAsia="Calibri" w:hAnsi="Calibri"/>
          <w:sz w:val="20"/>
          <w:szCs w:val="20"/>
          <w:color w:val="auto"/>
        </w:rPr>
        <w:t>Agreement of applicable Statement(s) of Work will be prepared on a confdental basis solely for the Company and that no third party may rely upon the work product or related informaton provided by Contractor to Company under this Agreement or applicable Statement(s) of Work without the Contractor’s prior writen consent.</w:t>
      </w:r>
    </w:p>
    <w:p>
      <w:pPr>
        <w:spacing w:after="0" w:line="264" w:lineRule="exact"/>
        <w:rPr>
          <w:sz w:val="20"/>
          <w:szCs w:val="20"/>
          <w:color w:val="auto"/>
        </w:rPr>
      </w:pPr>
    </w:p>
    <w:p>
      <w:pPr>
        <w:jc w:val="both"/>
        <w:ind w:left="322" w:hanging="322"/>
        <w:spacing w:after="0" w:line="236" w:lineRule="auto"/>
        <w:tabs>
          <w:tab w:leader="none" w:pos="322" w:val="left"/>
        </w:tabs>
        <w:numPr>
          <w:ilvl w:val="0"/>
          <w:numId w:val="42"/>
        </w:numPr>
        <w:rPr>
          <w:rFonts w:ascii="Calibri" w:cs="Calibri" w:eastAsia="Calibri" w:hAnsi="Calibri"/>
          <w:sz w:val="20"/>
          <w:szCs w:val="20"/>
          <w:color w:val="auto"/>
        </w:rPr>
      </w:pPr>
      <w:r>
        <w:rPr>
          <w:rFonts w:ascii="Calibri" w:cs="Calibri" w:eastAsia="Calibri" w:hAnsi="Calibri"/>
          <w:sz w:val="20"/>
          <w:szCs w:val="20"/>
          <w:b w:val="1"/>
          <w:bCs w:val="1"/>
          <w:color w:val="auto"/>
        </w:rPr>
        <w:t>FORCE MAJEURE</w:t>
      </w:r>
      <w:r>
        <w:rPr>
          <w:rFonts w:ascii="Calibri" w:cs="Calibri" w:eastAsia="Calibri" w:hAnsi="Calibri"/>
          <w:sz w:val="20"/>
          <w:szCs w:val="20"/>
          <w:color w:val="auto"/>
        </w:rPr>
        <w:t>. If either party is afected by any event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beyond its reasonable control, including fre, explosion, food, or other acts of God; acts, regulatons, or laws of any</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government; war, terrorist acts, or civil commoton; strike, lock-out or labor disturbances; or failure of public utlites or common carriers (a “Force Majeure Event”), such party shall not be liable in connecton with this Agreement to the extent</w:t>
      </w:r>
    </w:p>
    <w:p>
      <w:pPr>
        <w:spacing w:after="0" w:line="25"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afected by such Force Majeure Event; provided that such party gives prompt writen notce to the other party (the “Non-Force Majeure Party”) of the Force Majeure Event and</w:t>
      </w:r>
    </w:p>
    <w:p>
      <w:pPr>
        <w:spacing w:after="0" w:line="22" w:lineRule="exact"/>
        <w:rPr>
          <w:rFonts w:ascii="Calibri" w:cs="Calibri" w:eastAsia="Calibri" w:hAnsi="Calibri"/>
          <w:sz w:val="20"/>
          <w:szCs w:val="20"/>
          <w:color w:val="auto"/>
        </w:rPr>
      </w:pPr>
    </w:p>
    <w:p>
      <w:pPr>
        <w:jc w:val="both"/>
        <w:ind w:left="322"/>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that such afected party exercises all commercially reasonable eforts to eliminate the efects of the Force Majeure Event on this Agreement as soon as and to the</w:t>
      </w:r>
    </w:p>
    <w:p>
      <w:pPr>
        <w:spacing w:after="0" w:line="22" w:lineRule="exact"/>
        <w:rPr>
          <w:rFonts w:ascii="Calibri" w:cs="Calibri" w:eastAsia="Calibri" w:hAnsi="Calibri"/>
          <w:sz w:val="20"/>
          <w:szCs w:val="20"/>
          <w:color w:val="auto"/>
        </w:rPr>
      </w:pPr>
    </w:p>
    <w:p>
      <w:pPr>
        <w:jc w:val="both"/>
        <w:ind w:left="322"/>
        <w:spacing w:after="0"/>
        <w:rPr>
          <w:rFonts w:ascii="Calibri" w:cs="Calibri" w:eastAsia="Calibri" w:hAnsi="Calibri"/>
          <w:sz w:val="20"/>
          <w:szCs w:val="20"/>
          <w:color w:val="auto"/>
        </w:rPr>
      </w:pPr>
      <w:r>
        <w:rPr>
          <w:rFonts w:ascii="Calibri" w:cs="Calibri" w:eastAsia="Calibri" w:hAnsi="Calibri"/>
          <w:sz w:val="20"/>
          <w:szCs w:val="20"/>
          <w:color w:val="auto"/>
        </w:rPr>
        <w:t>extent practcable. If any Force Majeure Event contnues for a period longer than three (3) months, the Non-Force Majeure Party may terminate this Agreement upon writen notce to the other party afected by the Force Majeure Event.</w:t>
      </w:r>
    </w:p>
    <w:p>
      <w:pPr>
        <w:spacing w:after="0" w:line="251" w:lineRule="exact"/>
        <w:rPr>
          <w:rFonts w:ascii="Calibri" w:cs="Calibri" w:eastAsia="Calibri" w:hAnsi="Calibri"/>
          <w:sz w:val="20"/>
          <w:szCs w:val="20"/>
          <w:color w:val="auto"/>
        </w:rPr>
      </w:pPr>
    </w:p>
    <w:p>
      <w:pPr>
        <w:jc w:val="both"/>
        <w:ind w:left="322" w:hanging="322"/>
        <w:spacing w:after="0"/>
        <w:tabs>
          <w:tab w:leader="none" w:pos="322" w:val="left"/>
        </w:tabs>
        <w:numPr>
          <w:ilvl w:val="0"/>
          <w:numId w:val="42"/>
        </w:numPr>
        <w:rPr>
          <w:rFonts w:ascii="Calibri" w:cs="Calibri" w:eastAsia="Calibri" w:hAnsi="Calibri"/>
          <w:sz w:val="20"/>
          <w:szCs w:val="20"/>
          <w:color w:val="auto"/>
        </w:rPr>
      </w:pPr>
      <w:r>
        <w:rPr>
          <w:rFonts w:ascii="Calibri" w:cs="Calibri" w:eastAsia="Calibri" w:hAnsi="Calibri"/>
          <w:sz w:val="20"/>
          <w:szCs w:val="20"/>
          <w:b w:val="1"/>
          <w:bCs w:val="1"/>
          <w:color w:val="auto"/>
        </w:rPr>
        <w:t>SEVERABILITY</w:t>
      </w:r>
      <w:r>
        <w:rPr>
          <w:rFonts w:ascii="Calibri" w:cs="Calibri" w:eastAsia="Calibri" w:hAnsi="Calibri"/>
          <w:sz w:val="20"/>
          <w:szCs w:val="20"/>
          <w:color w:val="auto"/>
        </w:rPr>
        <w:t>. If any provision of this Agreement shall be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found by a court of competent jurisdicton to be invalid, illegal or otherwise unenforceable, the same shall not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left="321"/>
        <w:spacing w:after="0" w:line="241" w:lineRule="auto"/>
        <w:rPr>
          <w:sz w:val="20"/>
          <w:szCs w:val="20"/>
          <w:color w:val="auto"/>
        </w:rPr>
      </w:pPr>
      <w:r>
        <w:rPr>
          <w:rFonts w:ascii="Calibri" w:cs="Calibri" w:eastAsia="Calibri" w:hAnsi="Calibri"/>
          <w:sz w:val="20"/>
          <w:szCs w:val="20"/>
          <w:color w:val="auto"/>
        </w:rPr>
        <w:t>afect the other terms or provisions of this Agreement, but such term or provision shall be deemed modifed to the extent necessary in the court's opinion to render such term or provision enforceable, and the rights and obligatons of the partes shall be construed and enforced accordingly, preserving to the fullest permissible extent the intent and agreements of the partes.</w:t>
      </w:r>
    </w:p>
    <w:p>
      <w:pPr>
        <w:spacing w:after="0" w:line="280" w:lineRule="exact"/>
        <w:rPr>
          <w:sz w:val="20"/>
          <w:szCs w:val="20"/>
          <w:color w:val="auto"/>
        </w:rPr>
      </w:pPr>
    </w:p>
    <w:p>
      <w:pPr>
        <w:jc w:val="both"/>
        <w:ind w:left="321" w:right="20" w:hanging="321"/>
        <w:spacing w:after="0" w:line="234" w:lineRule="auto"/>
        <w:tabs>
          <w:tab w:leader="none" w:pos="394" w:val="left"/>
        </w:tabs>
        <w:numPr>
          <w:ilvl w:val="0"/>
          <w:numId w:val="43"/>
        </w:numPr>
        <w:rPr>
          <w:rFonts w:ascii="Calibri" w:cs="Calibri" w:eastAsia="Calibri" w:hAnsi="Calibri"/>
          <w:sz w:val="20"/>
          <w:szCs w:val="20"/>
          <w:color w:val="auto"/>
        </w:rPr>
      </w:pPr>
      <w:r>
        <w:rPr>
          <w:rFonts w:ascii="Calibri" w:cs="Calibri" w:eastAsia="Calibri" w:hAnsi="Calibri"/>
          <w:sz w:val="20"/>
          <w:szCs w:val="20"/>
          <w:b w:val="1"/>
          <w:bCs w:val="1"/>
          <w:color w:val="auto"/>
        </w:rPr>
        <w:t>NOTICES</w:t>
      </w:r>
      <w:r>
        <w:rPr>
          <w:rFonts w:ascii="Calibri" w:cs="Calibri" w:eastAsia="Calibri" w:hAnsi="Calibri"/>
          <w:sz w:val="20"/>
          <w:szCs w:val="20"/>
          <w:color w:val="auto"/>
        </w:rPr>
        <w:t>. To be efectve, all notces and other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communicatons hereunder shall be in writng and</w:t>
      </w:r>
    </w:p>
    <w:p>
      <w:pPr>
        <w:spacing w:after="0" w:line="23" w:lineRule="exact"/>
        <w:rPr>
          <w:rFonts w:ascii="Calibri" w:cs="Calibri" w:eastAsia="Calibri" w:hAnsi="Calibri"/>
          <w:sz w:val="20"/>
          <w:szCs w:val="20"/>
          <w:color w:val="auto"/>
        </w:rPr>
      </w:pPr>
    </w:p>
    <w:p>
      <w:pPr>
        <w:jc w:val="both"/>
        <w:ind w:left="321" w:right="20"/>
        <w:spacing w:after="0" w:line="237" w:lineRule="auto"/>
        <w:rPr>
          <w:rFonts w:ascii="Calibri" w:cs="Calibri" w:eastAsia="Calibri" w:hAnsi="Calibri"/>
          <w:sz w:val="20"/>
          <w:szCs w:val="20"/>
          <w:color w:val="auto"/>
        </w:rPr>
      </w:pPr>
      <w:r>
        <w:rPr>
          <w:rFonts w:ascii="Calibri" w:cs="Calibri" w:eastAsia="Calibri" w:hAnsi="Calibri"/>
          <w:sz w:val="20"/>
          <w:szCs w:val="20"/>
          <w:color w:val="auto"/>
        </w:rPr>
        <w:t>delivered personally or mailed by overnight U.S. mail, postage prepaid, or by certfed or registered U.S. mail, return receipt requested, postage prepaid, or sent by Federal Express or another internatonally recognized courier service (billed to sender),or emailed to the partes at the following addresses or to such other</w:t>
      </w:r>
    </w:p>
    <w:p>
      <w:pPr>
        <w:spacing w:after="0" w:line="25" w:lineRule="exact"/>
        <w:rPr>
          <w:rFonts w:ascii="Calibri" w:cs="Calibri" w:eastAsia="Calibri" w:hAnsi="Calibri"/>
          <w:sz w:val="20"/>
          <w:szCs w:val="20"/>
          <w:color w:val="auto"/>
        </w:rPr>
      </w:pPr>
    </w:p>
    <w:p>
      <w:pPr>
        <w:ind w:left="321"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address as a party may designate by writen notce to the other:</w:t>
      </w:r>
    </w:p>
    <w:p>
      <w:pPr>
        <w:spacing w:after="0" w:line="1" w:lineRule="exact"/>
        <w:rPr>
          <w:rFonts w:ascii="Calibri" w:cs="Calibri" w:eastAsia="Calibri" w:hAnsi="Calibri"/>
          <w:sz w:val="20"/>
          <w:szCs w:val="20"/>
          <w:color w:val="auto"/>
        </w:rPr>
      </w:pPr>
    </w:p>
    <w:p>
      <w:pPr>
        <w:ind w:left="321"/>
        <w:spacing w:after="0" w:line="238" w:lineRule="auto"/>
        <w:rPr>
          <w:rFonts w:ascii="Calibri" w:cs="Calibri" w:eastAsia="Calibri" w:hAnsi="Calibri"/>
          <w:sz w:val="20"/>
          <w:szCs w:val="20"/>
          <w:color w:val="auto"/>
        </w:rPr>
      </w:pPr>
      <w:r>
        <w:rPr>
          <w:rFonts w:ascii="Calibri" w:cs="Calibri" w:eastAsia="Calibri" w:hAnsi="Calibri"/>
          <w:sz w:val="20"/>
          <w:szCs w:val="20"/>
          <w:color w:val="auto"/>
        </w:rPr>
        <w:t>If to Contractor:</w:t>
      </w:r>
    </w:p>
    <w:p>
      <w:pPr>
        <w:ind w:left="321"/>
        <w:spacing w:after="0" w:line="238" w:lineRule="auto"/>
        <w:rPr>
          <w:rFonts w:ascii="Calibri" w:cs="Calibri" w:eastAsia="Calibri" w:hAnsi="Calibri"/>
          <w:sz w:val="20"/>
          <w:szCs w:val="20"/>
          <w:color w:val="auto"/>
        </w:rPr>
      </w:pPr>
      <w:r>
        <w:rPr>
          <w:rFonts w:ascii="Calibri" w:cs="Calibri" w:eastAsia="Calibri" w:hAnsi="Calibri"/>
          <w:sz w:val="20"/>
          <w:szCs w:val="20"/>
          <w:color w:val="auto"/>
        </w:rPr>
        <w:t xml:space="preserve">Address: </w:t>
      </w:r>
      <w:r>
        <w:rPr>
          <w:rFonts w:ascii="Calibri" w:cs="Calibri" w:eastAsia="Calibri" w:hAnsi="Calibri"/>
          <w:sz w:val="20"/>
          <w:szCs w:val="20"/>
          <w:u w:val="single" w:color="auto"/>
          <w:color w:val="auto"/>
        </w:rPr>
        <w:t>Shandy Lane Wilmington NC 28409</w:t>
      </w:r>
    </w:p>
    <w:p>
      <w:pPr>
        <w:spacing w:after="0" w:line="13" w:lineRule="exact"/>
        <w:rPr>
          <w:rFonts w:ascii="Calibri" w:cs="Calibri" w:eastAsia="Calibri" w:hAnsi="Calibri"/>
          <w:sz w:val="20"/>
          <w:szCs w:val="20"/>
          <w:color w:val="auto"/>
        </w:rPr>
      </w:pPr>
    </w:p>
    <w:p>
      <w:pPr>
        <w:ind w:left="321"/>
        <w:spacing w:after="0"/>
        <w:rPr>
          <w:rFonts w:ascii="Calibri" w:cs="Calibri" w:eastAsia="Calibri" w:hAnsi="Calibri"/>
          <w:sz w:val="20"/>
          <w:szCs w:val="20"/>
          <w:color w:val="auto"/>
        </w:rPr>
      </w:pPr>
      <w:r>
        <w:rPr>
          <w:rFonts w:ascii="Calibri" w:cs="Calibri" w:eastAsia="Calibri" w:hAnsi="Calibri"/>
          <w:sz w:val="20"/>
          <w:szCs w:val="20"/>
          <w:color w:val="auto"/>
        </w:rPr>
        <w:t xml:space="preserve">Email: </w:t>
      </w:r>
      <w:r>
        <w:rPr>
          <w:rFonts w:ascii="Calibri" w:cs="Calibri" w:eastAsia="Calibri" w:hAnsi="Calibri"/>
          <w:sz w:val="20"/>
          <w:szCs w:val="20"/>
          <w:u w:val="single" w:color="auto"/>
          <w:color w:val="auto"/>
        </w:rPr>
        <w:t>josh.glover@ncino.com</w:t>
      </w:r>
    </w:p>
    <w:p>
      <w:pPr>
        <w:spacing w:after="0" w:line="242" w:lineRule="exact"/>
        <w:rPr>
          <w:sz w:val="20"/>
          <w:szCs w:val="20"/>
          <w:color w:val="auto"/>
        </w:rPr>
      </w:pPr>
    </w:p>
    <w:p>
      <w:pPr>
        <w:ind w:left="321"/>
        <w:spacing w:after="0"/>
        <w:rPr>
          <w:sz w:val="20"/>
          <w:szCs w:val="20"/>
          <w:color w:val="auto"/>
        </w:rPr>
      </w:pPr>
      <w:r>
        <w:rPr>
          <w:rFonts w:ascii="Calibri" w:cs="Calibri" w:eastAsia="Calibri" w:hAnsi="Calibri"/>
          <w:sz w:val="20"/>
          <w:szCs w:val="20"/>
          <w:color w:val="auto"/>
        </w:rPr>
        <w:t>If to Company:</w:t>
      </w:r>
    </w:p>
    <w:p>
      <w:pPr>
        <w:ind w:left="321"/>
        <w:spacing w:after="0" w:line="238" w:lineRule="auto"/>
        <w:rPr>
          <w:sz w:val="20"/>
          <w:szCs w:val="20"/>
          <w:color w:val="auto"/>
        </w:rPr>
      </w:pPr>
      <w:r>
        <w:rPr>
          <w:rFonts w:ascii="Calibri" w:cs="Calibri" w:eastAsia="Calibri" w:hAnsi="Calibri"/>
          <w:sz w:val="20"/>
          <w:szCs w:val="20"/>
          <w:color w:val="auto"/>
        </w:rPr>
        <w:t>nCino OpCo, Inc.</w:t>
      </w:r>
    </w:p>
    <w:p>
      <w:pPr>
        <w:spacing w:after="0" w:line="13" w:lineRule="exact"/>
        <w:rPr>
          <w:sz w:val="20"/>
          <w:szCs w:val="20"/>
          <w:color w:val="auto"/>
        </w:rPr>
      </w:pPr>
    </w:p>
    <w:p>
      <w:pPr>
        <w:ind w:left="321"/>
        <w:spacing w:after="0"/>
        <w:rPr>
          <w:sz w:val="20"/>
          <w:szCs w:val="20"/>
          <w:color w:val="auto"/>
        </w:rPr>
      </w:pPr>
      <w:r>
        <w:rPr>
          <w:rFonts w:ascii="Calibri" w:cs="Calibri" w:eastAsia="Calibri" w:hAnsi="Calibri"/>
          <w:sz w:val="20"/>
          <w:szCs w:val="20"/>
          <w:color w:val="auto"/>
        </w:rPr>
        <w:t>Atn: Chief Executve Ofcer</w:t>
      </w:r>
    </w:p>
    <w:p>
      <w:pPr>
        <w:ind w:left="321"/>
        <w:spacing w:after="0" w:line="238" w:lineRule="auto"/>
        <w:rPr>
          <w:sz w:val="20"/>
          <w:szCs w:val="20"/>
          <w:color w:val="auto"/>
        </w:rPr>
      </w:pPr>
      <w:r>
        <w:rPr>
          <w:rFonts w:ascii="Calibri" w:cs="Calibri" w:eastAsia="Calibri" w:hAnsi="Calibri"/>
          <w:sz w:val="20"/>
          <w:szCs w:val="20"/>
          <w:color w:val="auto"/>
        </w:rPr>
        <w:t>6770 Parker Farm Drive Wilmington, NC 28405</w:t>
      </w:r>
    </w:p>
    <w:p>
      <w:pPr>
        <w:ind w:left="321"/>
        <w:spacing w:after="0"/>
        <w:rPr>
          <w:sz w:val="20"/>
          <w:szCs w:val="20"/>
          <w:color w:val="auto"/>
        </w:rPr>
      </w:pPr>
      <w:r>
        <w:rPr>
          <w:rFonts w:ascii="Calibri" w:cs="Calibri" w:eastAsia="Calibri" w:hAnsi="Calibri"/>
          <w:sz w:val="20"/>
          <w:szCs w:val="20"/>
          <w:color w:val="auto"/>
        </w:rPr>
        <w:t>With a copy to:</w:t>
      </w:r>
    </w:p>
    <w:p>
      <w:pPr>
        <w:spacing w:after="0" w:line="12" w:lineRule="exact"/>
        <w:rPr>
          <w:sz w:val="20"/>
          <w:szCs w:val="20"/>
          <w:color w:val="auto"/>
        </w:rPr>
      </w:pPr>
    </w:p>
    <w:p>
      <w:pPr>
        <w:ind w:left="321"/>
        <w:spacing w:after="0"/>
        <w:rPr>
          <w:sz w:val="20"/>
          <w:szCs w:val="20"/>
          <w:color w:val="auto"/>
        </w:rPr>
      </w:pPr>
      <w:r>
        <w:rPr>
          <w:rFonts w:ascii="Calibri" w:cs="Calibri" w:eastAsia="Calibri" w:hAnsi="Calibri"/>
          <w:sz w:val="20"/>
          <w:szCs w:val="20"/>
          <w:color w:val="auto"/>
        </w:rPr>
        <w:t>nCino OpCo, Inc.</w:t>
      </w:r>
    </w:p>
    <w:p>
      <w:pPr>
        <w:ind w:left="321"/>
        <w:spacing w:after="0" w:line="238" w:lineRule="auto"/>
        <w:rPr>
          <w:sz w:val="20"/>
          <w:szCs w:val="20"/>
          <w:color w:val="auto"/>
        </w:rPr>
      </w:pPr>
      <w:r>
        <w:rPr>
          <w:rFonts w:ascii="Calibri" w:cs="Calibri" w:eastAsia="Calibri" w:hAnsi="Calibri"/>
          <w:sz w:val="20"/>
          <w:szCs w:val="20"/>
          <w:color w:val="auto"/>
        </w:rPr>
        <w:t>Atn: General Counsel</w:t>
      </w:r>
    </w:p>
    <w:p>
      <w:pPr>
        <w:ind w:left="321"/>
        <w:spacing w:after="0"/>
        <w:rPr>
          <w:sz w:val="20"/>
          <w:szCs w:val="20"/>
          <w:color w:val="auto"/>
        </w:rPr>
      </w:pPr>
      <w:r>
        <w:rPr>
          <w:rFonts w:ascii="Calibri" w:cs="Calibri" w:eastAsia="Calibri" w:hAnsi="Calibri"/>
          <w:sz w:val="20"/>
          <w:szCs w:val="20"/>
          <w:color w:val="auto"/>
        </w:rPr>
        <w:t>6770 Parker Farm Drive</w:t>
      </w:r>
    </w:p>
    <w:p>
      <w:pPr>
        <w:spacing w:after="0" w:line="12" w:lineRule="exact"/>
        <w:rPr>
          <w:sz w:val="20"/>
          <w:szCs w:val="20"/>
          <w:color w:val="auto"/>
        </w:rPr>
      </w:pPr>
    </w:p>
    <w:p>
      <w:pPr>
        <w:ind w:left="321"/>
        <w:spacing w:after="0"/>
        <w:rPr>
          <w:sz w:val="20"/>
          <w:szCs w:val="20"/>
          <w:color w:val="auto"/>
        </w:rPr>
      </w:pPr>
      <w:r>
        <w:rPr>
          <w:rFonts w:ascii="Calibri" w:cs="Calibri" w:eastAsia="Calibri" w:hAnsi="Calibri"/>
          <w:sz w:val="20"/>
          <w:szCs w:val="20"/>
          <w:color w:val="auto"/>
        </w:rPr>
        <w:t>Wilmington, NC 28405</w:t>
      </w:r>
    </w:p>
    <w:p>
      <w:pPr>
        <w:ind w:left="321"/>
        <w:spacing w:after="0" w:line="238" w:lineRule="auto"/>
        <w:rPr>
          <w:sz w:val="20"/>
          <w:szCs w:val="20"/>
          <w:color w:val="auto"/>
        </w:rPr>
      </w:pPr>
      <w:r>
        <w:rPr>
          <w:rFonts w:ascii="Calibri" w:cs="Calibri" w:eastAsia="Calibri" w:hAnsi="Calibri"/>
          <w:sz w:val="20"/>
          <w:szCs w:val="20"/>
          <w:color w:val="auto"/>
        </w:rPr>
        <w:t>Email: legal@ncino.com</w:t>
      </w:r>
    </w:p>
    <w:p>
      <w:pPr>
        <w:sectPr>
          <w:pgSz w:w="11900" w:h="16838" w:orient="portrait"/>
          <w:cols w:equalWidth="0" w:num="2">
            <w:col w:w="5362" w:space="259"/>
            <w:col w:w="4881"/>
          </w:cols>
          <w:pgMar w:left="418" w:top="1440" w:right="979" w:bottom="1440" w:gutter="0" w:footer="0" w:header="0"/>
        </w:sectPr>
      </w:pPr>
    </w:p>
    <w:bookmarkStart w:id="48" w:name="page49"/>
    <w:bookmarkEnd w:id="48"/>
    <w:p>
      <w:pPr>
        <w:spacing w:after="0" w:line="201"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By signing below, Contractor and the Company acknowledge that they have read and understood, and will act in accordance with, all of the terms set forth in the atached document(s).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420" w:type="dxa"/>
            <w:vAlign w:val="bottom"/>
          </w:tcPr>
          <w:p>
            <w:pPr>
              <w:spacing w:after="0"/>
              <w:rPr>
                <w:sz w:val="20"/>
                <w:szCs w:val="20"/>
                <w:color w:val="auto"/>
              </w:rPr>
            </w:pPr>
            <w:r>
              <w:rPr>
                <w:rFonts w:ascii="Calibri" w:cs="Calibri" w:eastAsia="Calibri" w:hAnsi="Calibri"/>
                <w:sz w:val="20"/>
                <w:szCs w:val="20"/>
                <w:b w:val="1"/>
                <w:bCs w:val="1"/>
                <w:color w:val="auto"/>
              </w:rPr>
              <w:t>Contractor</w:t>
            </w:r>
          </w:p>
        </w:tc>
        <w:tc>
          <w:tcPr>
            <w:tcW w:w="2660" w:type="dxa"/>
            <w:vAlign w:val="bottom"/>
          </w:tcPr>
          <w:p>
            <w:pPr>
              <w:spacing w:after="0"/>
              <w:rPr>
                <w:sz w:val="21"/>
                <w:szCs w:val="21"/>
                <w:color w:val="auto"/>
              </w:rPr>
            </w:pPr>
          </w:p>
        </w:tc>
        <w:tc>
          <w:tcPr>
            <w:tcW w:w="2720" w:type="dxa"/>
            <w:vAlign w:val="bottom"/>
          </w:tcPr>
          <w:p>
            <w:pPr>
              <w:ind w:left="1280"/>
              <w:spacing w:after="0"/>
              <w:rPr>
                <w:sz w:val="20"/>
                <w:szCs w:val="20"/>
                <w:color w:val="auto"/>
              </w:rPr>
            </w:pPr>
            <w:r>
              <w:rPr>
                <w:rFonts w:ascii="Calibri" w:cs="Calibri" w:eastAsia="Calibri" w:hAnsi="Calibri"/>
                <w:sz w:val="20"/>
                <w:szCs w:val="20"/>
                <w:b w:val="1"/>
                <w:bCs w:val="1"/>
                <w:color w:val="auto"/>
              </w:rPr>
              <w:t>Company</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0"/>
                <w:szCs w:val="20"/>
                <w:color w:val="auto"/>
              </w:rPr>
            </w:pPr>
            <w:r>
              <w:rPr>
                <w:rFonts w:ascii="Calibri" w:cs="Calibri" w:eastAsia="Calibri" w:hAnsi="Calibri"/>
                <w:sz w:val="20"/>
                <w:szCs w:val="20"/>
                <w:color w:val="auto"/>
              </w:rPr>
              <w:t>By:</w:t>
            </w:r>
          </w:p>
        </w:tc>
        <w:tc>
          <w:tcPr>
            <w:tcW w:w="2660" w:type="dxa"/>
            <w:vAlign w:val="bottom"/>
          </w:tcPr>
          <w:p>
            <w:pPr>
              <w:ind w:left="20"/>
              <w:spacing w:after="0"/>
              <w:rPr>
                <w:sz w:val="20"/>
                <w:szCs w:val="20"/>
                <w:color w:val="auto"/>
              </w:rPr>
            </w:pPr>
            <w:r>
              <w:rPr>
                <w:rFonts w:ascii="Calibri" w:cs="Calibri" w:eastAsia="Calibri" w:hAnsi="Calibri"/>
                <w:sz w:val="20"/>
                <w:szCs w:val="20"/>
                <w:color w:val="auto"/>
              </w:rPr>
              <w:t>/s/ Josh Glover</w:t>
            </w:r>
          </w:p>
        </w:tc>
        <w:tc>
          <w:tcPr>
            <w:tcW w:w="2720" w:type="dxa"/>
            <w:vAlign w:val="bottom"/>
          </w:tcPr>
          <w:p>
            <w:pPr>
              <w:ind w:left="1280"/>
              <w:spacing w:after="0"/>
              <w:rPr>
                <w:sz w:val="20"/>
                <w:szCs w:val="20"/>
                <w:color w:val="auto"/>
              </w:rPr>
            </w:pPr>
            <w:r>
              <w:rPr>
                <w:rFonts w:ascii="Calibri" w:cs="Calibri" w:eastAsia="Calibri" w:hAnsi="Calibri"/>
                <w:sz w:val="20"/>
                <w:szCs w:val="20"/>
                <w:color w:val="auto"/>
              </w:rPr>
              <w:t>By:</w:t>
            </w:r>
          </w:p>
        </w:tc>
        <w:tc>
          <w:tcPr>
            <w:tcW w:w="2680" w:type="dxa"/>
            <w:vAlign w:val="bottom"/>
          </w:tcPr>
          <w:p>
            <w:pPr>
              <w:ind w:left="20"/>
              <w:spacing w:after="0"/>
              <w:rPr>
                <w:sz w:val="20"/>
                <w:szCs w:val="20"/>
                <w:color w:val="auto"/>
              </w:rPr>
            </w:pPr>
            <w:r>
              <w:rPr>
                <w:rFonts w:ascii="Calibri" w:cs="Calibri" w:eastAsia="Calibri" w:hAnsi="Calibri"/>
                <w:sz w:val="20"/>
                <w:szCs w:val="20"/>
                <w:color w:val="auto"/>
              </w:rPr>
              <w:t>/s/ Chris Ainsworth</w:t>
            </w:r>
          </w:p>
        </w:tc>
        <w:tc>
          <w:tcPr>
            <w:tcW w:w="0" w:type="dxa"/>
            <w:vAlign w:val="bottom"/>
          </w:tcPr>
          <w:p>
            <w:pPr>
              <w:spacing w:after="0"/>
              <w:rPr>
                <w:sz w:val="1"/>
                <w:szCs w:val="1"/>
                <w:color w:val="auto"/>
              </w:rPr>
            </w:pPr>
          </w:p>
        </w:tc>
      </w:tr>
      <w:tr>
        <w:trPr>
          <w:trHeight w:val="46"/>
        </w:trPr>
        <w:tc>
          <w:tcPr>
            <w:tcW w:w="1420" w:type="dxa"/>
            <w:vAlign w:val="bottom"/>
            <w:vMerge w:val="restart"/>
          </w:tcPr>
          <w:p>
            <w:pPr>
              <w:spacing w:after="0"/>
              <w:rPr>
                <w:sz w:val="20"/>
                <w:szCs w:val="20"/>
                <w:color w:val="auto"/>
              </w:rPr>
            </w:pPr>
            <w:r>
              <w:rPr>
                <w:rFonts w:ascii="Calibri" w:cs="Calibri" w:eastAsia="Calibri" w:hAnsi="Calibri"/>
                <w:sz w:val="20"/>
                <w:szCs w:val="20"/>
                <w:color w:val="auto"/>
              </w:rPr>
              <w:t>Printed Name:</w:t>
            </w:r>
          </w:p>
        </w:tc>
        <w:tc>
          <w:tcPr>
            <w:tcW w:w="2660" w:type="dxa"/>
            <w:vAlign w:val="bottom"/>
            <w:tcBorders>
              <w:bottom w:val="single" w:sz="8" w:color="auto"/>
            </w:tcBorders>
          </w:tcPr>
          <w:p>
            <w:pPr>
              <w:spacing w:after="0"/>
              <w:rPr>
                <w:sz w:val="4"/>
                <w:szCs w:val="4"/>
                <w:color w:val="auto"/>
              </w:rPr>
            </w:pPr>
          </w:p>
        </w:tc>
        <w:tc>
          <w:tcPr>
            <w:tcW w:w="2720" w:type="dxa"/>
            <w:vAlign w:val="bottom"/>
            <w:vMerge w:val="restart"/>
          </w:tcPr>
          <w:p>
            <w:pPr>
              <w:ind w:left="1280"/>
              <w:spacing w:after="0"/>
              <w:rPr>
                <w:sz w:val="20"/>
                <w:szCs w:val="20"/>
                <w:color w:val="auto"/>
              </w:rPr>
            </w:pPr>
            <w:r>
              <w:rPr>
                <w:rFonts w:ascii="Calibri" w:cs="Calibri" w:eastAsia="Calibri" w:hAnsi="Calibri"/>
                <w:sz w:val="20"/>
                <w:szCs w:val="20"/>
                <w:color w:val="auto"/>
              </w:rPr>
              <w:t>Printed Name:</w:t>
            </w:r>
          </w:p>
        </w:tc>
        <w:tc>
          <w:tcPr>
            <w:tcW w:w="2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420" w:type="dxa"/>
            <w:vAlign w:val="bottom"/>
            <w:vMerge w:val="continue"/>
          </w:tcPr>
          <w:p>
            <w:pPr>
              <w:spacing w:after="0"/>
              <w:rPr>
                <w:sz w:val="19"/>
                <w:szCs w:val="19"/>
                <w:color w:val="auto"/>
              </w:rPr>
            </w:pPr>
          </w:p>
        </w:tc>
        <w:tc>
          <w:tcPr>
            <w:tcW w:w="2660" w:type="dxa"/>
            <w:vAlign w:val="bottom"/>
          </w:tcPr>
          <w:p>
            <w:pPr>
              <w:ind w:left="20"/>
              <w:spacing w:after="0" w:line="225" w:lineRule="exact"/>
              <w:rPr>
                <w:sz w:val="20"/>
                <w:szCs w:val="20"/>
                <w:color w:val="auto"/>
              </w:rPr>
            </w:pPr>
            <w:r>
              <w:rPr>
                <w:rFonts w:ascii="Calibri" w:cs="Calibri" w:eastAsia="Calibri" w:hAnsi="Calibri"/>
                <w:sz w:val="20"/>
                <w:szCs w:val="20"/>
                <w:b w:val="1"/>
                <w:bCs w:val="1"/>
                <w:color w:val="auto"/>
              </w:rPr>
              <w:t>Josh Glover</w:t>
            </w:r>
          </w:p>
        </w:tc>
        <w:tc>
          <w:tcPr>
            <w:tcW w:w="2720" w:type="dxa"/>
            <w:vAlign w:val="bottom"/>
            <w:vMerge w:val="continue"/>
          </w:tcPr>
          <w:p>
            <w:pPr>
              <w:spacing w:after="0"/>
              <w:rPr>
                <w:sz w:val="19"/>
                <w:szCs w:val="19"/>
                <w:color w:val="auto"/>
              </w:rPr>
            </w:pPr>
          </w:p>
        </w:tc>
        <w:tc>
          <w:tcPr>
            <w:tcW w:w="2680" w:type="dxa"/>
            <w:vAlign w:val="bottom"/>
          </w:tcPr>
          <w:p>
            <w:pPr>
              <w:ind w:left="20"/>
              <w:spacing w:after="0" w:line="225" w:lineRule="exact"/>
              <w:rPr>
                <w:sz w:val="20"/>
                <w:szCs w:val="20"/>
                <w:color w:val="auto"/>
              </w:rPr>
            </w:pPr>
            <w:r>
              <w:rPr>
                <w:rFonts w:ascii="Calibri" w:cs="Calibri" w:eastAsia="Calibri" w:hAnsi="Calibri"/>
                <w:sz w:val="20"/>
                <w:szCs w:val="20"/>
                <w:b w:val="1"/>
                <w:bCs w:val="1"/>
                <w:color w:val="auto"/>
              </w:rPr>
              <w:t>Chris Ainsworth</w:t>
            </w:r>
          </w:p>
        </w:tc>
        <w:tc>
          <w:tcPr>
            <w:tcW w:w="0" w:type="dxa"/>
            <w:vAlign w:val="bottom"/>
          </w:tcPr>
          <w:p>
            <w:pPr>
              <w:spacing w:after="0"/>
              <w:rPr>
                <w:sz w:val="1"/>
                <w:szCs w:val="1"/>
                <w:color w:val="auto"/>
              </w:rPr>
            </w:pPr>
          </w:p>
        </w:tc>
      </w:tr>
      <w:tr>
        <w:trPr>
          <w:trHeight w:val="234"/>
        </w:trPr>
        <w:tc>
          <w:tcPr>
            <w:tcW w:w="1420" w:type="dxa"/>
            <w:vAlign w:val="bottom"/>
          </w:tcPr>
          <w:p>
            <w:pPr>
              <w:spacing w:after="0" w:line="234" w:lineRule="exact"/>
              <w:rPr>
                <w:sz w:val="20"/>
                <w:szCs w:val="20"/>
                <w:color w:val="auto"/>
              </w:rPr>
            </w:pPr>
            <w:r>
              <w:rPr>
                <w:rFonts w:ascii="Calibri" w:cs="Calibri" w:eastAsia="Calibri" w:hAnsi="Calibri"/>
                <w:sz w:val="20"/>
                <w:szCs w:val="20"/>
                <w:color w:val="auto"/>
              </w:rPr>
              <w:t>Date:</w:t>
            </w:r>
          </w:p>
        </w:tc>
        <w:tc>
          <w:tcPr>
            <w:tcW w:w="2660" w:type="dxa"/>
            <w:vAlign w:val="bottom"/>
          </w:tcPr>
          <w:p>
            <w:pPr>
              <w:ind w:left="20"/>
              <w:spacing w:after="0" w:line="234" w:lineRule="exact"/>
              <w:rPr>
                <w:sz w:val="20"/>
                <w:szCs w:val="20"/>
                <w:color w:val="auto"/>
              </w:rPr>
            </w:pPr>
            <w:r>
              <w:rPr>
                <w:rFonts w:ascii="Calibri" w:cs="Calibri" w:eastAsia="Calibri" w:hAnsi="Calibri"/>
                <w:sz w:val="20"/>
                <w:szCs w:val="20"/>
                <w:color w:val="auto"/>
              </w:rPr>
              <w:t>3/26/2024 | 9:07 AM EDT</w:t>
            </w:r>
          </w:p>
        </w:tc>
        <w:tc>
          <w:tcPr>
            <w:tcW w:w="2720" w:type="dxa"/>
            <w:vAlign w:val="bottom"/>
          </w:tcPr>
          <w:p>
            <w:pPr>
              <w:ind w:left="1280"/>
              <w:spacing w:after="0" w:line="234" w:lineRule="exact"/>
              <w:rPr>
                <w:sz w:val="20"/>
                <w:szCs w:val="20"/>
                <w:color w:val="auto"/>
              </w:rPr>
            </w:pPr>
            <w:r>
              <w:rPr>
                <w:rFonts w:ascii="Calibri" w:cs="Calibri" w:eastAsia="Calibri" w:hAnsi="Calibri"/>
                <w:sz w:val="20"/>
                <w:szCs w:val="20"/>
                <w:color w:val="auto"/>
              </w:rPr>
              <w:t>Title:</w:t>
            </w:r>
          </w:p>
        </w:tc>
        <w:tc>
          <w:tcPr>
            <w:tcW w:w="268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Chief People Ofcer</w:t>
            </w:r>
          </w:p>
        </w:tc>
        <w:tc>
          <w:tcPr>
            <w:tcW w:w="0" w:type="dxa"/>
            <w:vAlign w:val="bottom"/>
          </w:tcPr>
          <w:p>
            <w:pPr>
              <w:spacing w:after="0"/>
              <w:rPr>
                <w:sz w:val="1"/>
                <w:szCs w:val="1"/>
                <w:color w:val="auto"/>
              </w:rPr>
            </w:pPr>
          </w:p>
        </w:tc>
      </w:tr>
      <w:tr>
        <w:trPr>
          <w:trHeight w:val="46"/>
        </w:trPr>
        <w:tc>
          <w:tcPr>
            <w:tcW w:w="142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720" w:type="dxa"/>
            <w:vAlign w:val="bottom"/>
            <w:vMerge w:val="restart"/>
          </w:tcPr>
          <w:p>
            <w:pPr>
              <w:ind w:left="1280"/>
              <w:spacing w:after="0"/>
              <w:rPr>
                <w:sz w:val="20"/>
                <w:szCs w:val="20"/>
                <w:color w:val="auto"/>
              </w:rPr>
            </w:pPr>
            <w:r>
              <w:rPr>
                <w:rFonts w:ascii="Calibri" w:cs="Calibri" w:eastAsia="Calibri" w:hAnsi="Calibri"/>
                <w:sz w:val="20"/>
                <w:szCs w:val="20"/>
                <w:color w:val="auto"/>
              </w:rPr>
              <w:t>Date:</w:t>
            </w:r>
          </w:p>
        </w:tc>
        <w:tc>
          <w:tcPr>
            <w:tcW w:w="2680" w:type="dxa"/>
            <w:vAlign w:val="bottom"/>
            <w:vMerge w:val="restart"/>
          </w:tcPr>
          <w:p>
            <w:pPr>
              <w:ind w:left="20"/>
              <w:spacing w:after="0"/>
              <w:rPr>
                <w:sz w:val="20"/>
                <w:szCs w:val="20"/>
                <w:color w:val="auto"/>
              </w:rPr>
            </w:pPr>
            <w:r>
              <w:rPr>
                <w:rFonts w:ascii="Calibri" w:cs="Calibri" w:eastAsia="Calibri" w:hAnsi="Calibri"/>
                <w:sz w:val="20"/>
                <w:szCs w:val="20"/>
                <w:color w:val="auto"/>
              </w:rPr>
              <w:t>3/26/2024 | 10:53 AM EDT</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660" w:top="1440" w:right="1079" w:bottom="1440" w:gutter="0" w:footer="0" w:header="0"/>
        </w:sectPr>
      </w:pPr>
    </w:p>
    <w:bookmarkStart w:id="49" w:name="page50"/>
    <w:bookmarkEnd w:id="49"/>
    <w:p>
      <w:pPr>
        <w:spacing w:after="0" w:line="259" w:lineRule="exact"/>
        <w:rPr>
          <w:sz w:val="20"/>
          <w:szCs w:val="20"/>
          <w:color w:val="auto"/>
        </w:rPr>
      </w:pPr>
    </w:p>
    <w:p>
      <w:pPr>
        <w:jc w:val="center"/>
        <w:ind w:right="-279"/>
        <w:spacing w:after="0"/>
        <w:rPr>
          <w:sz w:val="20"/>
          <w:szCs w:val="20"/>
          <w:color w:val="auto"/>
        </w:rPr>
      </w:pPr>
      <w:r>
        <w:rPr>
          <w:rFonts w:ascii="Calibri" w:cs="Calibri" w:eastAsia="Calibri" w:hAnsi="Calibri"/>
          <w:sz w:val="20"/>
          <w:szCs w:val="20"/>
          <w:b w:val="1"/>
          <w:bCs w:val="1"/>
          <w:color w:val="auto"/>
        </w:rPr>
        <w:t>Exhibit A</w:t>
      </w:r>
    </w:p>
    <w:p>
      <w:pPr>
        <w:spacing w:after="0" w:line="39" w:lineRule="exact"/>
        <w:rPr>
          <w:sz w:val="20"/>
          <w:szCs w:val="20"/>
          <w:color w:val="auto"/>
        </w:rPr>
      </w:pPr>
    </w:p>
    <w:p>
      <w:pPr>
        <w:jc w:val="center"/>
        <w:ind w:right="-279"/>
        <w:spacing w:after="0"/>
        <w:rPr>
          <w:sz w:val="20"/>
          <w:szCs w:val="20"/>
          <w:color w:val="auto"/>
        </w:rPr>
      </w:pPr>
      <w:r>
        <w:rPr>
          <w:rFonts w:ascii="Calibri" w:cs="Calibri" w:eastAsia="Calibri" w:hAnsi="Calibri"/>
          <w:sz w:val="20"/>
          <w:szCs w:val="20"/>
          <w:b w:val="1"/>
          <w:bCs w:val="1"/>
          <w:color w:val="auto"/>
        </w:rPr>
        <w:t>Statement of Work</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color w:val="auto"/>
        </w:rPr>
        <w:t>This Statement of Work No. 1(“SOW”) entered into on this March 26, 2024 in accordance with and subject to the terms and conditons of the Independent Contractor Agreement between nCino OpCo, Inc., a Delaware corporaton with its principal place of business at 6770 Parker Farm Drive, Suite 200, Wilmington, NC 28405 (“Company”) and Josh Glover (“Contractor”).</w:t>
      </w:r>
    </w:p>
    <w:p>
      <w:pPr>
        <w:spacing w:after="0" w:line="159" w:lineRule="exact"/>
        <w:rPr>
          <w:sz w:val="20"/>
          <w:szCs w:val="20"/>
          <w:color w:val="auto"/>
        </w:rPr>
      </w:pPr>
    </w:p>
    <w:p>
      <w:pPr>
        <w:ind w:right="320"/>
        <w:spacing w:after="0" w:line="234" w:lineRule="auto"/>
        <w:rPr>
          <w:sz w:val="20"/>
          <w:szCs w:val="20"/>
          <w:color w:val="auto"/>
        </w:rPr>
      </w:pPr>
      <w:r>
        <w:rPr>
          <w:rFonts w:ascii="Calibri" w:cs="Calibri" w:eastAsia="Calibri" w:hAnsi="Calibri"/>
          <w:sz w:val="20"/>
          <w:szCs w:val="20"/>
          <w:color w:val="auto"/>
        </w:rPr>
        <w:t>Now, therefore, in consideraton of the mutual covenants set forth herein, the receipt and sufciency of which is hereby acknowledged, the partes agree as follows:</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color w:val="auto"/>
        </w:rPr>
        <w:t>The Contractor shall perform services further described in Secton 1 (the, “Project Work).</w:t>
      </w:r>
    </w:p>
    <w:p>
      <w:pPr>
        <w:spacing w:after="0" w:line="161" w:lineRule="exact"/>
        <w:rPr>
          <w:sz w:val="20"/>
          <w:szCs w:val="20"/>
          <w:color w:val="auto"/>
        </w:rPr>
      </w:pPr>
    </w:p>
    <w:p>
      <w:pPr>
        <w:ind w:left="640" w:hanging="314"/>
        <w:spacing w:after="0"/>
        <w:tabs>
          <w:tab w:leader="none" w:pos="640" w:val="left"/>
        </w:tabs>
        <w:numPr>
          <w:ilvl w:val="0"/>
          <w:numId w:val="44"/>
        </w:numPr>
        <w:rPr>
          <w:rFonts w:ascii="Calibri" w:cs="Calibri" w:eastAsia="Calibri" w:hAnsi="Calibri"/>
          <w:sz w:val="20"/>
          <w:szCs w:val="20"/>
          <w:color w:val="auto"/>
        </w:rPr>
      </w:pPr>
      <w:r>
        <w:rPr>
          <w:rFonts w:ascii="Calibri" w:cs="Calibri" w:eastAsia="Calibri" w:hAnsi="Calibri"/>
          <w:sz w:val="20"/>
          <w:szCs w:val="20"/>
          <w:b w:val="1"/>
          <w:bCs w:val="1"/>
          <w:color w:val="auto"/>
        </w:rPr>
        <w:t>Descripton of Services</w:t>
      </w:r>
      <w:r>
        <w:rPr>
          <w:rFonts w:ascii="Calibri" w:cs="Calibri" w:eastAsia="Calibri" w:hAnsi="Calibri"/>
          <w:sz w:val="20"/>
          <w:szCs w:val="20"/>
          <w:color w:val="auto"/>
        </w:rPr>
        <w:t>.</w:t>
      </w:r>
    </w:p>
    <w:p>
      <w:pPr>
        <w:spacing w:after="0" w:line="12" w:lineRule="exact"/>
        <w:rPr>
          <w:rFonts w:ascii="Calibri" w:cs="Calibri" w:eastAsia="Calibri" w:hAnsi="Calibri"/>
          <w:sz w:val="20"/>
          <w:szCs w:val="20"/>
          <w:color w:val="auto"/>
        </w:rPr>
      </w:pPr>
    </w:p>
    <w:p>
      <w:pPr>
        <w:ind w:left="640"/>
        <w:spacing w:after="0"/>
        <w:rPr>
          <w:rFonts w:ascii="Calibri" w:cs="Calibri" w:eastAsia="Calibri" w:hAnsi="Calibri"/>
          <w:sz w:val="20"/>
          <w:szCs w:val="20"/>
          <w:color w:val="auto"/>
        </w:rPr>
      </w:pPr>
      <w:r>
        <w:rPr>
          <w:rFonts w:ascii="Calibri" w:cs="Calibri" w:eastAsia="Calibri" w:hAnsi="Calibri"/>
          <w:sz w:val="20"/>
          <w:szCs w:val="20"/>
          <w:color w:val="auto"/>
        </w:rPr>
        <w:t>Contractor shall provide consultng services on revenue focused actvites as defned by Company.</w:t>
      </w:r>
    </w:p>
    <w:p>
      <w:pPr>
        <w:spacing w:after="0" w:line="268" w:lineRule="exact"/>
        <w:rPr>
          <w:rFonts w:ascii="Calibri" w:cs="Calibri" w:eastAsia="Calibri" w:hAnsi="Calibri"/>
          <w:sz w:val="20"/>
          <w:szCs w:val="20"/>
          <w:color w:val="auto"/>
        </w:rPr>
      </w:pPr>
    </w:p>
    <w:p>
      <w:pPr>
        <w:ind w:left="640" w:hanging="314"/>
        <w:spacing w:after="0"/>
        <w:tabs>
          <w:tab w:leader="none" w:pos="640" w:val="left"/>
        </w:tabs>
        <w:numPr>
          <w:ilvl w:val="0"/>
          <w:numId w:val="44"/>
        </w:numPr>
        <w:rPr>
          <w:rFonts w:ascii="Calibri" w:cs="Calibri" w:eastAsia="Calibri" w:hAnsi="Calibri"/>
          <w:sz w:val="20"/>
          <w:szCs w:val="20"/>
          <w:color w:val="auto"/>
        </w:rPr>
      </w:pPr>
      <w:r>
        <w:rPr>
          <w:rFonts w:ascii="Calibri" w:cs="Calibri" w:eastAsia="Calibri" w:hAnsi="Calibri"/>
          <w:sz w:val="20"/>
          <w:szCs w:val="20"/>
          <w:b w:val="1"/>
          <w:bCs w:val="1"/>
          <w:color w:val="auto"/>
        </w:rPr>
        <w:t>Company Contact</w:t>
      </w:r>
      <w:r>
        <w:rPr>
          <w:rFonts w:ascii="Calibri" w:cs="Calibri" w:eastAsia="Calibri" w:hAnsi="Calibri"/>
          <w:sz w:val="20"/>
          <w:szCs w:val="20"/>
          <w:color w:val="auto"/>
        </w:rPr>
        <w:t>.</w:t>
      </w:r>
    </w:p>
    <w:p>
      <w:pPr>
        <w:spacing w:after="0" w:line="12" w:lineRule="exact"/>
        <w:rPr>
          <w:rFonts w:ascii="Calibri" w:cs="Calibri" w:eastAsia="Calibri" w:hAnsi="Calibri"/>
          <w:sz w:val="20"/>
          <w:szCs w:val="20"/>
          <w:color w:val="auto"/>
        </w:rPr>
      </w:pPr>
    </w:p>
    <w:p>
      <w:pPr>
        <w:ind w:left="640"/>
        <w:spacing w:after="0"/>
        <w:rPr>
          <w:rFonts w:ascii="Calibri" w:cs="Calibri" w:eastAsia="Calibri" w:hAnsi="Calibri"/>
          <w:sz w:val="20"/>
          <w:szCs w:val="20"/>
          <w:color w:val="auto"/>
        </w:rPr>
      </w:pPr>
      <w:r>
        <w:rPr>
          <w:rFonts w:ascii="Calibri" w:cs="Calibri" w:eastAsia="Calibri" w:hAnsi="Calibri"/>
          <w:sz w:val="20"/>
          <w:szCs w:val="20"/>
          <w:color w:val="auto"/>
        </w:rPr>
        <w:t>Pierre Naudé and/or Chris Ainsworth</w:t>
      </w:r>
    </w:p>
    <w:p>
      <w:pPr>
        <w:spacing w:after="0" w:line="268" w:lineRule="exact"/>
        <w:rPr>
          <w:rFonts w:ascii="Calibri" w:cs="Calibri" w:eastAsia="Calibri" w:hAnsi="Calibri"/>
          <w:sz w:val="20"/>
          <w:szCs w:val="20"/>
          <w:color w:val="auto"/>
        </w:rPr>
      </w:pPr>
    </w:p>
    <w:p>
      <w:pPr>
        <w:ind w:left="640" w:hanging="314"/>
        <w:spacing w:after="0"/>
        <w:tabs>
          <w:tab w:leader="none" w:pos="640" w:val="left"/>
        </w:tabs>
        <w:numPr>
          <w:ilvl w:val="0"/>
          <w:numId w:val="44"/>
        </w:numPr>
        <w:rPr>
          <w:rFonts w:ascii="Calibri" w:cs="Calibri" w:eastAsia="Calibri" w:hAnsi="Calibri"/>
          <w:sz w:val="20"/>
          <w:szCs w:val="20"/>
          <w:color w:val="auto"/>
        </w:rPr>
      </w:pPr>
      <w:r>
        <w:rPr>
          <w:rFonts w:ascii="Calibri" w:cs="Calibri" w:eastAsia="Calibri" w:hAnsi="Calibri"/>
          <w:sz w:val="20"/>
          <w:szCs w:val="20"/>
          <w:b w:val="1"/>
          <w:bCs w:val="1"/>
          <w:color w:val="auto"/>
        </w:rPr>
        <w:t>Schedule</w:t>
      </w:r>
      <w:r>
        <w:rPr>
          <w:rFonts w:ascii="Calibri" w:cs="Calibri" w:eastAsia="Calibri" w:hAnsi="Calibri"/>
          <w:sz w:val="20"/>
          <w:szCs w:val="20"/>
          <w:color w:val="auto"/>
        </w:rPr>
        <w:t>.</w:t>
      </w:r>
    </w:p>
    <w:p>
      <w:pPr>
        <w:spacing w:after="0" w:line="12" w:lineRule="exact"/>
        <w:rPr>
          <w:rFonts w:ascii="Calibri" w:cs="Calibri" w:eastAsia="Calibri" w:hAnsi="Calibri"/>
          <w:sz w:val="20"/>
          <w:szCs w:val="20"/>
          <w:color w:val="auto"/>
        </w:rPr>
      </w:pPr>
    </w:p>
    <w:p>
      <w:pPr>
        <w:ind w:left="640"/>
        <w:spacing w:after="0"/>
        <w:rPr>
          <w:rFonts w:ascii="Calibri" w:cs="Calibri" w:eastAsia="Calibri" w:hAnsi="Calibri"/>
          <w:sz w:val="20"/>
          <w:szCs w:val="20"/>
          <w:color w:val="auto"/>
        </w:rPr>
      </w:pPr>
      <w:r>
        <w:rPr>
          <w:rFonts w:ascii="Calibri" w:cs="Calibri" w:eastAsia="Calibri" w:hAnsi="Calibri"/>
          <w:sz w:val="20"/>
          <w:szCs w:val="20"/>
          <w:color w:val="auto"/>
        </w:rPr>
        <w:t>Ad-Hoc as requested by Company and agreed to by Contractor.</w:t>
      </w:r>
    </w:p>
    <w:p>
      <w:pPr>
        <w:spacing w:after="0" w:line="282" w:lineRule="exact"/>
        <w:rPr>
          <w:rFonts w:ascii="Calibri" w:cs="Calibri" w:eastAsia="Calibri" w:hAnsi="Calibri"/>
          <w:sz w:val="20"/>
          <w:szCs w:val="20"/>
          <w:color w:val="auto"/>
        </w:rPr>
      </w:pPr>
    </w:p>
    <w:p>
      <w:pPr>
        <w:ind w:left="640" w:hanging="314"/>
        <w:spacing w:after="0"/>
        <w:tabs>
          <w:tab w:leader="none" w:pos="640" w:val="left"/>
        </w:tabs>
        <w:numPr>
          <w:ilvl w:val="0"/>
          <w:numId w:val="44"/>
        </w:numPr>
        <w:rPr>
          <w:rFonts w:ascii="Calibri" w:cs="Calibri" w:eastAsia="Calibri" w:hAnsi="Calibri"/>
          <w:sz w:val="20"/>
          <w:szCs w:val="20"/>
          <w:color w:val="auto"/>
        </w:rPr>
      </w:pPr>
      <w:r>
        <w:rPr>
          <w:rFonts w:ascii="Calibri" w:cs="Calibri" w:eastAsia="Calibri" w:hAnsi="Calibri"/>
          <w:sz w:val="20"/>
          <w:szCs w:val="20"/>
          <w:b w:val="1"/>
          <w:bCs w:val="1"/>
          <w:color w:val="auto"/>
        </w:rPr>
        <w:t>Fees</w:t>
      </w:r>
      <w:r>
        <w:rPr>
          <w:rFonts w:ascii="Calibri" w:cs="Calibri" w:eastAsia="Calibri" w:hAnsi="Calibri"/>
          <w:sz w:val="20"/>
          <w:szCs w:val="20"/>
          <w:color w:val="auto"/>
        </w:rPr>
        <w:t>. Contractor to be paid as follows:</w:t>
      </w:r>
    </w:p>
    <w:p>
      <w:pPr>
        <w:spacing w:after="0" w:line="22" w:lineRule="exact"/>
        <w:rPr>
          <w:rFonts w:ascii="Calibri" w:cs="Calibri" w:eastAsia="Calibri" w:hAnsi="Calibri"/>
          <w:sz w:val="20"/>
          <w:szCs w:val="20"/>
          <w:color w:val="auto"/>
        </w:rPr>
      </w:pPr>
    </w:p>
    <w:p>
      <w:pPr>
        <w:ind w:left="640"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In consideraton for the descripton of services as well as the terms contained within the agreement, Contractor will remain actve on Fidelity.com and eligible to receive scheduled Restricted Stock Units as identfed below:</w:t>
      </w:r>
    </w:p>
    <w:p>
      <w:pPr>
        <w:spacing w:after="0" w:line="77" w:lineRule="exact"/>
        <w:rPr>
          <w:rFonts w:ascii="Calibri" w:cs="Calibri" w:eastAsia="Calibri" w:hAnsi="Calibri"/>
          <w:sz w:val="20"/>
          <w:szCs w:val="20"/>
          <w:color w:val="auto"/>
        </w:rPr>
      </w:pPr>
    </w:p>
    <w:p>
      <w:pPr>
        <w:jc w:val="both"/>
        <w:ind w:left="780" w:right="8300"/>
        <w:spacing w:after="0" w:line="279" w:lineRule="auto"/>
        <w:rPr>
          <w:rFonts w:ascii="Calibri" w:cs="Calibri" w:eastAsia="Calibri" w:hAnsi="Calibri"/>
          <w:sz w:val="20"/>
          <w:szCs w:val="20"/>
          <w:color w:val="auto"/>
        </w:rPr>
      </w:pPr>
      <w:r>
        <w:rPr>
          <w:rFonts w:ascii="Calibri" w:cs="Calibri" w:eastAsia="Calibri" w:hAnsi="Calibri"/>
          <w:sz w:val="20"/>
          <w:szCs w:val="20"/>
          <w:b w:val="1"/>
          <w:bCs w:val="1"/>
          <w:color w:val="auto"/>
        </w:rPr>
        <w:t xml:space="preserve">Vestng Date </w:t>
      </w:r>
      <w:r>
        <w:rPr>
          <w:rFonts w:ascii="Calibri" w:cs="Calibri" w:eastAsia="Calibri" w:hAnsi="Calibri"/>
          <w:sz w:val="20"/>
          <w:szCs w:val="20"/>
          <w:color w:val="auto"/>
        </w:rPr>
        <w:t>April 5, 2024 May 1, 2024 June 8, 2024</w:t>
      </w:r>
    </w:p>
    <w:p>
      <w:pPr>
        <w:spacing w:after="0" w:line="363" w:lineRule="exact"/>
        <w:rPr>
          <w:rFonts w:ascii="Calibri" w:cs="Calibri" w:eastAsia="Calibri" w:hAnsi="Calibri"/>
          <w:sz w:val="20"/>
          <w:szCs w:val="20"/>
          <w:color w:val="auto"/>
        </w:rPr>
      </w:pPr>
    </w:p>
    <w:p>
      <w:pPr>
        <w:ind w:left="640" w:right="340" w:hanging="314"/>
        <w:spacing w:after="0" w:line="234" w:lineRule="auto"/>
        <w:tabs>
          <w:tab w:leader="none" w:pos="632" w:val="left"/>
        </w:tabs>
        <w:numPr>
          <w:ilvl w:val="0"/>
          <w:numId w:val="44"/>
        </w:numPr>
        <w:rPr>
          <w:rFonts w:ascii="Calibri" w:cs="Calibri" w:eastAsia="Calibri" w:hAnsi="Calibri"/>
          <w:sz w:val="20"/>
          <w:szCs w:val="20"/>
          <w:color w:val="auto"/>
        </w:rPr>
      </w:pPr>
      <w:r>
        <w:rPr>
          <w:rFonts w:ascii="Calibri" w:cs="Calibri" w:eastAsia="Calibri" w:hAnsi="Calibri"/>
          <w:sz w:val="20"/>
          <w:szCs w:val="20"/>
          <w:b w:val="1"/>
          <w:bCs w:val="1"/>
          <w:color w:val="auto"/>
        </w:rPr>
        <w:t>Term</w:t>
      </w:r>
      <w:r>
        <w:rPr>
          <w:rFonts w:ascii="Calibri" w:cs="Calibri" w:eastAsia="Calibri" w:hAnsi="Calibri"/>
          <w:sz w:val="20"/>
          <w:szCs w:val="20"/>
          <w:color w:val="auto"/>
        </w:rPr>
        <w:t>. This SOW shall commence on the Efectve Date and shall terminate upon completon of the Project Work</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pursuant to the Schedule set forth in Secton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-1263650</wp:posOffset>
            </wp:positionV>
            <wp:extent cx="1225550" cy="746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225550" cy="74612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Calibri" w:cs="Calibri" w:eastAsia="Calibri" w:hAnsi="Calibri"/>
          <w:sz w:val="20"/>
          <w:szCs w:val="20"/>
          <w:color w:val="auto"/>
        </w:rPr>
        <w:t>In WITNESS WHEREOF, the partes hereto have executed this SOW on March 26, 2024.</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480" w:type="dxa"/>
            <w:vAlign w:val="bottom"/>
          </w:tcPr>
          <w:p>
            <w:pPr>
              <w:spacing w:after="0"/>
              <w:rPr>
                <w:sz w:val="20"/>
                <w:szCs w:val="20"/>
                <w:color w:val="auto"/>
              </w:rPr>
            </w:pPr>
            <w:r>
              <w:rPr>
                <w:rFonts w:ascii="Calibri" w:cs="Calibri" w:eastAsia="Calibri" w:hAnsi="Calibri"/>
                <w:sz w:val="20"/>
                <w:szCs w:val="20"/>
                <w:b w:val="1"/>
                <w:bCs w:val="1"/>
                <w:color w:val="auto"/>
              </w:rPr>
              <w:t>Contractor</w:t>
            </w:r>
          </w:p>
        </w:tc>
        <w:tc>
          <w:tcPr>
            <w:tcW w:w="2820" w:type="dxa"/>
            <w:vAlign w:val="bottom"/>
          </w:tcPr>
          <w:p>
            <w:pPr>
              <w:spacing w:after="0"/>
              <w:rPr>
                <w:sz w:val="21"/>
                <w:szCs w:val="21"/>
                <w:color w:val="auto"/>
              </w:rPr>
            </w:pPr>
          </w:p>
        </w:tc>
        <w:tc>
          <w:tcPr>
            <w:tcW w:w="2560" w:type="dxa"/>
            <w:vAlign w:val="bottom"/>
          </w:tcPr>
          <w:p>
            <w:pPr>
              <w:ind w:left="1060"/>
              <w:spacing w:after="0"/>
              <w:rPr>
                <w:sz w:val="20"/>
                <w:szCs w:val="20"/>
                <w:color w:val="auto"/>
              </w:rPr>
            </w:pPr>
            <w:r>
              <w:rPr>
                <w:rFonts w:ascii="Calibri" w:cs="Calibri" w:eastAsia="Calibri" w:hAnsi="Calibri"/>
                <w:sz w:val="20"/>
                <w:szCs w:val="20"/>
                <w:b w:val="1"/>
                <w:bCs w:val="1"/>
                <w:color w:val="auto"/>
              </w:rPr>
              <w:t>Company</w:t>
            </w: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Calibri" w:cs="Calibri" w:eastAsia="Calibri" w:hAnsi="Calibri"/>
                <w:sz w:val="20"/>
                <w:szCs w:val="20"/>
                <w:color w:val="auto"/>
              </w:rPr>
              <w:t>By:</w:t>
            </w:r>
          </w:p>
        </w:tc>
        <w:tc>
          <w:tcPr>
            <w:tcW w:w="2820" w:type="dxa"/>
            <w:vAlign w:val="bottom"/>
          </w:tcPr>
          <w:p>
            <w:pPr>
              <w:ind w:left="20"/>
              <w:spacing w:after="0"/>
              <w:rPr>
                <w:sz w:val="20"/>
                <w:szCs w:val="20"/>
                <w:color w:val="auto"/>
              </w:rPr>
            </w:pPr>
            <w:r>
              <w:rPr>
                <w:rFonts w:ascii="Calibri" w:cs="Calibri" w:eastAsia="Calibri" w:hAnsi="Calibri"/>
                <w:sz w:val="20"/>
                <w:szCs w:val="20"/>
                <w:color w:val="auto"/>
              </w:rPr>
              <w:t>/s/ Josh Glover</w:t>
            </w:r>
          </w:p>
        </w:tc>
        <w:tc>
          <w:tcPr>
            <w:tcW w:w="2560" w:type="dxa"/>
            <w:vAlign w:val="bottom"/>
          </w:tcPr>
          <w:p>
            <w:pPr>
              <w:ind w:left="1060"/>
              <w:spacing w:after="0"/>
              <w:rPr>
                <w:sz w:val="20"/>
                <w:szCs w:val="20"/>
                <w:color w:val="auto"/>
              </w:rPr>
            </w:pPr>
            <w:r>
              <w:rPr>
                <w:rFonts w:ascii="Calibri" w:cs="Calibri" w:eastAsia="Calibri" w:hAnsi="Calibri"/>
                <w:sz w:val="20"/>
                <w:szCs w:val="20"/>
                <w:color w:val="auto"/>
              </w:rPr>
              <w:t>By:</w:t>
            </w:r>
          </w:p>
        </w:tc>
        <w:tc>
          <w:tcPr>
            <w:tcW w:w="2820" w:type="dxa"/>
            <w:vAlign w:val="bottom"/>
          </w:tcPr>
          <w:p>
            <w:pPr>
              <w:ind w:left="20"/>
              <w:spacing w:after="0"/>
              <w:rPr>
                <w:sz w:val="20"/>
                <w:szCs w:val="20"/>
                <w:color w:val="auto"/>
              </w:rPr>
            </w:pPr>
            <w:r>
              <w:rPr>
                <w:rFonts w:ascii="Calibri" w:cs="Calibri" w:eastAsia="Calibri" w:hAnsi="Calibri"/>
                <w:sz w:val="20"/>
                <w:szCs w:val="20"/>
                <w:color w:val="auto"/>
              </w:rPr>
              <w:t>/s/ Chris Ainsworth</w:t>
            </w:r>
          </w:p>
        </w:tc>
        <w:tc>
          <w:tcPr>
            <w:tcW w:w="0" w:type="dxa"/>
            <w:vAlign w:val="bottom"/>
          </w:tcPr>
          <w:p>
            <w:pPr>
              <w:spacing w:after="0"/>
              <w:rPr>
                <w:sz w:val="1"/>
                <w:szCs w:val="1"/>
                <w:color w:val="auto"/>
              </w:rPr>
            </w:pPr>
          </w:p>
        </w:tc>
      </w:tr>
      <w:tr>
        <w:trPr>
          <w:trHeight w:val="47"/>
        </w:trPr>
        <w:tc>
          <w:tcPr>
            <w:tcW w:w="1480" w:type="dxa"/>
            <w:vAlign w:val="bottom"/>
            <w:vMerge w:val="restart"/>
          </w:tcPr>
          <w:p>
            <w:pPr>
              <w:spacing w:after="0"/>
              <w:rPr>
                <w:sz w:val="20"/>
                <w:szCs w:val="20"/>
                <w:color w:val="auto"/>
              </w:rPr>
            </w:pPr>
            <w:r>
              <w:rPr>
                <w:rFonts w:ascii="Calibri" w:cs="Calibri" w:eastAsia="Calibri" w:hAnsi="Calibri"/>
                <w:sz w:val="20"/>
                <w:szCs w:val="20"/>
                <w:color w:val="auto"/>
              </w:rPr>
              <w:t>Printed Name:</w:t>
            </w:r>
          </w:p>
        </w:tc>
        <w:tc>
          <w:tcPr>
            <w:tcW w:w="2820" w:type="dxa"/>
            <w:vAlign w:val="bottom"/>
            <w:tcBorders>
              <w:bottom w:val="single" w:sz="8" w:color="auto"/>
            </w:tcBorders>
          </w:tcPr>
          <w:p>
            <w:pPr>
              <w:spacing w:after="0"/>
              <w:rPr>
                <w:sz w:val="4"/>
                <w:szCs w:val="4"/>
                <w:color w:val="auto"/>
              </w:rPr>
            </w:pPr>
          </w:p>
        </w:tc>
        <w:tc>
          <w:tcPr>
            <w:tcW w:w="2560" w:type="dxa"/>
            <w:vAlign w:val="bottom"/>
            <w:vMerge w:val="restart"/>
          </w:tcPr>
          <w:p>
            <w:pPr>
              <w:ind w:left="1060"/>
              <w:spacing w:after="0"/>
              <w:rPr>
                <w:sz w:val="20"/>
                <w:szCs w:val="20"/>
                <w:color w:val="auto"/>
              </w:rPr>
            </w:pPr>
            <w:r>
              <w:rPr>
                <w:rFonts w:ascii="Calibri" w:cs="Calibri" w:eastAsia="Calibri" w:hAnsi="Calibri"/>
                <w:sz w:val="20"/>
                <w:szCs w:val="20"/>
                <w:color w:val="auto"/>
              </w:rPr>
              <w:t>Printed Name:</w:t>
            </w:r>
          </w:p>
        </w:tc>
        <w:tc>
          <w:tcPr>
            <w:tcW w:w="2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480" w:type="dxa"/>
            <w:vAlign w:val="bottom"/>
            <w:vMerge w:val="continue"/>
          </w:tcPr>
          <w:p>
            <w:pPr>
              <w:spacing w:after="0"/>
              <w:rPr>
                <w:sz w:val="19"/>
                <w:szCs w:val="19"/>
                <w:color w:val="auto"/>
              </w:rPr>
            </w:pPr>
          </w:p>
        </w:tc>
        <w:tc>
          <w:tcPr>
            <w:tcW w:w="2820" w:type="dxa"/>
            <w:vAlign w:val="bottom"/>
          </w:tcPr>
          <w:p>
            <w:pPr>
              <w:ind w:left="20"/>
              <w:spacing w:after="0" w:line="225" w:lineRule="exact"/>
              <w:rPr>
                <w:sz w:val="20"/>
                <w:szCs w:val="20"/>
                <w:color w:val="auto"/>
              </w:rPr>
            </w:pPr>
            <w:r>
              <w:rPr>
                <w:rFonts w:ascii="Calibri" w:cs="Calibri" w:eastAsia="Calibri" w:hAnsi="Calibri"/>
                <w:sz w:val="20"/>
                <w:szCs w:val="20"/>
                <w:b w:val="1"/>
                <w:bCs w:val="1"/>
                <w:color w:val="auto"/>
              </w:rPr>
              <w:t>Josh Glover</w:t>
            </w:r>
          </w:p>
        </w:tc>
        <w:tc>
          <w:tcPr>
            <w:tcW w:w="2560" w:type="dxa"/>
            <w:vAlign w:val="bottom"/>
            <w:vMerge w:val="continue"/>
          </w:tcPr>
          <w:p>
            <w:pPr>
              <w:spacing w:after="0"/>
              <w:rPr>
                <w:sz w:val="19"/>
                <w:szCs w:val="19"/>
                <w:color w:val="auto"/>
              </w:rPr>
            </w:pPr>
          </w:p>
        </w:tc>
        <w:tc>
          <w:tcPr>
            <w:tcW w:w="2820" w:type="dxa"/>
            <w:vAlign w:val="bottom"/>
          </w:tcPr>
          <w:p>
            <w:pPr>
              <w:ind w:left="20"/>
              <w:spacing w:after="0" w:line="225" w:lineRule="exact"/>
              <w:rPr>
                <w:sz w:val="20"/>
                <w:szCs w:val="20"/>
                <w:color w:val="auto"/>
              </w:rPr>
            </w:pPr>
            <w:r>
              <w:rPr>
                <w:rFonts w:ascii="Calibri" w:cs="Calibri" w:eastAsia="Calibri" w:hAnsi="Calibri"/>
                <w:sz w:val="20"/>
                <w:szCs w:val="20"/>
                <w:b w:val="1"/>
                <w:bCs w:val="1"/>
                <w:color w:val="auto"/>
              </w:rPr>
              <w:t>Chris Ainsworth</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560" w:type="dxa"/>
            <w:vAlign w:val="bottom"/>
          </w:tcPr>
          <w:p>
            <w:pPr>
              <w:ind w:left="1060"/>
              <w:spacing w:after="0" w:line="234" w:lineRule="exact"/>
              <w:rPr>
                <w:sz w:val="20"/>
                <w:szCs w:val="20"/>
                <w:color w:val="auto"/>
              </w:rPr>
            </w:pPr>
            <w:r>
              <w:rPr>
                <w:rFonts w:ascii="Calibri" w:cs="Calibri" w:eastAsia="Calibri" w:hAnsi="Calibri"/>
                <w:sz w:val="20"/>
                <w:szCs w:val="20"/>
                <w:color w:val="auto"/>
              </w:rPr>
              <w:t>Title:</w:t>
            </w:r>
          </w:p>
        </w:tc>
        <w:tc>
          <w:tcPr>
            <w:tcW w:w="282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Chief People Ofcer</w:t>
            </w:r>
          </w:p>
        </w:tc>
        <w:tc>
          <w:tcPr>
            <w:tcW w:w="0" w:type="dxa"/>
            <w:vAlign w:val="bottom"/>
          </w:tcPr>
          <w:p>
            <w:pPr>
              <w:spacing w:after="0"/>
              <w:rPr>
                <w:sz w:val="1"/>
                <w:szCs w:val="1"/>
                <w:color w:val="auto"/>
              </w:rPr>
            </w:pPr>
          </w:p>
        </w:tc>
      </w:tr>
    </w:tbl>
    <w:p>
      <w:pPr>
        <w:sectPr>
          <w:pgSz w:w="11900" w:h="16838" w:orient="portrait"/>
          <w:cols w:equalWidth="0" w:num="1">
            <w:col w:w="10140"/>
          </w:cols>
          <w:pgMar w:left="740" w:top="1440" w:right="10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u w:val="single" w:color="auto"/>
          <w:color w:val="auto"/>
        </w:rPr>
        <w:t>EMPLOYMENT AGREEMENT</w:t>
      </w:r>
    </w:p>
    <w:p>
      <w:pPr>
        <w:spacing w:after="0" w:line="252" w:lineRule="exact"/>
        <w:rPr>
          <w:sz w:val="20"/>
          <w:szCs w:val="20"/>
          <w:color w:val="auto"/>
        </w:rPr>
      </w:pPr>
    </w:p>
    <w:p>
      <w:pPr>
        <w:jc w:val="both"/>
        <w:ind w:left="40" w:firstLine="667"/>
        <w:spacing w:after="0" w:line="270" w:lineRule="auto"/>
        <w:rPr>
          <w:sz w:val="20"/>
          <w:szCs w:val="20"/>
          <w:color w:val="auto"/>
        </w:rPr>
      </w:pPr>
      <w:r>
        <w:rPr>
          <w:rFonts w:ascii="Times New Roman" w:cs="Times New Roman" w:eastAsia="Times New Roman" w:hAnsi="Times New Roman"/>
          <w:sz w:val="22"/>
          <w:szCs w:val="22"/>
          <w:color w:val="auto"/>
        </w:rPr>
        <w:t>THIS AMENDED AND RESTATED EMPLOYMENT AGREEMENT (the "Agreement"), by and between nCino OpCo, Inc., a Delaware corporation (the "Company"), and Sean Desmond ("You" or "Your") (each, a "Party" and collectively, the "Parties"), is entered into and effective as of April 11, 2024 (the "Effective Date").</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WHEREAS, You are an employee of the Company;</w:t>
      </w:r>
    </w:p>
    <w:p>
      <w:pPr>
        <w:spacing w:after="0" w:line="247" w:lineRule="exact"/>
        <w:rPr>
          <w:sz w:val="20"/>
          <w:szCs w:val="20"/>
          <w:color w:val="auto"/>
        </w:rPr>
      </w:pPr>
    </w:p>
    <w:p>
      <w:pPr>
        <w:jc w:val="both"/>
        <w:ind w:left="20" w:firstLine="667"/>
        <w:spacing w:after="0" w:line="270" w:lineRule="auto"/>
        <w:rPr>
          <w:sz w:val="20"/>
          <w:szCs w:val="20"/>
          <w:color w:val="auto"/>
        </w:rPr>
      </w:pPr>
      <w:r>
        <w:rPr>
          <w:rFonts w:ascii="Times New Roman" w:cs="Times New Roman" w:eastAsia="Times New Roman" w:hAnsi="Times New Roman"/>
          <w:sz w:val="22"/>
          <w:szCs w:val="22"/>
          <w:color w:val="auto"/>
        </w:rPr>
        <w:t>WHEREAS, the Parties desire to enter into this Agreement, as an amendment and restatement to the Employment Agreement, effective as of July 6, 2020, between the Company and You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to express the terms and conditions of Your continued employment with the Company (or any of its affiliates) as described herein; and</w:t>
      </w:r>
    </w:p>
    <w:p>
      <w:pPr>
        <w:spacing w:after="0" w:line="186" w:lineRule="exact"/>
        <w:rPr>
          <w:sz w:val="20"/>
          <w:szCs w:val="20"/>
          <w:color w:val="auto"/>
        </w:rPr>
      </w:pPr>
    </w:p>
    <w:p>
      <w:pPr>
        <w:jc w:val="both"/>
        <w:ind w:left="40" w:firstLine="661"/>
        <w:spacing w:after="0" w:line="270" w:lineRule="auto"/>
        <w:rPr>
          <w:sz w:val="20"/>
          <w:szCs w:val="20"/>
          <w:color w:val="auto"/>
        </w:rPr>
      </w:pPr>
      <w:r>
        <w:rPr>
          <w:rFonts w:ascii="Times New Roman" w:cs="Times New Roman" w:eastAsia="Times New Roman" w:hAnsi="Times New Roman"/>
          <w:sz w:val="22"/>
          <w:szCs w:val="22"/>
          <w:color w:val="auto"/>
        </w:rPr>
        <w:t>WHEREAS, as a condition to and as consideration for the Company's entry into this Agreement, including the enhanced severance benefits provided hereunder, You desire and agree to enter into the Amended and Restated Non-Disclosure, Restrictive Covenants and Assignment of Inventions Agreement as of the Effective Date.</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NOW, THEREFORE, in consideration of the mutual agreements in this Agreement, the Parties agree as follows:</w:t>
      </w:r>
    </w:p>
    <w:p>
      <w:pPr>
        <w:spacing w:after="0" w:line="247" w:lineRule="exact"/>
        <w:rPr>
          <w:sz w:val="20"/>
          <w:szCs w:val="20"/>
          <w:color w:val="auto"/>
        </w:rPr>
      </w:pPr>
    </w:p>
    <w:p>
      <w:pPr>
        <w:jc w:val="both"/>
        <w:ind w:left="20" w:firstLine="669"/>
        <w:spacing w:after="0" w:line="263" w:lineRule="auto"/>
        <w:tabs>
          <w:tab w:leader="none" w:pos="119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This Agreement does not create a contract for employment for a definite period or a contract for any particular benefits. Your employment with the Company shall be and remain at all times an at-will relationship. This means that at either Your option or the Company's option, Your employment may be terminated at any time, with or without Cause, and with or without notice. The period from the Effective Date through the date of the termination of Your employment hereunder is referred to herein as the "Term."</w:t>
      </w:r>
    </w:p>
    <w:p>
      <w:pPr>
        <w:spacing w:after="0" w:line="193" w:lineRule="exact"/>
        <w:rPr>
          <w:rFonts w:ascii="Times New Roman" w:cs="Times New Roman" w:eastAsia="Times New Roman" w:hAnsi="Times New Roman"/>
          <w:sz w:val="22"/>
          <w:szCs w:val="22"/>
          <w:color w:val="auto"/>
        </w:rPr>
      </w:pPr>
    </w:p>
    <w:p>
      <w:pPr>
        <w:jc w:val="both"/>
        <w:ind w:left="20" w:firstLine="669"/>
        <w:spacing w:after="0" w:line="276" w:lineRule="auto"/>
        <w:tabs>
          <w:tab w:leader="none" w:pos="119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Positions and Authority</w:t>
      </w:r>
      <w:r>
        <w:rPr>
          <w:rFonts w:ascii="Times New Roman" w:cs="Times New Roman" w:eastAsia="Times New Roman" w:hAnsi="Times New Roman"/>
          <w:sz w:val="21"/>
          <w:szCs w:val="21"/>
          <w:color w:val="auto"/>
        </w:rPr>
        <w:t>. You shall serve in the position of Chief Product Officer, or in such other positions as the Parties may agree, repo1iing to the Company's Chief Executive Officer. You agree to serve in the officer position referred to in this Section 2, and to perform diligently and to the best of Your abilities the duties and services pertaining to such offices as set forth in the Bylaws of the Company, as well as such additional duties and services appropriate to such offices that the Parties may agree upon from time to time. Upon the Effective Date, Your principal place of work shall be located in Wilmington, North Carolina, subject to business travel as reasonably necessary in the performance of Your duties for the Company.</w:t>
      </w:r>
    </w:p>
    <w:p>
      <w:pPr>
        <w:spacing w:after="0" w:line="156" w:lineRule="exact"/>
        <w:rPr>
          <w:sz w:val="20"/>
          <w:szCs w:val="20"/>
          <w:color w:val="auto"/>
        </w:rPr>
      </w:pPr>
    </w:p>
    <w:p>
      <w:pPr>
        <w:jc w:val="both"/>
        <w:ind w:firstLine="665"/>
        <w:spacing w:after="0" w:line="265" w:lineRule="auto"/>
        <w:rPr>
          <w:sz w:val="20"/>
          <w:szCs w:val="20"/>
          <w:color w:val="auto"/>
        </w:rPr>
      </w:pPr>
      <w:r>
        <w:rPr>
          <w:rFonts w:ascii="Times New Roman" w:cs="Times New Roman" w:eastAsia="Times New Roman" w:hAnsi="Times New Roman"/>
          <w:sz w:val="22"/>
          <w:szCs w:val="22"/>
          <w:color w:val="auto"/>
        </w:rPr>
        <w:t>During the Term, You shall devote Your full business time and effo1is to the business and affairs of the Company and its subsidiaries, provided that You shall be entitled to serve on civic, charitable, educational, religious, public interest or public service boards, and to manage Your personal and family investments, in each case, to the extent such activities do not materially interfere with the performance of Your duties and responsibilities hereunder. You shall not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40"/>
          </w:cols>
          <w:pgMar w:left="420" w:top="342" w:right="339" w:bottom="1440" w:gutter="0" w:footer="0" w:header="0"/>
        </w:sectPr>
      </w:pPr>
    </w:p>
    <w:bookmarkStart w:id="51" w:name="page52"/>
    <w:bookmarkEnd w:id="51"/>
    <w:p>
      <w:pPr>
        <w:spacing w:after="0" w:line="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 xml:space="preserve">a director of any for profit entity without first receiving the approval of the Nominating and Corporate Governance Committee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400" w:hanging="620"/>
        <w:spacing w:after="0"/>
        <w:tabs>
          <w:tab w:leader="none" w:pos="14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20" w:firstLine="1315"/>
        <w:spacing w:after="0" w:line="281" w:lineRule="auto"/>
        <w:tabs>
          <w:tab w:leader="none" w:pos="194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As compensation for Your performance of Your duties hereunder, Company shall pay to You an initial Base Salary of $370,800.00 per year, payable in accordance with the normal payroll practices of the Company. The Base Salary shall be reviewed for increases but not decreases by the Compensation Committee of the Board (the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in good faith, based upon the Company's and Your performance and the Company's pay philosophy, not less often than annually. The term "Base Salary" shall refer to the Base Salary as may be in effect from time to time.</w:t>
      </w:r>
    </w:p>
    <w:p>
      <w:pPr>
        <w:spacing w:after="0" w:line="165" w:lineRule="exact"/>
        <w:rPr>
          <w:rFonts w:ascii="Times New Roman" w:cs="Times New Roman" w:eastAsia="Times New Roman" w:hAnsi="Times New Roman"/>
          <w:sz w:val="21"/>
          <w:szCs w:val="21"/>
          <w:color w:val="auto"/>
        </w:rPr>
      </w:pPr>
    </w:p>
    <w:p>
      <w:pPr>
        <w:jc w:val="both"/>
        <w:ind w:left="140" w:firstLine="1308"/>
        <w:spacing w:after="0" w:line="261" w:lineRule="auto"/>
        <w:tabs>
          <w:tab w:leader="none" w:pos="1946"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Incentive Compensation</w:t>
      </w:r>
      <w:r>
        <w:rPr>
          <w:rFonts w:ascii="Times New Roman" w:cs="Times New Roman" w:eastAsia="Times New Roman" w:hAnsi="Times New Roman"/>
          <w:sz w:val="22"/>
          <w:szCs w:val="22"/>
          <w:color w:val="auto"/>
        </w:rPr>
        <w:t>. During the Term, You shall be eligible to participate in the annual cash bonus program maintained for senior executive officers of the Company (the "</w:t>
      </w:r>
      <w:r>
        <w:rPr>
          <w:rFonts w:ascii="Times New Roman" w:cs="Times New Roman" w:eastAsia="Times New Roman" w:hAnsi="Times New Roman"/>
          <w:sz w:val="22"/>
          <w:szCs w:val="22"/>
          <w:u w:val="single" w:color="auto"/>
          <w:color w:val="auto"/>
        </w:rPr>
        <w:t>Annual Incentive Program</w:t>
      </w:r>
      <w:r>
        <w:rPr>
          <w:rFonts w:ascii="Times New Roman" w:cs="Times New Roman" w:eastAsia="Times New Roman" w:hAnsi="Times New Roman"/>
          <w:sz w:val="22"/>
          <w:szCs w:val="22"/>
          <w:color w:val="auto"/>
        </w:rPr>
        <w:t>"), with an initial target annual bonus opportunity equal to 60% of Base Salary. The actual amount of the annual bonus earned by and payable to You for any year or portion of a year, as applicable, shall be determined upon the satisfaction of goals and objectives established by the Compensation Committee, and shall be subject to such other terms and conditions of the Annual Incentive Program as in effect from time to time. Each bonus paid under the Annual Incentive Program shall be paid to You no later than two and a half months following the fiscal year in which the bonus is earned. Except as provided in Section 4, Your right to a bonus under the Annual Incentive Program is subject to Your continued employment with the Company through the applicable payment date of the bonus.</w:t>
      </w:r>
    </w:p>
    <w:p>
      <w:pPr>
        <w:spacing w:after="0" w:line="183" w:lineRule="exact"/>
        <w:rPr>
          <w:rFonts w:ascii="Times New Roman" w:cs="Times New Roman" w:eastAsia="Times New Roman" w:hAnsi="Times New Roman"/>
          <w:sz w:val="22"/>
          <w:szCs w:val="22"/>
          <w:color w:val="auto"/>
        </w:rPr>
      </w:pPr>
    </w:p>
    <w:p>
      <w:pPr>
        <w:jc w:val="both"/>
        <w:ind w:left="140" w:firstLine="1314"/>
        <w:spacing w:after="0" w:line="265" w:lineRule="auto"/>
        <w:tabs>
          <w:tab w:leader="none" w:pos="1954"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Incentive Program</w:t>
      </w:r>
      <w:r>
        <w:rPr>
          <w:rFonts w:ascii="Times New Roman" w:cs="Times New Roman" w:eastAsia="Times New Roman" w:hAnsi="Times New Roman"/>
          <w:sz w:val="22"/>
          <w:szCs w:val="22"/>
          <w:color w:val="auto"/>
        </w:rPr>
        <w:t>. During the Term, You shall be eligible to participate in the equity incentive program maintained for senior executive officers of the Company (the "</w:t>
      </w:r>
      <w:r>
        <w:rPr>
          <w:rFonts w:ascii="Times New Roman" w:cs="Times New Roman" w:eastAsia="Times New Roman" w:hAnsi="Times New Roman"/>
          <w:sz w:val="22"/>
          <w:szCs w:val="22"/>
          <w:u w:val="single" w:color="auto"/>
          <w:color w:val="auto"/>
        </w:rPr>
        <w:t>Equity Incentive Program</w:t>
      </w:r>
      <w:r>
        <w:rPr>
          <w:rFonts w:ascii="Times New Roman" w:cs="Times New Roman" w:eastAsia="Times New Roman" w:hAnsi="Times New Roman"/>
          <w:sz w:val="22"/>
          <w:szCs w:val="22"/>
          <w:color w:val="auto"/>
        </w:rPr>
        <w:t>"), with an Equity Incentive Program target opportunity and equity vehicles determined by the Compensation Committee for each year of participation thereunder.</w:t>
      </w:r>
    </w:p>
    <w:p>
      <w:pPr>
        <w:spacing w:after="0" w:line="192" w:lineRule="exact"/>
        <w:rPr>
          <w:rFonts w:ascii="Times New Roman" w:cs="Times New Roman" w:eastAsia="Times New Roman" w:hAnsi="Times New Roman"/>
          <w:sz w:val="22"/>
          <w:szCs w:val="22"/>
          <w:color w:val="auto"/>
        </w:rPr>
      </w:pPr>
    </w:p>
    <w:p>
      <w:pPr>
        <w:jc w:val="both"/>
        <w:ind w:left="120" w:firstLine="1334"/>
        <w:spacing w:after="0" w:line="265" w:lineRule="auto"/>
        <w:tabs>
          <w:tab w:leader="none" w:pos="194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 and Perquisites</w:t>
      </w:r>
      <w:r>
        <w:rPr>
          <w:rFonts w:ascii="Times New Roman" w:cs="Times New Roman" w:eastAsia="Times New Roman" w:hAnsi="Times New Roman"/>
          <w:sz w:val="22"/>
          <w:szCs w:val="22"/>
          <w:color w:val="auto"/>
        </w:rPr>
        <w:t>. During the Term, You shall be entitled to receive all benefits and perquisites of employment generally available to other members of the Company's senior executive management, upon Your satisfaction of the eligibility or participation criteria therefor. The Company reserves the right to modify or terminate employee benefits and perquisites at its discretion.</w:t>
      </w:r>
    </w:p>
    <w:p>
      <w:pPr>
        <w:spacing w:after="0" w:line="178" w:lineRule="exact"/>
        <w:rPr>
          <w:rFonts w:ascii="Times New Roman" w:cs="Times New Roman" w:eastAsia="Times New Roman" w:hAnsi="Times New Roman"/>
          <w:sz w:val="22"/>
          <w:szCs w:val="22"/>
          <w:color w:val="auto"/>
        </w:rPr>
      </w:pPr>
    </w:p>
    <w:p>
      <w:pPr>
        <w:jc w:val="both"/>
        <w:ind w:left="140" w:firstLine="1308"/>
        <w:spacing w:after="0" w:line="270" w:lineRule="auto"/>
        <w:tabs>
          <w:tab w:leader="none" w:pos="1954"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Subject to Section 23, You shall be reimbursed for reasonable travel and other expenses incurred in the performance of Your duties on behalf of the Company in a manner consistent with the Company' s policies regarding such reimbursements, as may be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9" w:lineRule="exact"/>
        <w:rPr>
          <w:sz w:val="20"/>
          <w:szCs w:val="20"/>
          <w:color w:val="auto"/>
        </w:rPr>
      </w:pPr>
    </w:p>
    <w:p>
      <w:pPr>
        <w:ind w:left="1200" w:hanging="541"/>
        <w:spacing w:after="0"/>
        <w:tabs>
          <w:tab w:leader="none" w:pos="12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 Subject to the terms and conditions of this Agreement:</w:t>
      </w:r>
    </w:p>
    <w:p>
      <w:pPr>
        <w:spacing w:after="0" w:line="233" w:lineRule="exact"/>
        <w:rPr>
          <w:rFonts w:ascii="Times New Roman" w:cs="Times New Roman" w:eastAsia="Times New Roman" w:hAnsi="Times New Roman"/>
          <w:sz w:val="22"/>
          <w:szCs w:val="22"/>
          <w:color w:val="auto"/>
        </w:rPr>
      </w:pPr>
    </w:p>
    <w:p>
      <w:pPr>
        <w:jc w:val="both"/>
        <w:ind w:firstLine="1329"/>
        <w:spacing w:after="0" w:line="279" w:lineRule="auto"/>
        <w:tabs>
          <w:tab w:leader="none" w:pos="185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If Your employment with the Company (or any of its affiliates) is terminated as a result of Your death, the Company shall pay Your estate, or as may be directed by the legal representatives of Your estate,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w:t>
      </w:r>
    </w:p>
    <w:p>
      <w:pPr>
        <w:spacing w:after="0" w:line="165" w:lineRule="exact"/>
        <w:rPr>
          <w:rFonts w:ascii="Times New Roman" w:cs="Times New Roman" w:eastAsia="Times New Roman" w:hAnsi="Times New Roman"/>
          <w:sz w:val="21"/>
          <w:szCs w:val="21"/>
          <w:color w:val="auto"/>
        </w:rPr>
      </w:pPr>
    </w:p>
    <w:p>
      <w:pPr>
        <w:jc w:val="both"/>
        <w:ind w:left="20" w:firstLine="1322"/>
        <w:spacing w:after="0" w:line="277" w:lineRule="auto"/>
        <w:tabs>
          <w:tab w:leader="none" w:pos="1852"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Your employment with the Company (or any of its affiliates) is terminated by the Company as a result of You being substantially unable to perform the essential functions of Your then-current position with the Company (or any of its affiliates) by reason of illness, physical or mental disability or other similar incapacity, which inability shall continue for three (3) consecutive months (provided that until such termination, You shall continue to receive Your then-current compensation and benefits, reduced by any benefits payable to You under any disability insurance policy or plan applicable You), the Company shall pay You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provided, that payments so made to You with respect to any period that You are substantially unable to perform the essential functions of Your then-current position with the Company (or any of its affiliates) by reason of illness, physical or mental illness or other similar incapacity shall be reduced by the sum of the amounts, if any, payable to You by reason of such disability, at or prior to the time of any such payment, under any disability insurance policy or benefit plan and which amounts have not previously been applied to reduce any such payment.</w:t>
      </w:r>
    </w:p>
    <w:p>
      <w:pPr>
        <w:spacing w:after="0" w:line="148" w:lineRule="exact"/>
        <w:rPr>
          <w:rFonts w:ascii="Times New Roman" w:cs="Times New Roman" w:eastAsia="Times New Roman" w:hAnsi="Times New Roman"/>
          <w:sz w:val="21"/>
          <w:szCs w:val="21"/>
          <w:color w:val="auto"/>
        </w:rPr>
      </w:pPr>
    </w:p>
    <w:p>
      <w:pPr>
        <w:jc w:val="both"/>
        <w:ind w:left="20" w:firstLine="1329"/>
        <w:spacing w:after="0" w:line="270" w:lineRule="auto"/>
        <w:tabs>
          <w:tab w:leader="none" w:pos="184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 or by You without Good Reason</w:t>
      </w:r>
      <w:r>
        <w:rPr>
          <w:rFonts w:ascii="Times New Roman" w:cs="Times New Roman" w:eastAsia="Times New Roman" w:hAnsi="Times New Roman"/>
          <w:sz w:val="22"/>
          <w:szCs w:val="22"/>
          <w:color w:val="auto"/>
        </w:rPr>
        <w:t>. If the Company (or any of its affiliates) terminates Your employment for Cause or You terminate Your employment without Good Reason, the Company shall pay You Your Base Salary due through the date of termination and shall have no further obligations to You.</w:t>
      </w:r>
    </w:p>
    <w:p>
      <w:pPr>
        <w:spacing w:after="0" w:line="158" w:lineRule="exact"/>
        <w:rPr>
          <w:rFonts w:ascii="Times New Roman" w:cs="Times New Roman" w:eastAsia="Times New Roman" w:hAnsi="Times New Roman"/>
          <w:sz w:val="22"/>
          <w:szCs w:val="22"/>
          <w:color w:val="auto"/>
        </w:rPr>
      </w:pPr>
    </w:p>
    <w:p>
      <w:pPr>
        <w:jc w:val="both"/>
        <w:ind w:left="20" w:firstLine="1328"/>
        <w:spacing w:after="0" w:line="269" w:lineRule="auto"/>
        <w:tabs>
          <w:tab w:leader="none" w:pos="184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You with Good Reason Prior to or More Than One Year Following a Change in Control</w:t>
      </w:r>
      <w:r>
        <w:rPr>
          <w:rFonts w:ascii="Times New Roman" w:cs="Times New Roman" w:eastAsia="Times New Roman" w:hAnsi="Times New Roman"/>
          <w:sz w:val="22"/>
          <w:szCs w:val="22"/>
          <w:color w:val="auto"/>
        </w:rPr>
        <w:t>. If (i) the Company (or any of its affiliates) terminates Your employment without Cause, or (ii) You terminate Your employment for Good Reason, in either case, prior to or more than one (1) year following a Change in Control, then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40"/>
          </w:cols>
          <w:pgMar w:left="420" w:top="1440" w:right="339" w:bottom="1440" w:gutter="0" w:footer="0" w:header="0"/>
        </w:sectPr>
      </w:pPr>
    </w:p>
    <w:bookmarkStart w:id="53" w:name="page54"/>
    <w:bookmarkEnd w:id="53"/>
    <w:p>
      <w:pPr>
        <w:jc w:val="both"/>
        <w:ind w:firstLine="1991"/>
        <w:spacing w:after="0" w:line="260" w:lineRule="auto"/>
        <w:tabs>
          <w:tab w:leader="none" w:pos="2474"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You (i) Your Base Salary due through the date of termination, (ii) an amount equal to one-half (.5) times Your then-current annual Base Salary, such amount paid in substantially equal installments as of the last day of each month during the six (6) month period commencing on Your date of termination (the "Severance Period"),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and (iii)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provided, however, that if the conditions of Section 5 have not been met upon the date(s) that any payment is or payments are due pursuant to clauses (ii) and (iii) under this Section 4(d)(A), such payment(s) will not be made upon the date specified above, and such withheld payment(s) will instead be made, subject to Section 23, on the first payroll date following the effective date of the Separation &amp; Release Agreement.</w:t>
      </w:r>
    </w:p>
    <w:p>
      <w:pPr>
        <w:spacing w:after="0" w:line="190" w:lineRule="exact"/>
        <w:rPr>
          <w:rFonts w:ascii="Times New Roman" w:cs="Times New Roman" w:eastAsia="Times New Roman" w:hAnsi="Times New Roman"/>
          <w:sz w:val="22"/>
          <w:szCs w:val="22"/>
          <w:color w:val="auto"/>
        </w:rPr>
      </w:pPr>
    </w:p>
    <w:p>
      <w:pPr>
        <w:jc w:val="both"/>
        <w:ind w:firstLine="1991"/>
        <w:spacing w:after="0" w:line="272" w:lineRule="auto"/>
        <w:tabs>
          <w:tab w:leader="none" w:pos="2462"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provided, however, that (i) notwithstanding anything in this subsection to the contrary, all other terms and provisions of the Company major medical group plan governing Your rights and Your dependent's rights under COBRA shall apply, (ii) payments pursuant to this Section 4(d)</w:t>
      </w:r>
    </w:p>
    <w:p>
      <w:pPr>
        <w:spacing w:after="0" w:line="1" w:lineRule="exact"/>
        <w:rPr>
          <w:rFonts w:ascii="Times New Roman" w:cs="Times New Roman" w:eastAsia="Times New Roman" w:hAnsi="Times New Roman"/>
          <w:sz w:val="21"/>
          <w:szCs w:val="21"/>
          <w:color w:val="auto"/>
        </w:rPr>
      </w:pPr>
    </w:p>
    <w:p>
      <w:pPr>
        <w:jc w:val="both"/>
        <w:ind w:firstLine="6"/>
        <w:spacing w:after="0" w:line="261" w:lineRule="auto"/>
        <w:tabs>
          <w:tab w:leader="none" w:pos="3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5105(h) or the Patient Protection and Affordable Care Act of 2010 and (iv) if the conditions of Section 5 have not been met upon the date(s) that any reimbursement is or reimbursements are due pursuant to this Section 4(d)(B), such reimbursement(s) will not be made until the conditions of Section 5 have been met, and any such withheld reimbursement(s) will instead be made, subject to Section 23, on the first payroll date following the effective date of the Separation &amp; Release Agreement; and</w:t>
      </w:r>
    </w:p>
    <w:p>
      <w:pPr>
        <w:spacing w:after="0" w:line="202" w:lineRule="exact"/>
        <w:rPr>
          <w:rFonts w:ascii="Times New Roman" w:cs="Times New Roman" w:eastAsia="Times New Roman" w:hAnsi="Times New Roman"/>
          <w:sz w:val="22"/>
          <w:szCs w:val="22"/>
          <w:color w:val="auto"/>
        </w:rPr>
      </w:pPr>
    </w:p>
    <w:p>
      <w:pPr>
        <w:jc w:val="both"/>
        <w:ind w:right="20" w:firstLine="1978"/>
        <w:spacing w:after="0" w:line="270" w:lineRule="auto"/>
        <w:tabs>
          <w:tab w:leader="none" w:pos="247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termination occurs before a Change in Control has occurred, cause any equity awards outstanding as of the Effective Date, including but not limited to, options to purchase common stock of the Company and restricted stock units, if any, then held by You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20"/>
          </w:cols>
          <w:pgMar w:left="440" w:top="1071" w:right="339" w:bottom="1440" w:gutter="0" w:footer="0" w:header="0"/>
        </w:sectPr>
      </w:pPr>
    </w:p>
    <w:bookmarkStart w:id="54" w:name="page55"/>
    <w:bookmarkEnd w:id="54"/>
    <w:p>
      <w:pPr>
        <w:spacing w:after="0" w:line="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remain outstanding and be forfeited without consideration on the six (6) month anniversary of such termination unless a Change in Control occurs within such six (6) month period, in which case, such outstanding awards will be fully vested and exercisable immediately prior to such Change in Control (with You having ninety (90) days following such Change in Control to exercise such vested stock options if such options remain outstanding following such Change in Control).</w:t>
      </w:r>
    </w:p>
    <w:p>
      <w:pPr>
        <w:spacing w:after="0" w:line="152" w:lineRule="exact"/>
        <w:rPr>
          <w:sz w:val="20"/>
          <w:szCs w:val="20"/>
          <w:color w:val="auto"/>
        </w:rPr>
      </w:pPr>
    </w:p>
    <w:p>
      <w:pPr>
        <w:jc w:val="both"/>
        <w:ind w:left="20" w:firstLine="1965"/>
        <w:spacing w:after="0" w:line="269" w:lineRule="auto"/>
        <w:tabs>
          <w:tab w:leader="none" w:pos="249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You with Good Reason On or Prior to the One Year Anniversary of a Change in Control</w:t>
      </w:r>
      <w:r>
        <w:rPr>
          <w:rFonts w:ascii="Times New Roman" w:cs="Times New Roman" w:eastAsia="Times New Roman" w:hAnsi="Times New Roman"/>
          <w:sz w:val="22"/>
          <w:szCs w:val="22"/>
          <w:color w:val="auto"/>
        </w:rPr>
        <w:t>. If (i) the Company (or any of its affiliates) terminates Your employment without Cause, or (ii) You terminate Your employment for Good Reason, in each case, on or prior to the one (1) year anniversary of a Change in Control (a "</w:t>
      </w: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 then, in lieu of the benefits set forth in Section 4(d), the Company shall:</w:t>
      </w:r>
    </w:p>
    <w:p>
      <w:pPr>
        <w:spacing w:after="0" w:line="148" w:lineRule="exact"/>
        <w:rPr>
          <w:rFonts w:ascii="Times New Roman" w:cs="Times New Roman" w:eastAsia="Times New Roman" w:hAnsi="Times New Roman"/>
          <w:sz w:val="22"/>
          <w:szCs w:val="22"/>
          <w:color w:val="auto"/>
        </w:rPr>
      </w:pPr>
    </w:p>
    <w:p>
      <w:pPr>
        <w:jc w:val="both"/>
        <w:ind w:left="1660" w:firstLine="2001"/>
        <w:spacing w:after="0" w:line="260" w:lineRule="auto"/>
        <w:tabs>
          <w:tab w:leader="none" w:pos="4432"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You (i) Your Base Salary due through the date of termination, and (ii) an aggregate amount equal to one (1) times the sum of (x) Your then-current annual Base Salary and (y) Your target annual cash bonus for the fiscal year of termination (provided, that if Your termination occurs prior to the date on which target annual bonuses are determined for the fiscal year of termination, Your target annual bonus shall be based on the target annual bonus established for the fiscal year preceding the fiscal year of termination), in substantially equal installments as of the last day of each month during the twelve (12) month period commencing on Your date of termination (the "CIC Severance Period"),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provided, however, that if the conditions of Section 5 have not been met upon the date(s) that any payment is or payments are due pursuant to clause (ii) under this Section 4(e)(A), such payment(s) will not be made upon the date specified above, and such withheld payment(s) will instead be made, subject to Section 23, on the first payroll date following the effective date of the Separation &amp; Release Agreement; and</w:t>
      </w:r>
    </w:p>
    <w:p>
      <w:pPr>
        <w:spacing w:after="0" w:line="199" w:lineRule="exact"/>
        <w:rPr>
          <w:rFonts w:ascii="Times New Roman" w:cs="Times New Roman" w:eastAsia="Times New Roman" w:hAnsi="Times New Roman"/>
          <w:sz w:val="22"/>
          <w:szCs w:val="22"/>
          <w:color w:val="auto"/>
        </w:rPr>
      </w:pPr>
    </w:p>
    <w:p>
      <w:pPr>
        <w:jc w:val="both"/>
        <w:ind w:left="1660" w:firstLine="2001"/>
        <w:spacing w:after="0" w:line="262" w:lineRule="auto"/>
        <w:tabs>
          <w:tab w:leader="none" w:pos="443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 You, on a monthly basis, for any COBRA premiums You pay for You and any of Your dependents during the CIC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plat1 in which You and/or Your dependents participated immediately prior to the date of termination, provided, however, that (i) notwithstanding anything in this subsection to the contrary,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40"/>
          </w:cols>
          <w:pgMar w:left="420" w:top="1440" w:right="339" w:bottom="1440" w:gutter="0" w:footer="0" w:header="0"/>
        </w:sectPr>
      </w:pPr>
    </w:p>
    <w:bookmarkStart w:id="55" w:name="page56"/>
    <w:bookmarkEnd w:id="55"/>
    <w:p>
      <w:pPr>
        <w:spacing w:after="0" w:line="36" w:lineRule="exact"/>
        <w:rPr>
          <w:sz w:val="20"/>
          <w:szCs w:val="20"/>
          <w:color w:val="auto"/>
        </w:rPr>
      </w:pPr>
    </w:p>
    <w:p>
      <w:pPr>
        <w:jc w:val="both"/>
        <w:ind w:left="1600" w:hanging="7"/>
        <w:spacing w:after="0" w:line="279" w:lineRule="auto"/>
        <w:rPr>
          <w:sz w:val="20"/>
          <w:szCs w:val="20"/>
          <w:color w:val="auto"/>
        </w:rPr>
      </w:pPr>
      <w:r>
        <w:rPr>
          <w:rFonts w:ascii="Times New Roman" w:cs="Times New Roman" w:eastAsia="Times New Roman" w:hAnsi="Times New Roman"/>
          <w:sz w:val="21"/>
          <w:szCs w:val="21"/>
          <w:color w:val="auto"/>
        </w:rPr>
        <w:t>terms and provisions of the Company major medical group plan governing Your rights and Your dependent's rights under COBRA shall apply, (ii) payments pursuant to this Section 4(e)(B) shall cease earlier than the expiration of the CIC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5105(h) or the Patient Protection and Affordable Care Act of 2010 and (iv) if the conditions of Section 5 have not been met upon the date(s) that any reimbursement is or reimbursements are due pursuant to this Section 4(e)(B), such reimbursement(s) will not be made until the conditions of Section 5 have been met, and any such withheld reimbursement(s) will instead be made, subject to Section 23, on the first payroll date following the effective date of the Separation &amp; Release Agreement.</w:t>
      </w:r>
    </w:p>
    <w:p>
      <w:pPr>
        <w:spacing w:after="0" w:line="193" w:lineRule="exact"/>
        <w:rPr>
          <w:sz w:val="20"/>
          <w:szCs w:val="20"/>
          <w:color w:val="auto"/>
        </w:rPr>
      </w:pPr>
    </w:p>
    <w:p>
      <w:pPr>
        <w:jc w:val="both"/>
        <w:ind w:firstLine="670"/>
        <w:spacing w:after="0" w:line="266" w:lineRule="auto"/>
        <w:tabs>
          <w:tab w:leader="none" w:pos="11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Obligations; No Other Severance</w:t>
      </w:r>
      <w:r>
        <w:rPr>
          <w:rFonts w:ascii="Times New Roman" w:cs="Times New Roman" w:eastAsia="Times New Roman" w:hAnsi="Times New Roman"/>
          <w:sz w:val="22"/>
          <w:szCs w:val="22"/>
          <w:color w:val="auto"/>
        </w:rPr>
        <w:t>. The Company's obligation to pay You the separation payments set forth in Section 4(d) and Section 4(e) (excluding, in either case, Your Base Salary due through the date of termination) shall be conditioned upon Your execution and non-revocation, within the timeframe specified by the Company (but no later than fifty two (52) days following Your date of termination), and compliance with, a valid and binding separation and release agreement (the "</w:t>
      </w:r>
      <w:r>
        <w:rPr>
          <w:rFonts w:ascii="Times New Roman" w:cs="Times New Roman" w:eastAsia="Times New Roman" w:hAnsi="Times New Roman"/>
          <w:sz w:val="22"/>
          <w:szCs w:val="22"/>
          <w:u w:val="single" w:color="auto"/>
          <w:color w:val="auto"/>
        </w:rPr>
        <w:t>Separation &amp; Release Agreement</w:t>
      </w:r>
      <w:r>
        <w:rPr>
          <w:rFonts w:ascii="Times New Roman" w:cs="Times New Roman" w:eastAsia="Times New Roman" w:hAnsi="Times New Roman"/>
          <w:sz w:val="22"/>
          <w:szCs w:val="22"/>
          <w:color w:val="auto"/>
        </w:rPr>
        <w:t>") in the Company's customary form. You hereby acknowledge and agree that, other than the severance payments and benefits described in this Agreement, upon the effective date of the termination of Your employment, You shall not be entitled to any other severance payments or benefits of any kind under any Company benefit plan, severance policy generally available to the Company's employees or otherwise and all of Your other rights to compensation shall end as of such date, except as set forth in this Agreement.</w:t>
      </w:r>
    </w:p>
    <w:p>
      <w:pPr>
        <w:spacing w:after="0" w:line="149" w:lineRule="exact"/>
        <w:rPr>
          <w:rFonts w:ascii="Times New Roman" w:cs="Times New Roman" w:eastAsia="Times New Roman" w:hAnsi="Times New Roman"/>
          <w:sz w:val="22"/>
          <w:szCs w:val="22"/>
          <w:color w:val="auto"/>
        </w:rPr>
      </w:pPr>
    </w:p>
    <w:p>
      <w:pPr>
        <w:jc w:val="both"/>
        <w:ind w:left="20" w:firstLine="658"/>
        <w:spacing w:after="0" w:line="261" w:lineRule="auto"/>
        <w:tabs>
          <w:tab w:leader="none" w:pos="114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Vesting</w:t>
      </w:r>
      <w:r>
        <w:rPr>
          <w:rFonts w:ascii="Times New Roman" w:cs="Times New Roman" w:eastAsia="Times New Roman" w:hAnsi="Times New Roman"/>
          <w:sz w:val="22"/>
          <w:szCs w:val="22"/>
          <w:color w:val="auto"/>
        </w:rPr>
        <w:t>. Effective immediately prior to a Change in Control, all equity awards outstanding as of the Effective Date, including but not limited to, options to purchase common stock of the Company, shares of restricted stock, and restricted stock units, if any, then held by You will be fully vested and exercisable. Unless otherwise expressly provided for in an equity award agreement, any equity awards granted following the Effective Date, including but not limited to, options to purchase common stock of the Company, shares of restricted stock, and restricted stock units, if any, then held by You will be fully vested and exercisable in full in the event of Your CIC Qualifying Termination, with the level of performance achieved for any performance-based equity awards and the timing of settlement for any equity awards specified in the underlying equity award agreements.</w:t>
      </w:r>
    </w:p>
    <w:p>
      <w:pPr>
        <w:spacing w:after="0" w:line="215" w:lineRule="exact"/>
        <w:rPr>
          <w:rFonts w:ascii="Times New Roman" w:cs="Times New Roman" w:eastAsia="Times New Roman" w:hAnsi="Times New Roman"/>
          <w:sz w:val="22"/>
          <w:szCs w:val="22"/>
          <w:color w:val="auto"/>
        </w:rPr>
      </w:pPr>
    </w:p>
    <w:p>
      <w:pPr>
        <w:ind w:left="20" w:firstLine="659"/>
        <w:spacing w:after="0" w:line="284" w:lineRule="auto"/>
        <w:tabs>
          <w:tab w:leader="none" w:pos="11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Notwithstanding anything to the contrary in this Agreement, You expressly agree that if the payments and benefits provided for in this Agreement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80"/>
          </w:cols>
          <w:pgMar w:left="480" w:top="1440" w:right="339" w:bottom="1440" w:gutter="0" w:footer="0" w:header="0"/>
        </w:sectPr>
      </w:pPr>
    </w:p>
    <w:bookmarkStart w:id="56" w:name="page57"/>
    <w:bookmarkEnd w:id="56"/>
    <w:p>
      <w:pPr>
        <w:jc w:val="both"/>
        <w:ind w:left="20" w:hanging="3"/>
        <w:spacing w:after="0" w:line="276" w:lineRule="auto"/>
        <w:rPr>
          <w:sz w:val="20"/>
          <w:szCs w:val="20"/>
          <w:color w:val="auto"/>
        </w:rPr>
      </w:pPr>
      <w:r>
        <w:rPr>
          <w:rFonts w:ascii="Times New Roman" w:cs="Times New Roman" w:eastAsia="Times New Roman" w:hAnsi="Times New Roman"/>
          <w:sz w:val="21"/>
          <w:szCs w:val="21"/>
          <w:color w:val="auto"/>
        </w:rPr>
        <w:t>payments and benefits which You have the right to receive from the Company and its affiliates (collectively, the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would constitute a "parachute payment" (as defined in Section 280G(b)(2) of the Code), then the Payments shall be either (i) reduced (but not below zero) so that the present value of the Payments will be one dollar ($1.00) less than three times Your "base amount" (as defined in Section 280G(b)(3) of the Code) and so that no portion of the Payments received by You shall be subject to the excise tax imposed by Section 4999 of the Code or (ii) paid in full, whichever produces the better net after-tax result to You. The reduction of Payments, if any, shall be made by reducing first any Payments that are exempt from Section 409A and then reducing any Payments subject to Section 409A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Compensation Committee or its designee in good faith, which determination will be conclusive and binding upon You and the Company for all purposes. In making such determination, the Compensation Committee or its designee may engage the services of accountants or other professional advisors, and may make reasonable assumptions and approximations concerning applicable taxes and may rely on reasonable, good faith interpretations concerning the application of the Code (including but not limited to Sections 2800 and 4999). If a reduced Payment is made or provided and, through error or otherwise, that Payment, when aggregated with other payments and benefits from Company (or its affiliates) used in determining if a "parachute payment" exists, exceeds one dollar ($1.00) less than three times Your base amount, then You shall immediately repay such excess to the Company.</w:t>
      </w:r>
    </w:p>
    <w:p>
      <w:pPr>
        <w:spacing w:after="0" w:line="200" w:lineRule="exact"/>
        <w:rPr>
          <w:sz w:val="20"/>
          <w:szCs w:val="20"/>
          <w:color w:val="auto"/>
        </w:rPr>
      </w:pPr>
    </w:p>
    <w:p>
      <w:pPr>
        <w:spacing w:after="0" w:line="230" w:lineRule="exact"/>
        <w:rPr>
          <w:sz w:val="20"/>
          <w:szCs w:val="20"/>
          <w:color w:val="auto"/>
        </w:rPr>
      </w:pPr>
    </w:p>
    <w:p>
      <w:pPr>
        <w:jc w:val="both"/>
        <w:ind w:left="60" w:firstLine="666"/>
        <w:spacing w:after="0" w:line="276" w:lineRule="auto"/>
        <w:tabs>
          <w:tab w:leader="none" w:pos="115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applicable withholdings, including such federal, state, and local income and payroll taxes as the Company determines are required to be withheld pursuant to applicable law.</w:t>
      </w:r>
    </w:p>
    <w:p>
      <w:pPr>
        <w:spacing w:after="0" w:line="234" w:lineRule="exact"/>
        <w:rPr>
          <w:rFonts w:ascii="Times New Roman" w:cs="Times New Roman" w:eastAsia="Times New Roman" w:hAnsi="Times New Roman"/>
          <w:sz w:val="22"/>
          <w:szCs w:val="22"/>
          <w:color w:val="auto"/>
        </w:rPr>
      </w:pPr>
    </w:p>
    <w:p>
      <w:pPr>
        <w:ind w:left="1340" w:hanging="603"/>
        <w:spacing w:after="0"/>
        <w:tabs>
          <w:tab w:leader="none" w:pos="134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0" w:firstLine="1326"/>
        <w:spacing w:after="0" w:line="276" w:lineRule="auto"/>
        <w:tabs>
          <w:tab w:leader="none" w:pos="1793" w:val="left"/>
        </w:tabs>
        <w:numPr>
          <w:ilvl w:val="3"/>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(i) the indictment or conviction of, or plea of "guilty" or "no contest" to, a felony or a crime involving moral turpitude (excluding a traffic violation not involving any period of incarceration) or the commission of any other act or omission involving dishonesty or fraud by You or at Your direction with respect to, and materially adversely affecting the business affairs of, the Company or any of its affiliates or any of their customers or suppliers, (ii) conduct tending to bring the Company or any of its affiliates into substantial public disgrace or disrepute that causes (or could reasonably be expected to cause) substantial injury to the business, reputation and/or operations of the Company or such affiliates, (iii) substantial and repeated failure or refusal to perform duties of the office held by You as reasonably directed by the Company (other than any such failure resulting from Your incapacity due to injury or illness), and such failure is not cured within thirty</w:t>
      </w:r>
    </w:p>
    <w:p>
      <w:pPr>
        <w:spacing w:after="0" w:line="4" w:lineRule="exact"/>
        <w:rPr>
          <w:rFonts w:ascii="Times New Roman" w:cs="Times New Roman" w:eastAsia="Times New Roman" w:hAnsi="Times New Roman"/>
          <w:sz w:val="21"/>
          <w:szCs w:val="21"/>
          <w:color w:val="auto"/>
        </w:rPr>
      </w:pPr>
    </w:p>
    <w:p>
      <w:pPr>
        <w:jc w:val="both"/>
        <w:ind w:left="60" w:firstLine="9"/>
        <w:spacing w:after="0" w:line="270" w:lineRule="auto"/>
        <w:tabs>
          <w:tab w:leader="none" w:pos="51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You receive written notice thereof from the Company that specifically identifies the manner in which the Company believes You have not substantially performed Your duties, (iv) gross negligence or willful misconduct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00"/>
          </w:cols>
          <w:pgMar w:left="460" w:top="1368" w:right="339" w:bottom="1440" w:gutter="0" w:footer="0" w:header="0"/>
        </w:sectPr>
      </w:pPr>
    </w:p>
    <w:bookmarkStart w:id="57" w:name="page58"/>
    <w:bookmarkEnd w:id="57"/>
    <w:p>
      <w:pPr>
        <w:spacing w:after="0" w:line="36" w:lineRule="exact"/>
        <w:rPr>
          <w:sz w:val="20"/>
          <w:szCs w:val="20"/>
          <w:color w:val="auto"/>
        </w:rPr>
      </w:pPr>
    </w:p>
    <w:p>
      <w:pPr>
        <w:jc w:val="both"/>
        <w:ind w:hanging="4"/>
        <w:spacing w:after="0" w:line="260" w:lineRule="auto"/>
        <w:rPr>
          <w:sz w:val="20"/>
          <w:szCs w:val="20"/>
          <w:color w:val="auto"/>
        </w:rPr>
      </w:pPr>
      <w:r>
        <w:rPr>
          <w:rFonts w:ascii="Times New Roman" w:cs="Times New Roman" w:eastAsia="Times New Roman" w:hAnsi="Times New Roman"/>
          <w:sz w:val="22"/>
          <w:szCs w:val="22"/>
          <w:color w:val="auto"/>
        </w:rPr>
        <w:t>the Company or any of its affiliates that causes (or could reasonably be expected to cause) substantial injury to the business, reputation and/or operations of the Company or such affiliate, or (v) any material breach of the policies of the Company (as set forth in the manuals or statements of policy of the Company), this Agreement or the Covenants Agreement (defined below). For purposes of this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based upon advice of counsel for the Company shall be conclusively presumed to be done, or omitted to be done, by You in good faith and in the best interests of the Company. If, within thirty (30) days subsequent to Your termination for any reason, it is discovered that Your employment could have been terminated for Cause, as determined by the Board in its good faith, Your employment will be deemed to have been terminated for Cause for all purposes under this Agreement, You will be required to disgorge to the Company all amounts received by You pursuant to this Agreement on account of such termination that would not have been payable to You had such termination been by the Company for Cause, and the Company will be released from any further obligation to provide You with any separation payments or benefits of any kind.</w:t>
      </w:r>
    </w:p>
    <w:p>
      <w:pPr>
        <w:spacing w:after="0" w:line="204" w:lineRule="exact"/>
        <w:rPr>
          <w:sz w:val="20"/>
          <w:szCs w:val="20"/>
          <w:color w:val="auto"/>
        </w:rPr>
      </w:pPr>
    </w:p>
    <w:p>
      <w:pPr>
        <w:jc w:val="both"/>
        <w:ind w:left="40" w:firstLine="1314"/>
        <w:spacing w:after="0" w:line="265" w:lineRule="auto"/>
        <w:tabs>
          <w:tab w:leader="none" w:pos="180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the same meaning as set forth in the nCino OpCo, Inc. 2019 Equity Incentive Plan, as amended and restated effective immediately prior to the completion of the Company's initial public offering or, solely with respect to equity awards outstanding as of the Effective Date, the equity plan and related award agreements pursuant to which such awards were granted.</w:t>
      </w:r>
    </w:p>
    <w:p>
      <w:pPr>
        <w:spacing w:after="0" w:line="178" w:lineRule="exact"/>
        <w:rPr>
          <w:rFonts w:ascii="Times New Roman" w:cs="Times New Roman" w:eastAsia="Times New Roman" w:hAnsi="Times New Roman"/>
          <w:sz w:val="22"/>
          <w:szCs w:val="22"/>
          <w:color w:val="auto"/>
        </w:rPr>
      </w:pPr>
    </w:p>
    <w:p>
      <w:pPr>
        <w:ind w:left="1800" w:hanging="446"/>
        <w:spacing w:after="0"/>
        <w:tabs>
          <w:tab w:leader="none" w:pos="18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rFonts w:ascii="Times New Roman" w:cs="Times New Roman" w:eastAsia="Times New Roman" w:hAnsi="Times New Roman"/>
          <w:sz w:val="22"/>
          <w:szCs w:val="22"/>
          <w:color w:val="auto"/>
        </w:rPr>
      </w:pPr>
    </w:p>
    <w:p>
      <w:pPr>
        <w:jc w:val="both"/>
        <w:ind w:left="40" w:firstLine="1314"/>
        <w:spacing w:after="0" w:line="247" w:lineRule="auto"/>
        <w:tabs>
          <w:tab w:leader="none" w:pos="180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shall exist if (i) the Company, without Your written consent (a) materially reduces Your authority, duties, or responsibilities from those applicable to You as of the Effective Date (including, following a Change in Control, any failure of the parent corporation of any controlled group of corporations that includes the Company, if the Company is not such parent corporation, to offer You a position with such parent corporation or a subsidiary thereof involving the same or substantially equivalent duties as Your then-current position with the Company), (b) materially reduces Your Base Salary or target annual cash bonus (excluding any reduction as part of an across-the-board reduction in base salaries and target annual bonuses of all Company executive officers so long as the percentage reduction in Your Base Salary and target annual cash bonus is not greater than the percentage reduction applicable to other executive officers, for the same period as the reduction in other executive officer's reduction in salary and target annual cash bonus and, in the event such reduction is later mitigated for other executive officers, Your Base Salary and target annual cash bonus is then increased by the same percentage applicable to other executive officers), or (c) requires You to relocate to a place more than 50 miles from Wilmington, North Carolina to perform Your duties; </w:t>
      </w:r>
      <w:r>
        <w:rPr>
          <w:rFonts w:ascii="Times New Roman" w:cs="Times New Roman" w:eastAsia="Times New Roman" w:hAnsi="Times New Roman"/>
          <w:sz w:val="20"/>
          <w:szCs w:val="20"/>
          <w:color w:val="auto"/>
        </w:rPr>
        <w:t>(ii)</w:t>
      </w:r>
      <w:r>
        <w:rPr>
          <w:rFonts w:ascii="Times New Roman" w:cs="Times New Roman" w:eastAsia="Times New Roman" w:hAnsi="Times New Roman"/>
          <w:sz w:val="22"/>
          <w:szCs w:val="22"/>
          <w:color w:val="auto"/>
        </w:rPr>
        <w:t xml:space="preserve"> You provide written notice to the Company of such action within ninety (90) days of the occurrence thereof and provide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00"/>
          </w:cols>
          <w:pgMar w:left="460" w:top="1440" w:right="339" w:bottom="1440" w:gutter="0" w:footer="0" w:header="0"/>
        </w:sectPr>
      </w:pPr>
    </w:p>
    <w:bookmarkStart w:id="58" w:name="page59"/>
    <w:bookmarkEnd w:id="58"/>
    <w:p>
      <w:pPr>
        <w:spacing w:after="0" w:line="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Company with thirty (30) days to remedy such action from the notice date (the "Cure Period"); (iii) the Company fails to remedy such action within the Cure Period; and (iv) You elect to resign within thirty (30) days of the expiration of the Cure Period.</w:t>
      </w:r>
    </w:p>
    <w:p>
      <w:pPr>
        <w:spacing w:after="0" w:line="167" w:lineRule="exact"/>
        <w:rPr>
          <w:sz w:val="20"/>
          <w:szCs w:val="20"/>
          <w:color w:val="auto"/>
        </w:rPr>
      </w:pPr>
    </w:p>
    <w:p>
      <w:pPr>
        <w:ind w:left="20" w:firstLine="1308"/>
        <w:spacing w:after="0" w:line="271" w:lineRule="auto"/>
        <w:tabs>
          <w:tab w:leader="none" w:pos="1819"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means Section 409A of the Code and the regulations and other guidance thereunder and any state law of similar effect.</w:t>
      </w:r>
    </w:p>
    <w:p>
      <w:pPr>
        <w:spacing w:after="0" w:line="171" w:lineRule="exact"/>
        <w:rPr>
          <w:rFonts w:ascii="Times New Roman" w:cs="Times New Roman" w:eastAsia="Times New Roman" w:hAnsi="Times New Roman"/>
          <w:sz w:val="22"/>
          <w:szCs w:val="22"/>
          <w:color w:val="auto"/>
        </w:rPr>
      </w:pPr>
    </w:p>
    <w:p>
      <w:pPr>
        <w:jc w:val="both"/>
        <w:ind w:left="20" w:firstLine="649"/>
        <w:spacing w:after="0" w:line="265" w:lineRule="auto"/>
        <w:tabs>
          <w:tab w:leader="none" w:pos="1159"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concerning the subject matter of this Agreement and supersedes any prior communications, agreements or understandings, whether oral or written, between You and the Company relating to the subject matter of this Agreement. Other than the terms of this Agreement, no other representation, promise or agreement has been made with You to cause You to sign this Agreement.</w:t>
      </w:r>
    </w:p>
    <w:p>
      <w:pPr>
        <w:spacing w:after="0" w:line="178" w:lineRule="exact"/>
        <w:rPr>
          <w:rFonts w:ascii="Times New Roman" w:cs="Times New Roman" w:eastAsia="Times New Roman" w:hAnsi="Times New Roman"/>
          <w:sz w:val="22"/>
          <w:szCs w:val="22"/>
          <w:color w:val="auto"/>
        </w:rPr>
      </w:pPr>
    </w:p>
    <w:p>
      <w:pPr>
        <w:jc w:val="both"/>
        <w:ind w:left="20" w:firstLine="661"/>
        <w:spacing w:after="0" w:line="271" w:lineRule="auto"/>
        <w:tabs>
          <w:tab w:leader="none" w:pos="1142"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 Agreement</w:t>
      </w:r>
      <w:r>
        <w:rPr>
          <w:rFonts w:ascii="Times New Roman" w:cs="Times New Roman" w:eastAsia="Times New Roman" w:hAnsi="Times New Roman"/>
          <w:sz w:val="21"/>
          <w:szCs w:val="21"/>
          <w:color w:val="auto"/>
        </w:rPr>
        <w:t>. By execution of this Agreement, the Parties acknowledge the validity and effectiveness of the (i) Amended and Restated Non-Disclosure, Restrictive Covenants and Assignment of Inventions Agreement, and (ii) Acknowledgement and Agreement (collectively, the "</w:t>
      </w:r>
      <w:r>
        <w:rPr>
          <w:rFonts w:ascii="Times New Roman" w:cs="Times New Roman" w:eastAsia="Times New Roman" w:hAnsi="Times New Roman"/>
          <w:sz w:val="21"/>
          <w:szCs w:val="21"/>
          <w:u w:val="single" w:color="auto"/>
          <w:color w:val="auto"/>
        </w:rPr>
        <w:t>Covenants Agreement</w:t>
      </w:r>
      <w:r>
        <w:rPr>
          <w:rFonts w:ascii="Times New Roman" w:cs="Times New Roman" w:eastAsia="Times New Roman" w:hAnsi="Times New Roman"/>
          <w:sz w:val="21"/>
          <w:szCs w:val="21"/>
          <w:color w:val="auto"/>
        </w:rPr>
        <w:t>") entered into by You with the Company. Notwithstanding anything in this Agreement or any other agreement to the contrary, You understand that nothing contained in this Agreement or any other agreement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or regulatory authority (collectively, "Government Agencies"). You further understand that neither this Agreement nor any other Agreement limits Your ability to communicate with any Government Agencies or otherwise participate in any investigation or proceeding that may be conducted by any Government Agency, including providing documents or other information, without notice to the Company. Furthermore</w:t>
      </w:r>
    </w:p>
    <w:p>
      <w:pPr>
        <w:spacing w:after="0" w:line="10" w:lineRule="exact"/>
        <w:rPr>
          <w:rFonts w:ascii="Times New Roman" w:cs="Times New Roman" w:eastAsia="Times New Roman" w:hAnsi="Times New Roman"/>
          <w:sz w:val="21"/>
          <w:szCs w:val="21"/>
          <w:color w:val="auto"/>
        </w:rPr>
      </w:pPr>
    </w:p>
    <w:p>
      <w:pPr>
        <w:jc w:val="both"/>
        <w:ind w:left="20" w:firstLine="4"/>
        <w:spacing w:after="0" w:line="260" w:lineRule="auto"/>
        <w:tabs>
          <w:tab w:leader="none" w:pos="27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and (ii) if You file a lawsuit for retaliation by the Company for reporting a suspected violation of law, You may disclose a trade secret to Your attorney and use the trade secret information in the court proceeding, if You file any document containing the trade secret under seal and do not disclose the trade secret except pursuant to court order.</w:t>
      </w:r>
    </w:p>
    <w:p>
      <w:pPr>
        <w:spacing w:after="0" w:line="202" w:lineRule="exact"/>
        <w:rPr>
          <w:rFonts w:ascii="Times New Roman" w:cs="Times New Roman" w:eastAsia="Times New Roman" w:hAnsi="Times New Roman"/>
          <w:sz w:val="22"/>
          <w:szCs w:val="22"/>
          <w:color w:val="auto"/>
        </w:rPr>
      </w:pPr>
    </w:p>
    <w:p>
      <w:pPr>
        <w:jc w:val="both"/>
        <w:ind w:left="20" w:firstLine="655"/>
        <w:spacing w:after="0" w:line="276" w:lineRule="auto"/>
        <w:tabs>
          <w:tab w:leader="none" w:pos="116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and Venue</w:t>
      </w:r>
      <w:r>
        <w:rPr>
          <w:rFonts w:ascii="Times New Roman" w:cs="Times New Roman" w:eastAsia="Times New Roman" w:hAnsi="Times New Roman"/>
          <w:sz w:val="22"/>
          <w:szCs w:val="22"/>
          <w:color w:val="auto"/>
        </w:rPr>
        <w:t>. The laws of the State of North Carolina will govern this Agreement. If North Carolina's conflict of law rules would apply another state's laws, the Parties agree that North Carolina law will still govern. You agree that any claim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00"/>
          </w:cols>
          <w:pgMar w:left="460" w:top="1440" w:right="339" w:bottom="1440" w:gutter="0" w:footer="0" w:header="0"/>
        </w:sectPr>
      </w:pPr>
    </w:p>
    <w:bookmarkStart w:id="59" w:name="page60"/>
    <w:bookmarkEnd w:id="59"/>
    <w:p>
      <w:pPr>
        <w:jc w:val="both"/>
        <w:ind w:left="20" w:hanging="5"/>
        <w:spacing w:after="0" w:line="265" w:lineRule="auto"/>
        <w:rPr>
          <w:sz w:val="20"/>
          <w:szCs w:val="20"/>
          <w:color w:val="auto"/>
        </w:rPr>
      </w:pPr>
      <w:r>
        <w:rPr>
          <w:rFonts w:ascii="Times New Roman" w:cs="Times New Roman" w:eastAsia="Times New Roman" w:hAnsi="Times New Roman"/>
          <w:sz w:val="22"/>
          <w:szCs w:val="22"/>
          <w:color w:val="auto"/>
        </w:rPr>
        <w:t xml:space="preserve">out of or relating to this Agreement will be brought exclusively in a state or federal court of competent jurisdiction in North Carolina. You consent to the personal jurisdiction of the state and/or federal courts located in North Carolina. You waive (i) any objection to jurisdiction or venue, or </w:t>
      </w:r>
      <w:r>
        <w:rPr>
          <w:rFonts w:ascii="Times New Roman" w:cs="Times New Roman" w:eastAsia="Times New Roman" w:hAnsi="Times New Roman"/>
          <w:sz w:val="20"/>
          <w:szCs w:val="20"/>
          <w:color w:val="auto"/>
        </w:rPr>
        <w:t>(ii)</w:t>
      </w:r>
      <w:r>
        <w:rPr>
          <w:rFonts w:ascii="Times New Roman" w:cs="Times New Roman" w:eastAsia="Times New Roman" w:hAnsi="Times New Roman"/>
          <w:sz w:val="22"/>
          <w:szCs w:val="22"/>
          <w:color w:val="auto"/>
        </w:rPr>
        <w:t xml:space="preserve"> any defense claiming lack of jurisdiction or improper venue, in any action brought in such courts.</w:t>
      </w:r>
    </w:p>
    <w:p>
      <w:pPr>
        <w:spacing w:after="0" w:line="192" w:lineRule="exact"/>
        <w:rPr>
          <w:sz w:val="20"/>
          <w:szCs w:val="20"/>
          <w:color w:val="auto"/>
        </w:rPr>
      </w:pPr>
    </w:p>
    <w:p>
      <w:pPr>
        <w:ind w:left="20" w:firstLine="655"/>
        <w:spacing w:after="0" w:line="271" w:lineRule="auto"/>
        <w:tabs>
          <w:tab w:leader="none" w:pos="120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Company's failure to enforce any provision of this Agreement will not act as a waiver of that or any other provision. The Company's waiver of any breach of this Agreement will not act as a waiver of any other breach.</w:t>
      </w:r>
    </w:p>
    <w:p>
      <w:pPr>
        <w:spacing w:after="0" w:line="144" w:lineRule="exact"/>
        <w:rPr>
          <w:rFonts w:ascii="Times New Roman" w:cs="Times New Roman" w:eastAsia="Times New Roman" w:hAnsi="Times New Roman"/>
          <w:sz w:val="22"/>
          <w:szCs w:val="22"/>
          <w:color w:val="auto"/>
        </w:rPr>
      </w:pPr>
    </w:p>
    <w:p>
      <w:pPr>
        <w:jc w:val="both"/>
        <w:ind w:left="20" w:firstLine="655"/>
        <w:spacing w:after="0" w:line="225" w:lineRule="auto"/>
        <w:tabs>
          <w:tab w:leader="none" w:pos="120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If any provision is determined to be invalid, illegal, or unenforceable, in whole or in part, the remaining provisions and any partially enforceable provisions will remain in full force and effect.</w:t>
      </w:r>
    </w:p>
    <w:p>
      <w:pPr>
        <w:spacing w:after="0" w:line="165" w:lineRule="exact"/>
        <w:rPr>
          <w:rFonts w:ascii="Times New Roman" w:cs="Times New Roman" w:eastAsia="Times New Roman" w:hAnsi="Times New Roman"/>
          <w:sz w:val="22"/>
          <w:szCs w:val="22"/>
          <w:color w:val="auto"/>
        </w:rPr>
      </w:pPr>
    </w:p>
    <w:p>
      <w:pPr>
        <w:ind w:left="1200" w:hanging="517"/>
        <w:spacing w:after="0"/>
        <w:tabs>
          <w:tab w:leader="none" w:pos="12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not be amended or modified except in writing signed by both Parties.</w:t>
      </w:r>
    </w:p>
    <w:p>
      <w:pPr>
        <w:spacing w:after="0" w:line="246" w:lineRule="exact"/>
        <w:rPr>
          <w:rFonts w:ascii="Times New Roman" w:cs="Times New Roman" w:eastAsia="Times New Roman" w:hAnsi="Times New Roman"/>
          <w:sz w:val="22"/>
          <w:szCs w:val="22"/>
          <w:color w:val="auto"/>
        </w:rPr>
      </w:pPr>
    </w:p>
    <w:p>
      <w:pPr>
        <w:jc w:val="both"/>
        <w:ind w:left="20" w:firstLine="663"/>
        <w:spacing w:after="0" w:line="263" w:lineRule="auto"/>
        <w:tabs>
          <w:tab w:leader="none" w:pos="119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 You may not assign, delegate or otherwise transfer any of Your rights, interests or obligations in this Agreement without the prior written approval of the Company.</w:t>
      </w:r>
    </w:p>
    <w:p>
      <w:pPr>
        <w:spacing w:after="0" w:line="193" w:lineRule="exact"/>
        <w:rPr>
          <w:rFonts w:ascii="Times New Roman" w:cs="Times New Roman" w:eastAsia="Times New Roman" w:hAnsi="Times New Roman"/>
          <w:sz w:val="22"/>
          <w:szCs w:val="22"/>
          <w:color w:val="auto"/>
        </w:rPr>
      </w:pPr>
    </w:p>
    <w:p>
      <w:pPr>
        <w:ind w:left="20" w:firstLine="663"/>
        <w:spacing w:after="0" w:line="271" w:lineRule="auto"/>
        <w:tabs>
          <w:tab w:leader="none" w:pos="119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4, 5, and 7 through 23, and such other provisions hereof as may so indicate shall survive and continue in full force and effect in accordance with their respective terms, notwithstanding any termination of the Term.</w:t>
      </w:r>
    </w:p>
    <w:p>
      <w:pPr>
        <w:spacing w:after="0" w:line="171" w:lineRule="exact"/>
        <w:rPr>
          <w:rFonts w:ascii="Times New Roman" w:cs="Times New Roman" w:eastAsia="Times New Roman" w:hAnsi="Times New Roman"/>
          <w:sz w:val="22"/>
          <w:szCs w:val="22"/>
          <w:color w:val="auto"/>
        </w:rPr>
      </w:pPr>
    </w:p>
    <w:p>
      <w:pPr>
        <w:jc w:val="both"/>
        <w:ind w:left="20" w:firstLine="656"/>
        <w:spacing w:after="0" w:line="281" w:lineRule="auto"/>
        <w:tabs>
          <w:tab w:leader="none" w:pos="119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provided for in this Agreement must be in writing and will be deemed validly given (i) on the date it is actually delivered by personal delive1y of such notice, (ii) one (1) business day after its deposit in the custody of Federal Express or other reputable courier service regularly providing evidence of delive1y (with next business day delivery charges paid by the Party sending the notice), (iii) three (3) business days after its deposit in the custody of the U.S. mail, certified or registered postage prepaid, return receipt requested, or (iv) one (1) business day after transmission by facsimile or a PDF or similar attachment to an email, provided that such facsimile or email attachment shall be followed within one (1) business day by delive1y of such notice pursuant to clause (i), (ii) or (iii) above. Any such notice to a Party shall be addressed at the address set forth below (subject to the right of a Party to designate a different address for itself by notice similarly given):</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nCino OpCo,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40"/>
          </w:cols>
          <w:pgMar w:left="420" w:top="1422" w:right="339" w:bottom="1440" w:gutter="0" w:footer="0" w:header="0"/>
        </w:sectPr>
      </w:pPr>
    </w:p>
    <w:bookmarkStart w:id="60" w:name="page61"/>
    <w:bookmarkEnd w:id="60"/>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6770 Parker Farm Drive, Suite 300</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Wilmington, NC 28405</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Attention: Chair of the Compensation Committee</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If to You:</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 the most recent address on file with the Company</w:t>
      </w:r>
    </w:p>
    <w:p>
      <w:pPr>
        <w:spacing w:after="0" w:line="247" w:lineRule="exact"/>
        <w:rPr>
          <w:sz w:val="20"/>
          <w:szCs w:val="20"/>
          <w:color w:val="auto"/>
        </w:rPr>
      </w:pPr>
    </w:p>
    <w:p>
      <w:pPr>
        <w:jc w:val="both"/>
        <w:ind w:firstLine="656"/>
        <w:spacing w:after="0" w:line="270" w:lineRule="auto"/>
        <w:tabs>
          <w:tab w:leader="none" w:pos="11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While serving as an executive officer of the Company, the Company agrees that it shall indemnify You and provide You with Directors &amp; Officers liability insurance coverage to the same extent that it indemnifies and/or provides such insurance coverage to Board members and other most senior executive officers of the Company</w:t>
      </w:r>
    </w:p>
    <w:p>
      <w:pPr>
        <w:spacing w:after="0" w:line="185" w:lineRule="exact"/>
        <w:rPr>
          <w:rFonts w:ascii="Times New Roman" w:cs="Times New Roman" w:eastAsia="Times New Roman" w:hAnsi="Times New Roman"/>
          <w:sz w:val="22"/>
          <w:szCs w:val="22"/>
          <w:color w:val="auto"/>
        </w:rPr>
      </w:pPr>
    </w:p>
    <w:p>
      <w:pPr>
        <w:jc w:val="both"/>
        <w:ind w:firstLine="664"/>
        <w:spacing w:after="0" w:line="286" w:lineRule="auto"/>
        <w:tabs>
          <w:tab w:leader="none" w:pos="117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You represent and warrant that You are not bound by any employment contract, restrictive covenant, or other restriction preventing You from carrying out Your responsibilities for the Company, or which is in any way inconsistent with the terms of this Agreement. You further represent and warrant that You shall not disclose to the Company or induce the Company to use any confidential or proprietary information or material belonging to any previous employer or others.</w:t>
      </w:r>
    </w:p>
    <w:p>
      <w:pPr>
        <w:spacing w:after="0" w:line="144" w:lineRule="exact"/>
        <w:rPr>
          <w:rFonts w:ascii="Times New Roman" w:cs="Times New Roman" w:eastAsia="Times New Roman" w:hAnsi="Times New Roman"/>
          <w:sz w:val="21"/>
          <w:szCs w:val="21"/>
          <w:color w:val="auto"/>
        </w:rPr>
      </w:pPr>
    </w:p>
    <w:p>
      <w:pPr>
        <w:jc w:val="both"/>
        <w:ind w:firstLine="670"/>
        <w:spacing w:after="0" w:line="266" w:lineRule="auto"/>
        <w:tabs>
          <w:tab w:leader="none" w:pos="117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Clawbacks</w:t>
      </w:r>
      <w:r>
        <w:rPr>
          <w:rFonts w:ascii="Times New Roman" w:cs="Times New Roman" w:eastAsia="Times New Roman" w:hAnsi="Times New Roman"/>
          <w:sz w:val="22"/>
          <w:szCs w:val="22"/>
          <w:color w:val="auto"/>
        </w:rPr>
        <w:t>. The payments to You pursuant to this Agreement are subject to forfeiture or recove1y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pacing w:after="0" w:line="164" w:lineRule="exact"/>
        <w:rPr>
          <w:rFonts w:ascii="Times New Roman" w:cs="Times New Roman" w:eastAsia="Times New Roman" w:hAnsi="Times New Roman"/>
          <w:sz w:val="22"/>
          <w:szCs w:val="22"/>
          <w:color w:val="auto"/>
        </w:rPr>
      </w:pPr>
    </w:p>
    <w:p>
      <w:pPr>
        <w:ind w:left="20" w:firstLine="650"/>
        <w:spacing w:after="0" w:line="296" w:lineRule="auto"/>
        <w:tabs>
          <w:tab w:leader="none" w:pos="119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Policies</w:t>
      </w:r>
      <w:r>
        <w:rPr>
          <w:rFonts w:ascii="Times New Roman" w:cs="Times New Roman" w:eastAsia="Times New Roman" w:hAnsi="Times New Roman"/>
          <w:sz w:val="22"/>
          <w:szCs w:val="22"/>
          <w:color w:val="auto"/>
        </w:rPr>
        <w:t>. You shall be subject to additional Company policies as they may exist from time-to-time, including policies regarding trading of securities.</w:t>
      </w:r>
    </w:p>
    <w:p>
      <w:pPr>
        <w:spacing w:after="0" w:line="131" w:lineRule="exact"/>
        <w:rPr>
          <w:rFonts w:ascii="Times New Roman" w:cs="Times New Roman" w:eastAsia="Times New Roman" w:hAnsi="Times New Roman"/>
          <w:sz w:val="22"/>
          <w:szCs w:val="22"/>
          <w:color w:val="auto"/>
        </w:rPr>
      </w:pPr>
    </w:p>
    <w:p>
      <w:pPr>
        <w:jc w:val="both"/>
        <w:ind w:firstLine="670"/>
        <w:spacing w:after="0" w:line="260" w:lineRule="auto"/>
        <w:tabs>
          <w:tab w:leader="none" w:pos="1185"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Parties intend that this Agreement and the payments made hereunder will be exempt from, or if not so exempt, comply with, the requirements of Section 409A, and shall be interpreted and construed consistently with such intent. Without limiting the foregoing, the separation payments and benefits to You pursuant to Section 4(d) and Section 4(e) this Agreement are intended to be exempt from Section 409A to the maximum extent possible, as short-term deferrals pursuant to Treasury Regulation §1.409A-l(b)(4). or payments made pursuant to a separation pay plan pursuant to Treasury Regulation §1.409A-l(b)(9). Each amount to be paid or benefit to be provided under this Agreement shall be construed as a separate and distinct payment for purposes of Section 409A. To the extent any amounts under this Agreement are payable by reference to Your "termination of employment," such term and similar terms shall be deemed to refer to Your "separation from service," within the meaning of Section 409A (after giving effect to the presumptions contained therein) with respect to any payments that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20"/>
          </w:cols>
          <w:pgMar w:left="440" w:top="1440" w:right="339" w:bottom="1440" w:gutter="0" w:footer="0" w:header="0"/>
        </w:sectPr>
      </w:pPr>
    </w:p>
    <w:bookmarkStart w:id="61" w:name="page62"/>
    <w:bookmarkEnd w:id="61"/>
    <w:p>
      <w:pPr>
        <w:spacing w:after="0" w:line="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to Section 409A. Notwithstanding any other provision in this Agreement, to the extent any payments made or contemplated hereunder constitute nonqualified deferred compensation, within the meaning of Section 409A, then (i) each such payment which is conditioned upon Your execution of a release and which is to be paid or provided during a designated period that begins in one taxable year and ends in a second taxable year, shall be paid or provided in the later of the two taxable years and (ii) if You are a specified employee (within the meaning of Section 409A) as of the date of Your separation from service, each such payment that is payable upon Your separation from service and would have been paid prior to the six month anniversary of Your separation from service, shall be delayed until the earlier to occur of (A) the first day of the seventh month following Your separation from service or (B) the date of Your death. You hereby agree to be bound by the Company's determination of its "specified employees" (as such term is defined in Section 409A) provided such determination is in accordance with any of the methods permitted under the regulations issued under Section 409A. Any reimbursement payable to You pursuant to this Agreement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To the extent that any amount payable hereunder is deemed to be a substitute for a payment provided under another agreement with You, then the amount payable hereunder shall be paid at the same time and in the same form as such substituted payment to the extent required to comply with Section 409A. In the event the terms of this Agreement would subject You to taxes or penalties under Section 409A ("</w:t>
      </w:r>
      <w:r>
        <w:rPr>
          <w:rFonts w:ascii="Times New Roman" w:cs="Times New Roman" w:eastAsia="Times New Roman" w:hAnsi="Times New Roman"/>
          <w:sz w:val="22"/>
          <w:szCs w:val="22"/>
          <w:u w:val="single" w:color="auto"/>
          <w:color w:val="auto"/>
        </w:rPr>
        <w:t>409A Penalties</w:t>
      </w:r>
      <w:r>
        <w:rPr>
          <w:rFonts w:ascii="Times New Roman" w:cs="Times New Roman" w:eastAsia="Times New Roman" w:hAnsi="Times New Roman"/>
          <w:sz w:val="22"/>
          <w:szCs w:val="22"/>
          <w:color w:val="auto"/>
        </w:rPr>
        <w:t>"), the Company and You shall cooperate diligently to amend the terms of the Agreement to avoid such 409A Penalties, to the extent possible, but in no event will the Company be liable for any additional tax, interest or penalties that may be imposed on You under Section 409A or any damages because a payment pursuant to this Agreement was determined to not be in 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Effective Date.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268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nCino, OpCo, Inc.</w:t>
            </w:r>
          </w:p>
        </w:tc>
      </w:tr>
      <w:tr>
        <w:trPr>
          <w:trHeight w:val="528"/>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3240" w:type="dxa"/>
            <w:vAlign w:val="bottom"/>
          </w:tcPr>
          <w:p>
            <w:pPr>
              <w:spacing w:after="0"/>
              <w:rPr>
                <w:sz w:val="24"/>
                <w:szCs w:val="24"/>
                <w:color w:val="auto"/>
              </w:rPr>
            </w:pPr>
          </w:p>
        </w:tc>
      </w:tr>
      <w:tr>
        <w:trPr>
          <w:trHeight w:val="28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Sean Desmond</w:t>
            </w:r>
          </w:p>
        </w:tc>
        <w:tc>
          <w:tcPr>
            <w:tcW w:w="2680" w:type="dxa"/>
            <w:vAlign w:val="bottom"/>
          </w:tcPr>
          <w:p>
            <w:pPr>
              <w:spacing w:after="0"/>
              <w:rPr>
                <w:sz w:val="24"/>
                <w:szCs w:val="24"/>
                <w:color w:val="auto"/>
              </w:rPr>
            </w:pPr>
          </w:p>
        </w:tc>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Pierre Naudé</w:t>
            </w:r>
          </w:p>
        </w:tc>
      </w:tr>
      <w:tr>
        <w:trPr>
          <w:trHeight w:val="277"/>
        </w:trPr>
        <w:tc>
          <w:tcPr>
            <w:tcW w:w="1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(SEAL)</w:t>
            </w:r>
          </w:p>
        </w:tc>
        <w:tc>
          <w:tcPr>
            <w:tcW w:w="3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(SEAL)</w:t>
            </w:r>
          </w:p>
        </w:tc>
        <w:tc>
          <w:tcPr>
            <w:tcW w:w="3240" w:type="dxa"/>
            <w:vAlign w:val="bottom"/>
          </w:tcPr>
          <w:p>
            <w:pPr>
              <w:spacing w:after="0"/>
              <w:rPr>
                <w:sz w:val="24"/>
                <w:szCs w:val="24"/>
                <w:color w:val="auto"/>
              </w:rPr>
            </w:pPr>
          </w:p>
        </w:tc>
      </w:tr>
      <w:tr>
        <w:trPr>
          <w:trHeight w:val="52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Sean Desmond</w:t>
            </w:r>
          </w:p>
        </w:tc>
        <w:tc>
          <w:tcPr>
            <w:tcW w:w="268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Pierre Naudé</w:t>
            </w:r>
          </w:p>
        </w:tc>
      </w:tr>
      <w:tr>
        <w:trPr>
          <w:trHeight w:val="540"/>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541"/>
        </w:trPr>
        <w:tc>
          <w:tcPr>
            <w:tcW w:w="1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3240" w:type="dxa"/>
            <w:vAlign w:val="bottom"/>
            <w:tcBorders>
              <w:bottom w:val="single" w:sz="8" w:color="auto"/>
            </w:tcBorders>
          </w:tcPr>
          <w:p>
            <w:pPr>
              <w:jc w:val="right"/>
              <w:ind w:right="2452"/>
              <w:spacing w:after="0"/>
              <w:rPr>
                <w:sz w:val="20"/>
                <w:szCs w:val="20"/>
                <w:color w:val="auto"/>
              </w:rPr>
            </w:pPr>
            <w:r>
              <w:rPr>
                <w:rFonts w:ascii="Times New Roman" w:cs="Times New Roman" w:eastAsia="Times New Roman" w:hAnsi="Times New Roman"/>
                <w:sz w:val="22"/>
                <w:szCs w:val="22"/>
                <w:color w:val="auto"/>
                <w:w w:val="98"/>
              </w:rPr>
              <w:t>4/29/24</w:t>
            </w:r>
          </w:p>
        </w:tc>
        <w:tc>
          <w:tcPr>
            <w:tcW w:w="26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3240" w:type="dxa"/>
            <w:vAlign w:val="bottom"/>
            <w:tcBorders>
              <w:bottom w:val="single" w:sz="8" w:color="auto"/>
            </w:tcBorders>
          </w:tcPr>
          <w:p>
            <w:pPr>
              <w:jc w:val="right"/>
              <w:ind w:right="2452"/>
              <w:spacing w:after="0"/>
              <w:rPr>
                <w:sz w:val="20"/>
                <w:szCs w:val="20"/>
                <w:color w:val="auto"/>
              </w:rPr>
            </w:pPr>
            <w:r>
              <w:rPr>
                <w:rFonts w:ascii="Times New Roman" w:cs="Times New Roman" w:eastAsia="Times New Roman" w:hAnsi="Times New Roman"/>
                <w:sz w:val="22"/>
                <w:szCs w:val="22"/>
                <w:color w:val="auto"/>
                <w:w w:val="98"/>
              </w:rPr>
              <w:t>4/29/24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Pierre Naudé, certify that:</w:t>
      </w:r>
    </w:p>
    <w:p>
      <w:pPr>
        <w:spacing w:after="0" w:line="256"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64" w:name="page65"/>
    <w:bookmarkEnd w:id="64"/>
    <w:p>
      <w:pPr>
        <w:ind w:left="652" w:hanging="652"/>
        <w:spacing w:after="0" w:line="261" w:lineRule="auto"/>
        <w:tabs>
          <w:tab w:leader="none" w:pos="65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260" w:hanging="644"/>
        <w:spacing w:after="0" w:line="261" w:lineRule="auto"/>
        <w:tabs>
          <w:tab w:leader="none" w:pos="128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20"/>
          <w:szCs w:val="20"/>
          <w:color w:val="auto"/>
        </w:rPr>
      </w:pPr>
    </w:p>
    <w:p>
      <w:pPr>
        <w:ind w:left="1292" w:right="680" w:hanging="644"/>
        <w:spacing w:after="0" w:line="245" w:lineRule="auto"/>
        <w:tabs>
          <w:tab w:leader="none" w:pos="128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12"/>
        <w:spacing w:after="0"/>
        <w:tabs>
          <w:tab w:leader="none" w:pos="5312" w:val="left"/>
          <w:tab w:leader="none" w:pos="7772" w:val="left"/>
        </w:tabs>
        <w:rPr>
          <w:sz w:val="20"/>
          <w:szCs w:val="20"/>
          <w:color w:val="auto"/>
        </w:rPr>
      </w:pPr>
      <w:r>
        <w:rPr>
          <w:rFonts w:ascii="Times New Roman" w:cs="Times New Roman" w:eastAsia="Times New Roman" w:hAnsi="Times New Roman"/>
          <w:sz w:val="20"/>
          <w:szCs w:val="20"/>
          <w:color w:val="auto"/>
        </w:rPr>
        <w:t>Date: May 29,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1"/>
          <w:szCs w:val="21"/>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41275</wp:posOffset>
            </wp:positionV>
            <wp:extent cx="33261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2"/>
          <w:szCs w:val="22"/>
          <w:color w:val="auto"/>
        </w:rPr>
        <w:t>Pierre Naudé</w:t>
      </w:r>
    </w:p>
    <w:p>
      <w:pPr>
        <w:spacing w:after="0" w:line="5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2"/>
          <w:szCs w:val="22"/>
          <w:color w:val="auto"/>
        </w:rPr>
        <w:t>Chairman and Chief Executive Officer</w:t>
      </w:r>
    </w:p>
    <w:p>
      <w:pPr>
        <w:sectPr>
          <w:pgSz w:w="11900" w:h="16838" w:orient="portrait"/>
          <w:cols w:equalWidth="0" w:num="1">
            <w:col w:w="11152"/>
          </w:cols>
          <w:pgMar w:left="328" w:top="1413" w:right="4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Gregory D. Orenstein, certify that:</w:t>
      </w:r>
    </w:p>
    <w:p>
      <w:pPr>
        <w:spacing w:after="0" w:line="256"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9"/>
          <w:szCs w:val="19"/>
          <w:color w:val="auto"/>
        </w:rPr>
      </w:pPr>
    </w:p>
    <w:p>
      <w:pPr>
        <w:jc w:val="both"/>
        <w:ind w:left="1300" w:right="80" w:hanging="644"/>
        <w:spacing w:after="0" w:line="268" w:lineRule="auto"/>
        <w:tabs>
          <w:tab w:leader="none" w:pos="129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66" w:name="page67"/>
    <w:bookmarkEnd w:id="66"/>
    <w:p>
      <w:pPr>
        <w:ind w:left="652" w:right="80" w:hanging="652"/>
        <w:spacing w:after="0" w:line="261" w:lineRule="auto"/>
        <w:tabs>
          <w:tab w:leader="none" w:pos="65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340" w:hanging="644"/>
        <w:spacing w:after="0" w:line="261" w:lineRule="auto"/>
        <w:tabs>
          <w:tab w:leader="none" w:pos="128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92" w:right="760" w:hanging="644"/>
        <w:spacing w:after="0" w:line="269" w:lineRule="auto"/>
        <w:tabs>
          <w:tab w:leader="none" w:pos="128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29, 2024</w:t>
            </w:r>
          </w:p>
        </w:tc>
        <w:tc>
          <w:tcPr>
            <w:tcW w:w="242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4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ectPr>
          <w:pgSz w:w="11900" w:h="16838" w:orient="portrait"/>
          <w:cols w:equalWidth="0" w:num="1">
            <w:col w:w="11232"/>
          </w:cols>
          <w:pgMar w:left="328" w:top="141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0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April 30, 2024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29, 2024</w:t>
            </w:r>
          </w:p>
        </w:tc>
        <w:tc>
          <w:tcPr>
            <w:tcW w:w="240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Pierre Naudé</w:t>
            </w:r>
          </w:p>
        </w:tc>
      </w:tr>
      <w:tr>
        <w:trPr>
          <w:trHeight w:val="244"/>
        </w:trPr>
        <w:tc>
          <w:tcPr>
            <w:tcW w:w="3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Pierre Naudé</w:t>
            </w:r>
          </w:p>
        </w:tc>
      </w:tr>
      <w:tr>
        <w:trPr>
          <w:trHeight w:val="258"/>
        </w:trPr>
        <w:tc>
          <w:tcPr>
            <w:tcW w:w="34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and Chief Executive Officer</w:t>
            </w:r>
          </w:p>
        </w:tc>
      </w:tr>
    </w:tbl>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0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April 30, 2024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29, 2024</w:t>
            </w:r>
          </w:p>
        </w:tc>
        <w:tc>
          <w:tcPr>
            <w:tcW w:w="242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4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401"/>
    </w:lvl>
  </w:abstractNum>
  <w:abstractNum w:abstractNumId="3">
    <w:nsid w:val="419AC241"/>
    <w:multiLevelType w:val="hybridMultilevel"/>
    <w:lvl w:ilvl="0">
      <w:lvlJc w:val="left"/>
      <w:lvlText w:val="(%1)"/>
      <w:numFmt w:val="decimal"/>
      <w:start w:val="259"/>
    </w:lvl>
  </w:abstractNum>
  <w:abstractNum w:abstractNumId="4">
    <w:nsid w:val="5577F8E1"/>
    <w:multiLevelType w:val="hybridMultilevel"/>
    <w:lvl w:ilvl="0">
      <w:lvlJc w:val="left"/>
      <w:lvlText w:val="(%1)"/>
      <w:numFmt w:val="decimal"/>
      <w:start w:val="990"/>
    </w:lvl>
  </w:abstractNum>
  <w:abstractNum w:abstractNumId="5">
    <w:nsid w:val="440BADFC"/>
    <w:multiLevelType w:val="hybridMultilevel"/>
    <w:lvl w:ilvl="0">
      <w:lvlJc w:val="left"/>
      <w:lvlText w:val="\emdash "/>
      <w:numFmt w:val="bullet"/>
      <w:start w:val="1"/>
    </w:lvl>
  </w:abstractNum>
  <w:abstractNum w:abstractNumId="6">
    <w:nsid w:val="5072367"/>
    <w:multiLevelType w:val="hybridMultilevel"/>
    <w:lvl w:ilvl="0">
      <w:lvlJc w:val="left"/>
      <w:lvlText w:val="(%1)"/>
      <w:numFmt w:val="decimal"/>
      <w:start w:val="356"/>
    </w:lvl>
  </w:abstractNum>
  <w:abstractNum w:abstractNumId="7">
    <w:nsid w:val="3804823E"/>
    <w:multiLevelType w:val="hybridMultilevel"/>
    <w:lvl w:ilvl="0">
      <w:lvlJc w:val="left"/>
      <w:lvlText w:val="(%1)"/>
      <w:numFmt w:val="decimal"/>
      <w:start w:val="244"/>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3"/>
    </w:lvl>
  </w:abstractNum>
  <w:abstractNum w:abstractNumId="14">
    <w:nsid w:val="2D517796"/>
    <w:multiLevelType w:val="hybridMultilevel"/>
    <w:lvl w:ilvl="0">
      <w:lvlJc w:val="left"/>
      <w:lvlText w:val="%1."/>
      <w:numFmt w:val="decimal"/>
      <w:start w:val="6"/>
    </w:lvl>
  </w:abstractNum>
  <w:abstractNum w:abstractNumId="15">
    <w:nsid w:val="580BD78F"/>
    <w:multiLevelType w:val="hybridMultilevel"/>
    <w:lvl w:ilvl="0">
      <w:lvlJc w:val="left"/>
      <w:lvlText w:val="%1."/>
      <w:numFmt w:val="upperLetter"/>
      <w:start w:val="1"/>
    </w:lvl>
  </w:abstractNum>
  <w:abstractNum w:abstractNumId="16">
    <w:nsid w:val="153EA438"/>
    <w:multiLevelType w:val="hybridMultilevel"/>
    <w:lvl w:ilvl="0">
      <w:lvlJc w:val="left"/>
      <w:lvlText w:val="%1"/>
      <w:numFmt w:val="upperLetter"/>
      <w:start w:val="1"/>
    </w:lvl>
    <w:lvl w:ilvl="1">
      <w:lvlJc w:val="left"/>
      <w:lvlText w:val="%2."/>
      <w:numFmt w:val="decimal"/>
      <w:start w:val="9"/>
    </w:lvl>
    <w:lvl w:ilvl="2">
      <w:lvlJc w:val="left"/>
      <w:lvlText w:val="%3"/>
      <w:numFmt w:val="decimal"/>
      <w:start w:val="1"/>
    </w:lvl>
  </w:abstractNum>
  <w:abstractNum w:abstractNumId="17">
    <w:nsid w:val="3855585C"/>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8">
    <w:nsid w:val="70A64E2A"/>
    <w:multiLevelType w:val="hybridMultilevel"/>
    <w:lvl w:ilvl="0">
      <w:lvlJc w:val="left"/>
      <w:lvlText w:val="%1)"/>
      <w:numFmt w:val="decimal"/>
      <w:start w:val="2"/>
    </w:lvl>
  </w:abstractNum>
  <w:abstractNum w:abstractNumId="19">
    <w:nsid w:val="6A2342EC"/>
    <w:multiLevelType w:val="hybridMultilevel"/>
    <w:lvl w:ilvl="0">
      <w:lvlJc w:val="left"/>
      <w:lvlText w:val="%1."/>
      <w:numFmt w:val="upperLetter"/>
      <w:start w:val="2"/>
    </w:lvl>
    <w:lvl w:ilvl="1">
      <w:lvlJc w:val="left"/>
      <w:lvlText w:val="%2)"/>
      <w:numFmt w:val="decimal"/>
      <w:start w:val="1"/>
    </w:lvl>
  </w:abstractNum>
  <w:abstractNum w:abstractNumId="20">
    <w:nsid w:val="2A487CB0"/>
    <w:multiLevelType w:val="hybridMultilevel"/>
    <w:lvl w:ilvl="0">
      <w:lvlJc w:val="left"/>
      <w:lvlText w:val="%1"/>
      <w:numFmt w:val="decimal"/>
      <w:start w:val="1"/>
    </w:lvl>
    <w:lvl w:ilvl="1">
      <w:lvlJc w:val="left"/>
      <w:lvlText w:val="%2)"/>
      <w:numFmt w:val="decimal"/>
      <w:start w:val="3"/>
    </w:lvl>
  </w:abstractNum>
  <w:abstractNum w:abstractNumId="21">
    <w:nsid w:val="1D4ED43B"/>
    <w:multiLevelType w:val="hybridMultilevel"/>
    <w:lvl w:ilvl="0">
      <w:lvlJc w:val="left"/>
      <w:lvlText w:val="%1."/>
      <w:numFmt w:val="decimal"/>
      <w:start w:val="11"/>
    </w:lvl>
    <w:lvl w:ilvl="1">
      <w:lvlJc w:val="left"/>
      <w:lvlText w:val="%2"/>
      <w:numFmt w:val="decimal"/>
      <w:start w:val="1"/>
    </w:lvl>
  </w:abstractNum>
  <w:abstractNum w:abstractNumId="22">
    <w:nsid w:val="725A06FB"/>
    <w:multiLevelType w:val="hybridMultilevel"/>
    <w:lvl w:ilvl="0">
      <w:lvlJc w:val="left"/>
      <w:lvlText w:val="%1"/>
      <w:numFmt w:val="upperLetter"/>
      <w:start w:val="1"/>
    </w:lvl>
    <w:lvl w:ilvl="1">
      <w:lvlJc w:val="left"/>
      <w:lvlText w:val="(%2)"/>
      <w:numFmt w:val="decimal"/>
      <w:start w:val="30"/>
    </w:lvl>
  </w:abstractNum>
  <w:abstractNum w:abstractNumId="23">
    <w:nsid w:val="2CD89A32"/>
    <w:multiLevelType w:val="hybridMultilevel"/>
    <w:lvl w:ilvl="0">
      <w:lvlJc w:val="left"/>
      <w:lvlText w:val="%1."/>
      <w:numFmt w:val="upperLetter"/>
      <w:start w:val="2"/>
    </w:lvl>
    <w:lvl w:ilvl="1">
      <w:lvlJc w:val="left"/>
      <w:lvlText w:val="%2"/>
      <w:numFmt w:val="decimal"/>
      <w:start w:val="1"/>
    </w:lvl>
  </w:abstractNum>
  <w:abstractNum w:abstractNumId="24">
    <w:nsid w:val="57E4CCAF"/>
    <w:multiLevelType w:val="hybridMultilevel"/>
    <w:lvl w:ilvl="0">
      <w:lvlJc w:val="left"/>
      <w:lvlText w:val="%1."/>
      <w:numFmt w:val="upperLetter"/>
      <w:start w:val="4"/>
    </w:lvl>
    <w:lvl w:ilvl="1">
      <w:lvlJc w:val="left"/>
      <w:lvlText w:val="%2."/>
      <w:numFmt w:val="decimal"/>
      <w:start w:val="12"/>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upperLetter"/>
      <w:start w:val="2"/>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3"/>
    </w:lvl>
  </w:abstractNum>
  <w:abstractNum w:abstractNumId="29">
    <w:nsid w:val="38437FDB"/>
    <w:multiLevelType w:val="hybridMultilevel"/>
    <w:lvl w:ilvl="0">
      <w:lvlJc w:val="left"/>
      <w:lvlText w:val="%1"/>
      <w:numFmt w:val="upperLetter"/>
      <w:start w:val="1"/>
    </w:lvl>
    <w:lvl w:ilvl="1">
      <w:lvlJc w:val="left"/>
      <w:lvlText w:val="(%2)"/>
      <w:numFmt w:val="lowerLetter"/>
      <w:start w:val="3"/>
    </w:lvl>
  </w:abstractNum>
  <w:abstractNum w:abstractNumId="30">
    <w:nsid w:val="7644A45C"/>
    <w:multiLevelType w:val="hybridMultilevel"/>
    <w:lvl w:ilvl="0">
      <w:lvlJc w:val="left"/>
      <w:lvlText w:val="%1."/>
      <w:numFmt w:val="upperLetter"/>
      <w:start w:val="4"/>
    </w:lvl>
    <w:lvl w:ilvl="1">
      <w:lvlJc w:val="left"/>
      <w:lvlText w:val="(%2)"/>
      <w:numFmt w:val="lowerLetter"/>
      <w:start w:val="1"/>
    </w:lvl>
  </w:abstractNum>
  <w:abstractNum w:abstractNumId="31">
    <w:nsid w:val="32FFF902"/>
    <w:multiLevelType w:val="hybridMultilevel"/>
    <w:lvl w:ilvl="0">
      <w:lvlJc w:val="left"/>
      <w:lvlText w:val="%1"/>
      <w:numFmt w:val="upperLetter"/>
      <w:start w:val="1"/>
    </w:lvl>
    <w:lvl w:ilvl="1">
      <w:lvlJc w:val="left"/>
      <w:lvlText w:val="%2."/>
      <w:numFmt w:val="decimal"/>
      <w:start w:val="13"/>
    </w:lvl>
  </w:abstractNum>
  <w:abstractNum w:abstractNumId="32">
    <w:nsid w:val="684A481A"/>
    <w:multiLevelType w:val="hybridMultilevel"/>
    <w:lvl w:ilvl="0">
      <w:lvlJc w:val="left"/>
      <w:lvlText w:val="%1."/>
      <w:numFmt w:val="upperLetter"/>
      <w:start w:val="1"/>
    </w:lvl>
    <w:lvl w:ilvl="1">
      <w:lvlJc w:val="left"/>
      <w:lvlText w:val="%2"/>
      <w:numFmt w:val="decimal"/>
      <w:start w:val="1"/>
    </w:lvl>
  </w:abstractNum>
  <w:abstractNum w:abstractNumId="33">
    <w:nsid w:val="579478FE"/>
    <w:multiLevelType w:val="hybridMultilevel"/>
    <w:lvl w:ilvl="0">
      <w:lvlJc w:val="left"/>
      <w:lvlText w:val="%1."/>
      <w:numFmt w:val="upperLetter"/>
      <w:start w:val="3"/>
    </w:lvl>
    <w:lvl w:ilvl="1">
      <w:lvlJc w:val="left"/>
      <w:lvlText w:val="%2."/>
      <w:numFmt w:val="decimal"/>
      <w:start w:val="13"/>
    </w:lvl>
    <w:lvl w:ilvl="2">
      <w:lvlJc w:val="left"/>
      <w:lvlText w:val="(%3)"/>
      <w:numFmt w:val="lowerRoman"/>
      <w:start w:val="3"/>
    </w:lvl>
  </w:abstractNum>
  <w:abstractNum w:abstractNumId="34">
    <w:nsid w:val="749ABB43"/>
    <w:multiLevelType w:val="hybridMultilevel"/>
    <w:lvl w:ilvl="0">
      <w:lvlJc w:val="left"/>
      <w:lvlText w:val="%1."/>
      <w:numFmt w:val="decimal"/>
      <w:start w:val="15"/>
    </w:lvl>
  </w:abstractNum>
  <w:abstractNum w:abstractNumId="35">
    <w:nsid w:val="3DC240FB"/>
    <w:multiLevelType w:val="hybridMultilevel"/>
    <w:lvl w:ilvl="0">
      <w:lvlJc w:val="left"/>
      <w:lvlText w:val="%1."/>
      <w:numFmt w:val="upperLetter"/>
      <w:start w:val="2"/>
    </w:lvl>
    <w:lvl w:ilvl="1">
      <w:lvlJc w:val="left"/>
      <w:lvlText w:val="%2."/>
      <w:numFmt w:val="decimal"/>
      <w:start w:val="16"/>
    </w:lvl>
  </w:abstractNum>
  <w:abstractNum w:abstractNumId="36">
    <w:nsid w:val="1BA026FA"/>
    <w:multiLevelType w:val="hybridMultilevel"/>
    <w:lvl w:ilvl="0">
      <w:lvlJc w:val="left"/>
      <w:lvlText w:val="%1."/>
      <w:numFmt w:val="upperLetter"/>
      <w:start w:val="1"/>
    </w:lvl>
  </w:abstractNum>
  <w:abstractNum w:abstractNumId="37">
    <w:nsid w:val="79A1DEAA"/>
    <w:multiLevelType w:val="hybridMultilevel"/>
    <w:lvl w:ilvl="0">
      <w:lvlJc w:val="left"/>
      <w:lvlText w:val="%1."/>
      <w:numFmt w:val="decimal"/>
      <w:start w:val="17"/>
    </w:lvl>
  </w:abstractNum>
  <w:abstractNum w:abstractNumId="38">
    <w:nsid w:val="75C6C33A"/>
    <w:multiLevelType w:val="hybridMultilevel"/>
    <w:lvl w:ilvl="0">
      <w:lvlJc w:val="left"/>
      <w:lvlText w:val="%1."/>
      <w:numFmt w:val="decimal"/>
      <w:start w:val="19"/>
    </w:lvl>
  </w:abstractNum>
  <w:abstractNum w:abstractNumId="39">
    <w:nsid w:val="12E685FB"/>
    <w:multiLevelType w:val="hybridMultilevel"/>
    <w:lvl w:ilvl="0">
      <w:lvlJc w:val="left"/>
      <w:lvlText w:val="%1."/>
      <w:numFmt w:val="decimal"/>
      <w:start w:val="21"/>
    </w:lvl>
  </w:abstractNum>
  <w:abstractNum w:abstractNumId="40">
    <w:nsid w:val="70C6A529"/>
    <w:multiLevelType w:val="hybridMultilevel"/>
    <w:lvl w:ilvl="0">
      <w:lvlJc w:val="left"/>
      <w:lvlText w:val="%1."/>
      <w:numFmt w:val="decimal"/>
      <w:start w:val="23"/>
    </w:lvl>
  </w:abstractNum>
  <w:abstractNum w:abstractNumId="41">
    <w:nsid w:val="520EEDD1"/>
    <w:multiLevelType w:val="hybridMultilevel"/>
    <w:lvl w:ilvl="0">
      <w:lvlJc w:val="left"/>
      <w:lvlText w:val="%1."/>
      <w:numFmt w:val="decimal"/>
      <w:start w:val="26"/>
    </w:lvl>
  </w:abstractNum>
  <w:abstractNum w:abstractNumId="42">
    <w:nsid w:val="374A3FE6"/>
    <w:multiLevelType w:val="hybridMultilevel"/>
    <w:lvl w:ilvl="0">
      <w:lvlJc w:val="left"/>
      <w:lvlText w:val="%1."/>
      <w:numFmt w:val="decimal"/>
      <w:start w:val="28"/>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46">
    <w:nsid w:val="275AC79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abstractNum>
  <w:abstractNum w:abstractNumId="47">
    <w:nsid w:val="39386575"/>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48">
    <w:nsid w:val="1CF10FD8"/>
    <w:multiLevelType w:val="hybridMultilevel"/>
    <w:lvl w:ilvl="0">
      <w:lvlJc w:val="left"/>
      <w:lvlText w:val="(%1)"/>
      <w:numFmt w:val="upperLetter"/>
      <w:start w:val="2"/>
    </w:lvl>
    <w:lvl w:ilvl="1">
      <w:lvlJc w:val="left"/>
      <w:lvlText w:val="(%2)"/>
      <w:numFmt w:val="upperLetter"/>
      <w:start w:val="3"/>
    </w:lvl>
    <w:lvl w:ilvl="2">
      <w:lvlJc w:val="left"/>
      <w:lvlText w:val="%3"/>
      <w:numFmt w:val="upperLetter"/>
      <w:start w:val="1"/>
    </w:lvl>
  </w:abstractNum>
  <w:abstractNum w:abstractNumId="49">
    <w:nsid w:val="180115BE"/>
    <w:multiLevelType w:val="hybridMultilevel"/>
    <w:lvl w:ilvl="0">
      <w:lvlJc w:val="left"/>
      <w:lvlText w:val="(%1)"/>
      <w:numFmt w:val="lowerLetter"/>
      <w:start w:val="5"/>
    </w:lvl>
    <w:lvl w:ilvl="1">
      <w:lvlJc w:val="left"/>
      <w:lvlText w:val="(%2)"/>
      <w:numFmt w:val="upperLetter"/>
      <w:start w:val="1"/>
    </w:lvl>
  </w:abstractNum>
  <w:abstractNum w:abstractNumId="50">
    <w:nsid w:val="235BA861"/>
    <w:multiLevelType w:val="hybridMultilevel"/>
    <w:lvl w:ilvl="0">
      <w:lvlJc w:val="left"/>
      <w:lvlText w:val="%1."/>
      <w:numFmt w:val="decimal"/>
      <w:start w:val="5"/>
    </w:lvl>
  </w:abstractNum>
  <w:abstractNum w:abstractNumId="51">
    <w:nsid w:val="47398C89"/>
    <w:multiLevelType w:val="hybridMultilevel"/>
    <w:lvl w:ilvl="0">
      <w:lvlJc w:val="left"/>
      <w:lvlText w:val="%1"/>
      <w:numFmt w:val="decimal"/>
      <w:start w:val="1"/>
    </w:lvl>
    <w:lvl w:ilvl="1">
      <w:lvlJc w:val="left"/>
      <w:lvlText w:val="%2."/>
      <w:numFmt w:val="decimal"/>
      <w:start w:val="8"/>
    </w:lvl>
    <w:lvl w:ilvl="2">
      <w:lvlJc w:val="left"/>
      <w:lvlText w:val="%3."/>
      <w:numFmt w:val="decimal"/>
      <w:start w:val="9"/>
    </w:lvl>
    <w:lvl w:ilvl="3">
      <w:lvlJc w:val="left"/>
      <w:lvlText w:val="(%4)"/>
      <w:numFmt w:val="lowerLetter"/>
      <w:start w:val="1"/>
    </w:lvl>
  </w:abstractNum>
  <w:abstractNum w:abstractNumId="52">
    <w:nsid w:val="354FE9F9"/>
    <w:multiLevelType w:val="hybridMultilevel"/>
    <w:lvl w:ilvl="0">
      <w:lvlJc w:val="left"/>
      <w:lvlText w:val="(%1)"/>
      <w:numFmt w:val="decimal"/>
      <w:start w:val="30"/>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53">
    <w:nsid w:val="15B5AF5C"/>
    <w:multiLevelType w:val="hybridMultilevel"/>
    <w:lvl w:ilvl="0">
      <w:lvlJc w:val="left"/>
      <w:lvlText w:val="(%1)"/>
      <w:numFmt w:val="lowerLetter"/>
      <w:start w:val="2"/>
    </w:lvl>
  </w:abstractNum>
  <w:abstractNum w:abstractNumId="54">
    <w:nsid w:val="741226B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55">
    <w:nsid w:val="D34B6A8"/>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56">
    <w:nsid w:val="10233C99"/>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abstractNum>
  <w:abstractNum w:abstractNumId="57">
    <w:nsid w:val="3F6AB60F"/>
    <w:multiLevelType w:val="hybridMultilevel"/>
    <w:lvl w:ilvl="0">
      <w:lvlJc w:val="left"/>
      <w:lvlText w:val="%1."/>
      <w:numFmt w:val="decimal"/>
      <w:start w:val="13"/>
    </w:lvl>
  </w:abstractNum>
  <w:abstractNum w:abstractNumId="58">
    <w:nsid w:val="61574095"/>
    <w:multiLevelType w:val="hybridMultilevel"/>
    <w:lvl w:ilvl="0">
      <w:lvlJc w:val="left"/>
      <w:lvlText w:val="%1."/>
      <w:numFmt w:val="decimal"/>
      <w:start w:val="19"/>
    </w:lvl>
    <w:lvl w:ilvl="1">
      <w:lvlJc w:val="left"/>
      <w:lvlText w:val="%2."/>
      <w:numFmt w:val="decimal"/>
      <w:start w:val="21"/>
    </w:lvl>
  </w:abstractNum>
  <w:abstractNum w:abstractNumId="59">
    <w:nsid w:val="7E0C57B1"/>
    <w:multiLevelType w:val="hybridMultilevel"/>
    <w:lvl w:ilvl="0">
      <w:lvlJc w:val="left"/>
      <w:lvlText w:val="%1."/>
      <w:numFmt w:val="decimal"/>
      <w:start w:val="1"/>
    </w:lvl>
    <w:lvl w:ilvl="1">
      <w:lvlJc w:val="left"/>
      <w:lvlText w:val="(%2)"/>
      <w:numFmt w:val="lowerLetter"/>
      <w:start w:val="1"/>
    </w:lvl>
  </w:abstractNum>
  <w:abstractNum w:abstractNumId="60">
    <w:nsid w:val="77AE35EB"/>
    <w:multiLevelType w:val="hybridMultilevel"/>
    <w:lvl w:ilvl="0">
      <w:lvlJc w:val="left"/>
      <w:lvlText w:val="%1."/>
      <w:numFmt w:val="decimal"/>
      <w:start w:val="5"/>
    </w:lvl>
    <w:lvl w:ilvl="1">
      <w:lvlJc w:val="left"/>
      <w:lvlText w:val="(%2)"/>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5"/>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74" Type="http://schemas.openxmlformats.org/officeDocument/2006/relationships/hyperlink" Target="https://www.sec.gov/Archives/edgar/data/1902733/000119312522005239/d246602dex31.htm" TargetMode="External"/><Relationship Id="rId75" Type="http://schemas.openxmlformats.org/officeDocument/2006/relationships/hyperlink" Target="https://www.sec.gov/Archives/edgar/data/1902733/000190273322000031/amendedandrestatedbylaws.htm" TargetMode="External"/><Relationship Id="rId76" Type="http://schemas.openxmlformats.org/officeDocument/2006/relationships/hyperlink" Target="https://www.sec.gov/Archives/edgar/data/1902733/000190273324000041/firstamendmenttocreditagre.htm" TargetMode="External"/><Relationship Id="rId77" Type="http://schemas.openxmlformats.org/officeDocument/2006/relationships/hyperlink" Target="https://www.sec.gov/Archives/edgar/data/1902733/000190273324000046/exhibit101second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2024-05-29T17:22:25Z</dcterms:created>
  <dcterms:modified xsi:type="dcterms:W3CDTF">2024-05-29T17:22:25Z</dcterms:modified>
</cp:coreProperties>
</file>