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7046595" cy="6567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567805"/>
                    </a:xfrm>
                    <a:prstGeom prst="rect">
                      <a:avLst/>
                    </a:prstGeom>
                    <a:noFill/>
                  </pic:spPr>
                </pic:pic>
              </a:graphicData>
            </a:graphic>
          </wp:anchor>
        </w:drawing>
      </w:r>
    </w:p>
    <w:p>
      <w:pPr>
        <w:spacing w:after="0" w:line="96" w:lineRule="exact"/>
        <w:rPr>
          <w:sz w:val="24"/>
          <w:szCs w:val="24"/>
          <w:color w:val="auto"/>
        </w:rPr>
      </w:pPr>
    </w:p>
    <w:p>
      <w:pPr>
        <w:sectPr>
          <w:pgSz w:w="11900" w:h="16845" w:orient="portrait"/>
          <w:cols w:equalWidth="0" w:num="2">
            <w:col w:w="2240" w:space="300"/>
            <w:col w:w="854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Sellers Jeanette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000"/>
        <w:spacing w:after="0" w:line="305" w:lineRule="auto"/>
        <w:rPr>
          <w:sz w:val="20"/>
          <w:szCs w:val="20"/>
          <w:color w:val="auto"/>
        </w:rPr>
      </w:pPr>
      <w:r>
        <w:rPr>
          <w:rFonts w:ascii="Arial" w:cs="Arial" w:eastAsia="Arial" w:hAnsi="Arial"/>
          <w:sz w:val="17"/>
          <w:szCs w:val="17"/>
          <w:color w:val="0000FF"/>
        </w:rPr>
        <w:t>6770 PARKER FARM DRIVE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nCino OpCo,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NCNO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01/07/2022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80"/>
        <w:spacing w:after="0"/>
        <w:rPr>
          <w:sz w:val="20"/>
          <w:szCs w:val="20"/>
          <w:color w:val="auto"/>
        </w:rPr>
      </w:pPr>
      <w:r>
        <w:rPr>
          <w:rFonts w:ascii="Arial" w:cs="Arial" w:eastAsia="Arial" w:hAnsi="Arial"/>
          <w:sz w:val="17"/>
          <w:szCs w:val="17"/>
          <w:color w:val="0000FF"/>
        </w:rPr>
        <w:t>VP of Accounting</w:t>
      </w:r>
    </w:p>
    <w:p>
      <w:pPr>
        <w:spacing w:after="0" w:line="431" w:lineRule="exact"/>
        <w:rPr>
          <w:sz w:val="24"/>
          <w:szCs w:val="24"/>
          <w:color w:val="auto"/>
        </w:rPr>
      </w:pPr>
    </w:p>
    <w:p>
      <w:pPr>
        <w:sectPr>
          <w:pgSz w:w="11900" w:h="16845" w:orient="portrait"/>
          <w:cols w:equalWidth="0" w:num="3">
            <w:col w:w="3200" w:space="720"/>
            <w:col w:w="3100" w:space="720"/>
            <w:col w:w="3340"/>
          </w:cols>
          <w:pgMar w:left="460" w:top="221"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31"/>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WILMINGTON  NC</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28405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01/07/2022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51"/>
              <w:spacing w:after="0"/>
              <w:rPr>
                <w:sz w:val="20"/>
                <w:szCs w:val="20"/>
                <w:color w:val="auto"/>
              </w:rPr>
            </w:pPr>
            <w:r>
              <w:rPr>
                <w:rFonts w:ascii="Arial" w:cs="Arial" w:eastAsia="Arial" w:hAnsi="Arial"/>
                <w:sz w:val="17"/>
                <w:szCs w:val="17"/>
                <w:color w:val="0000FF"/>
                <w:w w:val="83"/>
              </w:rPr>
              <w:t>2,293</w:t>
            </w:r>
            <w:r>
              <w:rPr>
                <w:rFonts w:ascii="Arial" w:cs="Arial" w:eastAsia="Arial" w:hAnsi="Arial"/>
                <w:sz w:val="21"/>
                <w:szCs w:val="21"/>
                <w:color w:val="008000"/>
                <w:w w:val="83"/>
                <w:vertAlign w:val="superscript"/>
              </w:rPr>
              <w:t>(9)</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1"/>
                <w:szCs w:val="11"/>
                <w:color w:val="008000"/>
              </w:rPr>
              <w:t>(1)(2)</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3,243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Arial" w:cs="Arial" w:eastAsia="Arial" w:hAnsi="Arial"/>
                <w:sz w:val="17"/>
                <w:szCs w:val="17"/>
                <w:color w:val="0000FF"/>
              </w:rPr>
              <w:t>01/07/2022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2"/>
                <w:szCs w:val="22"/>
                <w:color w:val="auto"/>
              </w:rPr>
            </w:pPr>
          </w:p>
        </w:tc>
        <w:tc>
          <w:tcPr>
            <w:tcW w:w="580" w:type="dxa"/>
            <w:vAlign w:val="bottom"/>
          </w:tcPr>
          <w:p>
            <w:pPr>
              <w:jc w:val="center"/>
              <w:ind w:left="131"/>
              <w:spacing w:after="0"/>
              <w:rPr>
                <w:sz w:val="20"/>
                <w:szCs w:val="20"/>
                <w:color w:val="auto"/>
              </w:rPr>
            </w:pPr>
            <w:r>
              <w:rPr>
                <w:rFonts w:ascii="Arial" w:cs="Arial" w:eastAsia="Arial" w:hAnsi="Arial"/>
                <w:sz w:val="17"/>
                <w:szCs w:val="17"/>
                <w:color w:val="0000FF"/>
                <w:w w:val="89"/>
              </w:rPr>
              <w:t>3,243</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Pr>
          <w:p>
            <w:pPr>
              <w:ind w:left="240"/>
              <w:spacing w:after="0"/>
              <w:rPr>
                <w:sz w:val="20"/>
                <w:szCs w:val="20"/>
                <w:color w:val="auto"/>
              </w:rPr>
            </w:pPr>
            <w:r>
              <w:rPr>
                <w:rFonts w:ascii="Arial" w:cs="Arial" w:eastAsia="Arial" w:hAnsi="Arial"/>
                <w:sz w:val="11"/>
                <w:szCs w:val="11"/>
                <w:color w:val="008000"/>
              </w:rPr>
              <w:t>(1)(3)</w:t>
            </w:r>
          </w:p>
        </w:tc>
        <w:tc>
          <w:tcPr>
            <w:tcW w:w="60" w:type="dxa"/>
            <w:vAlign w:val="bottom"/>
          </w:tcPr>
          <w:p>
            <w:pPr>
              <w:spacing w:after="0"/>
              <w:rPr>
                <w:sz w:val="22"/>
                <w:szCs w:val="22"/>
                <w:color w:val="auto"/>
              </w:rPr>
            </w:pPr>
          </w:p>
        </w:tc>
        <w:tc>
          <w:tcPr>
            <w:tcW w:w="700" w:type="dxa"/>
            <w:vAlign w:val="bottom"/>
            <w:gridSpan w:val="2"/>
          </w:tcPr>
          <w:p>
            <w:pPr>
              <w:jc w:val="center"/>
              <w:ind w:left="517"/>
              <w:spacing w:after="0"/>
              <w:rPr>
                <w:sz w:val="20"/>
                <w:szCs w:val="20"/>
                <w:color w:val="auto"/>
              </w:rPr>
            </w:pPr>
            <w:r>
              <w:rPr>
                <w:rFonts w:ascii="Arial" w:cs="Arial" w:eastAsia="Arial" w:hAnsi="Arial"/>
                <w:sz w:val="17"/>
                <w:szCs w:val="17"/>
                <w:color w:val="0000FF"/>
                <w:w w:val="84"/>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860" w:type="dxa"/>
            <w:vAlign w:val="bottom"/>
            <w:gridSpan w:val="3"/>
            <w:vMerge w:val="restart"/>
          </w:tcPr>
          <w:p>
            <w:pPr>
              <w:ind w:left="900"/>
              <w:spacing w:after="0"/>
              <w:rPr>
                <w:sz w:val="20"/>
                <w:szCs w:val="20"/>
                <w:color w:val="auto"/>
              </w:rPr>
            </w:pPr>
            <w:r>
              <w:rPr>
                <w:rFonts w:ascii="Arial" w:cs="Arial" w:eastAsia="Arial" w:hAnsi="Arial"/>
                <w:sz w:val="17"/>
                <w:szCs w:val="17"/>
                <w:color w:val="0000FF"/>
              </w:rPr>
              <w:t>01/07/2022</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1"/>
                <w:szCs w:val="21"/>
                <w:color w:val="auto"/>
              </w:rPr>
            </w:pPr>
          </w:p>
        </w:tc>
        <w:tc>
          <w:tcPr>
            <w:tcW w:w="660" w:type="dxa"/>
            <w:vAlign w:val="bottom"/>
            <w:gridSpan w:val="2"/>
            <w:vMerge w:val="restart"/>
          </w:tcPr>
          <w:p>
            <w:pPr>
              <w:jc w:val="center"/>
              <w:ind w:left="51"/>
              <w:spacing w:after="0"/>
              <w:rPr>
                <w:sz w:val="20"/>
                <w:szCs w:val="20"/>
                <w:color w:val="auto"/>
              </w:rPr>
            </w:pPr>
            <w:r>
              <w:rPr>
                <w:rFonts w:ascii="Arial" w:cs="Arial" w:eastAsia="Arial" w:hAnsi="Arial"/>
                <w:sz w:val="17"/>
                <w:szCs w:val="17"/>
                <w:color w:val="0000FF"/>
                <w:w w:val="88"/>
              </w:rPr>
              <w:t>13,566</w:t>
            </w:r>
          </w:p>
        </w:tc>
        <w:tc>
          <w:tcPr>
            <w:tcW w:w="56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ind w:left="240"/>
              <w:spacing w:after="0"/>
              <w:rPr>
                <w:sz w:val="20"/>
                <w:szCs w:val="20"/>
                <w:color w:val="auto"/>
              </w:rPr>
            </w:pPr>
            <w:r>
              <w:rPr>
                <w:rFonts w:ascii="Arial" w:cs="Arial" w:eastAsia="Arial" w:hAnsi="Arial"/>
                <w:sz w:val="11"/>
                <w:szCs w:val="11"/>
                <w:color w:val="008000"/>
              </w:rPr>
              <w:t>(1)(2)</w:t>
            </w:r>
          </w:p>
        </w:tc>
        <w:tc>
          <w:tcPr>
            <w:tcW w:w="60" w:type="dxa"/>
            <w:vAlign w:val="bottom"/>
          </w:tcPr>
          <w:p>
            <w:pPr>
              <w:spacing w:after="0"/>
              <w:rPr>
                <w:sz w:val="21"/>
                <w:szCs w:val="21"/>
                <w:color w:val="auto"/>
              </w:rPr>
            </w:pPr>
          </w:p>
        </w:tc>
        <w:tc>
          <w:tcPr>
            <w:tcW w:w="700" w:type="dxa"/>
            <w:vAlign w:val="bottom"/>
            <w:gridSpan w:val="2"/>
            <w:vMerge w:val="restart"/>
          </w:tcPr>
          <w:p>
            <w:pPr>
              <w:jc w:val="center"/>
              <w:ind w:left="517"/>
              <w:spacing w:after="0"/>
              <w:rPr>
                <w:sz w:val="20"/>
                <w:szCs w:val="20"/>
                <w:color w:val="auto"/>
              </w:rPr>
            </w:pPr>
            <w:r>
              <w:rPr>
                <w:rFonts w:ascii="Arial" w:cs="Arial" w:eastAsia="Arial" w:hAnsi="Arial"/>
                <w:sz w:val="17"/>
                <w:szCs w:val="17"/>
                <w:color w:val="0000FF"/>
                <w:w w:val="84"/>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5"/>
              <w:spacing w:after="0"/>
              <w:rPr>
                <w:sz w:val="20"/>
                <w:szCs w:val="20"/>
                <w:color w:val="auto"/>
              </w:rPr>
            </w:pPr>
            <w:r>
              <w:rPr>
                <w:rFonts w:ascii="Arial" w:cs="Arial" w:eastAsia="Arial" w:hAnsi="Arial"/>
                <w:sz w:val="17"/>
                <w:szCs w:val="17"/>
                <w:color w:val="0000FF"/>
                <w:w w:val="89"/>
              </w:rPr>
              <w:t>1,064</w:t>
            </w:r>
          </w:p>
        </w:tc>
        <w:tc>
          <w:tcPr>
            <w:tcW w:w="60" w:type="dxa"/>
            <w:vAlign w:val="bottom"/>
          </w:tcPr>
          <w:p>
            <w:pPr>
              <w:spacing w:after="0"/>
              <w:rPr>
                <w:sz w:val="16"/>
                <w:szCs w:val="1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color w:val="008000"/>
              </w:rPr>
              <w:t>(1)(3)</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01/07/2022</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81"/>
              <w:spacing w:after="0" w:line="142" w:lineRule="exact"/>
              <w:rPr>
                <w:sz w:val="20"/>
                <w:szCs w:val="20"/>
                <w:color w:val="auto"/>
              </w:rPr>
            </w:pPr>
            <w:r>
              <w:rPr>
                <w:rFonts w:ascii="Arial" w:cs="Arial" w:eastAsia="Arial" w:hAnsi="Arial"/>
                <w:sz w:val="13"/>
                <w:szCs w:val="13"/>
                <w:color w:val="0000FF"/>
                <w:w w:val="92"/>
              </w:rPr>
              <w:t>1,064</w:t>
            </w: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rPr>
              <w:t>11/22/2027</w:t>
            </w:r>
          </w:p>
        </w:tc>
        <w:tc>
          <w:tcPr>
            <w:tcW w:w="6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restart"/>
          </w:tcPr>
          <w:p>
            <w:pPr>
              <w:ind w:left="360"/>
              <w:spacing w:after="0" w:line="14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5"/>
              <w:spacing w:after="0"/>
              <w:rPr>
                <w:sz w:val="20"/>
                <w:szCs w:val="20"/>
                <w:color w:val="auto"/>
              </w:rPr>
            </w:pPr>
            <w:r>
              <w:rPr>
                <w:rFonts w:ascii="Arial" w:cs="Arial" w:eastAsia="Arial" w:hAnsi="Arial"/>
                <w:sz w:val="17"/>
                <w:szCs w:val="17"/>
                <w:color w:val="0000FF"/>
                <w:w w:val="89"/>
              </w:rPr>
              <w:t>4,375</w:t>
            </w:r>
          </w:p>
        </w:tc>
        <w:tc>
          <w:tcPr>
            <w:tcW w:w="60" w:type="dxa"/>
            <w:vAlign w:val="bottom"/>
          </w:tcPr>
          <w:p>
            <w:pPr>
              <w:spacing w:after="0"/>
              <w:rPr>
                <w:sz w:val="16"/>
                <w:szCs w:val="1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color w:val="008000"/>
              </w:rPr>
              <w:t>(1)(3)</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01/07/2022</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81"/>
              <w:spacing w:after="0" w:line="142" w:lineRule="exact"/>
              <w:rPr>
                <w:sz w:val="20"/>
                <w:szCs w:val="20"/>
                <w:color w:val="auto"/>
              </w:rPr>
            </w:pPr>
            <w:r>
              <w:rPr>
                <w:rFonts w:ascii="Arial" w:cs="Arial" w:eastAsia="Arial" w:hAnsi="Arial"/>
                <w:sz w:val="13"/>
                <w:szCs w:val="13"/>
                <w:color w:val="0000FF"/>
                <w:w w:val="92"/>
              </w:rPr>
              <w:t>4,375</w:t>
            </w: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rPr>
              <w:t>08/15/2026</w:t>
            </w:r>
          </w:p>
        </w:tc>
        <w:tc>
          <w:tcPr>
            <w:tcW w:w="6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restart"/>
          </w:tcPr>
          <w:p>
            <w:pPr>
              <w:ind w:left="360"/>
              <w:spacing w:after="0" w:line="14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(7)</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5"/>
              <w:spacing w:after="0"/>
              <w:rPr>
                <w:sz w:val="20"/>
                <w:szCs w:val="20"/>
                <w:color w:val="auto"/>
              </w:rPr>
            </w:pPr>
            <w:r>
              <w:rPr>
                <w:rFonts w:ascii="Arial" w:cs="Arial" w:eastAsia="Arial" w:hAnsi="Arial"/>
                <w:sz w:val="17"/>
                <w:szCs w:val="17"/>
                <w:color w:val="0000FF"/>
                <w:w w:val="88"/>
              </w:rPr>
              <w:t>11,805</w:t>
            </w:r>
          </w:p>
        </w:tc>
        <w:tc>
          <w:tcPr>
            <w:tcW w:w="60" w:type="dxa"/>
            <w:vAlign w:val="bottom"/>
          </w:tcPr>
          <w:p>
            <w:pPr>
              <w:spacing w:after="0"/>
              <w:rPr>
                <w:sz w:val="16"/>
                <w:szCs w:val="1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color w:val="008000"/>
              </w:rPr>
              <w:t>(1)(3)</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center"/>
              <w:spacing w:after="0" w:line="125" w:lineRule="exact"/>
              <w:rPr>
                <w:sz w:val="20"/>
                <w:szCs w:val="20"/>
                <w:color w:val="auto"/>
              </w:rPr>
            </w:pPr>
            <w:r>
              <w:rPr>
                <w:rFonts w:ascii="Arial" w:cs="Arial" w:eastAsia="Arial" w:hAnsi="Arial"/>
                <w:sz w:val="13"/>
                <w:szCs w:val="13"/>
                <w:color w:val="0000FF"/>
                <w:w w:val="89"/>
              </w:rPr>
              <w:t>01/07/2022</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D</w:t>
            </w:r>
          </w:p>
        </w:tc>
        <w:tc>
          <w:tcPr>
            <w:tcW w:w="920" w:type="dxa"/>
            <w:vAlign w:val="bottom"/>
          </w:tcPr>
          <w:p>
            <w:pPr>
              <w:jc w:val="center"/>
              <w:ind w:left="281"/>
              <w:spacing w:after="0" w:line="125" w:lineRule="exact"/>
              <w:rPr>
                <w:sz w:val="20"/>
                <w:szCs w:val="20"/>
                <w:color w:val="auto"/>
              </w:rPr>
            </w:pPr>
            <w:r>
              <w:rPr>
                <w:rFonts w:ascii="Arial" w:cs="Arial" w:eastAsia="Arial" w:hAnsi="Arial"/>
                <w:sz w:val="13"/>
                <w:szCs w:val="13"/>
                <w:color w:val="0000FF"/>
                <w:w w:val="85"/>
              </w:rPr>
              <w:t>11,805</w:t>
            </w:r>
          </w:p>
        </w:tc>
        <w:tc>
          <w:tcPr>
            <w:tcW w:w="760" w:type="dxa"/>
            <w:vAlign w:val="bottom"/>
            <w:gridSpan w:val="2"/>
            <w:vMerge w:val="continue"/>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3"/>
                <w:szCs w:val="13"/>
                <w:color w:val="0000FF"/>
              </w:rPr>
              <w:t>06/08/2027</w:t>
            </w:r>
          </w:p>
        </w:tc>
        <w:tc>
          <w:tcPr>
            <w:tcW w:w="64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60" w:type="dxa"/>
            <w:vAlign w:val="bottom"/>
          </w:tcPr>
          <w:p>
            <w:pPr>
              <w:ind w:left="360"/>
              <w:spacing w:after="0" w:line="12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14.71</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01/07/2022</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92"/>
              </w:rPr>
              <w:t>3,000</w:t>
            </w: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color w:val="0000FF"/>
              </w:rPr>
              <w:t>09/18/2028</w:t>
            </w:r>
          </w:p>
        </w:tc>
        <w:tc>
          <w:tcPr>
            <w:tcW w:w="640" w:type="dxa"/>
            <w:vAlign w:val="bottom"/>
            <w:gridSpan w:val="2"/>
          </w:tcPr>
          <w:p>
            <w:pPr>
              <w:ind w:left="2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5"/>
              <w:spacing w:after="0"/>
              <w:rPr>
                <w:sz w:val="20"/>
                <w:szCs w:val="20"/>
                <w:color w:val="auto"/>
              </w:rPr>
            </w:pPr>
            <w:r>
              <w:rPr>
                <w:rFonts w:ascii="Arial" w:cs="Arial" w:eastAsia="Arial" w:hAnsi="Arial"/>
                <w:sz w:val="17"/>
                <w:szCs w:val="17"/>
                <w:color w:val="0000FF"/>
                <w:w w:val="89"/>
              </w:rPr>
              <w:t>3,000</w:t>
            </w:r>
          </w:p>
        </w:tc>
        <w:tc>
          <w:tcPr>
            <w:tcW w:w="60" w:type="dxa"/>
            <w:vAlign w:val="bottom"/>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color w:val="008000"/>
              </w:rPr>
              <w:t>(1)(4)</w:t>
            </w:r>
          </w:p>
        </w:tc>
        <w:tc>
          <w:tcPr>
            <w:tcW w:w="5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jc w:val="both"/>
        <w:ind w:left="40" w:right="200" w:firstLine="2"/>
        <w:spacing w:after="0" w:line="257" w:lineRule="auto"/>
        <w:tabs>
          <w:tab w:leader="none" w:pos="169"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the Agreement and Plan of Merger, dated November 16, 2021 (the "Merger Agreement"), by and among the Issuer, Penny HoldCo, Inc., a Delaware corporation and a wholly owned subsidiary of the Issuer ("Parent"), SimpleNexus, LLC, a Utah limited liability company (the "SimpleNexus"), and certain other parties, effective January 7, 2022, among other things: (i) the Issuer merged with a merger sub and survived such merger as a wholly owned subsidiary of Parent (the "nCino Merger"); (ii) certain blocker merger sub entities merged with and into the respective corresponding blocker entity, with each of the respective blocker entities surviving as a wholly owned subsidiary of Parent; (iii) SimpleNexus merged with a separate merger sub and survived such merger as a wholly owned indirect subsidiary of Parent (the mergers contemplated in clauses (i) - (iii) hereof, collectively, the "Mergers"). Upon completion of the Mergers, Parent changed its name to nCino, Inc.</w:t>
      </w:r>
    </w:p>
    <w:p>
      <w:pPr>
        <w:spacing w:after="0" w:line="21" w:lineRule="exact"/>
        <w:rPr>
          <w:rFonts w:ascii="Arial" w:cs="Arial" w:eastAsia="Arial" w:hAnsi="Arial"/>
          <w:sz w:val="12"/>
          <w:szCs w:val="12"/>
          <w:color w:val="008000"/>
        </w:rPr>
      </w:pPr>
    </w:p>
    <w:p>
      <w:pPr>
        <w:ind w:left="40" w:right="180" w:firstLine="2"/>
        <w:spacing w:after="0" w:line="290" w:lineRule="auto"/>
        <w:tabs>
          <w:tab w:leader="none" w:pos="169"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of the nCino Merger (the "Effective Time"), these shares of the Issuer's common stock, par value $0.0005 per share, ("Shares") converted automatically into an equivalent number of shares of common stock, par value $0.0005 per share, of Parent ("Parent Shares"). As of January 7, 2022, the closing market price of the Shares was $50.82.</w:t>
      </w:r>
    </w:p>
    <w:p>
      <w:pPr>
        <w:spacing w:after="0" w:line="1" w:lineRule="exact"/>
        <w:rPr>
          <w:rFonts w:ascii="Arial" w:cs="Arial" w:eastAsia="Arial" w:hAnsi="Arial"/>
          <w:sz w:val="12"/>
          <w:szCs w:val="12"/>
          <w:color w:val="008000"/>
        </w:rPr>
      </w:pPr>
    </w:p>
    <w:p>
      <w:pPr>
        <w:ind w:left="40" w:right="28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these restricted stock units ("RSUs") converted automatically into an award of an equivalent number of Parent restricted stock units on substantially the same terms and conditions (including vesting and delivery schedule) as applied to such RSU immediately prior to the Effective Time.</w:t>
      </w:r>
    </w:p>
    <w:p>
      <w:pPr>
        <w:spacing w:after="0" w:line="25" w:lineRule="exact"/>
        <w:rPr>
          <w:rFonts w:ascii="Arial" w:cs="Arial" w:eastAsia="Arial" w:hAnsi="Arial"/>
          <w:sz w:val="13"/>
          <w:szCs w:val="13"/>
          <w:color w:val="008000"/>
        </w:rPr>
      </w:pPr>
    </w:p>
    <w:p>
      <w:pPr>
        <w:ind w:left="40" w:right="22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these options converted automatically into an equivalent number of options to purchase Parent Shares on substantially the same terms and conditions (including vesting schedule and per share exercise price) as applied to such options immediately prior to the Effective Time.</w:t>
      </w:r>
    </w:p>
    <w:p>
      <w:pPr>
        <w:spacing w:after="0" w:line="25" w:lineRule="exact"/>
        <w:rPr>
          <w:rFonts w:ascii="Arial" w:cs="Arial" w:eastAsia="Arial" w:hAnsi="Arial"/>
          <w:sz w:val="13"/>
          <w:szCs w:val="13"/>
          <w:color w:val="008000"/>
        </w:rPr>
      </w:pPr>
    </w:p>
    <w:p>
      <w:pPr>
        <w:ind w:left="40" w:right="22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These RSUs remain from an original grant of 1,418 RSUs that vest in four equal annual installments starting on November 1, 2021, subject to the reporting person's continued employment through the applicable vesting date.</w:t>
      </w:r>
    </w:p>
    <w:p>
      <w:pPr>
        <w:spacing w:after="0" w:line="25" w:lineRule="exact"/>
        <w:rPr>
          <w:rFonts w:ascii="Arial" w:cs="Arial" w:eastAsia="Arial" w:hAnsi="Arial"/>
          <w:sz w:val="13"/>
          <w:szCs w:val="13"/>
          <w:color w:val="008000"/>
        </w:rPr>
      </w:pPr>
    </w:p>
    <w:p>
      <w:pPr>
        <w:ind w:left="40" w:right="38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These RSUs remain from an original grant of 8,750 RSUs that vest in four equal annual installments starting on August 1, 2020, subject to the reporting person's continued employment through the applicable vesting date.</w:t>
      </w:r>
    </w:p>
    <w:p>
      <w:pPr>
        <w:spacing w:after="0" w:line="25" w:lineRule="exact"/>
        <w:rPr>
          <w:rFonts w:ascii="Arial" w:cs="Arial" w:eastAsia="Arial" w:hAnsi="Arial"/>
          <w:sz w:val="13"/>
          <w:szCs w:val="13"/>
          <w:color w:val="008000"/>
        </w:rPr>
      </w:pPr>
    </w:p>
    <w:p>
      <w:pPr>
        <w:ind w:left="40" w:right="46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These RSUs remain from an original grant of 15,740 RSUs that vest in four equal annual installments starting on June 8, 2021, subject to the reporting person's continued employment through the applicable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vests in four equal annual installments starting on August 1, 2019, subject to the reporting person's continued employment through the applicable vesting date.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57 Shares acquired under the Issuer's stock purchase plan on December 31, 2021.</w:t>
      </w:r>
    </w:p>
    <w:p>
      <w:pPr>
        <w:spacing w:after="0" w:line="51"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/s/ Jeanette Sellers</w:t>
            </w:r>
          </w:p>
        </w:tc>
        <w:tc>
          <w:tcPr>
            <w:tcW w:w="9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01/11/2022</w:t>
            </w:r>
          </w:p>
        </w:tc>
      </w:tr>
      <w:tr>
        <w:trPr>
          <w:trHeight w:val="224"/>
        </w:trPr>
        <w:tc>
          <w:tcPr>
            <w:tcW w:w="65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r>
    </w:tbl>
    <w:p>
      <w:pPr>
        <w:sectPr>
          <w:pgSz w:w="11900" w:h="16845"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4499" TargetMode="External"/><Relationship Id="rId13" Type="http://schemas.openxmlformats.org/officeDocument/2006/relationships/hyperlink" Target="http://www.sec.gov/cgi-bin/browse-edgar?action=getcompany&amp;CIK=00015668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2022-01-11T15:29:29Z</dcterms:created>
  <dcterms:modified xsi:type="dcterms:W3CDTF">2022-01-11T15:29:29Z</dcterms:modified>
</cp:coreProperties>
</file>