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Desmond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8064</w:t>
            </w:r>
          </w:p>
        </w:tc>
        <w:tc>
          <w:tcPr>
            <w:tcW w:w="1377" w:type="dxa"/>
            <w:tcBorders/>
            <w:vAlign w:val="center"/>
          </w:tcPr>
          <w:p>
            <w:pPr>
              <w:pStyle w:val="TableContents"/>
              <w:bidi w:val="0"/>
              <w:spacing w:before="0" w:after="283"/>
              <w:jc w:val="left"/>
              <w:rPr/>
            </w:pPr>
            <w:r>
              <w:rPr/>
              <w:t>190794.24</w:t>
            </w:r>
          </w:p>
        </w:tc>
        <w:tc>
          <w:tcPr>
            <w:tcW w:w="1552" w:type="dxa"/>
            <w:tcBorders/>
            <w:vAlign w:val="center"/>
          </w:tcPr>
          <w:p>
            <w:pPr>
              <w:pStyle w:val="TableContents"/>
              <w:bidi w:val="0"/>
              <w:spacing w:before="0" w:after="283"/>
              <w:jc w:val="left"/>
              <w:rPr/>
            </w:pPr>
            <w:r>
              <w:rPr/>
              <w:t>105736174</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8064</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131120.64</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07/06/2026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140878.08</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08/04/2026</w:t>
            </w:r>
          </w:p>
        </w:tc>
        <w:tc>
          <w:tcPr>
            <w:tcW w:w="1556" w:type="dxa"/>
            <w:tcBorders/>
            <w:vAlign w:val="center"/>
          </w:tcPr>
          <w:p>
            <w:pPr>
              <w:pStyle w:val="TableContents"/>
              <w:bidi w:val="0"/>
              <w:spacing w:before="0" w:after="283"/>
              <w:jc w:val="left"/>
              <w:rPr/>
            </w:pPr>
            <w:r>
              <w:rPr/>
              <w:t>28675</w:t>
            </w:r>
          </w:p>
        </w:tc>
        <w:tc>
          <w:tcPr>
            <w:tcW w:w="1753" w:type="dxa"/>
            <w:tcBorders/>
            <w:vAlign w:val="center"/>
          </w:tcPr>
          <w:p>
            <w:pPr>
              <w:pStyle w:val="TableContents"/>
              <w:bidi w:val="0"/>
              <w:spacing w:before="0" w:after="283"/>
              <w:jc w:val="left"/>
              <w:rPr/>
            </w:pPr>
            <w:r>
              <w:rPr/>
              <w:t>551079.01</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08/05/2026</w:t>
            </w:r>
          </w:p>
        </w:tc>
        <w:tc>
          <w:tcPr>
            <w:tcW w:w="1556" w:type="dxa"/>
            <w:tcBorders/>
            <w:vAlign w:val="center"/>
          </w:tcPr>
          <w:p>
            <w:pPr>
              <w:pStyle w:val="TableContents"/>
              <w:bidi w:val="0"/>
              <w:spacing w:before="0" w:after="283"/>
              <w:jc w:val="left"/>
              <w:rPr/>
            </w:pPr>
            <w:r>
              <w:rPr/>
              <w:t>11815</w:t>
            </w:r>
          </w:p>
        </w:tc>
        <w:tc>
          <w:tcPr>
            <w:tcW w:w="1753" w:type="dxa"/>
            <w:tcBorders/>
            <w:vAlign w:val="center"/>
          </w:tcPr>
          <w:p>
            <w:pPr>
              <w:pStyle w:val="TableContents"/>
              <w:bidi w:val="0"/>
              <w:spacing w:before="0" w:after="283"/>
              <w:jc w:val="left"/>
              <w:rPr/>
            </w:pPr>
            <w:r>
              <w:rPr/>
              <w:t>230746.95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09/03/2026</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 Daniel Tucci, as a duly authorized representative of Fidelity Brokerage Services LLC, as attorney-in-fact for Sean Desmond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3442</Characters>
  <CharactersWithSpaces>4045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