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RUH WILLIAM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6770 PARKER FARM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nCino,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NCNO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28405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06/18/2026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12,911</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right"/>
              <w:ind w:right="254"/>
              <w:spacing w:after="0"/>
              <w:rPr>
                <w:sz w:val="20"/>
                <w:szCs w:val="20"/>
                <w:color w:val="auto"/>
              </w:rPr>
            </w:pPr>
            <w:r>
              <w:rPr>
                <w:rFonts w:ascii="Times New Roman" w:cs="Times New Roman" w:eastAsia="Times New Roman" w:hAnsi="Times New Roman"/>
                <w:sz w:val="17"/>
                <w:szCs w:val="17"/>
                <w:color w:val="0000FF"/>
              </w:rPr>
              <w:t>49,836</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William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200,801</w:t>
            </w:r>
          </w:p>
        </w:tc>
        <w:tc>
          <w:tcPr>
            <w:tcW w:w="940" w:type="dxa"/>
            <w:vAlign w:val="bottom"/>
          </w:tcPr>
          <w:p>
            <w:pPr>
              <w:ind w:left="38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 Ruh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U/T/A</w:t>
            </w:r>
            <w:r>
              <w:rPr>
                <w:rFonts w:ascii="Times New Roman" w:cs="Times New Roman" w:eastAsia="Times New Roman" w:hAnsi="Times New Roman"/>
                <w:sz w:val="22"/>
                <w:szCs w:val="22"/>
                <w:color w:val="008000"/>
                <w:vertAlign w:val="superscript"/>
              </w:rPr>
              <w:t>(2)</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of June 18, 2027 and the date of the next annual meeting of the Issuer's stockholders, subject to the reporting person's continued service through the applicable vesting date. These RSUs vest fully upon a change in control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William J. Ruh Trust, U/T/A, for which the reporting person is sole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Jeanette Sellers,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8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William J. Ruh</w:t>
            </w:r>
          </w:p>
        </w:tc>
        <w:tc>
          <w:tcPr>
            <w:tcW w:w="3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00" w:type="dxa"/>
            <w:vAlign w:val="bottom"/>
            <w:tcBorders>
              <w:bottom w:val="single" w:sz="8" w:color="auto"/>
            </w:tcBorders>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4596" TargetMode="External"/><Relationship Id="rId14" Type="http://schemas.openxmlformats.org/officeDocument/2006/relationships/hyperlink" Target="http://www.sec.gov/cgi-bin/browse-edgar?action=getcompany&amp;CIK=00019027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2026-06-23T15:06:41Z</dcterms:created>
  <dcterms:modified xsi:type="dcterms:W3CDTF">2026-06-23T15:06:41Z</dcterms:modified>
</cp:coreProperties>
</file>