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Sellers Jeanette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20"/>
        <w:spacing w:after="0" w:line="320" w:lineRule="auto"/>
        <w:rPr>
          <w:sz w:val="20"/>
          <w:szCs w:val="20"/>
          <w:color w:val="auto"/>
        </w:rPr>
      </w:pPr>
      <w:r>
        <w:rPr>
          <w:rFonts w:ascii="Times New Roman" w:cs="Times New Roman" w:eastAsia="Times New Roman" w:hAnsi="Times New Roman"/>
          <w:sz w:val="17"/>
          <w:szCs w:val="17"/>
          <w:color w:val="0000FF"/>
        </w:rPr>
        <w:t>6770 PARKER FARM DRIVE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nCino,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NCNO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SVP of Accounting</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WILMINGTON NC</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28405</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15,446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56,057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right="12"/>
              <w:spacing w:after="0"/>
              <w:rPr>
                <w:sz w:val="20"/>
                <w:szCs w:val="20"/>
                <w:color w:val="auto"/>
              </w:rPr>
            </w:pPr>
            <w:r>
              <w:rPr>
                <w:rFonts w:ascii="Times New Roman" w:cs="Times New Roman" w:eastAsia="Times New Roman" w:hAnsi="Times New Roman"/>
                <w:sz w:val="17"/>
                <w:szCs w:val="17"/>
                <w:color w:val="0000FF"/>
              </w:rPr>
              <w:t>1,486</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18.015</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54,571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vest in sixteen equal quarterly installments starting on August 1, 2026, subject to the reporting person's continued employment through the applicable vesting date.</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cover tax withholding due upon vesting of RSUs. Such "sales to cover" are mandated by the Issuer's equity incentive plans to satisfy tax withholding obligations and do not represent a discretionary trade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Jeanette Sellers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05/05/2026</w:t>
            </w:r>
          </w:p>
        </w:tc>
      </w:tr>
      <w:tr>
        <w:trPr>
          <w:trHeight w:val="20"/>
        </w:trPr>
        <w:tc>
          <w:tcPr>
            <w:tcW w:w="12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4499" TargetMode="External"/><Relationship Id="rId14" Type="http://schemas.openxmlformats.org/officeDocument/2006/relationships/hyperlink" Target="http://www.sec.gov/cgi-bin/browse-edgar?action=getcompany&amp;CIK=0001902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2026-05-05T17:22:10Z</dcterms:created>
  <dcterms:modified xsi:type="dcterms:W3CDTF">2026-05-05T17:22:10Z</dcterms:modified>
</cp:coreProperties>
</file>