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FORM 10-Q</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120" w:after="283"/>
        <w:jc w:val="center"/>
        <w:rPr/>
      </w:pPr>
      <w:r>
        <w:rPr>
          <w:color w:val="000000"/>
        </w:rPr>
        <w:t>☒    </w:t>
      </w:r>
      <w:r>
        <w:rPr>
          <w:rFonts w:ascii="Times New Roman;sans-serif" w:hAnsi="Times New Roman;sans-serif"/>
          <w:b/>
          <w:color w:val="000000"/>
          <w:sz w:val="16"/>
        </w:rPr>
        <w:t xml:space="preserve">QUARTERLY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October 31, 2023</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jc w:val="center"/>
        <w:rPr/>
      </w:pPr>
      <w:r>
        <w:rPr>
          <w:rFonts w:ascii="Times New Roman;sans-serif" w:hAnsi="Times New Roman;sans-serif"/>
          <w:b/>
          <w:color w:val="000000"/>
          <w:sz w:val="16"/>
        </w:rPr>
        <w:t>For the transition period from __to __</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001-41211</w:t>
      </w:r>
    </w:p>
    <w:p>
      <w:pPr>
        <w:pStyle w:val="TextBody"/>
        <w:bidi w:val="0"/>
        <w:spacing w:before="0" w:after="0"/>
        <w:jc w:val="center"/>
        <w:rPr/>
      </w:pPr>
      <w:r>
        <w:rPr/>
      </w:r>
    </w:p>
    <w:p>
      <w:pPr>
        <w:pStyle w:val="TextBody"/>
        <w:bidi w:val="0"/>
        <w:spacing w:lineRule="auto" w:line="288" w:before="40" w:after="283"/>
        <w:jc w:val="center"/>
        <w:rPr>
          <w:rFonts w:ascii="Times New Roman;sans-serif" w:hAnsi="Times New Roman;sans-serif"/>
          <w:b/>
          <w:color w:val="000000"/>
          <w:sz w:val="34"/>
        </w:rPr>
      </w:pPr>
      <w:r>
        <w:rPr>
          <w:rFonts w:ascii="Times New Roman;sans-serif" w:hAnsi="Times New Roman;sans-serif"/>
          <w:b/>
          <w:color w:val="000000"/>
          <w:sz w:val="34"/>
        </w:rPr>
        <w:t>nCino, Inc.</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4105" w:type="dxa"/>
        <w:jc w:val="center"/>
        <w:tblInd w:w="0" w:type="dxa"/>
        <w:tblLayout w:type="fixed"/>
        <w:tblCellMar>
          <w:top w:w="28" w:type="dxa"/>
          <w:left w:w="28" w:type="dxa"/>
          <w:bottom w:w="28" w:type="dxa"/>
          <w:right w:w="28" w:type="dxa"/>
        </w:tblCellMar>
      </w:tblPr>
      <w:tblGrid>
        <w:gridCol w:w="844"/>
        <w:gridCol w:w="745"/>
        <w:gridCol w:w="750"/>
        <w:gridCol w:w="109"/>
        <w:gridCol w:w="109"/>
        <w:gridCol w:w="109"/>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87-4154342</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6770 Parker Farm Drive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Wilmington, North Carolina 28405</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 including zip code)</w:t>
      </w:r>
    </w:p>
    <w:p>
      <w:pPr>
        <w:pStyle w:val="TextBody"/>
        <w:bidi w:val="0"/>
        <w:spacing w:before="40" w:after="283"/>
        <w:jc w:val="center"/>
        <w:rPr/>
      </w:pPr>
      <w:r>
        <w:rPr/>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(888) 676-2466</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(Registrant’s telephone number, including area code)</w:t>
      </w:r>
    </w:p>
    <w:p>
      <w:pPr>
        <w:pStyle w:val="TextBody"/>
        <w:bidi w:val="0"/>
        <w:spacing w:before="40" w:after="283"/>
        <w:jc w:val="center"/>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77" w:type="dxa"/>
        <w:jc w:val="center"/>
        <w:tblInd w:w="0" w:type="dxa"/>
        <w:tblLayout w:type="fixed"/>
        <w:tblCellMar>
          <w:top w:w="28" w:type="dxa"/>
          <w:left w:w="28" w:type="dxa"/>
          <w:bottom w:w="28" w:type="dxa"/>
          <w:right w:w="28" w:type="dxa"/>
        </w:tblCellMar>
      </w:tblPr>
      <w:tblGrid>
        <w:gridCol w:w="1160"/>
        <w:gridCol w:w="1018"/>
        <w:gridCol w:w="1031"/>
        <w:gridCol w:w="484"/>
        <w:gridCol w:w="484"/>
        <w:gridCol w:w="486"/>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$0.0005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NCNO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0" w:after="0"/>
        <w:ind w:left="0" w:right="0" w:firstLine="990"/>
        <w:jc w:val="left"/>
        <w:rPr/>
      </w:pPr>
      <w:r>
        <w:rPr/>
      </w:r>
    </w:p>
    <w:p>
      <w:pPr>
        <w:pStyle w:val="TextBody"/>
        <w:bidi w:val="0"/>
        <w:spacing w:lineRule="auto" w:line="264" w:before="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before="40" w:after="283"/>
        <w:ind w:left="0" w:right="0" w:firstLine="990"/>
        <w:jc w:val="left"/>
        <w:rPr/>
      </w:pPr>
      <w:r>
        <w:rPr/>
      </w:r>
    </w:p>
    <w:p>
      <w:pPr>
        <w:pStyle w:val="TextBody"/>
        <w:bidi w:val="0"/>
        <w:spacing w:lineRule="auto" w:line="264"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lineRule="auto" w:line="288" w:before="4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before="40" w:after="283"/>
        <w:ind w:left="0" w:right="0" w:firstLine="990"/>
        <w:jc w:val="left"/>
        <w:rPr/>
      </w:pPr>
      <w:r>
        <w:rPr/>
      </w:r>
    </w:p>
    <w:p>
      <w:pPr>
        <w:pStyle w:val="TextBody"/>
        <w:bidi w:val="0"/>
        <w:spacing w:lineRule="auto" w:line="288" w:before="4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xml:space="preserve"> </w:t>
      </w:r>
      <w:r>
        <w:rPr>
          <w:rFonts w:ascii="Times New Roman;sans-serif" w:hAnsi="Times New Roman;sans-serif"/>
          <w:b w:val="false"/>
          <w:color w:val="000000"/>
          <w:sz w:val="16"/>
        </w:rPr>
        <w:t xml:space="preserve">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 113,133,108 shares of common stock, $0.0005 par value per share, as of November 24, 2023.</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9"/>
        <w:gridCol w:w="230"/>
        <w:gridCol w:w="222"/>
        <w:gridCol w:w="3017"/>
        <w:gridCol w:w="2967"/>
        <w:gridCol w:w="2976"/>
        <w:gridCol w:w="149"/>
        <w:gridCol w:w="149"/>
        <w:gridCol w:w="216"/>
      </w:tblGrid>
      <w:tr>
        <w:trPr/>
        <w:tc>
          <w:tcPr>
            <w:tcW w:w="2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0">
              <w:r>
                <w:rPr>
                  <w:rStyle w:val="InternetLink"/>
                  <w:rFonts w:ascii="Times New Roman;sans-serif" w:hAnsi="Times New Roman;sans-serif"/>
                  <w:b w:val="false"/>
                  <w:color w:val="0000FF"/>
                  <w:sz w:val="20"/>
                  <w:u w:val="single"/>
                </w:rPr>
                <w:t>Cautionary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0">
              <w:r>
                <w:rPr>
                  <w:rStyle w:val="InternetLink"/>
                  <w:rFonts w:ascii="Times New Roman;sans-serif" w:hAnsi="Times New Roman;sans-serif"/>
                  <w:b w:val="false"/>
                  <w:strike w:val="false"/>
                  <w:dstrike w:val="false"/>
                  <w:color w:val="000000"/>
                  <w:sz w:val="20"/>
                  <w:u w:val="none"/>
                  <w:effect w:val="none"/>
                </w:rPr>
                <w:t>i</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af9377745438da2fa2aa0d7dba5ba_13">
              <w:r>
                <w:rPr>
                  <w:rStyle w:val="InternetLink"/>
                  <w:rFonts w:ascii="Times New Roman;sans-serif" w:hAnsi="Times New Roman;sans-serif"/>
                  <w:b/>
                  <w:color w:val="0000FF"/>
                  <w:sz w:val="20"/>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6">
              <w:r>
                <w:rPr>
                  <w:rStyle w:val="InternetLink"/>
                  <w:rFonts w:ascii="Times New Roman;sans-serif" w:hAnsi="Times New Roman;sans-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6">
              <w:r>
                <w:rPr>
                  <w:rStyle w:val="InternetLink"/>
                  <w:rFonts w:ascii="Times New Roman;sans-serif" w:hAnsi="Times New Roman;sans-serif"/>
                  <w:b w:val="false"/>
                  <w:strike w:val="false"/>
                  <w:dstrike w:val="false"/>
                  <w:color w:val="000000"/>
                  <w:sz w:val="20"/>
                  <w:u w:val="none"/>
                  <w:effect w:val="none"/>
                </w:rPr>
                <w:t>1</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9">
              <w:r>
                <w:rPr>
                  <w:rStyle w:val="InternetLink"/>
                  <w:rFonts w:ascii="Times New Roman;sans-serif" w:hAnsi="Times New Roman;sans-serif"/>
                  <w:b w:val="false"/>
                  <w:color w:val="0000FF"/>
                  <w:sz w:val="20"/>
                  <w:u w:val="single"/>
                </w:rPr>
                <w:t>Condensed Consolidated Balance Sheets as of January 31, 2023 and October 31, 2023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9">
              <w:r>
                <w:rPr>
                  <w:rStyle w:val="InternetLink"/>
                  <w:rFonts w:ascii="Times New Roman;sans-serif" w:hAnsi="Times New Roman;sans-serif"/>
                  <w:b w:val="false"/>
                  <w:strike w:val="false"/>
                  <w:dstrike w:val="false"/>
                  <w:color w:val="000000"/>
                  <w:sz w:val="20"/>
                  <w:u w:val="none"/>
                  <w:effect w:val="none"/>
                </w:rPr>
                <w:t>1</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22">
              <w:r>
                <w:rPr>
                  <w:rStyle w:val="InternetLink"/>
                  <w:rFonts w:ascii="Times New Roman;sans-serif" w:hAnsi="Times New Roman;sans-serif"/>
                  <w:b w:val="false"/>
                  <w:color w:val="0000FF"/>
                  <w:sz w:val="20"/>
                  <w:u w:val="single"/>
                </w:rPr>
                <w:t>Unaudited Condensed Consolidated Statements of Operations for the Three and Nine Months Ended October 31,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22">
              <w:r>
                <w:rPr>
                  <w:rStyle w:val="InternetLink"/>
                  <w:rFonts w:ascii="Times New Roman;sans-serif" w:hAnsi="Times New Roman;sans-serif"/>
                  <w:b w:val="false"/>
                  <w:strike w:val="false"/>
                  <w:dstrike w:val="false"/>
                  <w:color w:val="000000"/>
                  <w:sz w:val="20"/>
                  <w:u w:val="none"/>
                  <w:effect w:val="none"/>
                </w:rPr>
                <w:t>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25">
              <w:r>
                <w:rPr>
                  <w:rStyle w:val="InternetLink"/>
                  <w:rFonts w:ascii="Times New Roman;sans-serif" w:hAnsi="Times New Roman;sans-serif"/>
                  <w:b w:val="false"/>
                  <w:color w:val="0000FF"/>
                  <w:sz w:val="20"/>
                  <w:u w:val="single"/>
                </w:rPr>
                <w:t>Unaudited Condensed Consolidated Statements of Comprehensive Loss for the Three and Nine Months Ended October 31,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25">
              <w:r>
                <w:rPr>
                  <w:rStyle w:val="InternetLink"/>
                  <w:rFonts w:ascii="Times New Roman;sans-serif" w:hAnsi="Times New Roman;sans-serif"/>
                  <w:b w:val="false"/>
                  <w:strike w:val="false"/>
                  <w:dstrike w:val="false"/>
                  <w:color w:val="000000"/>
                  <w:sz w:val="20"/>
                  <w:u w:val="none"/>
                  <w:effect w:val="none"/>
                </w:rPr>
                <w:t>3</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28">
              <w:r>
                <w:rPr>
                  <w:rStyle w:val="InternetLink"/>
                  <w:rFonts w:ascii="Times New Roman;sans-serif" w:hAnsi="Times New Roman;sans-serif"/>
                  <w:b w:val="false"/>
                  <w:color w:val="0000FF"/>
                  <w:sz w:val="20"/>
                  <w:u w:val="single"/>
                </w:rPr>
                <w:t>Unaudited Condensed Consolidated Statements of Stockholders' Equity for the Three and Nine Months Ended October 31,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28">
              <w:r>
                <w:rPr>
                  <w:rStyle w:val="InternetLink"/>
                  <w:rFonts w:ascii="Times New Roman;sans-serif" w:hAnsi="Times New Roman;sans-serif"/>
                  <w:b w:val="false"/>
                  <w:strike w:val="false"/>
                  <w:dstrike w:val="false"/>
                  <w:color w:val="000000"/>
                  <w:sz w:val="20"/>
                  <w:u w:val="none"/>
                  <w:effect w:val="none"/>
                </w:rPr>
                <w:t>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34">
              <w:r>
                <w:rPr>
                  <w:rStyle w:val="InternetLink"/>
                  <w:rFonts w:ascii="Times New Roman;sans-serif" w:hAnsi="Times New Roman;sans-serif"/>
                  <w:b w:val="false"/>
                  <w:color w:val="0000FF"/>
                  <w:sz w:val="20"/>
                  <w:u w:val="single"/>
                </w:rPr>
                <w:t>Unaudited Condensed Consolidated Statements of Cash Flows for the Nine Months Ended October 31, 2022 and 2023</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34">
              <w:r>
                <w:rPr>
                  <w:rStyle w:val="InternetLink"/>
                  <w:rFonts w:ascii="Times New Roman;sans-serif" w:hAnsi="Times New Roman;sans-serif"/>
                  <w:b w:val="false"/>
                  <w:strike w:val="false"/>
                  <w:dstrike w:val="false"/>
                  <w:color w:val="000000"/>
                  <w:sz w:val="20"/>
                  <w:u w:val="none"/>
                  <w:effect w:val="none"/>
                </w:rPr>
                <w:t>6</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37">
              <w:r>
                <w:rPr>
                  <w:rStyle w:val="InternetLink"/>
                  <w:rFonts w:ascii="Times New Roman;sans-serif" w:hAnsi="Times New Roman;sans-serif"/>
                  <w:b w:val="false"/>
                  <w:color w:val="0000FF"/>
                  <w:sz w:val="20"/>
                  <w:u w:val="single"/>
                </w:rPr>
                <w:t>Notes to Unaudited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37">
              <w:r>
                <w:rPr>
                  <w:rStyle w:val="InternetLink"/>
                  <w:rFonts w:ascii="Times New Roman;sans-serif" w:hAnsi="Times New Roman;sans-serif"/>
                  <w:b w:val="false"/>
                  <w:strike w:val="false"/>
                  <w:dstrike w:val="false"/>
                  <w:color w:val="000000"/>
                  <w:sz w:val="20"/>
                  <w:u w:val="none"/>
                  <w:effect w:val="none"/>
                </w:rPr>
                <w:t>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09">
              <w:r>
                <w:rPr>
                  <w:rStyle w:val="InternetLink"/>
                  <w:rFonts w:ascii="Times New Roman;sans-serif" w:hAnsi="Times New Roman;sans-serif"/>
                  <w:b w:val="false"/>
                  <w:strike w:val="false"/>
                  <w:dstrike w:val="false"/>
                  <w:color w:val="000000"/>
                  <w:sz w:val="20"/>
                  <w:u w:val="none"/>
                  <w:effect w:val="none"/>
                </w:rPr>
                <w:t>22</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42">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42">
              <w:r>
                <w:rPr>
                  <w:rStyle w:val="InternetLink"/>
                  <w:rFonts w:ascii="Times New Roman;sans-serif" w:hAnsi="Times New Roman;sans-serif"/>
                  <w:b w:val="false"/>
                  <w:strike w:val="false"/>
                  <w:dstrike w:val="false"/>
                  <w:color w:val="000000"/>
                  <w:sz w:val="20"/>
                  <w:u w:val="none"/>
                  <w:effect w:val="none"/>
                </w:rPr>
                <w:t>35</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48">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48">
              <w:r>
                <w:rPr>
                  <w:rStyle w:val="InternetLink"/>
                  <w:rFonts w:ascii="Times New Roman;sans-serif" w:hAnsi="Times New Roman;sans-serif"/>
                  <w:b w:val="false"/>
                  <w:strike w:val="false"/>
                  <w:dstrike w:val="false"/>
                  <w:color w:val="000000"/>
                  <w:sz w:val="20"/>
                  <w:u w:val="none"/>
                  <w:effect w:val="none"/>
                </w:rPr>
                <w:t>36</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9af9377745438da2fa2aa0d7dba5ba_151">
              <w:r>
                <w:rPr>
                  <w:rStyle w:val="InternetLink"/>
                  <w:rFonts w:ascii="Times New Roman;sans-serif" w:hAnsi="Times New Roman;sans-serif"/>
                  <w:b/>
                  <w:color w:val="0000FF"/>
                  <w:sz w:val="20"/>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54">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54">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57">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54">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60">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60">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66">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66">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69">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69">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72">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72">
              <w:r>
                <w:rPr>
                  <w:rStyle w:val="InternetLink"/>
                  <w:rFonts w:ascii="Times New Roman;sans-serif" w:hAnsi="Times New Roman;sans-serif"/>
                  <w:b w:val="false"/>
                  <w:strike w:val="false"/>
                  <w:dstrike w:val="false"/>
                  <w:color w:val="000000"/>
                  <w:sz w:val="20"/>
                  <w:u w:val="none"/>
                  <w:effect w:val="none"/>
                </w:rPr>
                <w:t>37</w:t>
              </w:r>
            </w:hyperlink>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75">
              <w:r>
                <w:rPr>
                  <w:rStyle w:val="InternetLink"/>
                  <w:rFonts w:ascii="Times New Roman;sans-serif" w:hAnsi="Times New Roman;sans-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75">
              <w:r>
                <w:rPr>
                  <w:rStyle w:val="InternetLink"/>
                  <w:rFonts w:ascii="Times New Roman;sans-serif" w:hAnsi="Times New Roman;sans-serif"/>
                  <w:b w:val="false"/>
                  <w:strike w:val="false"/>
                  <w:dstrike w:val="false"/>
                  <w:color w:val="000000"/>
                  <w:sz w:val="20"/>
                  <w:u w:val="none"/>
                  <w:effect w:val="none"/>
                </w:rPr>
                <w:t>39</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9af9377745438da2fa2aa0d7dba5ba_178">
              <w:r>
                <w:rPr>
                  <w:rStyle w:val="InternetLink"/>
                  <w:rFonts w:ascii="Times New Roman;sans-serif" w:hAnsi="Times New Roman;sans-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9af9377745438da2fa2aa0d7dba5ba_178">
              <w:r>
                <w:rPr>
                  <w:rStyle w:val="InternetLink"/>
                  <w:rFonts w:ascii="Times New Roman;sans-serif" w:hAnsi="Times New Roman;sans-serif"/>
                  <w:b w:val="false"/>
                  <w:strike w:val="false"/>
                  <w:dstrike w:val="false"/>
                  <w:color w:val="000000"/>
                  <w:sz w:val="20"/>
                  <w:u w:val="none"/>
                  <w:effect w:val="non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report, the terms “nCino,” the “Company,” “we,” “us,” and “our” mean nCino, Inc. and its subsidiaries unless the context indicates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87"/>
        <w:gridCol w:w="2133"/>
        <w:gridCol w:w="2160"/>
        <w:gridCol w:w="216"/>
        <w:gridCol w:w="1000"/>
        <w:gridCol w:w="111"/>
        <w:gridCol w:w="109"/>
        <w:gridCol w:w="109"/>
        <w:gridCol w:w="109"/>
        <w:gridCol w:w="215"/>
        <w:gridCol w:w="996"/>
        <w:gridCol w:w="160"/>
      </w:tblGrid>
      <w:tr>
        <w:trPr/>
        <w:tc>
          <w:tcPr>
            <w:tcW w:w="288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2023</w:t>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(VIE: $2,019 and $2,555 at January 31, 2023 and October 31, 2023, respectively)</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$899 and $2,221 at January 31, 2023 and October 31, 2023, respectively</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current portion,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revenue contracts, noncurrent,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(related party $2,500 at January 31, 2023 and October 31, 2023)</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prepaid expenses and other assets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1,267,544 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equity</w:t>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current portion</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noncurrent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noncurrent</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 (Note 3)</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and none issued and outstanding as of January 31, 2023 and October 31, 2023</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$0.0005 par value; 500,000,000 shares authorized as of January 31, 2023 and October 31, 2023; 111,424,132 and 113,030,730 shares issued and outstanding as of January 31, 2023 and October 31, 2023, respectively</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1,327,269 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1,267,544 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16"/>
        <w:gridCol w:w="1235"/>
        <w:gridCol w:w="1247"/>
        <w:gridCol w:w="264"/>
        <w:gridCol w:w="922"/>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51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(Note 3)</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 (Note 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nCino, Inc.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110,897,811 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112,951,553 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110,434,171 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112,484,017 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4"/>
        <w:gridCol w:w="1511"/>
        <w:gridCol w:w="1541"/>
        <w:gridCol w:w="211"/>
        <w:gridCol w:w="775"/>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57"/>
      </w:tblGrid>
      <w:tr>
        <w:trPr/>
        <w:tc>
          <w:tcPr>
            <w:tcW w:w="174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comprehensive loss attributable to redeemable non-controlling interest:</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attributable to redeemable non-controlling interest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redeemable non-controlling interest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 attributable to nCino,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20"/>
        <w:gridCol w:w="304"/>
        <w:gridCol w:w="305"/>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267"/>
        <w:gridCol w:w="780"/>
        <w:gridCol w:w="139"/>
        <w:gridCol w:w="109"/>
        <w:gridCol w:w="109"/>
        <w:gridCol w:w="109"/>
        <w:gridCol w:w="211"/>
        <w:gridCol w:w="842"/>
        <w:gridCol w:w="109"/>
        <w:gridCol w:w="109"/>
        <w:gridCol w:w="109"/>
        <w:gridCol w:w="109"/>
        <w:gridCol w:w="211"/>
        <w:gridCol w:w="976"/>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 2022</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110,616,050 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31, 2022</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110,943,569 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1,031,862 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0"/>
        <w:gridCol w:w="304"/>
        <w:gridCol w:w="305"/>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318"/>
        <w:gridCol w:w="703"/>
        <w:gridCol w:w="165"/>
        <w:gridCol w:w="109"/>
        <w:gridCol w:w="109"/>
        <w:gridCol w:w="109"/>
        <w:gridCol w:w="211"/>
        <w:gridCol w:w="842"/>
        <w:gridCol w:w="109"/>
        <w:gridCol w:w="109"/>
        <w:gridCol w:w="109"/>
        <w:gridCol w:w="109"/>
        <w:gridCol w:w="211"/>
        <w:gridCol w:w="976"/>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 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112,661,660 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1,028,141 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31, 2023</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113,030,730 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20"/>
        <w:gridCol w:w="304"/>
        <w:gridCol w:w="306"/>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267"/>
        <w:gridCol w:w="780"/>
        <w:gridCol w:w="139"/>
        <w:gridCol w:w="109"/>
        <w:gridCol w:w="109"/>
        <w:gridCol w:w="109"/>
        <w:gridCol w:w="211"/>
        <w:gridCol w:w="842"/>
        <w:gridCol w:w="109"/>
        <w:gridCol w:w="109"/>
        <w:gridCol w:w="109"/>
        <w:gridCol w:w="109"/>
        <w:gridCol w:w="211"/>
        <w:gridCol w:w="976"/>
        <w:gridCol w:w="156"/>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 2022</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br/>
              <w:t>Comprehensive</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109,778,542 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31, 2022</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110,943,569 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1,031,862 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0"/>
        <w:gridCol w:w="304"/>
        <w:gridCol w:w="305"/>
        <w:gridCol w:w="593"/>
        <w:gridCol w:w="593"/>
        <w:gridCol w:w="186"/>
        <w:gridCol w:w="109"/>
        <w:gridCol w:w="109"/>
        <w:gridCol w:w="109"/>
        <w:gridCol w:w="211"/>
        <w:gridCol w:w="361"/>
        <w:gridCol w:w="109"/>
        <w:gridCol w:w="109"/>
        <w:gridCol w:w="109"/>
        <w:gridCol w:w="109"/>
        <w:gridCol w:w="211"/>
        <w:gridCol w:w="976"/>
        <w:gridCol w:w="109"/>
        <w:gridCol w:w="109"/>
        <w:gridCol w:w="109"/>
        <w:gridCol w:w="109"/>
        <w:gridCol w:w="318"/>
        <w:gridCol w:w="703"/>
        <w:gridCol w:w="165"/>
        <w:gridCol w:w="109"/>
        <w:gridCol w:w="109"/>
        <w:gridCol w:w="109"/>
        <w:gridCol w:w="211"/>
        <w:gridCol w:w="842"/>
        <w:gridCol w:w="109"/>
        <w:gridCol w:w="109"/>
        <w:gridCol w:w="109"/>
        <w:gridCol w:w="109"/>
        <w:gridCol w:w="211"/>
        <w:gridCol w:w="976"/>
        <w:gridCol w:w="157"/>
      </w:tblGrid>
      <w:tr>
        <w:trPr/>
        <w:tc>
          <w:tcPr>
            <w:tcW w:w="9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 2023</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br/>
              <w:t xml:space="preserve">Comprehensive </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111,424,132 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issuance under the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 including adjustment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113,030,730 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1,028,609 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264" w:type="dxa"/>
        <w:jc w:val="left"/>
        <w:tblInd w:w="0" w:type="dxa"/>
        <w:tblLayout w:type="fixed"/>
        <w:tblCellMar>
          <w:top w:w="28" w:type="dxa"/>
          <w:left w:w="28" w:type="dxa"/>
          <w:bottom w:w="28" w:type="dxa"/>
          <w:right w:w="28" w:type="dxa"/>
        </w:tblCellMar>
      </w:tblPr>
      <w:tblGrid>
        <w:gridCol w:w="2463"/>
        <w:gridCol w:w="2157"/>
        <w:gridCol w:w="2175"/>
        <w:gridCol w:w="197"/>
        <w:gridCol w:w="742"/>
        <w:gridCol w:w="109"/>
        <w:gridCol w:w="109"/>
        <w:gridCol w:w="109"/>
        <w:gridCol w:w="109"/>
        <w:gridCol w:w="197"/>
        <w:gridCol w:w="742"/>
        <w:gridCol w:w="155"/>
      </w:tblGrid>
      <w:tr>
        <w:trPr/>
        <w:tc>
          <w:tcPr>
            <w:tcW w:w="2463"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nCino, Inc.</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and adjustment attributable to redeemable non-controlling interest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costs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capitalized to obtain revenue contracts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foreign currency losses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long-lived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capitalized to obtain revenue contracts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 net of cash acquired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from redeemable non-controlling interest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facility</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revolving credit facility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 under the employee stock purchase plan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financing obligations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 changes on cash, cash equivalents, and restricted cash</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end of period:</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long-term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end of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accrued but not paid</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i/>
          <w:color w:val="000000"/>
          <w:sz w:val="20"/>
        </w:rPr>
        <w:t>The accompanying notes are an integral part of these unaudited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ind w:left="0" w:right="0" w:firstLine="990"/>
        <w:jc w:val="left"/>
        <w:rPr/>
      </w:pPr>
      <w:r>
        <w:rPr>
          <w:rFonts w:ascii="Times New Roman;sans-serif" w:hAnsi="Times New Roman;sans-serif"/>
          <w:b/>
          <w:color w:val="000000"/>
          <w:sz w:val="20"/>
        </w:rPr>
        <w:t>Organization:</w:t>
      </w:r>
      <w:r>
        <w:rPr>
          <w:color w:val="000000"/>
        </w:rPr>
        <w:t xml:space="preserve"> </w:t>
      </w:r>
      <w:r>
        <w:rPr>
          <w:rFonts w:ascii="Times New Roman;sans-serif" w:hAnsi="Times New Roman;sans-serif"/>
          <w:b w:val="false"/>
          <w:color w:val="000000"/>
          <w:sz w:val="20"/>
        </w:rPr>
        <w:t>On November 16, 2021, nCino, Inc. (now nCino OpCo, Inc., "nCino OpCo") entered into an Agreement and Plan of Merger (the "Merger Agreement") with Penny HoldCo, Inc. (now nCino, Inc., "nCino, Inc."), a 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pStyle w:val="TextBody"/>
        <w:bidi w:val="0"/>
        <w:spacing w:lineRule="auto" w:line="288" w:before="240" w:after="283"/>
        <w:ind w:left="0" w:right="0" w:firstLine="990"/>
        <w:jc w:val="left"/>
        <w:rPr/>
      </w:pPr>
      <w:r>
        <w:rPr>
          <w:rFonts w:ascii="Times New Roman;sans-serif" w:hAnsi="Times New Roman;sans-serif"/>
          <w:b/>
          <w:color w:val="000000"/>
          <w:sz w:val="20"/>
        </w:rPr>
        <w:t>Merger:</w:t>
      </w:r>
      <w:r>
        <w:rPr>
          <w:color w:val="000000"/>
        </w:rPr>
        <w:t xml:space="preserve"> </w:t>
      </w:r>
      <w:r>
        <w:rPr>
          <w:rFonts w:ascii="Times New Roman;sans-serif" w:hAnsi="Times New Roman;sans-serif"/>
          <w:b w:val="false"/>
          <w:color w:val="000000"/>
          <w:sz w:val="20"/>
        </w:rPr>
        <w:t>On January 7, 2022, pursuant to the Merger Agreement, nCino, Inc. and nCino OpCo completed a series of mergers in which nCino, Inc. became the parent of nCino OpCo and 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8, 2023, SimpleNexus began operating as SimpleNexus, LLC d/b/a nCino Mortgage, LLC ("nCino Mortgage").</w:t>
      </w:r>
    </w:p>
    <w:p>
      <w:pPr>
        <w:pStyle w:val="TextBody"/>
        <w:bidi w:val="0"/>
        <w:spacing w:lineRule="auto" w:line="288" w:before="240" w:after="283"/>
        <w:ind w:left="0" w:right="0" w:firstLine="990"/>
        <w:jc w:val="left"/>
        <w:rPr/>
      </w:pPr>
      <w:r>
        <w:rPr>
          <w:rFonts w:ascii="Times New Roman;sans-serif" w:hAnsi="Times New Roman;sans-serif"/>
          <w:b/>
          <w:color w:val="000000"/>
          <w:sz w:val="20"/>
        </w:rPr>
        <w:t>Description of Business:</w:t>
      </w:r>
      <w:r>
        <w:rPr>
          <w:color w:val="000000"/>
        </w:rPr>
        <w:t xml:space="preserve"> </w:t>
      </w:r>
      <w:r>
        <w:rPr>
          <w:rFonts w:ascii="Times New Roman;sans-serif" w:hAnsi="Times New Roman;sans-serif"/>
          <w:b w:val="false"/>
          <w:color w:val="000000"/>
          <w:sz w:val="20"/>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and Asia Pacific.</w:t>
      </w:r>
    </w:p>
    <w:p>
      <w:pPr>
        <w:pStyle w:val="TextBody"/>
        <w:bidi w:val="0"/>
        <w:spacing w:lineRule="auto" w:line="288" w:before="240" w:after="283"/>
        <w:ind w:left="0" w:right="0" w:firstLine="990"/>
        <w:jc w:val="left"/>
        <w:rPr/>
      </w:pPr>
      <w:r>
        <w:rPr>
          <w:rFonts w:ascii="Times New Roman;sans-serif" w:hAnsi="Times New Roman;sans-serif"/>
          <w:b/>
          <w:color w:val="000000"/>
          <w:sz w:val="20"/>
        </w:rPr>
        <w:t>Fiscal Year End:</w:t>
      </w:r>
      <w:r>
        <w:rPr>
          <w:color w:val="000000"/>
        </w:rPr>
        <w:t xml:space="preserve"> </w:t>
      </w:r>
      <w:r>
        <w:rPr>
          <w:rFonts w:ascii="Times New Roman;sans-serif" w:hAnsi="Times New Roman;sans-serif"/>
          <w:b w:val="false"/>
          <w:color w:val="000000"/>
          <w:sz w:val="20"/>
        </w:rPr>
        <w:t>The Company’s fiscal year ends on January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Principles of Consolidation and Basis of Presentation:</w:t>
      </w:r>
      <w:r>
        <w:rPr>
          <w:color w:val="000000"/>
        </w:rPr>
        <w:t xml:space="preserve"> </w:t>
      </w: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2023 filed with the SEC on March 28, 2023. The unaudited condensed consolidated financial statements include accounts of the Company’s wholly-owned subsidiaries, as well as a variable interest entity in which the Company is the primary beneficiary. All intercompany accounts and transactions are eliminated.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2024 or any future period.</w:t>
      </w:r>
    </w:p>
    <w:p>
      <w:pPr>
        <w:pStyle w:val="TextBody"/>
        <w:bidi w:val="0"/>
        <w:spacing w:lineRule="auto" w:line="288" w:before="240" w:after="283"/>
        <w:ind w:left="0" w:right="0" w:firstLine="990"/>
        <w:jc w:val="left"/>
        <w:rPr/>
      </w:pPr>
      <w:r>
        <w:rPr>
          <w:rFonts w:ascii="Times New Roman;sans-serif" w:hAnsi="Times New Roman;sans-serif"/>
          <w:b/>
          <w:color w:val="000000"/>
          <w:sz w:val="20"/>
        </w:rPr>
        <w:t>Variable Interest Entity:</w:t>
      </w:r>
      <w:r>
        <w:rPr>
          <w:color w:val="000000"/>
        </w:rPr>
        <w:t xml:space="preserve"> </w:t>
      </w:r>
      <w:r>
        <w:rPr>
          <w:rFonts w:ascii="Times New Roman;sans-serif" w:hAnsi="Times New Roman;sans-serif"/>
          <w:b w:val="false"/>
          <w:color w:val="000000"/>
          <w:sz w:val="20"/>
        </w:rPr>
        <w:t xml:space="preserve">The Company holds an interest in a Japanese company (“nCino K.K.”) that is considered a variable interest entity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Redeemable Non-Controlling Interest:</w:t>
      </w:r>
      <w:r>
        <w:rPr>
          <w:color w:val="000000"/>
        </w:rPr>
        <w:t xml:space="preserve"> </w:t>
      </w:r>
      <w:r>
        <w:rPr>
          <w:rFonts w:ascii="Times New Roman;sans-serif" w:hAnsi="Times New Roman;sans-serif"/>
          <w:b w:val="false"/>
          <w:color w:val="000000"/>
          <w:sz w:val="20"/>
        </w:rPr>
        <w:t>Redeemable non-controlling interest relates to minority investors of nCino K.K. An agreement with 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pStyle w:val="TextBody"/>
        <w:bidi w:val="0"/>
        <w:spacing w:lineRule="auto" w:line="288" w:before="240" w:after="283"/>
        <w:ind w:left="0" w:right="0" w:firstLine="990"/>
        <w:jc w:val="left"/>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 See Note 7 "Goodwill and Intangible Assets" for a change in estimate for the useful life of the SimpleNexus trade name.</w:t>
      </w:r>
    </w:p>
    <w:p>
      <w:pPr>
        <w:pStyle w:val="TextBody"/>
        <w:bidi w:val="0"/>
        <w:spacing w:lineRule="auto" w:line="288" w:before="240" w:after="283"/>
        <w:ind w:left="0" w:right="0" w:firstLine="990"/>
        <w:jc w:val="left"/>
        <w:rPr/>
      </w:pPr>
      <w:r>
        <w:rPr>
          <w:rFonts w:ascii="Times New Roman;sans-serif" w:hAnsi="Times New Roman;sans-serif"/>
          <w:b/>
          <w:color w:val="000000"/>
          <w:sz w:val="20"/>
        </w:rPr>
        <w:t>Concentration of Credit Risk and Significant Customers:</w:t>
      </w:r>
      <w:r>
        <w:rPr>
          <w:color w:val="000000"/>
        </w:rPr>
        <w:t xml:space="preserve"> </w:t>
      </w:r>
      <w:r>
        <w:rPr>
          <w:rFonts w:ascii="Times New Roman;sans-serif" w:hAnsi="Times New Roman;sans-serif"/>
          <w:b w:val="false"/>
          <w:color w:val="000000"/>
          <w:sz w:val="20"/>
        </w:rPr>
        <w:t>The Company’s financial instruments that are exposed to concentration of credit risk consist primarily of cash, cash equivalents, restricted cash and accounts receivable. The Company’s cash and cash equivalents exceeded federally insured limits at January 31, 2023 and October 31, 2023. The Company maintains its cash, cash equivalents and restricted cash with high-credit-quality financial institutions.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2023 and October 31, 2023, no individual customer represented over 10% of accounts receivable. For the three and nine months ended October 31, 2022 and 2023, no individual customer represented more than 10% of the Company’s total revenues.</w:t>
      </w:r>
    </w:p>
    <w:p>
      <w:pPr>
        <w:pStyle w:val="TextBody"/>
        <w:bidi w:val="0"/>
        <w:spacing w:lineRule="auto" w:line="288" w:before="240" w:after="283"/>
        <w:ind w:left="0" w:right="0" w:firstLine="990"/>
        <w:jc w:val="left"/>
        <w:rPr/>
      </w:pPr>
      <w:r>
        <w:rPr>
          <w:rFonts w:ascii="Times New Roman;sans-serif" w:hAnsi="Times New Roman;sans-serif"/>
          <w:b/>
          <w:color w:val="000000"/>
          <w:sz w:val="20"/>
        </w:rPr>
        <w:t>Restricted Cash:</w:t>
      </w:r>
      <w:r>
        <w:rPr>
          <w:color w:val="000000"/>
        </w:rPr>
        <w:t xml:space="preserve"> </w:t>
      </w:r>
      <w:r>
        <w:rPr>
          <w:rFonts w:ascii="Times New Roman;sans-serif" w:hAnsi="Times New Roman;sans-serif"/>
          <w:b w:val="false"/>
          <w:color w:val="000000"/>
          <w:sz w:val="20"/>
        </w:rPr>
        <w:t>Restricted cash primarily consists of a minimum cash balance the Company maintains with a lender under the Company's revolving credit facility. The remaining restricted cash consists of deposits held as collateral for the Company's bank guarantees issued in place of security deposits for certain property leases and credit cards. Restricted cash is included in other long-term assets at January 31, 2023 and in prepaid expenses and other current assets and other long-term assets at October 31, 2023 on the unaudited condensed consolidated balance sheets.</w:t>
      </w:r>
    </w:p>
    <w:p>
      <w:pPr>
        <w:pStyle w:val="TextBody"/>
        <w:bidi w:val="0"/>
        <w:spacing w:lineRule="auto" w:line="288" w:before="240" w:after="283"/>
        <w:ind w:left="0" w:right="0" w:firstLine="990"/>
        <w:jc w:val="left"/>
        <w:rPr/>
      </w:pPr>
      <w:r>
        <w:rPr>
          <w:rFonts w:ascii="Times New Roman;sans-serif" w:hAnsi="Times New Roman;sans-serif"/>
          <w:b/>
          <w:color w:val="000000"/>
          <w:sz w:val="20"/>
        </w:rPr>
        <w:t>Accounts Receivable and Allowances:</w:t>
      </w:r>
      <w:r>
        <w:rPr>
          <w:color w:val="000000"/>
        </w:rPr>
        <w:t xml:space="preserve"> </w:t>
      </w:r>
      <w:r>
        <w:rPr>
          <w:rFonts w:ascii="Times New Roman;sans-serif" w:hAnsi="Times New Roman;sans-serif"/>
          <w:b w:val="false"/>
          <w:color w:val="000000"/>
          <w:sz w:val="20"/>
        </w:rPr>
        <w:t xml:space="preserve">A receivable is recorded when an unconditional right to invoice and receive payment exists, such that 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 when revenues earned on a contract exceeds the billings. The Company’s standard billing terms are annual in advance, while nCino Mortgage's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allowance for doubtful accounts is as follows:</w:t>
      </w:r>
    </w:p>
    <w:tbl>
      <w:tblPr>
        <w:tblW w:w="7806" w:type="dxa"/>
        <w:jc w:val="left"/>
        <w:tblInd w:w="0" w:type="dxa"/>
        <w:tblLayout w:type="fixed"/>
        <w:tblCellMar>
          <w:top w:w="28" w:type="dxa"/>
          <w:left w:w="28" w:type="dxa"/>
          <w:bottom w:w="28" w:type="dxa"/>
          <w:right w:w="28" w:type="dxa"/>
        </w:tblCellMar>
      </w:tblPr>
      <w:tblGrid>
        <w:gridCol w:w="901"/>
        <w:gridCol w:w="793"/>
        <w:gridCol w:w="796"/>
        <w:gridCol w:w="259"/>
        <w:gridCol w:w="573"/>
        <w:gridCol w:w="134"/>
        <w:gridCol w:w="134"/>
        <w:gridCol w:w="134"/>
        <w:gridCol w:w="134"/>
        <w:gridCol w:w="259"/>
        <w:gridCol w:w="757"/>
        <w:gridCol w:w="134"/>
        <w:gridCol w:w="109"/>
        <w:gridCol w:w="109"/>
        <w:gridCol w:w="109"/>
        <w:gridCol w:w="249"/>
        <w:gridCol w:w="551"/>
        <w:gridCol w:w="128"/>
        <w:gridCol w:w="128"/>
        <w:gridCol w:w="128"/>
        <w:gridCol w:w="128"/>
        <w:gridCol w:w="249"/>
        <w:gridCol w:w="728"/>
        <w:gridCol w:w="182"/>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bad debt expense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to deferred revenue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other</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pPr>
      <w:r>
        <w:rPr>
          <w:rFonts w:ascii="Times New Roman;sans-serif" w:hAnsi="Times New Roman;sans-serif"/>
          <w:b/>
          <w:color w:val="000000"/>
          <w:sz w:val="20"/>
        </w:rPr>
        <w:t>Investments</w:t>
      </w:r>
      <w:r>
        <w:rPr>
          <w:rFonts w:ascii="Times New Roman;sans-serif" w:hAnsi="Times New Roman;sans-serif"/>
          <w:b w:val="false"/>
          <w:color w:val="000000"/>
          <w:sz w:val="20"/>
        </w:rPr>
        <w:t>: The Company's investments are non-marketable equity investments without readily determinable fair value and for which the 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Variable Interest Entity and Redeemable Non-Controlling Interest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October 31, 2023, the Company controls a majority of the outstanding common stock in nCino K.K. In October 2023, the Company made a further investment in nCino K.K. of $1.0 million that, including additional investments in nCino K.K. of $1.0 million by exiting third-party investors in October 2023, maintained the Company's ownership of 51%.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The estimated redemption value of the call/put option embedded in the redeemable non-controlling interest was $2.8 million at October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the redeemable non-controlling interests for the period indicated below:</w:t>
      </w:r>
    </w:p>
    <w:tbl>
      <w:tblPr>
        <w:tblW w:w="10205" w:type="dxa"/>
        <w:jc w:val="left"/>
        <w:tblInd w:w="0" w:type="dxa"/>
        <w:tblLayout w:type="fixed"/>
        <w:tblCellMar>
          <w:top w:w="28" w:type="dxa"/>
          <w:left w:w="28" w:type="dxa"/>
          <w:bottom w:w="28" w:type="dxa"/>
          <w:right w:w="28" w:type="dxa"/>
        </w:tblCellMar>
      </w:tblPr>
      <w:tblGrid>
        <w:gridCol w:w="2059"/>
        <w:gridCol w:w="1551"/>
        <w:gridCol w:w="1557"/>
        <w:gridCol w:w="225"/>
        <w:gridCol w:w="660"/>
        <w:gridCol w:w="116"/>
        <w:gridCol w:w="116"/>
        <w:gridCol w:w="116"/>
        <w:gridCol w:w="116"/>
        <w:gridCol w:w="225"/>
        <w:gridCol w:w="660"/>
        <w:gridCol w:w="116"/>
        <w:gridCol w:w="109"/>
        <w:gridCol w:w="109"/>
        <w:gridCol w:w="109"/>
        <w:gridCol w:w="221"/>
        <w:gridCol w:w="647"/>
        <w:gridCol w:w="114"/>
        <w:gridCol w:w="114"/>
        <w:gridCol w:w="114"/>
        <w:gridCol w:w="114"/>
        <w:gridCol w:w="221"/>
        <w:gridCol w:w="647"/>
        <w:gridCol w:w="169"/>
      </w:tblGrid>
      <w:tr>
        <w:trPr/>
        <w:tc>
          <w:tcPr>
            <w:tcW w:w="205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5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by redeemable non-controlling interest</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 (excluding adjustment to non-controlling interest)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redeemable non-controlling interest</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w:t>
            </w:r>
            <w:r>
              <w:rPr>
                <w:rFonts w:ascii="Times New Roman;sans-serif" w:hAnsi="Times New Roman;sans-serif"/>
                <w:b w:val="false"/>
                <w:color w:val="000000"/>
                <w:sz w:val="13"/>
              </w:rPr>
              <w:t>1</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nCino K.K. stock options granted in accordance with nCino K.K.'s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Fair Value Measurements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a three-tier fair value hierarchy, which prioritizes the inputs used in the valuation methodologies in measuring fair value: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Significant other inputs that are directly or indirectly observable in the marketplace.</w:t>
      </w:r>
    </w:p>
    <w:p>
      <w:pPr>
        <w:pStyle w:val="TextBody"/>
        <w:bidi w:val="0"/>
        <w:spacing w:lineRule="auto" w:line="288" w:before="240" w:after="283"/>
        <w:ind w:left="0" w:right="0" w:firstLine="990"/>
        <w:jc w:val="left"/>
        <w:rPr/>
      </w:pP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Significant unobservable inputs which are supported by little or no market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equivalents, accounts receivable, accounts payable, and accrued expenses approximate fair value as of January 31, 2023 and October 31, 2023 because of the relatively short duration of these instruments.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any outstanding borrowings on the Company's revolving credit facility approximates fair value due to the variable interest rates of the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2023 and October 31, 2023 and indicates the fair value hierarchy of the valuation:</w:t>
      </w:r>
    </w:p>
    <w:tbl>
      <w:tblPr>
        <w:tblW w:w="10205" w:type="dxa"/>
        <w:jc w:val="left"/>
        <w:tblInd w:w="0" w:type="dxa"/>
        <w:tblLayout w:type="fixed"/>
        <w:tblCellMar>
          <w:top w:w="28" w:type="dxa"/>
          <w:left w:w="28" w:type="dxa"/>
          <w:bottom w:w="28" w:type="dxa"/>
          <w:right w:w="28" w:type="dxa"/>
        </w:tblCellMar>
      </w:tblPr>
      <w:tblGrid>
        <w:gridCol w:w="1848"/>
        <w:gridCol w:w="1626"/>
        <w:gridCol w:w="1641"/>
        <w:gridCol w:w="335"/>
        <w:gridCol w:w="1150"/>
        <w:gridCol w:w="172"/>
        <w:gridCol w:w="172"/>
        <w:gridCol w:w="172"/>
        <w:gridCol w:w="172"/>
        <w:gridCol w:w="335"/>
        <w:gridCol w:w="646"/>
        <w:gridCol w:w="172"/>
        <w:gridCol w:w="172"/>
        <w:gridCol w:w="172"/>
        <w:gridCol w:w="172"/>
        <w:gridCol w:w="335"/>
        <w:gridCol w:w="646"/>
        <w:gridCol w:w="267"/>
      </w:tblGrid>
      <w:tr>
        <w:trPr/>
        <w:tc>
          <w:tcPr>
            <w:tcW w:w="1848"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January 31, 2023</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52"/>
        <w:gridCol w:w="1630"/>
        <w:gridCol w:w="1644"/>
        <w:gridCol w:w="335"/>
        <w:gridCol w:w="1148"/>
        <w:gridCol w:w="171"/>
        <w:gridCol w:w="171"/>
        <w:gridCol w:w="171"/>
        <w:gridCol w:w="171"/>
        <w:gridCol w:w="335"/>
        <w:gridCol w:w="645"/>
        <w:gridCol w:w="171"/>
        <w:gridCol w:w="171"/>
        <w:gridCol w:w="171"/>
        <w:gridCol w:w="171"/>
        <w:gridCol w:w="335"/>
        <w:gridCol w:w="645"/>
        <w:gridCol w:w="268"/>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on a recurring basis as of October 31, 2023</w:t>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 (included in cash and cash equivalents)</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(included in other long-term assets)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money market accounts are classified within Level 1 because the Company’s money market accounts are valued using quoted market prices in active exchange markets including identical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Non-Recurring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measured at fair value on a nonrecurring basis include the investments accounted for under the measurement alternative. There was no adjustment or impairment recognized for the three and nine months ended October 31, 2022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Revenues</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Revenues by Geographic Area</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Revenues by geographic region were as follows:</w:t>
      </w:r>
    </w:p>
    <w:tbl>
      <w:tblPr>
        <w:tblW w:w="6809"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Contract Amounts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is as follows as of January 31, 2023 and October 31, 2023:</w:t>
      </w:r>
    </w:p>
    <w:tbl>
      <w:tblPr>
        <w:tblW w:w="6760" w:type="dxa"/>
        <w:jc w:val="left"/>
        <w:tblInd w:w="0" w:type="dxa"/>
        <w:tblLayout w:type="fixed"/>
        <w:tblCellMar>
          <w:top w:w="28" w:type="dxa"/>
          <w:left w:w="28" w:type="dxa"/>
          <w:bottom w:w="28" w:type="dxa"/>
          <w:right w:w="28" w:type="dxa"/>
        </w:tblCellMar>
      </w:tblPr>
      <w:tblGrid>
        <w:gridCol w:w="1005"/>
        <w:gridCol w:w="882"/>
        <w:gridCol w:w="887"/>
        <w:gridCol w:w="368"/>
        <w:gridCol w:w="1257"/>
        <w:gridCol w:w="190"/>
        <w:gridCol w:w="109"/>
        <w:gridCol w:w="109"/>
        <w:gridCol w:w="109"/>
        <w:gridCol w:w="358"/>
        <w:gridCol w:w="1225"/>
        <w:gridCol w:w="261"/>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October 31, 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accounts receivable</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accounts receivable</w:t>
            </w:r>
            <w:r>
              <w:rPr>
                <w:rFonts w:ascii="Times New Roman;sans-serif" w:hAnsi="Times New Roman;sans-serif"/>
                <w:b w:val="false"/>
                <w:color w:val="000000"/>
                <w:sz w:val="13"/>
              </w:rPr>
              <w:t>1</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 net</w:t>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$0.1 million income tax receivable as of January 31, 2023 and October 31, 2023.</w:t>
      </w:r>
    </w:p>
    <w:p>
      <w:pPr>
        <w:pStyle w:val="TextBody"/>
        <w:bidi w:val="0"/>
        <w:spacing w:lineRule="auto" w:line="288" w:before="1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 and Remaining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nine months ended October 31, 2023, $149.9 million of revenues were recognized out of the deferred revenue balance as of January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were $917.1 million as of October 31, 2023. The Company expects to recognize approximately 68% of its remaining performance obligation as revenues in the next 24 months, approximately 28% more in the following 25 to 48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and Equipment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610" w:type="dxa"/>
        <w:jc w:val="left"/>
        <w:tblInd w:w="0" w:type="dxa"/>
        <w:tblLayout w:type="fixed"/>
        <w:tblCellMar>
          <w:top w:w="28" w:type="dxa"/>
          <w:left w:w="28" w:type="dxa"/>
          <w:bottom w:w="28" w:type="dxa"/>
          <w:right w:w="28" w:type="dxa"/>
        </w:tblCellMar>
      </w:tblPr>
      <w:tblGrid>
        <w:gridCol w:w="949"/>
        <w:gridCol w:w="835"/>
        <w:gridCol w:w="840"/>
        <w:gridCol w:w="368"/>
        <w:gridCol w:w="1257"/>
        <w:gridCol w:w="190"/>
        <w:gridCol w:w="109"/>
        <w:gridCol w:w="109"/>
        <w:gridCol w:w="109"/>
        <w:gridCol w:w="358"/>
        <w:gridCol w:w="1225"/>
        <w:gridCol w:w="261"/>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October 31, 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equipment</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Buildings and land</w:t>
            </w:r>
            <w:r>
              <w:rPr>
                <w:rFonts w:ascii="Times New Roman;sans-serif" w:hAnsi="Times New Roman;sans-serif"/>
                <w:b w:val="false"/>
                <w:color w:val="000000"/>
                <w:sz w:val="13"/>
              </w:rPr>
              <w:t>1</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104,578 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80,557 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12 "Commitments and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depreciation expense as follows:</w:t>
      </w:r>
    </w:p>
    <w:tbl>
      <w:tblPr>
        <w:tblW w:w="9317" w:type="dxa"/>
        <w:jc w:val="left"/>
        <w:tblInd w:w="0" w:type="dxa"/>
        <w:tblLayout w:type="fixed"/>
        <w:tblCellMar>
          <w:top w:w="28" w:type="dxa"/>
          <w:left w:w="28" w:type="dxa"/>
          <w:bottom w:w="28" w:type="dxa"/>
          <w:right w:w="28" w:type="dxa"/>
        </w:tblCellMar>
      </w:tblPr>
      <w:tblGrid>
        <w:gridCol w:w="1451"/>
        <w:gridCol w:w="1273"/>
        <w:gridCol w:w="1281"/>
        <w:gridCol w:w="241"/>
        <w:gridCol w:w="706"/>
        <w:gridCol w:w="124"/>
        <w:gridCol w:w="124"/>
        <w:gridCol w:w="124"/>
        <w:gridCol w:w="124"/>
        <w:gridCol w:w="241"/>
        <w:gridCol w:w="706"/>
        <w:gridCol w:w="124"/>
        <w:gridCol w:w="109"/>
        <w:gridCol w:w="109"/>
        <w:gridCol w:w="109"/>
        <w:gridCol w:w="232"/>
        <w:gridCol w:w="679"/>
        <w:gridCol w:w="120"/>
        <w:gridCol w:w="120"/>
        <w:gridCol w:w="120"/>
        <w:gridCol w:w="120"/>
        <w:gridCol w:w="232"/>
        <w:gridCol w:w="679"/>
        <w:gridCol w:w="169"/>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Goodwill and Intangible Assets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amounts of goodwill was as follows:</w:t>
      </w:r>
    </w:p>
    <w:tbl>
      <w:tblPr>
        <w:tblW w:w="3471" w:type="dxa"/>
        <w:jc w:val="left"/>
        <w:tblInd w:w="0" w:type="dxa"/>
        <w:tblLayout w:type="fixed"/>
        <w:tblCellMar>
          <w:top w:w="28" w:type="dxa"/>
          <w:left w:w="28" w:type="dxa"/>
          <w:bottom w:w="28" w:type="dxa"/>
          <w:right w:w="28" w:type="dxa"/>
        </w:tblCellMar>
      </w:tblPr>
      <w:tblGrid>
        <w:gridCol w:w="825"/>
        <w:gridCol w:w="726"/>
        <w:gridCol w:w="72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October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Intangible assets, net are as follows:</w:t>
      </w:r>
    </w:p>
    <w:tbl>
      <w:tblPr>
        <w:tblW w:w="10422" w:type="dxa"/>
        <w:jc w:val="left"/>
        <w:tblInd w:w="0" w:type="dxa"/>
        <w:tblLayout w:type="fixed"/>
        <w:tblCellMar>
          <w:top w:w="28" w:type="dxa"/>
          <w:left w:w="28" w:type="dxa"/>
          <w:bottom w:w="28" w:type="dxa"/>
          <w:right w:w="28" w:type="dxa"/>
        </w:tblCellMar>
      </w:tblPr>
      <w:tblGrid>
        <w:gridCol w:w="723"/>
        <w:gridCol w:w="635"/>
        <w:gridCol w:w="638"/>
        <w:gridCol w:w="211"/>
        <w:gridCol w:w="826"/>
        <w:gridCol w:w="109"/>
        <w:gridCol w:w="109"/>
        <w:gridCol w:w="109"/>
        <w:gridCol w:w="109"/>
        <w:gridCol w:w="211"/>
        <w:gridCol w:w="761"/>
        <w:gridCol w:w="109"/>
        <w:gridCol w:w="109"/>
        <w:gridCol w:w="109"/>
        <w:gridCol w:w="109"/>
        <w:gridCol w:w="211"/>
        <w:gridCol w:w="826"/>
        <w:gridCol w:w="109"/>
        <w:gridCol w:w="109"/>
        <w:gridCol w:w="109"/>
        <w:gridCol w:w="109"/>
        <w:gridCol w:w="211"/>
        <w:gridCol w:w="826"/>
        <w:gridCol w:w="109"/>
        <w:gridCol w:w="109"/>
        <w:gridCol w:w="109"/>
        <w:gridCol w:w="109"/>
        <w:gridCol w:w="211"/>
        <w:gridCol w:w="761"/>
        <w:gridCol w:w="109"/>
        <w:gridCol w:w="109"/>
        <w:gridCol w:w="109"/>
        <w:gridCol w:w="109"/>
        <w:gridCol w:w="211"/>
        <w:gridCol w:w="8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October 31, 2023</w:t>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9318" w:type="dxa"/>
        <w:jc w:val="left"/>
        <w:tblInd w:w="0" w:type="dxa"/>
        <w:tblLayout w:type="fixed"/>
        <w:tblCellMar>
          <w:top w:w="28" w:type="dxa"/>
          <w:left w:w="28" w:type="dxa"/>
          <w:bottom w:w="28" w:type="dxa"/>
          <w:right w:w="28" w:type="dxa"/>
        </w:tblCellMar>
      </w:tblPr>
      <w:tblGrid>
        <w:gridCol w:w="1451"/>
        <w:gridCol w:w="1273"/>
        <w:gridCol w:w="1281"/>
        <w:gridCol w:w="230"/>
        <w:gridCol w:w="674"/>
        <w:gridCol w:w="119"/>
        <w:gridCol w:w="119"/>
        <w:gridCol w:w="119"/>
        <w:gridCol w:w="119"/>
        <w:gridCol w:w="230"/>
        <w:gridCol w:w="788"/>
        <w:gridCol w:w="119"/>
        <w:gridCol w:w="109"/>
        <w:gridCol w:w="109"/>
        <w:gridCol w:w="109"/>
        <w:gridCol w:w="212"/>
        <w:gridCol w:w="727"/>
        <w:gridCol w:w="109"/>
        <w:gridCol w:w="109"/>
        <w:gridCol w:w="109"/>
        <w:gridCol w:w="109"/>
        <w:gridCol w:w="212"/>
        <w:gridCol w:w="727"/>
        <w:gridCol w:w="155"/>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fiscal 2024, the Company rebranded the SimpleNexus solution to nCino Mortgage, resulting in a change to the trade name useful life. As a result, the Company recorded accelerated amortization to fully amortize the remaining trade name intangible asset. The effect of this change in estimate for the three and nine months ended October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was an increase in sales and marketing amortization expense of $10.1 million, which resulted in an increase in loss of operations and net loss attributable to nCino, Inc. of $10.1 million, or $0.09 per basic and diluted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amortization expense for intangible assets as of October 31, 2023 is as follows:</w:t>
      </w:r>
    </w:p>
    <w:tbl>
      <w:tblPr>
        <w:tblW w:w="3620" w:type="dxa"/>
        <w:jc w:val="left"/>
        <w:tblInd w:w="0" w:type="dxa"/>
        <w:tblLayout w:type="fixed"/>
        <w:tblCellMar>
          <w:top w:w="28" w:type="dxa"/>
          <w:left w:w="28" w:type="dxa"/>
          <w:bottom w:w="28" w:type="dxa"/>
          <w:right w:w="28" w:type="dxa"/>
        </w:tblCellMar>
      </w:tblPr>
      <w:tblGrid>
        <w:gridCol w:w="878"/>
        <w:gridCol w:w="772"/>
        <w:gridCol w:w="779"/>
        <w:gridCol w:w="211"/>
        <w:gridCol w:w="82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October 31, 2023, the Company committed a total of 34,833,275 shares of common stock for future issuance as follows:</w:t>
      </w:r>
    </w:p>
    <w:tbl>
      <w:tblPr>
        <w:tblW w:w="6635" w:type="dxa"/>
        <w:jc w:val="left"/>
        <w:tblInd w:w="0" w:type="dxa"/>
        <w:tblLayout w:type="fixed"/>
        <w:tblCellMar>
          <w:top w:w="28" w:type="dxa"/>
          <w:left w:w="28" w:type="dxa"/>
          <w:bottom w:w="28" w:type="dxa"/>
          <w:right w:w="28" w:type="dxa"/>
        </w:tblCellMar>
      </w:tblPr>
      <w:tblGrid>
        <w:gridCol w:w="1956"/>
        <w:gridCol w:w="1719"/>
        <w:gridCol w:w="1725"/>
        <w:gridCol w:w="540"/>
        <w:gridCol w:w="541"/>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issued and outstanding restricted stock units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issuance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27,496,548 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34,833,275 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nine months ended October 31, 2023 was as follows:</w:t>
      </w:r>
    </w:p>
    <w:tbl>
      <w:tblPr>
        <w:tblW w:w="6969" w:type="dxa"/>
        <w:jc w:val="left"/>
        <w:tblInd w:w="0" w:type="dxa"/>
        <w:tblLayout w:type="fixed"/>
        <w:tblCellMar>
          <w:top w:w="28" w:type="dxa"/>
          <w:left w:w="28" w:type="dxa"/>
          <w:bottom w:w="28" w:type="dxa"/>
          <w:right w:w="28" w:type="dxa"/>
        </w:tblCellMar>
      </w:tblPr>
      <w:tblGrid>
        <w:gridCol w:w="1521"/>
        <w:gridCol w:w="1337"/>
        <w:gridCol w:w="1341"/>
        <w:gridCol w:w="488"/>
        <w:gridCol w:w="488"/>
        <w:gridCol w:w="296"/>
        <w:gridCol w:w="109"/>
        <w:gridCol w:w="109"/>
        <w:gridCol w:w="109"/>
        <w:gridCol w:w="282"/>
        <w:gridCol w:w="683"/>
        <w:gridCol w:w="206"/>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2,009,323 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 or 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October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October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1,548,183 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or expected to vest, October 31,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1,550,771 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RSU activity during the nine months ended October 31, 2023 was as follows:</w:t>
      </w:r>
    </w:p>
    <w:tbl>
      <w:tblPr>
        <w:tblW w:w="5590" w:type="dxa"/>
        <w:jc w:val="left"/>
        <w:tblInd w:w="0" w:type="dxa"/>
        <w:tblLayout w:type="fixed"/>
        <w:tblCellMar>
          <w:top w:w="28" w:type="dxa"/>
          <w:left w:w="28" w:type="dxa"/>
          <w:bottom w:w="28" w:type="dxa"/>
          <w:right w:w="28" w:type="dxa"/>
        </w:tblCellMar>
      </w:tblPr>
      <w:tblGrid>
        <w:gridCol w:w="901"/>
        <w:gridCol w:w="793"/>
        <w:gridCol w:w="796"/>
        <w:gridCol w:w="488"/>
        <w:gridCol w:w="488"/>
        <w:gridCol w:w="296"/>
        <w:gridCol w:w="109"/>
        <w:gridCol w:w="109"/>
        <w:gridCol w:w="109"/>
        <w:gridCol w:w="322"/>
        <w:gridCol w:w="942"/>
        <w:gridCol w:w="237"/>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w:t>
              <w:br/>
              <w:t>Value</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3,531,387 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3,516,749 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(950,771)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(311,696)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October 31, 2023</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5,785,669 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total unrecognized compensation expense related to non-vested RSUs was $155.3 million, adjusted for estimated forfeitures, based on the estimated fair value of the Company’s common stock at the time of grant. That cost is expected to be recognized over a weighted average period of 2.90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first offering period for the Employee Stock Purchase Plan ("ESPP") began on July 1, 2021 and ended on December 31, 2021. Thereafter, offering periods begin each year on January 1 and July 1.</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ESPP shares during the nine months ended October 31, 2022 and 2023 was estimated at the date of grant using the Black-Scholes option valuation model based on assumptions as follows for ESPP awards: </w:t>
      </w:r>
    </w:p>
    <w:tbl>
      <w:tblPr>
        <w:tblW w:w="5858" w:type="dxa"/>
        <w:jc w:val="left"/>
        <w:tblInd w:w="0" w:type="dxa"/>
        <w:tblLayout w:type="fixed"/>
        <w:tblCellMar>
          <w:top w:w="28" w:type="dxa"/>
          <w:left w:w="28" w:type="dxa"/>
          <w:bottom w:w="28" w:type="dxa"/>
          <w:right w:w="28" w:type="dxa"/>
        </w:tblCellMar>
      </w:tblPr>
      <w:tblGrid>
        <w:gridCol w:w="723"/>
        <w:gridCol w:w="635"/>
        <w:gridCol w:w="637"/>
        <w:gridCol w:w="505"/>
        <w:gridCol w:w="505"/>
        <w:gridCol w:w="505"/>
        <w:gridCol w:w="263"/>
        <w:gridCol w:w="263"/>
        <w:gridCol w:w="263"/>
        <w:gridCol w:w="457"/>
        <w:gridCol w:w="457"/>
        <w:gridCol w:w="645"/>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49.65% - 84.59%</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61.66% - 61.86%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0.22% - 2.52%</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4.77% - 5.53%</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included in our unaudited condensed consolidated statements of operations were as follows:</w:t>
      </w:r>
    </w:p>
    <w:tbl>
      <w:tblPr>
        <w:tblW w:w="9319" w:type="dxa"/>
        <w:jc w:val="left"/>
        <w:tblInd w:w="0" w:type="dxa"/>
        <w:tblLayout w:type="fixed"/>
        <w:tblCellMar>
          <w:top w:w="28" w:type="dxa"/>
          <w:left w:w="28" w:type="dxa"/>
          <w:bottom w:w="28" w:type="dxa"/>
          <w:right w:w="28" w:type="dxa"/>
        </w:tblCellMar>
      </w:tblPr>
      <w:tblGrid>
        <w:gridCol w:w="1451"/>
        <w:gridCol w:w="1273"/>
        <w:gridCol w:w="1281"/>
        <w:gridCol w:w="220"/>
        <w:gridCol w:w="754"/>
        <w:gridCol w:w="114"/>
        <w:gridCol w:w="114"/>
        <w:gridCol w:w="114"/>
        <w:gridCol w:w="114"/>
        <w:gridCol w:w="220"/>
        <w:gridCol w:w="754"/>
        <w:gridCol w:w="114"/>
        <w:gridCol w:w="109"/>
        <w:gridCol w:w="109"/>
        <w:gridCol w:w="109"/>
        <w:gridCol w:w="212"/>
        <w:gridCol w:w="727"/>
        <w:gridCol w:w="109"/>
        <w:gridCol w:w="109"/>
        <w:gridCol w:w="109"/>
        <w:gridCol w:w="109"/>
        <w:gridCol w:w="212"/>
        <w:gridCol w:w="727"/>
        <w:gridCol w:w="155"/>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and a portion of its equipment under various non-cancellable agreements, which expire at various times through July 2028, some of which include options to extend for up to five years.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7441" w:type="dxa"/>
        <w:jc w:val="left"/>
        <w:tblInd w:w="0" w:type="dxa"/>
        <w:tblLayout w:type="fixed"/>
        <w:tblCellMar>
          <w:top w:w="28" w:type="dxa"/>
          <w:left w:w="28" w:type="dxa"/>
          <w:bottom w:w="28" w:type="dxa"/>
          <w:right w:w="28" w:type="dxa"/>
        </w:tblCellMar>
      </w:tblPr>
      <w:tblGrid>
        <w:gridCol w:w="771"/>
        <w:gridCol w:w="677"/>
        <w:gridCol w:w="681"/>
        <w:gridCol w:w="241"/>
        <w:gridCol w:w="706"/>
        <w:gridCol w:w="124"/>
        <w:gridCol w:w="124"/>
        <w:gridCol w:w="124"/>
        <w:gridCol w:w="124"/>
        <w:gridCol w:w="241"/>
        <w:gridCol w:w="706"/>
        <w:gridCol w:w="124"/>
        <w:gridCol w:w="109"/>
        <w:gridCol w:w="109"/>
        <w:gridCol w:w="109"/>
        <w:gridCol w:w="232"/>
        <w:gridCol w:w="679"/>
        <w:gridCol w:w="120"/>
        <w:gridCol w:w="120"/>
        <w:gridCol w:w="120"/>
        <w:gridCol w:w="120"/>
        <w:gridCol w:w="232"/>
        <w:gridCol w:w="679"/>
        <w:gridCol w:w="169"/>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were as follows:</w:t>
      </w:r>
    </w:p>
    <w:tbl>
      <w:tblPr>
        <w:tblW w:w="9101" w:type="dxa"/>
        <w:jc w:val="left"/>
        <w:tblInd w:w="0" w:type="dxa"/>
        <w:tblLayout w:type="fixed"/>
        <w:tblCellMar>
          <w:top w:w="28" w:type="dxa"/>
          <w:left w:w="28" w:type="dxa"/>
          <w:bottom w:w="28" w:type="dxa"/>
          <w:right w:w="28" w:type="dxa"/>
        </w:tblCellMar>
      </w:tblPr>
      <w:tblGrid>
        <w:gridCol w:w="2404"/>
        <w:gridCol w:w="2107"/>
        <w:gridCol w:w="2119"/>
        <w:gridCol w:w="232"/>
        <w:gridCol w:w="679"/>
        <w:gridCol w:w="120"/>
        <w:gridCol w:w="120"/>
        <w:gridCol w:w="120"/>
        <w:gridCol w:w="120"/>
        <w:gridCol w:w="232"/>
        <w:gridCol w:w="679"/>
        <w:gridCol w:w="169"/>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obtained in exchange for operating lease liabilities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 and operating lease liabilities disposed of</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and weighted-average discount rate for the Company's operating lease liabilities as of October 31, 2023 were 3.25 years and 4.7%,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as of October 31, 2023 were as follows:</w:t>
      </w:r>
    </w:p>
    <w:tbl>
      <w:tblPr>
        <w:tblW w:w="3839" w:type="dxa"/>
        <w:jc w:val="left"/>
        <w:tblInd w:w="0" w:type="dxa"/>
        <w:tblLayout w:type="fixed"/>
        <w:tblCellMar>
          <w:top w:w="28" w:type="dxa"/>
          <w:left w:w="28" w:type="dxa"/>
          <w:bottom w:w="28" w:type="dxa"/>
          <w:right w:w="28" w:type="dxa"/>
        </w:tblCellMar>
      </w:tblPr>
      <w:tblGrid>
        <w:gridCol w:w="878"/>
        <w:gridCol w:w="772"/>
        <w:gridCol w:w="779"/>
        <w:gridCol w:w="303"/>
        <w:gridCol w:w="886"/>
        <w:gridCol w:w="221"/>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Revolving Credit Facility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are scheduled to mature on February 11, 2024, and the Company may repay amounts borrowed any time without penalty. Borrowings under the Credit Facility may be reborrowed.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 which is considered restricted cash and is included in other long-term assets as of January 31, 2023 and prepaid expenses and other current assets as of October 31, 2023 on the Company's unaudited condensed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Company had $30.0 million and $0.0 million outstanding and no letters of credit issued under the Credit Facility and was in compliance with all covenants as of January 31, 2023 and October 31, 2023, respectively. The available borrowing capacity under the Credit Facility was $50.0 million</w:t>
      </w:r>
      <w:r>
        <w:rPr>
          <w:color w:val="000000"/>
        </w:rPr>
        <w:t xml:space="preserve"> </w:t>
      </w:r>
      <w:r>
        <w:rPr>
          <w:rFonts w:ascii="Times New Roman;sans-serif" w:hAnsi="Times New Roman;sans-serif"/>
          <w:b w:val="false"/>
          <w:color w:val="000000"/>
          <w:sz w:val="20"/>
        </w:rPr>
        <w:t>as of October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operating lease commitments described in Note 10 "Leases", the Company has additional contractual commitments as described further below.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purchase commitments consist of non-cancellable agreements to purchase goods and services, primarily licenses and hosting services, entered into in the ordinary course of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Financing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agreement for the Company's headquarters in November 2020 in connection with a new lessor acquiring the property. Due to a purchase option contained in that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that lease. The fair value of the leased property and corresponding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 are included in property and equipment, net and financing obligations on the unaudited condensed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entered into an amendment to its November 2020 headquarters lease to provide for construction of a parking deck, which upon completion was subject to exclusive use by the Company.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unaudited condensed consolidated balance sheets,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entered into a new lease agreement for the construction of an additional office building that is on the same parcel of land as the Company's existing headquarters. Due to a purchase option contained in that April 2021 lease, the Company is also deemed to be the owner of the additional building for accounting purposes, the costs associated with the construction of the additional building were capitalized as construction in progress with a corresponding construction liability through construction. Upon completion of the additional building in November 2022, for approximately $22.4 million, the costs of the construction in progress and the corresponding construction liability were reclassified to property and equipment, net and financing obligations on the unaudited condensed consolidated balance sheets, respectively, and the term of the Company's November 2020 lease for its headquarters and the related parking deck became coterminous with the April 2021 lease. The term of the April 2021 lease expires in October 2037 with options to extend. The purchase option expires if not exercised on or before November 30, 2026.</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leases will be analyzed for applicable lease accounting upon expiration of the purchase option, if not exercised.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Purchase commitments and future minimum lease payments required under financing obligations as of October 31, 2023 is as follows:</w:t>
      </w:r>
    </w:p>
    <w:tbl>
      <w:tblPr>
        <w:tblW w:w="8440" w:type="dxa"/>
        <w:jc w:val="left"/>
        <w:tblInd w:w="0" w:type="dxa"/>
        <w:tblLayout w:type="fixed"/>
        <w:tblCellMar>
          <w:top w:w="28" w:type="dxa"/>
          <w:left w:w="28" w:type="dxa"/>
          <w:bottom w:w="28" w:type="dxa"/>
          <w:right w:w="28" w:type="dxa"/>
        </w:tblCellMar>
      </w:tblPr>
      <w:tblGrid>
        <w:gridCol w:w="1263"/>
        <w:gridCol w:w="1111"/>
        <w:gridCol w:w="1121"/>
        <w:gridCol w:w="398"/>
        <w:gridCol w:w="1164"/>
        <w:gridCol w:w="207"/>
        <w:gridCol w:w="109"/>
        <w:gridCol w:w="109"/>
        <w:gridCol w:w="109"/>
        <w:gridCol w:w="553"/>
        <w:gridCol w:w="1892"/>
        <w:gridCol w:w="404"/>
      </w:tblGrid>
      <w:tr>
        <w:trPr/>
        <w:tc>
          <w:tcPr>
            <w:tcW w:w="126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Fiscal Year Ending January 31,</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Financing obligations - leased facility</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financing obligations and assets</w:t>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49,476 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(9,237)</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54,492 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associated lease payments are recognized as interest expense and the remainder reduces the financing obligations. The weighted-average discount rate for the Company's financing obligations as of October 31, 2023 was 5.7%.</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legal proceedings or is subject to claims arising in the ordinary course of business including the following: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2021, the Company and certain of its officers and other employees were served with grand jury subpoenas wherein the Antitrust Division of the Department of Justice (the "DOJ") was seeking documents and information in connection with an investigation of the Company’s hiring and wage practices under U.S. federal antitrust laws. On February 8, 2023, the DOJ informed the Company that the investigation is closed. No fines, sanctions, actions, or penalties were imposed or taken against the Company or its officers or other employees in connection with the matter, and the costs the Company was incurring cooperating with the investigation have now ceased.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w:t>
      </w:r>
      <w:r>
        <w:rPr>
          <w:color w:val="000000"/>
        </w:rPr>
        <w:t xml:space="preserve"> </w:t>
      </w:r>
      <w:r>
        <w:rPr>
          <w:rFonts w:ascii="Times New Roman;sans-serif" w:hAnsi="Times New Roman;sans-serif"/>
          <w:b w:val="false"/>
          <w:color w:val="000000"/>
          <w:sz w:val="20"/>
        </w:rPr>
        <w:t>the Company, Live Oak Bancshares, Inc. ("Live Oak") and Apiture, Inc. ("Apiture") not to solicit or hire each other’s employees in violation of Section 1 of the Sherman Act</w:t>
      </w:r>
      <w:r>
        <w:rPr>
          <w:color w:val="000000"/>
        </w:rPr>
        <w:t xml:space="preserve"> </w:t>
      </w:r>
      <w:r>
        <w:rPr>
          <w:rFonts w:ascii="Times New Roman;sans-serif" w:hAnsi="Times New Roman;sans-serif"/>
          <w:b w:val="false"/>
          <w:color w:val="000000"/>
          <w:sz w:val="20"/>
        </w:rPr>
        <w:t>and N.C. Gen Stat. §§ 75-1 and 75-2. The complaint seeks treble damages and additional remedies, including restitution, disgorgement, reasonable attorneys’ fees, the costs of the suit,</w:t>
      </w:r>
      <w:r>
        <w:rPr>
          <w:color w:val="000000"/>
        </w:rPr>
        <w:t xml:space="preserve"> </w:t>
      </w:r>
      <w:r>
        <w:rPr>
          <w:rFonts w:ascii="Times New Roman;sans-serif" w:hAnsi="Times New Roman;sans-serif"/>
          <w:b w:val="false"/>
          <w:color w:val="000000"/>
          <w:sz w:val="20"/>
        </w:rPr>
        <w:t>and pre-judgment and post judgment interest. The complaint does not allege any specific damages. On April 28, 2022, the District Court approved settlements between the plaintiff and defendant Live Oak in the amount of approximately $3.9 million and unnamed party Apiture in the amount of approximately $0.8 million. In July 2023, through mediation, the Company and the plaintiff reached a settlement agreement in principle of approximately $2.2 million that remains subject to court approval. While the Company strongly believes that it would prevail on the merits and that it has not violated the antitrust laws, in order to avoid the distraction and expense of protracted litigation and instead continue to focus on its employees and customers, the Company agreed to settle this matter. The Company has accrued for the proposed settlement agreement which is included in accrued expenses and other current liabilities as of October 31, 2023 on the Company's unaudited condensed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 Given the uncertainty and preliminary stages of this matter, the Company is unable to reasonably estimate any possible loss or range of loss that may result. Therefore, the Company has not made an accrual for the above matter in the unaudited condensed consolidated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presently believe the above matters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Commitments and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Related-Party Transactions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2022, the Company's wholly-owned subsidiary, nCino OpCo, acquired preferred shares of ZestFinance, Inc. (d/b/a ZEST AI) ("Zest AI"), a private company, for $2.5 million and is included in investments as of January 31, 2023 and October 31, 2023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Basic and Diluted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three months ended October 31, 2022 and 2023 and for the nine months ended October 31, 2022 and 2023 is the same as the basic loss per share as there was a net loss for those periods, and inclusion of potentially issuable shares was anti-dilutive.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loss per share for periods presented are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64"/>
        <w:gridCol w:w="1227"/>
        <w:gridCol w:w="1206"/>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64"/>
        <w:gridCol w:w="922"/>
        <w:gridCol w:w="156"/>
      </w:tblGrid>
      <w:tr>
        <w:trPr/>
        <w:tc>
          <w:tcPr>
            <w:tcW w:w="15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110,897,811 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 attributable to nCino, Inc.</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outstanding common stock were excluded from the diluted loss per share computation because the effect would have been anti-dilutive:</w:t>
      </w:r>
    </w:p>
    <w:tbl>
      <w:tblPr>
        <w:tblW w:w="6779" w:type="dxa"/>
        <w:jc w:val="left"/>
        <w:tblInd w:w="0" w:type="dxa"/>
        <w:tblLayout w:type="fixed"/>
        <w:tblCellMar>
          <w:top w:w="28" w:type="dxa"/>
          <w:left w:w="28" w:type="dxa"/>
          <w:bottom w:w="28" w:type="dxa"/>
          <w:right w:w="28" w:type="dxa"/>
        </w:tblCellMar>
      </w:tblPr>
      <w:tblGrid>
        <w:gridCol w:w="1233"/>
        <w:gridCol w:w="1084"/>
        <w:gridCol w:w="1087"/>
        <w:gridCol w:w="678"/>
        <w:gridCol w:w="298"/>
        <w:gridCol w:w="263"/>
        <w:gridCol w:w="263"/>
        <w:gridCol w:w="263"/>
        <w:gridCol w:w="263"/>
        <w:gridCol w:w="678"/>
        <w:gridCol w:w="298"/>
        <w:gridCol w:w="371"/>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2,161,088 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1,551,058 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RSUs issued and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4,000,187 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5,785,669 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61,412 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Restructuring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2023, the Company announced a workforce reduction of approximately 7% and office space reductions in certain markets (collectively, the “restructuring plan”) in furtherance of its efforts to improve operating margins and advance the Company’s objective of profitable growth.</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Lease termination costs were accounted for in accordance with ASC 842, Leases. The Company paid $0.8 million in the fourth quarter of fiscal 2023 to exercise an early termination clause to exit a facility during fiscal 2024, which was accounted for as a lease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nCino,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 and unless otherwise indicated)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charges in the in the fourth quarter of the Company’s fiscal 2023 of $4.8 million in connection with the restructuring plan. The accrual for severance and related benefit costs of $5.0 million for terminated employees was included in accrued compensation and benefits on the consolidated balance sheets as of January 31, 2023 and was paid in the first quarter of the Company’s fiscal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restructuring charges for the three and nine months ended October 31, 2023 were as follows:</w:t>
      </w:r>
    </w:p>
    <w:tbl>
      <w:tblPr>
        <w:tblW w:w="7496" w:type="dxa"/>
        <w:jc w:val="left"/>
        <w:tblInd w:w="0" w:type="dxa"/>
        <w:tblLayout w:type="fixed"/>
        <w:tblCellMar>
          <w:top w:w="28" w:type="dxa"/>
          <w:left w:w="28" w:type="dxa"/>
          <w:bottom w:w="28" w:type="dxa"/>
          <w:right w:w="28" w:type="dxa"/>
        </w:tblCellMar>
      </w:tblPr>
      <w:tblGrid>
        <w:gridCol w:w="1451"/>
        <w:gridCol w:w="1273"/>
        <w:gridCol w:w="1281"/>
        <w:gridCol w:w="534"/>
        <w:gridCol w:w="534"/>
        <w:gridCol w:w="536"/>
        <w:gridCol w:w="109"/>
        <w:gridCol w:w="109"/>
        <w:gridCol w:w="109"/>
        <w:gridCol w:w="396"/>
        <w:gridCol w:w="875"/>
        <w:gridCol w:w="289"/>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October 31, 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October 31, 2023</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Lease exit fees</w:t>
            </w:r>
            <w:r>
              <w:rPr>
                <w:rFonts w:ascii="Times New Roman;sans-serif" w:hAnsi="Times New Roman;sans-serif"/>
                <w:b/>
                <w:color w:val="000000"/>
                <w:sz w:val="10"/>
              </w:rPr>
              <w:t>1</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expenses reduced operating lease right-of-use assets on the unaudited condensed consolidated balance sheets.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restructuring charges for the three and nine months ended October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2023 filed with the SEC on March 28, 2023</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2024" refer to the fiscal year ended January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is the pioneer in cloud banking. Built by bankers for bankers, the nCino Bank Operating System is a single, multi-tenant software-as-a-service (SaaS) solution that helps financial institutions ("FI") modernize, innovate and outperform. A leader in the global financial services technology industry, nCino is a proven partner that has helped more than 1,850 FIs of all sizes and complexities, including global, enterprise, regional and community banks; credit unions; new market entrants; and independent mortgage banks power distinctive experiences, drive growth efficiencies, and run with full integrity. With nCino, FIs can: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digitally serve their clients across lines of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financial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elevate employee experience and performance,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risk and compliance more effectively,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 an active data, audit, and business intelligence hub.</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nCino was originally founded in a bank to improve that FI’s operations and client service. After realizing that virtually all FIs were dealing with the same problems—cumbersome legacy technology, fragmented data, disconnected business functions, and a disengaged workforce made it difficult to maintain relevancy in their clients’ lives—we were spun out as a separate company in late 2011. This heritage is the foundation of our deep banking domain expertise, which differentiates us, continues to drive our strategy and makes us uniquely qualified to help FIs cross the modernization divide by providing a comprehensive solution that onboards clients, originates loans, and opens accounts on a single, cloud-based platform.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initially focused the nCino Bank Operating System on transforming commercial and small business lending for community and regional banks in the United States ("U.S."). We introduced this solution to enterprise banks in the U.S. in 2014, and then internationally in 2017, and have subsequently expanded across North America, Europe, and Asia-Pacific ("APAC"). Throughout this market expansion, we broadened the nCino Bank Operating System by adding functionality for consumer lending, client onboarding, deposit account opening, analytics and AI/ML. In fiscal 2020, we acquired nCino Portfolio Analytics, LLC (formerly Visible Equity) and FinSuite as part of our strategy to build out our nIQ capabilities, and we established our nCino K.K joint venture to facilitate our entry into the Japanese market. Additionally, in January 2022, we acquired SimpleNexus, which expanded our capabilities to the U.S. point-of-sale mortgage market. On September 8, 2023, SimpleNexus began operating as SimpleNexus, LLC d/b/a nCino Mortgage, LLC ("nCino Mortgage") as part of our rebranding effort.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offer our solutions on a SaaS basis under multi-year contracts and recognize subscription revenues ratably over the term of the contract. Our customers may initially purchase one of our solutions for implementing a client onboarding, loan origination, and/or deposit account opening in a specific line of business within the FI, such as commercial, small business, consumer, or mortgage. The nCino Bank Operating System is designed to scale with our customers, and once our solution is deployed, we seek to have our customers expand adoption within and across lines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October 31, 2023, we had 232 sales and sales support personnel in the U.S. and 70 sales and support personnel in offices outside the 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bank FIs, we work with SIs such as West Monroe Partners, and for community banks, we work with SIs or perform configuration and implementation ourselves. We expect enterprise FIs to make up a greater proportion of our nCino Bank Operating System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October 31, 2022 and 2023, our total revenues were $105.3 million and $121.9 million, respectively, representing a 15.8% increase. For the three months ended October 31, 2022 and 2023, our subscription revenues were $88.3 million and $104.8 million, respectively, representing an 18.7% increase. Due to our investments in growth, we recorded net losses attributable to nCino, Inc. of $23.6 million and $16.4 million for the three months ended October 31, 2022 and 2023, respectively. For the nine months ended October 31, 2022 and 2023, our total revenues were $299.1 million and $352.9 million, respectively, representing a 18.0% increase. For the nine months ended October 31, 2022 and 2023, our subscription revenues were $251.9 million and $302.0 million, respectively, representing a 19.9% increase. Due to our investments in growth, we recorded net losses attributable to nCino, Inc. of $81.5 million and $43.5 million for the nine months ended October 31, 2022 and 2023,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2024, the Company rebranded the SimpleNexus solution to nCino Mortgage, resulting in a change to the trade name useful life. As a result, the Company recorded accelerated amortization to fully amortize the remaining trade name intangible asset. The effect of this change in estimate for the three and nine months ended October 31, 2023 was an increase in sales and marketing amortization expense of $10.1 million, which resulted in an increase in loss of operations and net loss attributable to nCino, Inc. of $10.1 million, or $0.09 per basic and diluted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Operating Results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Market Adoption of Our Solution</w:t>
      </w:r>
      <w:r>
        <w:rPr>
          <w:rFonts w:ascii="Times New Roman;sans-serif" w:hAnsi="Times New Roman;sans-serif"/>
          <w:b w:val="false"/>
          <w:color w:val="000000"/>
          <w:sz w:val="20"/>
        </w:rPr>
        <w:t>. Our future growth depends on our ability to expand our reach to new FI customers and increase adoption 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19.2% of total revenues for the three months ended October 31, 2023 and 18.3% for the nine months ended October 31, 2023.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Mix of Subscription and Professional Services Revenues.</w:t>
      </w:r>
      <w:r>
        <w:rPr>
          <w:color w:val="000000"/>
        </w:rPr>
        <w:t xml:space="preserve"> </w:t>
      </w:r>
      <w:r>
        <w:rPr>
          <w:rFonts w:ascii="Times New Roman;sans-serif" w:hAnsi="Times New Roman;sans-serif"/>
          <w:b w:val="false"/>
          <w:color w:val="000000"/>
          <w:sz w:val="20"/>
        </w:rPr>
        <w:t>The initial deployment of our solutions by our customers requires a period of 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pStyle w:val="TextBody"/>
        <w:bidi w:val="0"/>
        <w:spacing w:lineRule="auto" w:line="288" w:before="240" w:after="283"/>
        <w:ind w:left="0" w:right="0" w:firstLine="990"/>
        <w:jc w:val="left"/>
        <w:rPr/>
      </w:pPr>
      <w:r>
        <w:rPr>
          <w:rFonts w:ascii="Times New Roman;sans-serif" w:hAnsi="Times New Roman;sans-serif"/>
          <w:b/>
          <w:i/>
          <w:color w:val="000000"/>
          <w:sz w:val="20"/>
        </w:rPr>
        <w:t xml:space="preserve">Macroeconomic Environment. </w:t>
      </w:r>
      <w:r>
        <w:rPr>
          <w:rFonts w:ascii="Times New Roman;sans-serif" w:hAnsi="Times New Roman;sans-serif"/>
          <w:b w:val="false"/>
          <w:color w:val="000000"/>
          <w:sz w:val="20"/>
        </w:rPr>
        <w:t xml:space="preserve">We are currently operating in a higher interest rate environment as the U.S. Federal Reserve has raised interest rates as a means to manage inflation. These rate increases have had an impact on the real estate market in the U.S. and specifically, the demand for mortgages and mortgage-related products and services, which has had a negative impact on our nCino Mortgage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the impact the macroeconomic environment may have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i/>
          <w:color w:val="000000"/>
          <w:sz w:val="20"/>
        </w:rPr>
        <w:t>Continued Investment in Innovation and Growth</w:t>
      </w:r>
      <w:r>
        <w:rPr>
          <w:rFonts w:ascii="Times New Roman;sans-serif" w:hAnsi="Times New Roman;sans-serif"/>
          <w:b w:val="false"/>
          <w:color w:val="000000"/>
          <w:sz w:val="20"/>
        </w:rPr>
        <w:t>. We have made substantial investments in product development, sales and marketing, and 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derive our revenues from subscription and professional services and other revenues.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Subscription Revenues</w:t>
      </w:r>
      <w:r>
        <w:rPr>
          <w:rFonts w:ascii="Times New Roman;sans-serif" w:hAnsi="Times New Roman;sans-serif"/>
          <w:b w:val="false"/>
          <w:color w:val="000000"/>
          <w:sz w:val="20"/>
        </w:rPr>
        <w:t>. Our subscription revenues consist principally of fees from customers for accessing our solutions and maintenance and support services that we generally offer under non-cancellable multi-year contracts, which typically range from three to five years for the nCino Bank Operating System and one to three years for nCino Mortgage. Specifically, we offer: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Client onboarding, loan origination, and deposit account opening applications targeted at a FI’s commercial, small business, and retail lines of business, for which we generally charge on a per seat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nIQ for which we generally charge based on the asset size of the customer or on a usage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Through nCino Mortgage, a digital homeownership solution uniting people, systems, and stages of the mortgage process into a seamless end-to-end journey for which we generally charge on a per seat basis.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Maintenance and support services as well as internal-use or “sandbox” development licenses, for which we generally charge as a percentage of the related subscription fees.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nCino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Professional Services and Other Revenues</w:t>
      </w:r>
      <w:r>
        <w:rPr>
          <w:rFonts w:ascii="Times New Roman;sans-serif" w:hAnsi="Times New Roman;sans-serif"/>
          <w:b w:val="false"/>
          <w:color w:val="000000"/>
          <w:sz w:val="20"/>
        </w:rPr>
        <w:t>. Professional services and other revenues consist of fees for implementation and configuration 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nCino Mortgage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Subscription Revenues</w:t>
      </w:r>
      <w:r>
        <w:rPr>
          <w:rFonts w:ascii="Times New Roman;sans-serif" w:hAnsi="Times New Roman;sans-serif"/>
          <w:b w:val="false"/>
          <w:color w:val="000000"/>
          <w:sz w:val="20"/>
        </w:rPr>
        <w:t xml:space="preserve">. Cost of subscription revenues consists of fees paid to Salesforce for access to the Salesforce Platform, including Salesforce’s hosting infrastructure and data center operations, along with certain integration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Cost of Professional Services and Other Revenues</w:t>
      </w:r>
      <w:r>
        <w:rPr>
          <w:rFonts w:ascii="Times New Roman;sans-serif" w:hAnsi="Times New Roman;sans-serif"/>
          <w:b w:val="false"/>
          <w:color w:val="000000"/>
          <w:sz w:val="20"/>
        </w:rPr>
        <w:t>. Cost of professional services and other revenues consists primarily of personnel-related 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of our sales and marketing employees, including 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consist primarily of salaries, benefits and stock-based compensation 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expenses consist primarily of salaries, benefits and stock-based compensation 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such as legal and other professional services fees.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Income. </w:t>
      </w:r>
      <w:r>
        <w:rPr>
          <w:rFonts w:ascii="Times New Roman;sans-serif" w:hAnsi="Times New Roman;sans-serif"/>
          <w:b w:val="false"/>
          <w:color w:val="000000"/>
          <w:sz w:val="20"/>
        </w:rPr>
        <w:t>Interest income consists primarily of interest earned on our cash and cash equivalents.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Interest expense consists primarily of interest related to our financing obligations along with interest expense on borrowings, commitment fees, and amortization of debt issuance costs associated with our secured revolving credit facility.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Other Expense, Net. </w:t>
      </w:r>
      <w:r>
        <w:rPr>
          <w:rFonts w:ascii="Times New Roman;sans-serif" w:hAnsi="Times New Roman;sans-serif"/>
          <w:b w:val="false"/>
          <w:color w:val="000000"/>
          <w:sz w:val="20"/>
        </w:rPr>
        <w:t>Other expense, net consists primarily of foreign currency gains and losses, the majority of which is due to intercompany loans that are denominated in currencies other than the underlying functional currency of the applicable entity.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 xml:space="preserve">Income tax provision consists of federal and state income taxes in the U.S. and income taxes 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and nine months ended October 31, 2022 and 2023 in both dollars and as a percentage of total revenues, except as noted.</w:t>
      </w:r>
    </w:p>
    <w:tbl>
      <w:tblPr>
        <w:tblW w:w="10205" w:type="dxa"/>
        <w:jc w:val="left"/>
        <w:tblInd w:w="0" w:type="dxa"/>
        <w:tblLayout w:type="fixed"/>
        <w:tblCellMar>
          <w:top w:w="28" w:type="dxa"/>
          <w:left w:w="28" w:type="dxa"/>
          <w:bottom w:w="28" w:type="dxa"/>
          <w:right w:w="28" w:type="dxa"/>
        </w:tblCellMar>
      </w:tblPr>
      <w:tblGrid>
        <w:gridCol w:w="1556"/>
        <w:gridCol w:w="1218"/>
        <w:gridCol w:w="1223"/>
        <w:gridCol w:w="264"/>
        <w:gridCol w:w="922"/>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55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amounts)</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attributable to redeemable non-controlling interest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nCino, Inc.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nCino, Inc.:</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110,897,811 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112,951,553 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110,434,171 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112,484,017 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as follows:</w:t>
      </w:r>
    </w:p>
    <w:tbl>
      <w:tblPr>
        <w:tblW w:w="9318" w:type="dxa"/>
        <w:jc w:val="left"/>
        <w:tblInd w:w="0" w:type="dxa"/>
        <w:tblLayout w:type="fixed"/>
        <w:tblCellMar>
          <w:top w:w="28" w:type="dxa"/>
          <w:left w:w="28" w:type="dxa"/>
          <w:bottom w:w="28" w:type="dxa"/>
          <w:right w:w="28" w:type="dxa"/>
        </w:tblCellMar>
      </w:tblPr>
      <w:tblGrid>
        <w:gridCol w:w="1448"/>
        <w:gridCol w:w="1275"/>
        <w:gridCol w:w="1281"/>
        <w:gridCol w:w="220"/>
        <w:gridCol w:w="754"/>
        <w:gridCol w:w="114"/>
        <w:gridCol w:w="114"/>
        <w:gridCol w:w="114"/>
        <w:gridCol w:w="114"/>
        <w:gridCol w:w="220"/>
        <w:gridCol w:w="754"/>
        <w:gridCol w:w="114"/>
        <w:gridCol w:w="109"/>
        <w:gridCol w:w="109"/>
        <w:gridCol w:w="109"/>
        <w:gridCol w:w="212"/>
        <w:gridCol w:w="727"/>
        <w:gridCol w:w="109"/>
        <w:gridCol w:w="109"/>
        <w:gridCol w:w="109"/>
        <w:gridCol w:w="109"/>
        <w:gridCol w:w="212"/>
        <w:gridCol w:w="727"/>
        <w:gridCol w:w="155"/>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amortization expense for intangible assets as follows:</w:t>
      </w:r>
    </w:p>
    <w:tbl>
      <w:tblPr>
        <w:tblW w:w="9317" w:type="dxa"/>
        <w:jc w:val="left"/>
        <w:tblInd w:w="0" w:type="dxa"/>
        <w:tblLayout w:type="fixed"/>
        <w:tblCellMar>
          <w:top w:w="28" w:type="dxa"/>
          <w:left w:w="28" w:type="dxa"/>
          <w:bottom w:w="28" w:type="dxa"/>
          <w:right w:w="28" w:type="dxa"/>
        </w:tblCellMar>
      </w:tblPr>
      <w:tblGrid>
        <w:gridCol w:w="1448"/>
        <w:gridCol w:w="1275"/>
        <w:gridCol w:w="1281"/>
        <w:gridCol w:w="230"/>
        <w:gridCol w:w="674"/>
        <w:gridCol w:w="119"/>
        <w:gridCol w:w="119"/>
        <w:gridCol w:w="119"/>
        <w:gridCol w:w="119"/>
        <w:gridCol w:w="230"/>
        <w:gridCol w:w="788"/>
        <w:gridCol w:w="119"/>
        <w:gridCol w:w="109"/>
        <w:gridCol w:w="109"/>
        <w:gridCol w:w="109"/>
        <w:gridCol w:w="212"/>
        <w:gridCol w:w="727"/>
        <w:gridCol w:w="109"/>
        <w:gridCol w:w="109"/>
        <w:gridCol w:w="109"/>
        <w:gridCol w:w="109"/>
        <w:gridCol w:w="212"/>
        <w:gridCol w:w="727"/>
        <w:gridCol w:w="155"/>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68"/>
        <w:gridCol w:w="1425"/>
        <w:gridCol w:w="1441"/>
        <w:gridCol w:w="307"/>
        <w:gridCol w:w="309"/>
        <w:gridCol w:w="447"/>
        <w:gridCol w:w="179"/>
        <w:gridCol w:w="179"/>
        <w:gridCol w:w="179"/>
        <w:gridCol w:w="307"/>
        <w:gridCol w:w="309"/>
        <w:gridCol w:w="447"/>
        <w:gridCol w:w="109"/>
        <w:gridCol w:w="109"/>
        <w:gridCol w:w="109"/>
        <w:gridCol w:w="307"/>
        <w:gridCol w:w="309"/>
        <w:gridCol w:w="429"/>
        <w:gridCol w:w="171"/>
        <w:gridCol w:w="171"/>
        <w:gridCol w:w="171"/>
        <w:gridCol w:w="307"/>
        <w:gridCol w:w="309"/>
        <w:gridCol w:w="507"/>
      </w:tblGrid>
      <w:tr>
        <w:trPr/>
        <w:tc>
          <w:tcPr>
            <w:tcW w:w="166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w:t>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and Nine Months Ended October 31, 2022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11622" w:type="dxa"/>
        <w:jc w:val="left"/>
        <w:tblInd w:w="0" w:type="dxa"/>
        <w:tblLayout w:type="fixed"/>
        <w:tblCellMar>
          <w:top w:w="28" w:type="dxa"/>
          <w:left w:w="28" w:type="dxa"/>
          <w:bottom w:w="28" w:type="dxa"/>
          <w:right w:w="28" w:type="dxa"/>
        </w:tblCellMar>
      </w:tblPr>
      <w:tblGrid>
        <w:gridCol w:w="461"/>
        <w:gridCol w:w="406"/>
        <w:gridCol w:w="28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299,134 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increased $16.5 million for the three months ended October 31, 2023 compared to the three months ended October 31, 2022, due to initial revenues from customers who did not contribute to subscription revenues during the prior period, and growth from existing customers within and across lines of business. Of the increase, 71.1% was attributable to increased revenues from existing customers as additional seats were activated in accordance with contractual terms and customers expanded their adoption of our solutions, and 28.9% was attributable to initial revenues from customers who did not contribute to subscription revenues during the three months ended October 31, 2022. Subscription revenues were 85.9% of total revenues for the three months ended October 31, 2023 compared to 83.8% of total revenues for the three months ended October 31, 2022, primarily due to growth in our installed base.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revenues increased $50.1 million for the nine months ended October 31, 2023 compared to the nine months ended October 31, 2022, due to initial revenues from customers who did not contribute to subscription revenues during the prior period, and growth from existing customers within and across lines of business. Of the increase, 80.7% was attributable to increased revenues from existing customers as additional seats were activated in accordance with contractual terms and customers expanded their adoption of our solutions, and 19.3% was attributable to initial revenues from customers who did not contribute to subscription revenues during the nine months ended October 31, 2022. Subscription revenues were 85.6% of total revenues for the nine months ended October 31, 2023 compared to 84.2% of total revenues for the nine months ended October 31, 2022, primarily due to growth in our installed base.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$0.2 million for the three months ended October 31, 2023 compared to the three months ended October 31, 2022, primarily due to the addition of new customers as well as expanded adoption by existing customers within and across lines of business where implementation, configuration, and training services were required.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and other revenues increased $3.6 million for the nine months ended October 31, 2023 compared to the nine months ended October 31, 2022, primarily due to the addition of new customers as well as expanded adoption by existing customers within and across lines of business where implementation, configuration, and training services were required.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Revenues and Gross Margin</w:t>
      </w:r>
    </w:p>
    <w:tbl>
      <w:tblPr>
        <w:tblW w:w="11172" w:type="dxa"/>
        <w:jc w:val="left"/>
        <w:tblInd w:w="0" w:type="dxa"/>
        <w:tblLayout w:type="fixed"/>
        <w:tblCellMar>
          <w:top w:w="28" w:type="dxa"/>
          <w:left w:w="28" w:type="dxa"/>
          <w:bottom w:w="28" w:type="dxa"/>
          <w:right w:w="28" w:type="dxa"/>
        </w:tblCellMar>
      </w:tblPr>
      <w:tblGrid>
        <w:gridCol w:w="521"/>
        <w:gridCol w:w="336"/>
        <w:gridCol w:w="269"/>
        <w:gridCol w:w="211"/>
        <w:gridCol w:w="721"/>
        <w:gridCol w:w="109"/>
        <w:gridCol w:w="109"/>
        <w:gridCol w:w="109"/>
        <w:gridCol w:w="109"/>
        <w:gridCol w:w="255"/>
        <w:gridCol w:w="256"/>
        <w:gridCol w:w="271"/>
        <w:gridCol w:w="109"/>
        <w:gridCol w:w="109"/>
        <w:gridCol w:w="109"/>
        <w:gridCol w:w="211"/>
        <w:gridCol w:w="721"/>
        <w:gridCol w:w="109"/>
        <w:gridCol w:w="109"/>
        <w:gridCol w:w="109"/>
        <w:gridCol w:w="109"/>
        <w:gridCol w:w="307"/>
        <w:gridCol w:w="309"/>
        <w:gridCol w:w="27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307"/>
        <w:gridCol w:w="309"/>
        <w:gridCol w:w="316"/>
      </w:tblGrid>
      <w:tr>
        <w:trPr/>
        <w:tc>
          <w:tcPr>
            <w:tcW w:w="5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(percentage shown in comparison to related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210,590 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Subscription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$3.8 million for the three months ended October 31, 2023 compared to the three months ended October 31, 2022, generating a gross margin for subscription revenues of 70.8% compared to a gross margin of 69.6% for the three months ended October 31, 2022. Costs related to Salesforce user fees increased $2.7 million as we continued to add new customers and sell additional functionality to existing customers and other costs of subscription revenues increased $0.9 million due to costs associated with access to other platforms and data center costs. Personnel costs, including stock-based compensation expense, increased $0.5 million, mainly from an increase in headcount. We expect the cost of subscription revenues will continue to increase in absolute dollars as the number of users of the nCino Bank Operating System grows.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revenues increased $11.0 million for the nine months ended October 31, 2023 compared to the nine months ended October 31, 2022, generating a gross margin for subscription revenues of 70.4% compared to a gross margin of 68.8% for the nine months ended October 31, 2022. Costs related to Salesforce user fees increased $8.2 million as we continued to add new customers and sell additional functionality to existing customers and other costs of subscription revenues increased $1.6 million due to costs associated with access to other platforms and data center costs. Personnel costs, including stock-based compensation expense, increased $1.3 million, mainly from an increase in headcount. We expect the cost of subscription revenues will continue to increase in absolute dollars as the number of users of the nCino Bank Operating System grows.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Professional Services and Other Revenues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professional services and other revenues increased $1.1 million for the three months ended October 31, 2023 compared to the three months ended October 31, 2022, generating a gross margin for professional services and other revenues of (1.4)% compared to a gross margin of 4.1% for the three months ended October 31, 2022. For the three months ended October 31, 2023, personnel costs, including stock-based compensation expense, increased $1.1 million for professional services compared to the three months ended October 31, 2022, mainly from an increase in headcount. The increase in cost of professional services and other revenues also included an increase of $0.3 million in allocated overhead costs due to growth supporting our business. The decrease in our professional services and other gross margin for the three months ended October 31, 2023 was primarily due to a decline in realized effective billing and utilization rates in our professional services teams.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professional services and other revenues increased $6.6 million for the nine months ended October 31, 2023 compared to the nine months ended October 31, 2022, generating a gross margin for professional services and other revenues of (3.8)% compared to a gross margin of 2.2% for the nine months ended October 31, 2022. For the nine months ended October 31, 2023, personnel costs, including stock-based compensation expense, increased $5.4 million for professional services compared to the nine months ended October 31, 2022, mainly from an increase in headcount. The increase in cost of professional services and other revenues also included an increase of $1.0 million in allocated overhead costs due to growth supporting our business. The decrease in our professional services and other gross margin for the nine months ended October 31, 2023 was primarily due to a decline in realized effective billing and utilization rates in our professional services teams.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11127" w:type="dxa"/>
        <w:jc w:val="left"/>
        <w:tblInd w:w="0" w:type="dxa"/>
        <w:tblLayout w:type="fixed"/>
        <w:tblCellMar>
          <w:top w:w="28" w:type="dxa"/>
          <w:left w:w="28" w:type="dxa"/>
          <w:bottom w:w="28" w:type="dxa"/>
          <w:right w:w="28" w:type="dxa"/>
        </w:tblCellMar>
      </w:tblPr>
      <w:tblGrid>
        <w:gridCol w:w="745"/>
        <w:gridCol w:w="277"/>
        <w:gridCol w:w="269"/>
        <w:gridCol w:w="211"/>
        <w:gridCol w:w="736"/>
        <w:gridCol w:w="109"/>
        <w:gridCol w:w="109"/>
        <w:gridCol w:w="109"/>
        <w:gridCol w:w="109"/>
        <w:gridCol w:w="262"/>
        <w:gridCol w:w="264"/>
        <w:gridCol w:w="271"/>
        <w:gridCol w:w="109"/>
        <w:gridCol w:w="109"/>
        <w:gridCol w:w="109"/>
        <w:gridCol w:w="211"/>
        <w:gridCol w:w="736"/>
        <w:gridCol w:w="109"/>
        <w:gridCol w:w="109"/>
        <w:gridCol w:w="109"/>
        <w:gridCol w:w="109"/>
        <w:gridCol w:w="262"/>
        <w:gridCol w:w="264"/>
        <w:gridCol w:w="271"/>
        <w:gridCol w:w="109"/>
        <w:gridCol w:w="109"/>
        <w:gridCol w:w="109"/>
        <w:gridCol w:w="211"/>
        <w:gridCol w:w="736"/>
        <w:gridCol w:w="109"/>
        <w:gridCol w:w="109"/>
        <w:gridCol w:w="109"/>
        <w:gridCol w:w="109"/>
        <w:gridCol w:w="262"/>
        <w:gridCol w:w="264"/>
        <w:gridCol w:w="271"/>
        <w:gridCol w:w="109"/>
        <w:gridCol w:w="109"/>
        <w:gridCol w:w="109"/>
        <w:gridCol w:w="211"/>
        <w:gridCol w:w="826"/>
        <w:gridCol w:w="109"/>
        <w:gridCol w:w="109"/>
        <w:gridCol w:w="109"/>
        <w:gridCol w:w="109"/>
        <w:gridCol w:w="262"/>
        <w:gridCol w:w="264"/>
        <w:gridCol w:w="316"/>
      </w:tblGrid>
      <w:tr>
        <w:trPr/>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$6.0 million for the three months ended October 31, 2023 compared to the three months ended October 31, 2022, primarily attributable to the accelerated amortization expense of $10.1 million to fully amortize the remaining trade name intangible asset as a result of the rebranding of the SimpleNexus solution to nCino Mortgage. The increase in sales and marketing expenses also included an increase of $0.2 million in allocated overhead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was partially offset by a decrease of $3.2 million in personnel costs, mainly from a decrease in headcount and a decrease in expatriate tax equalization expenses, offset by a $0.8 million increase in stock-based compensation expense, compensation increases, and the impact of changing our merit cycle from a work anniversary basis to an annual basis. The increase in sales and marketing expenses was also partially offset by a decrease of $0.6 million in sales-related travel costs, a decrease of $0.3 million in marketing costs, and a decrease of $0.2 million in third-party professional fees.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$6.3 million for the nine months ended October 31, 2023 compared to the nine months ended October 31, 2022, primarily attributable to the accelerated amortization expense of $10.1 million to fully amortize the remaining trade name intangible asset as a result of the rebranding of the SimpleNexus solution to nCino Mortgage. The increase in sales and marketing expenses also included an increase of $0.7 million in allocated overhead costs and an increase of $0.3 million in third-party professional fees. The increase in sales and marketing expenses was partially offset by a decrease of $3.1 million in personnel costs, mainly from a decrease in headcount offset by a $1.1 million increase in stock-based compensation expense, compensation increases, the impact of changing our merit cycle from a work anniversary basis to an annual basis, and an increase in expatriate tax equalization expenses. The increase in sales and marketing expenses was also partially offset by a decrease of $0.9 million in marketing costs and a decrease of $0.8 million in sales-related travel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headcount decreased by 61 from October 31, 2022 to October 31, 2023 primarily due to attrition and our workforce reduction. We expect sales and marketing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$0.4 million for the three months ended October 31, 2023 compared to the three months ended October 31, 2022, primarily due to a decrease of $0.3 million in personnel costs, mainly from a decrease in headcount offset by a $1.4 million increase in stock-based compensation expense, compensation increases, the impact of changing our merit cycle from a work anniversary basis to an annual basis, and a decrease of $0.2 million in third-party professional fees as a result of lower contract research and development spend. The decrease in research and development expenses was partially offset by an increase of $0.3 million in allocated overhead costs due to growth supporting our continued business expansion.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$1.2 million for the nine months ended October 31, 2023 compared to the nine months ended October 31, 2022, primarily due to a $2.2 million decrease in third-party professional fees primarily attributable to reduced contract research and development spend, partially offset by an increase of $1.2 million in allocated overhead costs due to growth supporting our continued business expansion. Personnel costs were comparable for the nine months ended October 31, 2023 compared to the nine months ended October 31, 2022 due to the decrease in headcount offset by a $3.2 million increase in stock-based compensation expense, compensation increases, and the impact of changing our merit cycle from a work anniversary basis to an annual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headcount decreased by 86 from October 31, 2022 to October 31, 2023 primarily due to our workforce reduction. We expect research and development expenses will decrease as a percentage of revenues as we leverage the investments we have made to date.</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$0.6 million for the three months ended October 31, 2023 compared to the three months ended October 31, 2022, primarily due to an increase of $0.5 million in personnel costs, mostly attributable to compensation increases, the impact of changing our merit cycle from a work anniversary basis to an annual basis, and an increase of $0.2 million in stock-based compensation expense, partially offset by a decrease in headcount. The increase in general and administrative expenses for the three months ended October 31, 2023 compared to the three months ended October 31, 2022 also included an increase of $0.5 million in allocated overhead and other general and administrative costs. The increase in general and administrative expenses was partially offset by a decrease of $0.3 million in third party professional fees, due to a decrease in third party professional fees and expenses related to other litigation expenses including the government antitrust investigation and related civil action (the "Antitrust Matters"), partially offset by an increase in other professional fees, and a decrease of $0.1 million in travel-related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$3.3 million for the nine months ended October 31, 2023 compared to the nine months ended October 31, 2022, primarily due to a decrease of $2.6 million in personnel costs, mostly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$2.1 million decrease in stock-based compensation expense and a decrease in headcount, partially offset by compensation increases and the impact of changing our merit cycle from a work anniversary basis to an annual basis. The decrease in general and administrative spend also included a decrease of $1.3 million in third party professional fees for the nine months ended October 31, 2023 compared to the nine months ended October 31, 2022, mostly attributable to a decrease in third party professional fees and expenses related to acquisition costs for SimpleNexus and fees and expenses related to the Antitrust Matters, partially offset by the accrual for the proposed settlement agreement of approximately $2.2 million, disclosed in Note 12 "Commitments and Contingencies" of Part I, Item I of this Quarterly Report on Form 10-Q, and an increase in other professional fees. The decrease in general and administrative expenses also included a decrease of $0.4 million in travel related costs, offset by an increase of $0.9 million in allocated overhead and other general and administrative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headcount decreased by 8 from October 31, 2022 to October 31, 2023, primarily due to our workforce reduction which was partially offset by employees that moved from our sales and marketing department to our general and administrative department due to a change in responsibilities. We expect general and administrative expenses will decrease as a percentage of revenues as we leverage the investments we have made to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(Expense)</w:t>
      </w:r>
    </w:p>
    <w:tbl>
      <w:tblPr>
        <w:tblW w:w="10205" w:type="dxa"/>
        <w:jc w:val="left"/>
        <w:tblInd w:w="0" w:type="dxa"/>
        <w:tblLayout w:type="fixed"/>
        <w:tblCellMar>
          <w:top w:w="28" w:type="dxa"/>
          <w:left w:w="28" w:type="dxa"/>
          <w:bottom w:w="28" w:type="dxa"/>
          <w:right w:w="28" w:type="dxa"/>
        </w:tblCellMar>
      </w:tblPr>
      <w:tblGrid>
        <w:gridCol w:w="563"/>
        <w:gridCol w:w="495"/>
        <w:gridCol w:w="499"/>
        <w:gridCol w:w="252"/>
        <w:gridCol w:w="433"/>
        <w:gridCol w:w="109"/>
        <w:gridCol w:w="109"/>
        <w:gridCol w:w="109"/>
        <w:gridCol w:w="109"/>
        <w:gridCol w:w="236"/>
        <w:gridCol w:w="238"/>
        <w:gridCol w:w="271"/>
        <w:gridCol w:w="109"/>
        <w:gridCol w:w="109"/>
        <w:gridCol w:w="109"/>
        <w:gridCol w:w="214"/>
        <w:gridCol w:w="474"/>
        <w:gridCol w:w="109"/>
        <w:gridCol w:w="109"/>
        <w:gridCol w:w="109"/>
        <w:gridCol w:w="109"/>
        <w:gridCol w:w="236"/>
        <w:gridCol w:w="238"/>
        <w:gridCol w:w="271"/>
        <w:gridCol w:w="109"/>
        <w:gridCol w:w="109"/>
        <w:gridCol w:w="109"/>
        <w:gridCol w:w="214"/>
        <w:gridCol w:w="474"/>
        <w:gridCol w:w="109"/>
        <w:gridCol w:w="109"/>
        <w:gridCol w:w="109"/>
        <w:gridCol w:w="109"/>
        <w:gridCol w:w="236"/>
        <w:gridCol w:w="238"/>
        <w:gridCol w:w="271"/>
        <w:gridCol w:w="109"/>
        <w:gridCol w:w="109"/>
        <w:gridCol w:w="109"/>
        <w:gridCol w:w="211"/>
        <w:gridCol w:w="616"/>
        <w:gridCol w:w="109"/>
        <w:gridCol w:w="109"/>
        <w:gridCol w:w="109"/>
        <w:gridCol w:w="109"/>
        <w:gridCol w:w="236"/>
        <w:gridCol w:w="238"/>
        <w:gridCol w:w="326"/>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$0.6 million for the three months ended October 31, 2023 compared to the three months ended October 31, 2022, due to increase in our accounts earning interest and increased interest rates. Interest expense increased $0.3 million for the three months ended October 31, 2023 compared to the three months ended October 31, 2022, due to an increase in our financing obligations for leases for which we are considered the owners for accounting purposes. The decrease of $0.6 million in other expense, net for the three months ended October 31, 2023 compared to the three months ended October 31, 2022, was primarily driven by intercompany loans and transactions that are denominated in currencies other than the underlying functional currency of the applicable entity.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$1.9 million for the nine months ended October 31, 2023 compared to the nine months ended October 31, 2022, due to increase in our accounts earning interest and increased interest rates. Interest expense increased $1.4 million for the nine months ended October 31, 2023 compared to the nine months ended October 31, 2022, due to borrowing on our revolving credit facility and an increase in our financing obligations for leases for which we are considered the owners for accounting purposes. The decrease of $2.9 million in other expense, net for the nine months ended October 31, 2023 compared to the nine months ended October 31, 2022, was primarily driven by intercompany loans and transactions that are denominated in currencies other than the underlying functional currency of the applicable entity.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Provision</w:t>
      </w:r>
    </w:p>
    <w:tbl>
      <w:tblPr>
        <w:tblW w:w="10205" w:type="dxa"/>
        <w:jc w:val="left"/>
        <w:tblInd w:w="0" w:type="dxa"/>
        <w:tblLayout w:type="fixed"/>
        <w:tblCellMar>
          <w:top w:w="28" w:type="dxa"/>
          <w:left w:w="28" w:type="dxa"/>
          <w:bottom w:w="28" w:type="dxa"/>
          <w:right w:w="28" w:type="dxa"/>
        </w:tblCellMar>
      </w:tblPr>
      <w:tblGrid>
        <w:gridCol w:w="578"/>
        <w:gridCol w:w="493"/>
        <w:gridCol w:w="496"/>
        <w:gridCol w:w="211"/>
        <w:gridCol w:w="46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271"/>
        <w:gridCol w:w="109"/>
        <w:gridCol w:w="109"/>
        <w:gridCol w:w="109"/>
        <w:gridCol w:w="211"/>
        <w:gridCol w:w="616"/>
        <w:gridCol w:w="109"/>
        <w:gridCol w:w="109"/>
        <w:gridCol w:w="109"/>
        <w:gridCol w:w="109"/>
        <w:gridCol w:w="203"/>
        <w:gridCol w:w="203"/>
        <w:gridCol w:w="318"/>
      </w:tblGrid>
      <w:tr>
        <w:trPr/>
        <w:tc>
          <w:tcPr>
            <w:tcW w:w="57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was $1.8 million for the three months ended October 31, 2023 compared to a provision of $0.8 million for the three months ended October 31, 2022, and resulted in an effective tax rate of (11.6)% and (3.6)%,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was $4.7 million for the nine months ended October 31, 2023 compared to a provision of $2.2 million for the nine months ended October 31, 2022, and resulted in an effective tax rate of (11.7)% and (2.8)%,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maintain a valuation allowance against our deferred tax assets in most jurisdictions, including the U.S. It is determined by management when a valuation allowance should be recorded, utilizing significant judgement and the use of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as required, Code Section 174, as amended by the Tax Cuts and Jobs Act of 2017. This will result in the repartition of our deferred tax asset balances from net operating losses and tax credit carryforwards to non-tax attribute deferred tax balances. In addition, this may reduce our operating cash flows in future periods through cash remittances of U.S. federal and state income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income (loss), as discussed below.</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Non-GAAP operating income (loss).</w:t>
      </w:r>
      <w:r>
        <w:rPr>
          <w:color w:val="000000"/>
        </w:rPr>
        <w:t xml:space="preserve"> </w:t>
      </w:r>
      <w:r>
        <w:rPr>
          <w:rFonts w:ascii="Times New Roman;sans-serif" w:hAnsi="Times New Roman;sans-serif"/>
          <w:b w:val="false"/>
          <w:color w:val="000000"/>
          <w:sz w:val="20"/>
        </w:rPr>
        <w:t>Non-GAAP operating income (loss) is defined as loss from operations as reported in our unaudited condensed consolidated statements of operations excluding the impact of amortization of intangible assets, stock-based compensation expense, acquisition-related expenses, legal expenses related to certain litigation, and restructuring and related charges. See Note 15 "Restructuring" of the notes to our unaudited condensed consolidated financial statements included in Part I, Item 1 of this Quarterly Report on Form 10-Q for more information on the charges related to restructuring. Non-GAAP operating income (loss) is widely used by securities analysts, investors, and other interested parties to evaluate the profitability of companies. Non-GAAP operating income (loss) eliminates potential differences in performance caused by these items that are not indicative of the Company's ongoing operating performance and hinders comparability with prior and future performance.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non-GAAP operating income (loss) to loss from operations, the most directly comparable financial measure, calculated and presented in accordance with GAAP (in thousands):</w:t>
      </w:r>
    </w:p>
    <w:tbl>
      <w:tblPr>
        <w:tblW w:w="8564" w:type="dxa"/>
        <w:jc w:val="left"/>
        <w:tblInd w:w="0" w:type="dxa"/>
        <w:tblLayout w:type="fixed"/>
        <w:tblCellMar>
          <w:top w:w="28" w:type="dxa"/>
          <w:left w:w="28" w:type="dxa"/>
          <w:bottom w:w="28" w:type="dxa"/>
          <w:right w:w="28" w:type="dxa"/>
        </w:tblCellMar>
      </w:tblPr>
      <w:tblGrid>
        <w:gridCol w:w="1111"/>
        <w:gridCol w:w="980"/>
        <w:gridCol w:w="983"/>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Litigation expenses</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legal expenses related to the Antitrust Matters and a shareholder derivative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31, 2023, we had $100.5 million in cash and cash equivalents, and an accumulated deficit of $354.4 million. Our net losses have been driven by our investments in developing the nCino Bank Operating System and scaling our sales and marketing organization and finance and administrative functions to support our rapid growth. We expect to continue to incur operating losses on a GAAP basis for the foreseeable future.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funded our capital needs through issuances of common stock including our initial public offering in July 2020, operating cash flows, and during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the Credit Facility of up to $50.0 million. We borrowed and repaid $20.0 million under the Credit Facility during the three months ended April 30, 2022 and borrowed $30.0 million during the three months ended October 31, 2022. We repaid $30.0 million under the Credit Facility during the nine months ended October 31, 2023. As of October 31, 2023, the Company had no amounts outstanding and no letters of credit issued under the Credit Facility and was in compliance with all covenants. See Note 11 "Revolving Credit Facility" of the notes to our unaudited condensed consolidated financial statements included in Part I, Item I of this Quarterly Report on Form 10-Q for more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nCino K.K.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2023 and October 31, 2023, the redeemable non-controlling interest was $3.6 million and $3.2 million,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joint venture obligations, we made an additional cash capital contribution of $1.0 million to nCino K.K. during the third quarter of fiscal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Summary Cash Flow information for the nine months ended October 31, 2022 and 2023 are set forth below:</w:t>
      </w:r>
    </w:p>
    <w:tbl>
      <w:tblPr>
        <w:tblW w:w="6685" w:type="dxa"/>
        <w:jc w:val="left"/>
        <w:tblInd w:w="0" w:type="dxa"/>
        <w:tblLayout w:type="fixed"/>
        <w:tblCellMar>
          <w:top w:w="28" w:type="dxa"/>
          <w:left w:w="28" w:type="dxa"/>
          <w:bottom w:w="28" w:type="dxa"/>
          <w:right w:w="28" w:type="dxa"/>
        </w:tblCellMar>
      </w:tblPr>
      <w:tblGrid>
        <w:gridCol w:w="1524"/>
        <w:gridCol w:w="1342"/>
        <w:gridCol w:w="1349"/>
        <w:gridCol w:w="222"/>
        <w:gridCol w:w="649"/>
        <w:gridCol w:w="114"/>
        <w:gridCol w:w="114"/>
        <w:gridCol w:w="114"/>
        <w:gridCol w:w="114"/>
        <w:gridCol w:w="222"/>
        <w:gridCol w:w="759"/>
        <w:gridCol w:w="162"/>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October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$49.1 million provided by operating activities in the nine months ended October 31, 2023 reflects our net loss of $44.9 million and $0.8 million used in changes in working capital accounts, offset by $94.8 million in non-cash charges. Non-cash charges primarily consisted of stock-based compensation, depreciation and amortization, amortization of costs capitalized to obtain revenue contracts, non-cash operating lease costs, foreign currency losses related to intercompany loans and transactions, provision for deferred taxes and bad debt. Cash generated by working capital accounts was principally a function of an $35.5 million decrease in accounts receivable due to the timing of billings and collections from customers, a $3.4 million decrease in prepaid expenses and other assets, and a $1.2 million increase in accounts payable. The cash generated by working capital accounts was offset by a $23.8 million decrease in deferred revenue due to the timing of billings and revenue recognition and an $8.0 million decrease in accrued expenses and other current liabilities which includes payments of approximately $5.0 million for severance and other employee costs associated with the restructuring plan and changing commission payment plans from a quarterly basis to a monthly basis. Additional offsets were payments of $6.0 million of capitalized costs to obtain revenue contracts, which consisted primarily of sales commissions, and a $3.1 million decrease in operating lease liabilities.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$6.6 million provided by operating activities in the nine months ended October 31, 2022 reflects our net loss of $80.1 million, offset by $79.5 million in non-cash charges and $7.2 million generated by changes in working capital accounts. Non-cash charges primarily consisted of stock-based compensation, depreciation and amortization, amortization of costs capitalized to obtain revenue contracts, foreign currency losses related to intercompany loans and transactions, and non-cash operating lease costs. Cash generated by working capital accounts was principally a function of a $32.5 million decrease in accounts receivable due to collections from customers. The cash generated by working capital accounts was partially offset by a $9.2 million decrease in accrued expenses and other current liabilities, payments of $8.0 million of capitalized costs to obtain revenue contracts, which consisted primarily of sales commissions, a $3.0 million decrease in operating lease liabilities, a $2.9 million decrease in deferred revenue, a $1.7 million decrease in accounts payable, and a $0.4 million increase in prepaid expenses and other assets.</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$5.9 million used in investing activities in the nine months ended October 31, 2023 was comprised of $3.1 million for the purchase of property and equipment and leasehold improvements to support the expansion of our business, $2.5 million for the purchase of preferred stock in Rich Data Co, and $0.4 million for the final cash considerations relating to an asset acquisition completed in August 2022. The $13.8 million used in investing activities in the nine months ended October 31, 2022 was comprised of $13.9 million for the purchase of property and equipment and leasehold improvements to support the expansion of our business and $0.6 million for an asset acquisition completed in August 2022. The cash used in investing activities was partially offset by $0.7 million received for a net working capital adjustment from our SimpleNexus acquisition.</w:t>
      </w:r>
    </w:p>
    <w:p>
      <w:pPr>
        <w:pStyle w:val="TextBody"/>
        <w:bidi w:val="0"/>
        <w:spacing w:lineRule="auto" w:line="288" w:before="240" w:after="283"/>
        <w:ind w:left="0" w:right="0" w:firstLine="990"/>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$24.0 million used in financing activities in the nine months ended October 31, 2023 was comprised principally of payments of $30.0 million on the Credit Facility and principal payments of $0.9 million on financing obligations. The cash used in financing activities was partially offset by $3.2 million of proceeds from the exercise of stock options, $2.7 million of proceeds from stock issuances under the employee stock purchase plan, and $1.0 million in proceeds from the non-controlling interest in our Japan joint venture. The $34.6 million provided by financing activities in the nine months ended October 31, 2022 was comprised principally of $50.0 million of proceeds from borrowings on the Credit Facility to expand our liquidity, $3.0 million of proceeds from the exercise of stock options, and $2.4 million of proceeds from stock issuances under the employee stock purchase plan. The cash provided by financing activities was partially reduced by payments of $20.0 million on the Credit Facility, principal payments of $0.5 million on financing obligations, and debt issuance costs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"Goodwill and Intangible Assets" for a change in estimate related to the useful life of the SimpleNexus trade name during the three months ended October 31, 2023. There have been no material changes in our critical accounting policies or estimates as compared to those disclosed in the Annual Report on Form 10-K for the fiscal year ended January 31, 2023 filed with the SEC on March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At October 31, 2023, we had cash, cash equivalents and restricted cash of $105.8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11, 2022, we entered into a senior secured revolving credit facility of up to $50.0 million. Borrowings bear interest, at the Company's option, at: (i) a base rate equal to the greater of (a) the lender’s “prime rate,” (b) the federal funds rate plus 0.50%, and (c) the BSBY rate plus 1.00%, plus a margin of 0.00% (provided that the base rate shall not be less than 0.00%); or (ii) the BSBY rate (provided that the BSBY shall not be less than 0.00%), plus a margin of 1.00%. As a result, we are exposed to increased interest rate risk as we make draws. At October 31, 2023, we had no amounts outstanding under the Credit Facility. See Note 11, "Revolving Credit Facility" of the notes to our unaudited condensed consolidated financial statements included in Part I, Item 1 of this Quarterly Report on Form 10-Q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October 31, 2023, the last day of the period covered by this Quarterly Report on Form 10-Q. Based on this evaluation, our Chief Executive Officer and Chief Financial Officer have concluded that, at October 31, 2023, our disclosure controls and procedures were effective at the reasonable assurance level.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certain processes and controls were modified in connection with the migration of our subsidiary SimpleNexus, LLC (d/b/a nCino Mortgage, LLC) to our consolidated enterprise resource planning system. We do not believe that such modifications materially affected, or are reasonably likely to materially affect, our internal control over financial reporting. There was no other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the Effectiveness of Controls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to the risk factors in the Company's Annual Report on Form 10-K for the fiscal year ended January 31, 2023 filed with the SEC on March 28, 2023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October 31, 2023, the following Section 16 officer adopted, modified or terminated a “Rule 10b5-1 trading arrangement” as defined in Item 408 of Regulation S-K, as follows: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6, 2023, Jeanette Sellers, Vice President of Accounting, adopted a Rule 10b5-1 trading arrangement providing for the sale from time to time of an aggregate of up to 9,496 shares of our common stock. The trading arrangement is intended to satisfy the affirmative defense in Rule 10b5-1(c). The duration of the trading arrangement is until August 15, 2024,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12, 2023, Pierre Naudé, Chairman and Chief Executive Officer, adopted a Rule 10b5-1 trading arrangement providing for the sale from time to time of an aggregate of up to 99,028 shares of our common stock. The trading arrangement is intended to satisfy the affirmative defense in Rule 10b5-1(c). The duration of the trading arrangement is until January 15, 2025,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13, 2023, Sean Desmond, Chief Customer Success Officer, adopted a Rule 10b5-1 trading arrangement providing for the sale from time to time of an aggregate of up to 17,642 shares of our common stock. The trading arrangement is intended to satisfy the affirmative defense in Rule 10b5-1(c). The duration of the trading arrangement is until January 16, 2024, or earlier if all transactions under the trading arrangement are completed.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13, 2023, April Rieger, Chief Legal &amp; Compliance Officer and Secretary, adopted a Rule 10b5-1 trading arrangement providing for the sale from time to time of an aggregate of up to 10,000 shares of our common stock. The trading arrangement is intended to satisfy the affirmative defense in Rule 10b5-1(c). The duration of the trading arrangement is until January 15, 2025, or earlier if all transactions under the trading arrangement are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modified, or terminated a “Rule 10b5-1 trading arrangement” or a “non-Rule 10b5-1 trading arrangement,” as defined in Regulation S-K Item 408, during the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36"/>
        <w:gridCol w:w="237"/>
        <w:gridCol w:w="1968"/>
        <w:gridCol w:w="1666"/>
        <w:gridCol w:w="1648"/>
        <w:gridCol w:w="216"/>
        <w:gridCol w:w="216"/>
        <w:gridCol w:w="214"/>
        <w:gridCol w:w="260"/>
        <w:gridCol w:w="260"/>
        <w:gridCol w:w="226"/>
        <w:gridCol w:w="217"/>
        <w:gridCol w:w="217"/>
        <w:gridCol w:w="218"/>
        <w:gridCol w:w="533"/>
        <w:gridCol w:w="356"/>
        <w:gridCol w:w="283"/>
        <w:gridCol w:w="280"/>
        <w:gridCol w:w="280"/>
        <w:gridCol w:w="406"/>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8-K12B</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10, 2022</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001-41211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29, 2022</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02410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02410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02410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3202410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4182" w:type="dxa"/>
            <w:gridSpan w:val="15"/>
            <w:tcBorders/>
          </w:tcPr>
          <w:p>
            <w:pPr>
              <w:pStyle w:val="TableContents"/>
              <w:bidi w:val="0"/>
              <w:spacing w:before="0" w:after="283"/>
              <w:jc w:val="left"/>
              <w:rPr>
                <w:sz w:val="4"/>
                <w:szCs w:val="4"/>
              </w:rPr>
            </w:pPr>
            <w:r>
              <w:rPr>
                <w:sz w:val="4"/>
                <w:szCs w:val="4"/>
              </w:rPr>
            </w:r>
          </w:p>
        </w:tc>
      </w:tr>
      <w:tr>
        <w:trPr/>
        <w:tc>
          <w:tcPr>
            <w:tcW w:w="741" w:type="dxa"/>
            <w:gridSpan w:val="3"/>
            <w:tcBorders/>
            <w:vAlign w:val="center"/>
          </w:tcPr>
          <w:p>
            <w:pPr>
              <w:pStyle w:val="TableContents"/>
              <w:bidi w:val="0"/>
              <w:spacing w:before="0" w:after="283"/>
              <w:jc w:val="left"/>
              <w:rPr>
                <w:sz w:val="4"/>
                <w:szCs w:val="4"/>
              </w:rPr>
            </w:pPr>
            <w:r>
              <w:rPr>
                <w:sz w:val="4"/>
                <w:szCs w:val="4"/>
              </w:rPr>
            </w:r>
          </w:p>
        </w:tc>
        <w:tc>
          <w:tcPr>
            <w:tcW w:w="5282" w:type="dxa"/>
            <w:gridSpan w:val="3"/>
            <w:tcBorders/>
            <w:vAlign w:val="center"/>
          </w:tcPr>
          <w:p>
            <w:pPr>
              <w:pStyle w:val="TableContents"/>
              <w:bidi w:val="0"/>
              <w:spacing w:before="0" w:after="283"/>
              <w:jc w:val="left"/>
              <w:rPr>
                <w:sz w:val="4"/>
                <w:szCs w:val="4"/>
              </w:rPr>
            </w:pPr>
            <w:r>
              <w:rPr>
                <w:sz w:val="4"/>
                <w:szCs w:val="4"/>
              </w:rPr>
            </w:r>
          </w:p>
        </w:tc>
        <w:tc>
          <w:tcPr>
            <w:tcW w:w="4182" w:type="dxa"/>
            <w:gridSpan w:val="15"/>
            <w:tcBorders/>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c9af9377745438da2fa2aa0d7dba5b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tbl>
      <w:tblPr>
        <w:tblW w:w="6203" w:type="dxa"/>
        <w:jc w:val="left"/>
        <w:tblInd w:w="0" w:type="dxa"/>
        <w:tblLayout w:type="fixed"/>
        <w:tblCellMar>
          <w:top w:w="28" w:type="dxa"/>
          <w:left w:w="28" w:type="dxa"/>
          <w:bottom w:w="28" w:type="dxa"/>
          <w:right w:w="28" w:type="dxa"/>
        </w:tblCellMar>
      </w:tblPr>
      <w:tblGrid>
        <w:gridCol w:w="797"/>
        <w:gridCol w:w="702"/>
        <w:gridCol w:w="706"/>
        <w:gridCol w:w="134"/>
        <w:gridCol w:w="134"/>
        <w:gridCol w:w="136"/>
        <w:gridCol w:w="113"/>
        <w:gridCol w:w="113"/>
        <w:gridCol w:w="113"/>
        <w:gridCol w:w="953"/>
        <w:gridCol w:w="953"/>
        <w:gridCol w:w="1349"/>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nCino,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Pierre Naudé</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Pierre Naudé</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29,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D. Orenstein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D. Orenstein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&amp; Treasurer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Pierre Naudé,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
        <w:ind w:left="0" w:right="0" w:hanging="360"/>
        <w:jc w:val="left"/>
        <w:rPr/>
      </w:pPr>
      <w:r>
        <w:rPr/>
      </w:r>
    </w:p>
    <w:p>
      <w:pPr>
        <w:pStyle w:val="TextBody"/>
        <w:bidi w:val="0"/>
        <w:spacing w:lineRule="auto" w:line="288" w:before="0" w:after="2"/>
        <w:ind w:left="0" w:right="0" w:hanging="720"/>
        <w:jc w:val="left"/>
        <w:rPr/>
      </w:pPr>
      <w:r>
        <w:rPr>
          <w:rFonts w:ascii="Times New Roman;sans-serif" w:hAnsi="Times New Roman;sans-serif"/>
          <w:b w:val="false"/>
          <w:color w:val="000000"/>
          <w:sz w:val="24"/>
        </w:rPr>
        <w:t>(b)</w:t>
      </w:r>
      <w:r>
        <w:rPr>
          <w:rFonts w:ascii="Times New Roman;sans-serif" w:hAnsi="Times New Roman;sans-serif"/>
          <w:b w:val="false"/>
          <w:color w:val="000000"/>
          <w:sz w:val="22"/>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7135"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144"/>
        <w:gridCol w:w="144"/>
        <w:gridCol w:w="146"/>
        <w:gridCol w:w="1112"/>
        <w:gridCol w:w="1112"/>
        <w:gridCol w:w="1586"/>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 Pierre Naudé</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Pierre Naudé</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Gregory D. Orenstein, certify that: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val="false"/>
          <w:color w:val="000000"/>
          <w:sz w:val="22"/>
        </w:rPr>
        <w:t>1.</w:t>
      </w:r>
      <w:r>
        <w:rPr>
          <w:color w:val="000000"/>
        </w:rPr>
        <w:t xml:space="preserve"> </w:t>
      </w:r>
      <w:r>
        <w:rPr>
          <w:rFonts w:ascii="Times New Roman;sans-serif" w:hAnsi="Times New Roman;sans-serif"/>
          <w:b w:val="false"/>
          <w:color w:val="000000"/>
          <w:sz w:val="22"/>
        </w:rPr>
        <w:t>I have reviewed this Quarterly Report on Form 10-Q of nCino, Inc.;</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804"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144"/>
        <w:gridCol w:w="144"/>
        <w:gridCol w:w="146"/>
        <w:gridCol w:w="1016"/>
        <w:gridCol w:w="1016"/>
        <w:gridCol w:w="1447"/>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nCino, Inc. (the “Company”) on Form 10-Q for the period ending October 31,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7074"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144"/>
        <w:gridCol w:w="144"/>
        <w:gridCol w:w="146"/>
        <w:gridCol w:w="1096"/>
        <w:gridCol w:w="1096"/>
        <w:gridCol w:w="1557"/>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Pierre Naudé</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Pierre Naudé</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Chairman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36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CERTIFICATION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SECTION 906 OF THE SARBANES-OXLEY ACT OF 2002</w:t>
      </w:r>
    </w:p>
    <w:p>
      <w:pPr>
        <w:pStyle w:val="TextBody"/>
        <w:bidi w:val="0"/>
        <w:spacing w:lineRule="auto" w:line="288" w:before="240" w:after="283"/>
        <w:ind w:left="0" w:right="0" w:firstLine="573"/>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nCino, Inc. (the “Company”) on Form 10-Q for the period ending October 31,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864"/>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ind w:left="0" w:right="0" w:hanging="573"/>
        <w:jc w:val="left"/>
        <w:rPr/>
      </w:pPr>
      <w:r>
        <w:rPr/>
      </w:r>
    </w:p>
    <w:tbl>
      <w:tblPr>
        <w:tblW w:w="6804"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144"/>
        <w:gridCol w:w="144"/>
        <w:gridCol w:w="146"/>
        <w:gridCol w:w="1016"/>
        <w:gridCol w:w="1016"/>
        <w:gridCol w:w="1447"/>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Gregory D. Orenstein</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Gregory D. Orenstein</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Chief Financial Officer &amp;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02733/000119312522005239/d246602dex31.htm" TargetMode="External"/><Relationship Id="rId3" Type="http://schemas.openxmlformats.org/officeDocument/2006/relationships/hyperlink" Target="https://www.sec.gov/Archives/edgar/data/1902733/000190273322000031/amendedandrestated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21875</Words>
  <Characters>122781</Characters>
  <CharactersWithSpaces>142979</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