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39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FORM 10-Q</w:t>
      </w: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4460" w:right="1760" w:hanging="2635"/>
        <w:spacing w:after="0" w:line="259" w:lineRule="auto"/>
        <w:tabs>
          <w:tab w:leader="none" w:pos="2106"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__to 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Commission File Number: 001-39380</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31"/>
                <w:szCs w:val="31"/>
                <w:b w:val="1"/>
                <w:bCs w:val="1"/>
                <w:color w:val="auto"/>
                <w:w w:val="92"/>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36"/>
        </w:trPr>
        <w:tc>
          <w:tcPr>
            <w:tcW w:w="1340" w:type="dxa"/>
            <w:vAlign w:val="bottom"/>
          </w:tcPr>
          <w:p>
            <w:pPr>
              <w:spacing w:after="0"/>
              <w:rPr>
                <w:sz w:val="20"/>
                <w:szCs w:val="20"/>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1"/>
              </w:rPr>
              <w:t>Delaware</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40" w:type="dxa"/>
            <w:vAlign w:val="bottom"/>
            <w:gridSpan w:val="2"/>
          </w:tcPr>
          <w:p>
            <w:pPr>
              <w:jc w:val="center"/>
              <w:ind w:left="304"/>
              <w:spacing w:after="0"/>
              <w:rPr>
                <w:sz w:val="20"/>
                <w:szCs w:val="20"/>
                <w:color w:val="auto"/>
              </w:rPr>
            </w:pPr>
            <w:r>
              <w:rPr>
                <w:rFonts w:ascii="Arial" w:cs="Arial" w:eastAsia="Arial" w:hAnsi="Arial"/>
                <w:sz w:val="16"/>
                <w:szCs w:val="16"/>
                <w:b w:val="1"/>
                <w:bCs w:val="1"/>
                <w:color w:val="auto"/>
                <w:w w:val="91"/>
              </w:rPr>
              <w:t>46-4353148</w:t>
            </w:r>
          </w:p>
        </w:tc>
      </w:tr>
      <w:tr>
        <w:trPr>
          <w:trHeight w:val="172"/>
        </w:trPr>
        <w:tc>
          <w:tcPr>
            <w:tcW w:w="3660" w:type="dxa"/>
            <w:vAlign w:val="bottom"/>
            <w:gridSpan w:val="3"/>
          </w:tcPr>
          <w:p>
            <w:pPr>
              <w:jc w:val="center"/>
              <w:ind w:left="4"/>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3660" w:type="dxa"/>
            <w:vAlign w:val="bottom"/>
            <w:gridSpan w:val="3"/>
          </w:tcPr>
          <w:p>
            <w:pPr>
              <w:jc w:val="center"/>
              <w:ind w:left="24"/>
              <w:spacing w:after="0"/>
              <w:rPr>
                <w:sz w:val="20"/>
                <w:szCs w:val="20"/>
                <w:color w:val="auto"/>
              </w:rPr>
            </w:pPr>
            <w:r>
              <w:rPr>
                <w:rFonts w:ascii="Arial" w:cs="Arial" w:eastAsia="Arial" w:hAnsi="Arial"/>
                <w:sz w:val="16"/>
                <w:szCs w:val="16"/>
                <w:i w:val="1"/>
                <w:iCs w:val="1"/>
                <w:color w:val="auto"/>
                <w:w w:val="96"/>
              </w:rPr>
              <w:t>incorporation or organization)</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6"/>
              </w:rPr>
              <w:t>Identification No.)</w:t>
            </w:r>
          </w:p>
        </w:tc>
      </w:tr>
      <w:tr>
        <w:trPr>
          <w:trHeight w:val="262"/>
        </w:trPr>
        <w:tc>
          <w:tcPr>
            <w:tcW w:w="1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5"/>
              </w:rPr>
              <w:t>6770 Parker Farm Drive</w:t>
            </w:r>
          </w:p>
        </w:tc>
        <w:tc>
          <w:tcPr>
            <w:tcW w:w="36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184"/>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Wilmington, North Carolina 28405</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93"/>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Arial" w:cs="Arial" w:eastAsia="Arial" w:hAnsi="Arial"/>
                <w:sz w:val="16"/>
                <w:szCs w:val="16"/>
                <w:b w:val="1"/>
                <w:bCs w:val="1"/>
                <w:color w:val="auto"/>
                <w:w w:val="93"/>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73"/>
        </w:trPr>
        <w:tc>
          <w:tcPr>
            <w:tcW w:w="36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5"/>
        </w:trPr>
        <w:tc>
          <w:tcPr>
            <w:tcW w:w="1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40" w:type="dxa"/>
            <w:vAlign w:val="bottom"/>
          </w:tcPr>
          <w:p>
            <w:pPr>
              <w:spacing w:after="0"/>
              <w:rPr>
                <w:sz w:val="18"/>
                <w:szCs w:val="18"/>
                <w:color w:val="auto"/>
              </w:rPr>
            </w:pPr>
          </w:p>
        </w:tc>
        <w:tc>
          <w:tcPr>
            <w:tcW w:w="4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04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3660" w:type="dxa"/>
            <w:vAlign w:val="bottom"/>
            <w:gridSpan w:val="3"/>
          </w:tcPr>
          <w:p>
            <w:pPr>
              <w:jc w:val="center"/>
              <w:ind w:left="4"/>
              <w:spacing w:after="0"/>
              <w:rPr>
                <w:sz w:val="20"/>
                <w:szCs w:val="20"/>
                <w:color w:val="auto"/>
              </w:rPr>
            </w:pPr>
            <w:r>
              <w:rPr>
                <w:rFonts w:ascii="Arial" w:cs="Arial" w:eastAsia="Arial" w:hAnsi="Arial"/>
                <w:sz w:val="14"/>
                <w:szCs w:val="14"/>
                <w:color w:val="auto"/>
                <w:w w:val="91"/>
              </w:rPr>
              <w:t>Common stock, par value $0.0005 per share</w:t>
            </w:r>
          </w:p>
        </w:tc>
        <w:tc>
          <w:tcPr>
            <w:tcW w:w="1380" w:type="dxa"/>
            <w:vAlign w:val="bottom"/>
          </w:tcPr>
          <w:p>
            <w:pPr>
              <w:spacing w:after="0"/>
              <w:rPr>
                <w:sz w:val="17"/>
                <w:szCs w:val="17"/>
                <w:color w:val="auto"/>
              </w:rPr>
            </w:pPr>
          </w:p>
        </w:tc>
        <w:tc>
          <w:tcPr>
            <w:tcW w:w="2620" w:type="dxa"/>
            <w:vAlign w:val="bottom"/>
            <w:gridSpan w:val="2"/>
          </w:tcPr>
          <w:p>
            <w:pPr>
              <w:jc w:val="center"/>
              <w:ind w:right="1480"/>
              <w:spacing w:after="0"/>
              <w:rPr>
                <w:sz w:val="20"/>
                <w:szCs w:val="20"/>
                <w:color w:val="auto"/>
              </w:rPr>
            </w:pPr>
            <w:r>
              <w:rPr>
                <w:rFonts w:ascii="Arial" w:cs="Arial" w:eastAsia="Arial" w:hAnsi="Arial"/>
                <w:sz w:val="14"/>
                <w:szCs w:val="14"/>
                <w:color w:val="auto"/>
              </w:rPr>
              <w:t>NCNO</w:t>
            </w: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317" w:lineRule="exact"/>
        <w:rPr>
          <w:sz w:val="24"/>
          <w:szCs w:val="24"/>
          <w:color w:val="auto"/>
        </w:rPr>
      </w:pPr>
    </w:p>
    <w:p>
      <w:pPr>
        <w:ind w:right="16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48"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61" w:lineRule="exact"/>
        <w:rPr>
          <w:sz w:val="24"/>
          <w:szCs w:val="24"/>
          <w:color w:val="auto"/>
        </w:rPr>
      </w:pPr>
    </w:p>
    <w:p>
      <w:pPr>
        <w:ind w:right="3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42" w:lineRule="exact"/>
        <w:rPr>
          <w:sz w:val="24"/>
          <w:szCs w:val="24"/>
          <w:color w:val="auto"/>
        </w:rPr>
      </w:pPr>
    </w:p>
    <w:p>
      <w:pPr>
        <w:ind w:right="50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6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96,749,427 shares of common stock, $0.0005 par value per share, as of November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0" w:type="dxa"/>
            <w:vAlign w:val="bottom"/>
            <w:gridSpan w:val="25"/>
          </w:tcPr>
          <w:p>
            <w:pPr>
              <w:spacing w:after="0" w:line="201" w:lineRule="exact"/>
              <w:rPr>
                <w:rFonts w:ascii="Arial" w:cs="Arial" w:eastAsia="Arial" w:hAnsi="Arial"/>
                <w:sz w:val="18"/>
                <w:szCs w:val="18"/>
                <w:color w:val="0000FF"/>
              </w:rPr>
            </w:pPr>
            <w:hyperlink w:anchor="page2">
              <w:r>
                <w:rPr>
                  <w:rFonts w:ascii="Arial" w:cs="Arial" w:eastAsia="Arial" w:hAnsi="Arial"/>
                  <w:sz w:val="18"/>
                  <w:szCs w:val="18"/>
                  <w:color w:val="0000FF"/>
                </w:rPr>
                <w:t>Cautionary Note Regarding Forward-Looking Statements</w:t>
              </w:r>
            </w:hyperlink>
          </w:p>
        </w:tc>
        <w:tc>
          <w:tcPr>
            <w:tcW w:w="620" w:type="dxa"/>
            <w:vAlign w:val="bottom"/>
          </w:tcPr>
          <w:p>
            <w:pPr>
              <w:jc w:val="right"/>
              <w:spacing w:after="0" w:line="201" w:lineRule="exact"/>
              <w:rPr>
                <w:rFonts w:ascii="Arial" w:cs="Arial" w:eastAsia="Arial" w:hAnsi="Arial"/>
                <w:sz w:val="18"/>
                <w:szCs w:val="18"/>
                <w:color w:val="auto"/>
              </w:rPr>
            </w:pPr>
            <w:hyperlink w:anchor="page2">
              <w:r>
                <w:rPr>
                  <w:rFonts w:ascii="Arial" w:cs="Arial" w:eastAsia="Arial" w:hAnsi="Arial"/>
                  <w:sz w:val="18"/>
                  <w:szCs w:val="18"/>
                  <w:color w:val="auto"/>
                </w:rPr>
                <w:t>i</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700" w:type="dxa"/>
            <w:vAlign w:val="bottom"/>
            <w:gridSpan w:val="1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tcBorders>
              <w:bottom w:val="single" w:sz="8" w:color="0000FF"/>
            </w:tcBorders>
            <w:gridSpan w:val="1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January 31, 2021 and October 31, 2021 (Unaudited)</w:t>
              </w:r>
            </w:hyperlink>
          </w:p>
        </w:tc>
        <w:tc>
          <w:tcPr>
            <w:tcW w:w="2580" w:type="dxa"/>
            <w:vAlign w:val="bottom"/>
            <w:gridSpan w:val="5"/>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Unaudited Condensed Consolidated Statements of Operations for the Three and Nine Months Ended October 31, 2020 and 2021</w:t>
              </w:r>
            </w:hyperlink>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Unaudited Condensed Consolidated Statements of Comprehensive Loss for the Three and Nine Months Ended October 31, 2020 and</w:t>
              </w:r>
            </w:hyperlink>
          </w:p>
        </w:tc>
        <w:tc>
          <w:tcPr>
            <w:tcW w:w="62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2021</w:t>
              </w:r>
            </w:hyperlink>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Unaudited Condensed Consolidated Statements of Stockholders' Equity for the Three and Nine Months Ended October 31, 2020 and</w:t>
              </w:r>
            </w:hyperlink>
          </w:p>
        </w:tc>
        <w:tc>
          <w:tcPr>
            <w:tcW w:w="62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2021</w:t>
              </w:r>
            </w:hyperlink>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Unaudited Condensed Consolidated Statements of Cash Flows for the Nine Months Ended October 31, 2020 and 2021</w:t>
              </w:r>
            </w:hyperlink>
          </w:p>
        </w:tc>
        <w:tc>
          <w:tcPr>
            <w:tcW w:w="6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Borders>
              <w:top w:val="single" w:sz="8" w:color="0000FF"/>
            </w:tcBorders>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1180" w:type="dxa"/>
            <w:vAlign w:val="bottom"/>
            <w:gridSpan w:val="4"/>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gridSpan w:val="6"/>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Quantitative and Qualitative Disclosures About Market Risk</w:t>
              </w:r>
            </w:hyperlink>
          </w:p>
        </w:tc>
        <w:tc>
          <w:tcPr>
            <w:tcW w:w="5340" w:type="dxa"/>
            <w:vAlign w:val="bottom"/>
            <w:gridSpan w:val="10"/>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2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rFonts w:ascii="Arial" w:cs="Arial" w:eastAsia="Arial" w:hAnsi="Arial"/>
                <w:sz w:val="18"/>
                <w:szCs w:val="18"/>
                <w:b w:val="1"/>
                <w:bCs w:val="1"/>
                <w:color w:val="0000FF"/>
                <w:w w:val="97"/>
              </w:rPr>
            </w:pPr>
            <w:hyperlink w:anchor="page40">
              <w:r>
                <w:rPr>
                  <w:rFonts w:ascii="Arial" w:cs="Arial" w:eastAsia="Arial" w:hAnsi="Arial"/>
                  <w:sz w:val="18"/>
                  <w:szCs w:val="18"/>
                  <w:b w:val="1"/>
                  <w:bCs w:val="1"/>
                  <w:color w:val="0000FF"/>
                  <w:w w:val="97"/>
                </w:rPr>
                <w:t>Part II. Other Information</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Legal Proceedings</w:t>
              </w:r>
            </w:hyperlink>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2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6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6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5360" w:type="dxa"/>
            <w:vAlign w:val="bottom"/>
            <w:gridSpan w:val="11"/>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7380" w:type="dxa"/>
            <w:vAlign w:val="bottom"/>
            <w:gridSpan w:val="15"/>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Exhibits</w:t>
              </w:r>
            </w:hyperlink>
          </w:p>
        </w:tc>
        <w:tc>
          <w:tcPr>
            <w:tcW w:w="9100" w:type="dxa"/>
            <w:vAlign w:val="bottom"/>
            <w:gridSpan w:val="22"/>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6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firstLine="891"/>
        <w:spacing w:after="0" w:line="255" w:lineRule="auto"/>
        <w:rPr>
          <w:sz w:val="20"/>
          <w:szCs w:val="20"/>
          <w:color w:val="auto"/>
        </w:rPr>
      </w:pPr>
      <w:r>
        <w:rPr>
          <w:rFonts w:ascii="Arial" w:cs="Arial" w:eastAsia="Arial" w:hAnsi="Arial"/>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92" w:lineRule="exact"/>
        <w:rPr>
          <w:sz w:val="20"/>
          <w:szCs w:val="20"/>
          <w:color w:val="auto"/>
        </w:rPr>
      </w:pPr>
    </w:p>
    <w:p>
      <w:pPr>
        <w:ind w:right="20" w:firstLine="891"/>
        <w:spacing w:after="0" w:line="279"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71" w:lineRule="exact"/>
        <w:rPr>
          <w:sz w:val="20"/>
          <w:szCs w:val="20"/>
          <w:color w:val="auto"/>
        </w:rPr>
      </w:pPr>
    </w:p>
    <w:p>
      <w:pPr>
        <w:ind w:right="420" w:firstLine="891"/>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31, 2021</w:t>
            </w:r>
          </w:p>
        </w:tc>
        <w:tc>
          <w:tcPr>
            <w:tcW w:w="12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October 31, 2021</w:t>
            </w:r>
          </w:p>
        </w:tc>
        <w:tc>
          <w:tcPr>
            <w:tcW w:w="0" w:type="dxa"/>
            <w:vAlign w:val="bottom"/>
          </w:tcPr>
          <w:p>
            <w:pPr>
              <w:spacing w:after="0"/>
              <w:rPr>
                <w:sz w:val="1"/>
                <w:szCs w:val="1"/>
                <w:color w:val="auto"/>
              </w:rPr>
            </w:pPr>
          </w:p>
        </w:tc>
      </w:tr>
      <w:tr>
        <w:trPr>
          <w:trHeight w:val="188"/>
        </w:trPr>
        <w:tc>
          <w:tcPr>
            <w:tcW w:w="8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w w:val="92"/>
              </w:rPr>
              <w:t>Cash and cash equivalents (VIE: $7,425 and $4,722 at January 31, 2021 and October 31, 2021,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371,425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381,080</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Accounts receivable, less allowance for doubtful accounts of $88 and $151 at January 31, 2021 and October 31,</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33,776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2021, respectively</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432,278</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53,916</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56,977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586,543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related parties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Accrued commissions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accrued expenses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Deferred rent,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86,825</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Financing obligations,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23"/>
        </w:trPr>
        <w:tc>
          <w:tcPr>
            <w:tcW w:w="8560" w:type="dxa"/>
            <w:vAlign w:val="bottom"/>
          </w:tcPr>
          <w:p>
            <w:pPr>
              <w:ind w:left="9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115,692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119,350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Deferred income taxes,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rent,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obligations,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33,190</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Construction liability, noncurrent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23"/>
        </w:trPr>
        <w:tc>
          <w:tcPr>
            <w:tcW w:w="85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168,416</w:t>
            </w:r>
          </w:p>
        </w:tc>
        <w:tc>
          <w:tcPr>
            <w:tcW w:w="0" w:type="dxa"/>
            <w:vAlign w:val="bottom"/>
          </w:tcPr>
          <w:p>
            <w:pPr>
              <w:spacing w:after="0"/>
              <w:rPr>
                <w:sz w:val="1"/>
                <w:szCs w:val="1"/>
                <w:color w:val="auto"/>
              </w:rPr>
            </w:pPr>
          </w:p>
        </w:tc>
      </w:tr>
      <w:tr>
        <w:trPr>
          <w:trHeight w:val="209"/>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 (Notes 8, 12, and 13)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 (Note 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Preferred stock, $0.001 par value; 10,000,000 shares authorized, and none issued and outstanding as of</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January 31, 2021 and October 31, 2021</w:t>
            </w: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460"/>
              <w:spacing w:after="0" w:line="176" w:lineRule="exact"/>
              <w:rPr>
                <w:sz w:val="20"/>
                <w:szCs w:val="20"/>
                <w:color w:val="auto"/>
              </w:rPr>
            </w:pPr>
            <w:r>
              <w:rPr>
                <w:rFonts w:ascii="Arial" w:cs="Arial" w:eastAsia="Arial" w:hAnsi="Arial"/>
                <w:sz w:val="18"/>
                <w:szCs w:val="18"/>
                <w:color w:val="auto"/>
                <w:w w:val="94"/>
              </w:rPr>
              <w:t>Common stock, $0.0005 par value; 500,000,000 shares authorized as of January 31, 2021 and October 31,</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620"/>
              <w:spacing w:after="0" w:line="176" w:lineRule="exact"/>
              <w:rPr>
                <w:sz w:val="20"/>
                <w:szCs w:val="20"/>
                <w:color w:val="auto"/>
              </w:rPr>
            </w:pPr>
            <w:r>
              <w:rPr>
                <w:rFonts w:ascii="Arial" w:cs="Arial" w:eastAsia="Arial" w:hAnsi="Arial"/>
                <w:sz w:val="18"/>
                <w:szCs w:val="18"/>
                <w:color w:val="auto"/>
                <w:w w:val="88"/>
              </w:rPr>
              <w:t>2021; 93,643,759 and 96,691,631 shares issued and outstanding as of January 31, 2021 and October 31, 2021,</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560" w:type="dxa"/>
            <w:vAlign w:val="bottom"/>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619,063</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(161,064)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(203,330)</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425,179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415,767</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586,543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w w:val="93"/>
              </w:rPr>
              <w:t>Subscription (related parties $0, $0, $2,439, and $0, respectively)</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43,279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57,085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117,461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162,052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198,910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6"/>
                <w:szCs w:val="16"/>
                <w:color w:val="auto"/>
              </w:rPr>
              <w:t>Subscription</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(related party $9,067, $11,638, $25,277, and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34,399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46,007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$33,358, respectively)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Professional services</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118,782</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55,990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160,148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Loss before income tax expense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(42,495)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(43,525)</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Net loss attributable to redeemable non-controlling interest (Note</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8"/>
              </w:rPr>
              <w:t>Adjustment attributable to redeemable non-controlling interest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(Note 3)</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Net loss attributable to nCino, Inc.</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91,600,203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96,431,082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85,962,141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95,510,413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21"/>
                <w:szCs w:val="21"/>
                <w:color w:val="auto"/>
              </w:rPr>
            </w:pPr>
          </w:p>
        </w:tc>
        <w:tc>
          <w:tcPr>
            <w:tcW w:w="26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20,549</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80" w:type="dxa"/>
            <w:vAlign w:val="bottom"/>
          </w:tcPr>
          <w:p>
            <w:pPr>
              <w:spacing w:after="0"/>
              <w:rPr>
                <w:sz w:val="16"/>
                <w:szCs w:val="16"/>
                <w:color w:val="auto"/>
              </w:rPr>
            </w:pPr>
          </w:p>
        </w:tc>
        <w:tc>
          <w:tcPr>
            <w:tcW w:w="26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53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Other comprehensive income (loss)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(9,282)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(44,012)</w:t>
            </w:r>
          </w:p>
        </w:tc>
        <w:tc>
          <w:tcPr>
            <w:tcW w:w="0" w:type="dxa"/>
            <w:vAlign w:val="bottom"/>
          </w:tcPr>
          <w:p>
            <w:pPr>
              <w:spacing w:after="0"/>
              <w:rPr>
                <w:sz w:val="1"/>
                <w:szCs w:val="1"/>
                <w:color w:val="auto"/>
              </w:rPr>
            </w:pPr>
          </w:p>
        </w:tc>
      </w:tr>
      <w:tr>
        <w:trPr>
          <w:trHeight w:val="156"/>
        </w:trPr>
        <w:tc>
          <w:tcPr>
            <w:tcW w:w="5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0"/>
              </w:rPr>
              <w:t>Less comprehensive loss attributable to redeemable non-controlling</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redeemable non-controlling interest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176"/>
        </w:trPr>
        <w:tc>
          <w:tcPr>
            <w:tcW w:w="5320" w:type="dxa"/>
            <w:vAlign w:val="bottom"/>
          </w:tcPr>
          <w:p>
            <w:pPr>
              <w:ind w:left="240"/>
              <w:spacing w:after="0" w:line="176" w:lineRule="exact"/>
              <w:rPr>
                <w:sz w:val="20"/>
                <w:szCs w:val="20"/>
                <w:color w:val="auto"/>
              </w:rPr>
            </w:pPr>
            <w:r>
              <w:rPr>
                <w:rFonts w:ascii="Arial" w:cs="Arial" w:eastAsia="Arial" w:hAnsi="Arial"/>
                <w:sz w:val="18"/>
                <w:szCs w:val="18"/>
                <w:color w:val="auto"/>
              </w:rPr>
              <w:t>Foreign currency translation attributable to redeemable non-</w:t>
            </w:r>
          </w:p>
        </w:tc>
        <w:tc>
          <w:tcPr>
            <w:tcW w:w="8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controlling interest</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b w:val="1"/>
                <w:bCs w:val="1"/>
                <w:color w:val="auto"/>
              </w:rPr>
              <w:t>Comprehensive loss attributable to redeemable non-</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controlling interest</w:t>
            </w:r>
          </w:p>
        </w:tc>
        <w:tc>
          <w:tcPr>
            <w:tcW w:w="8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5320" w:type="dxa"/>
            <w:vAlign w:val="bottom"/>
          </w:tcPr>
          <w:p>
            <w:pPr>
              <w:ind w:left="680"/>
              <w:spacing w:after="0"/>
              <w:rPr>
                <w:sz w:val="20"/>
                <w:szCs w:val="20"/>
                <w:color w:val="auto"/>
              </w:rPr>
            </w:pPr>
            <w:r>
              <w:rPr>
                <w:rFonts w:ascii="Arial" w:cs="Arial" w:eastAsia="Arial" w:hAnsi="Arial"/>
                <w:sz w:val="18"/>
                <w:szCs w:val="18"/>
                <w:b w:val="1"/>
                <w:bCs w:val="1"/>
                <w:color w:val="auto"/>
              </w:rPr>
              <w:t>Comprehensive loss attributable to nCino, Inc.</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(8,988)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191"/>
              <w:spacing w:after="0"/>
              <w:rPr>
                <w:sz w:val="20"/>
                <w:szCs w:val="20"/>
                <w:color w:val="auto"/>
              </w:rPr>
            </w:pPr>
            <w:r>
              <w:rPr>
                <w:rFonts w:ascii="Arial" w:cs="Arial" w:eastAsia="Arial" w:hAnsi="Arial"/>
                <w:sz w:val="14"/>
                <w:szCs w:val="14"/>
                <w:b w:val="1"/>
                <w:bCs w:val="1"/>
                <w:color w:val="auto"/>
                <w:w w:val="94"/>
              </w:rPr>
              <w:t>Three Months Ended October 31, 2020</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center"/>
              <w:ind w:right="60"/>
              <w:spacing w:after="0"/>
              <w:rPr>
                <w:sz w:val="20"/>
                <w:szCs w:val="20"/>
                <w:color w:val="auto"/>
              </w:rPr>
            </w:pPr>
            <w:r>
              <w:rPr>
                <w:rFonts w:ascii="Arial" w:cs="Arial" w:eastAsia="Arial" w:hAnsi="Arial"/>
                <w:sz w:val="14"/>
                <w:szCs w:val="14"/>
                <w:color w:val="auto"/>
                <w:w w:val="95"/>
              </w:rPr>
              <w:t>Voting</w:t>
            </w:r>
          </w:p>
        </w:tc>
        <w:tc>
          <w:tcPr>
            <w:tcW w:w="1380" w:type="dxa"/>
            <w:vAlign w:val="bottom"/>
            <w:gridSpan w:val="3"/>
          </w:tcPr>
          <w:p>
            <w:pPr>
              <w:ind w:left="500"/>
              <w:spacing w:after="0"/>
              <w:rPr>
                <w:sz w:val="20"/>
                <w:szCs w:val="20"/>
                <w:color w:val="auto"/>
              </w:rPr>
            </w:pPr>
            <w:r>
              <w:rPr>
                <w:rFonts w:ascii="Arial" w:cs="Arial" w:eastAsia="Arial" w:hAnsi="Arial"/>
                <w:sz w:val="14"/>
                <w:szCs w:val="14"/>
                <w:color w:val="auto"/>
              </w:rPr>
              <w:t>Non-voting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Additional</w:t>
            </w:r>
          </w:p>
        </w:tc>
        <w:tc>
          <w:tcPr>
            <w:tcW w:w="660" w:type="dxa"/>
            <w:vAlign w:val="bottom"/>
            <w:vMerge w:val="restart"/>
          </w:tcPr>
          <w:p>
            <w:pPr>
              <w:jc w:val="center"/>
              <w:ind w:left="231"/>
              <w:spacing w:after="0"/>
              <w:rPr>
                <w:sz w:val="20"/>
                <w:szCs w:val="20"/>
                <w:color w:val="auto"/>
              </w:rPr>
            </w:pPr>
            <w:r>
              <w:rPr>
                <w:rFonts w:ascii="Arial" w:cs="Arial" w:eastAsia="Arial" w:hAnsi="Arial"/>
                <w:sz w:val="14"/>
                <w:szCs w:val="14"/>
                <w:color w:val="auto"/>
                <w:w w:val="91"/>
              </w:rPr>
              <w:t>Other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7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7"/>
                <w:szCs w:val="7"/>
                <w:color w:val="auto"/>
              </w:rPr>
            </w:pPr>
          </w:p>
        </w:tc>
        <w:tc>
          <w:tcPr>
            <w:tcW w:w="1680" w:type="dxa"/>
            <w:vAlign w:val="bottom"/>
            <w:gridSpan w:val="4"/>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80" w:type="dxa"/>
            <w:vAlign w:val="bottom"/>
            <w:vMerge w:val="restart"/>
          </w:tcPr>
          <w:p>
            <w:pPr>
              <w:spacing w:after="0"/>
              <w:rPr>
                <w:sz w:val="7"/>
                <w:szCs w:val="7"/>
                <w:color w:val="auto"/>
              </w:rPr>
            </w:pPr>
          </w:p>
        </w:tc>
        <w:tc>
          <w:tcPr>
            <w:tcW w:w="1380" w:type="dxa"/>
            <w:vAlign w:val="bottom"/>
            <w:gridSpan w:val="3"/>
            <w:vMerge w:val="restart"/>
          </w:tcPr>
          <w:p>
            <w:pPr>
              <w:jc w:val="center"/>
              <w:ind w:left="248"/>
              <w:spacing w:after="0"/>
              <w:rPr>
                <w:sz w:val="20"/>
                <w:szCs w:val="20"/>
                <w:color w:val="auto"/>
              </w:rPr>
            </w:pPr>
            <w:r>
              <w:rPr>
                <w:rFonts w:ascii="Arial" w:cs="Arial" w:eastAsia="Arial" w:hAnsi="Arial"/>
                <w:sz w:val="14"/>
                <w:szCs w:val="14"/>
                <w:color w:val="auto"/>
                <w:w w:val="94"/>
              </w:rPr>
              <w:t>Common Stock</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17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38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5" w:lineRule="exact"/>
              <w:rPr>
                <w:sz w:val="20"/>
                <w:szCs w:val="20"/>
                <w:color w:val="auto"/>
              </w:rPr>
            </w:pPr>
            <w:r>
              <w:rPr>
                <w:rFonts w:ascii="Arial" w:cs="Arial" w:eastAsia="Arial" w:hAnsi="Arial"/>
                <w:sz w:val="12"/>
                <w:szCs w:val="12"/>
                <w:color w:val="auto"/>
              </w:rPr>
              <w:t>Paid-in</w:t>
            </w:r>
          </w:p>
        </w:tc>
        <w:tc>
          <w:tcPr>
            <w:tcW w:w="1020" w:type="dxa"/>
            <w:vAlign w:val="bottom"/>
            <w:gridSpan w:val="3"/>
          </w:tcPr>
          <w:p>
            <w:pPr>
              <w:jc w:val="center"/>
              <w:ind w:right="80"/>
              <w:spacing w:after="0" w:line="105" w:lineRule="exact"/>
              <w:rPr>
                <w:sz w:val="20"/>
                <w:szCs w:val="20"/>
                <w:color w:val="auto"/>
              </w:rPr>
            </w:pPr>
            <w:r>
              <w:rPr>
                <w:rFonts w:ascii="Arial" w:cs="Arial" w:eastAsia="Arial" w:hAnsi="Arial"/>
                <w:sz w:val="12"/>
                <w:szCs w:val="12"/>
                <w:color w:val="auto"/>
              </w:rPr>
              <w:t>Comprehensive</w:t>
            </w:r>
          </w:p>
        </w:tc>
        <w:tc>
          <w:tcPr>
            <w:tcW w:w="1000" w:type="dxa"/>
            <w:vAlign w:val="bottom"/>
            <w:gridSpan w:val="2"/>
          </w:tcPr>
          <w:p>
            <w:pPr>
              <w:jc w:val="center"/>
              <w:ind w:right="60"/>
              <w:spacing w:after="0" w:line="105" w:lineRule="exact"/>
              <w:rPr>
                <w:sz w:val="20"/>
                <w:szCs w:val="20"/>
                <w:color w:val="auto"/>
              </w:rPr>
            </w:pPr>
            <w:r>
              <w:rPr>
                <w:rFonts w:ascii="Arial" w:cs="Arial" w:eastAsia="Arial" w:hAnsi="Arial"/>
                <w:sz w:val="12"/>
                <w:szCs w:val="12"/>
                <w:color w:val="auto"/>
              </w:rPr>
              <w:t>Accumulated</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960" w:type="dxa"/>
            <w:vAlign w:val="bottom"/>
            <w:gridSpan w:val="3"/>
          </w:tcPr>
          <w:p>
            <w:pPr>
              <w:ind w:left="180"/>
              <w:spacing w:after="0"/>
              <w:rPr>
                <w:sz w:val="20"/>
                <w:szCs w:val="20"/>
                <w:color w:val="auto"/>
              </w:rPr>
            </w:pPr>
            <w:r>
              <w:rPr>
                <w:rFonts w:ascii="Arial" w:cs="Arial" w:eastAsia="Arial" w:hAnsi="Arial"/>
                <w:sz w:val="14"/>
                <w:szCs w:val="14"/>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720" w:type="dxa"/>
            <w:vAlign w:val="bottom"/>
          </w:tcPr>
          <w:p>
            <w:pPr>
              <w:ind w:left="1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7"/>
                <w:szCs w:val="17"/>
                <w:color w:val="auto"/>
              </w:rPr>
            </w:pPr>
          </w:p>
        </w:tc>
        <w:tc>
          <w:tcPr>
            <w:tcW w:w="1080" w:type="dxa"/>
            <w:vAlign w:val="bottom"/>
            <w:gridSpan w:val="4"/>
          </w:tcPr>
          <w:p>
            <w:pPr>
              <w:jc w:val="right"/>
              <w:ind w:right="328"/>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Capital</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Income (Loss)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rPr>
              <w:t>Deficit</w:t>
            </w:r>
          </w:p>
        </w:tc>
        <w:tc>
          <w:tcPr>
            <w:tcW w:w="20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91,122,356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567,314</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202</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   (140,072)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427,490</w:t>
            </w:r>
          </w:p>
        </w:tc>
        <w:tc>
          <w:tcPr>
            <w:tcW w:w="0" w:type="dxa"/>
            <w:vAlign w:val="bottom"/>
          </w:tcPr>
          <w:p>
            <w:pPr>
              <w:spacing w:after="0"/>
              <w:rPr>
                <w:sz w:val="1"/>
                <w:szCs w:val="1"/>
                <w:color w:val="auto"/>
              </w:rPr>
            </w:pPr>
          </w:p>
        </w:tc>
      </w:tr>
      <w:tr>
        <w:trPr>
          <w:trHeight w:val="186"/>
        </w:trPr>
        <w:tc>
          <w:tcPr>
            <w:tcW w:w="20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836,920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8"/>
              </w:rPr>
              <w:t>Stock-based compensation</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5,293</w:t>
            </w:r>
          </w:p>
        </w:tc>
        <w:tc>
          <w:tcPr>
            <w:tcW w:w="0" w:type="dxa"/>
            <w:vAlign w:val="bottom"/>
          </w:tcPr>
          <w:p>
            <w:pPr>
              <w:spacing w:after="0"/>
              <w:rPr>
                <w:sz w:val="1"/>
                <w:szCs w:val="1"/>
                <w:color w:val="auto"/>
              </w:rPr>
            </w:pPr>
          </w:p>
        </w:tc>
      </w:tr>
      <w:tr>
        <w:trPr>
          <w:trHeight w:val="182"/>
        </w:trPr>
        <w:tc>
          <w:tcPr>
            <w:tcW w:w="2040" w:type="dxa"/>
            <w:vAlign w:val="bottom"/>
          </w:tcPr>
          <w:p>
            <w:pPr>
              <w:ind w:left="36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520" w:hanging="161"/>
        <w:spacing w:after="0" w:line="260" w:lineRule="auto"/>
        <w:rPr>
          <w:sz w:val="20"/>
          <w:szCs w:val="20"/>
          <w:color w:val="auto"/>
        </w:rPr>
      </w:pPr>
      <w:r>
        <w:rPr>
          <w:rFonts w:ascii="Arial" w:cs="Arial" w:eastAsia="Arial" w:hAnsi="Arial"/>
          <w:sz w:val="12"/>
          <w:szCs w:val="12"/>
          <w:color w:val="auto"/>
        </w:rPr>
        <w:t>Net loss attributable to nCino, Inc., including adjustment to redeemable non-controlling interest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October 31, 2020</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(9,063)</w:t>
            </w:r>
          </w:p>
        </w:tc>
      </w:tr>
      <w:tr>
        <w:trPr>
          <w:trHeight w:val="185"/>
        </w:trPr>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91,959,276</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575,529</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(149,059)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426,717</w:t>
            </w:r>
          </w:p>
        </w:tc>
      </w:tr>
      <w:tr>
        <w:trPr>
          <w:trHeight w:val="24"/>
        </w:trPr>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-539750</wp:posOffset>
            </wp:positionV>
            <wp:extent cx="713232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40"/>
            <w:col w:w="9200"/>
          </w:cols>
          <w:pgMar w:left="320" w:top="121" w:right="33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Three Months Ended October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2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8"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8"/>
                <w:szCs w:val="8"/>
                <w:color w:val="auto"/>
              </w:rPr>
            </w:pPr>
          </w:p>
        </w:tc>
        <w:tc>
          <w:tcPr>
            <w:tcW w:w="1100" w:type="dxa"/>
            <w:vAlign w:val="bottom"/>
            <w:gridSpan w:val="2"/>
          </w:tcPr>
          <w:p>
            <w:pPr>
              <w:ind w:left="60"/>
              <w:spacing w:after="0" w:line="102" w:lineRule="exact"/>
              <w:rPr>
                <w:sz w:val="20"/>
                <w:szCs w:val="20"/>
                <w:color w:val="auto"/>
              </w:rPr>
            </w:pPr>
            <w:r>
              <w:rPr>
                <w:rFonts w:ascii="Arial" w:cs="Arial" w:eastAsia="Arial" w:hAnsi="Arial"/>
                <w:sz w:val="11"/>
                <w:szCs w:val="11"/>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95,927,741</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610,166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(190,062)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419,893</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559,703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issuance upon vesting of restricted stock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204,187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5,845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income</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35"/>
        </w:trPr>
        <w:tc>
          <w:tcPr>
            <w:tcW w:w="3860" w:type="dxa"/>
            <w:vAlign w:val="bottom"/>
          </w:tcPr>
          <w:p>
            <w:pPr>
              <w:ind w:left="360"/>
              <w:spacing w:after="0" w:line="135" w:lineRule="exact"/>
              <w:rPr>
                <w:sz w:val="20"/>
                <w:szCs w:val="20"/>
                <w:color w:val="auto"/>
              </w:rPr>
            </w:pPr>
            <w:r>
              <w:rPr>
                <w:rFonts w:ascii="Arial" w:cs="Arial" w:eastAsia="Arial" w:hAnsi="Arial"/>
                <w:sz w:val="14"/>
                <w:szCs w:val="14"/>
                <w:color w:val="auto"/>
                <w:w w:val="96"/>
              </w:rPr>
              <w:t>Net loss attributable to nCino, Inc., including adjustment to</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(13,268)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(13,636)</w:t>
            </w:r>
          </w:p>
        </w:tc>
        <w:tc>
          <w:tcPr>
            <w:tcW w:w="0" w:type="dxa"/>
            <w:vAlign w:val="bottom"/>
          </w:tcPr>
          <w:p>
            <w:pPr>
              <w:spacing w:after="0"/>
              <w:rPr>
                <w:sz w:val="1"/>
                <w:szCs w:val="1"/>
                <w:color w:val="auto"/>
              </w:rPr>
            </w:pPr>
          </w:p>
        </w:tc>
      </w:tr>
      <w:tr>
        <w:trPr>
          <w:trHeight w:val="186"/>
        </w:trPr>
        <w:tc>
          <w:tcPr>
            <w:tcW w:w="3860" w:type="dxa"/>
            <w:vAlign w:val="bottom"/>
          </w:tcPr>
          <w:p>
            <w:pPr>
              <w:ind w:left="520"/>
              <w:spacing w:after="0"/>
              <w:rPr>
                <w:sz w:val="20"/>
                <w:szCs w:val="20"/>
                <w:color w:val="auto"/>
              </w:rPr>
            </w:pPr>
            <w:r>
              <w:rPr>
                <w:rFonts w:ascii="Arial" w:cs="Arial" w:eastAsia="Arial" w:hAnsi="Arial"/>
                <w:sz w:val="14"/>
                <w:szCs w:val="14"/>
                <w:color w:val="auto"/>
              </w:rPr>
              <w:t>redeemable non-controlling interest</w:t>
            </w:r>
          </w:p>
        </w:tc>
        <w:tc>
          <w:tcPr>
            <w:tcW w:w="12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October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96,691,631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619,063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415,767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Nine Months Ended October 31, 2020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left="608"/>
              <w:spacing w:after="0"/>
              <w:rPr>
                <w:sz w:val="20"/>
                <w:szCs w:val="20"/>
                <w:color w:val="auto"/>
              </w:rPr>
            </w:pPr>
            <w:r>
              <w:rPr>
                <w:rFonts w:ascii="Arial" w:cs="Arial" w:eastAsia="Arial" w:hAnsi="Arial"/>
                <w:sz w:val="14"/>
                <w:szCs w:val="14"/>
                <w:color w:val="auto"/>
                <w:w w:val="95"/>
              </w:rPr>
              <w:t>Voting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148"/>
              <w:spacing w:after="0"/>
              <w:rPr>
                <w:sz w:val="20"/>
                <w:szCs w:val="20"/>
                <w:color w:val="auto"/>
              </w:rPr>
            </w:pPr>
            <w:r>
              <w:rPr>
                <w:rFonts w:ascii="Arial" w:cs="Arial" w:eastAsia="Arial" w:hAnsi="Arial"/>
                <w:sz w:val="14"/>
                <w:szCs w:val="14"/>
                <w:color w:val="auto"/>
              </w:rPr>
              <w:t>Non-voting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4"/>
                <w:szCs w:val="14"/>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68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7"/>
                <w:szCs w:val="7"/>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00" w:type="dxa"/>
            <w:vAlign w:val="bottom"/>
            <w:vMerge w:val="restart"/>
          </w:tcPr>
          <w:p>
            <w:pPr>
              <w:spacing w:after="0"/>
              <w:rPr>
                <w:sz w:val="7"/>
                <w:szCs w:val="7"/>
                <w:color w:val="auto"/>
              </w:rPr>
            </w:pPr>
          </w:p>
        </w:tc>
        <w:tc>
          <w:tcPr>
            <w:tcW w:w="13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5" w:lineRule="exact"/>
              <w:rPr>
                <w:sz w:val="20"/>
                <w:szCs w:val="20"/>
                <w:color w:val="auto"/>
              </w:rPr>
            </w:pPr>
            <w:r>
              <w:rPr>
                <w:rFonts w:ascii="Arial" w:cs="Arial" w:eastAsia="Arial" w:hAnsi="Arial"/>
                <w:sz w:val="12"/>
                <w:szCs w:val="12"/>
                <w:color w:val="auto"/>
              </w:rPr>
              <w:t>Paid-in</w:t>
            </w:r>
          </w:p>
        </w:tc>
        <w:tc>
          <w:tcPr>
            <w:tcW w:w="1020" w:type="dxa"/>
            <w:vAlign w:val="bottom"/>
            <w:gridSpan w:val="3"/>
          </w:tcPr>
          <w:p>
            <w:pPr>
              <w:ind w:left="20"/>
              <w:spacing w:after="0" w:line="105" w:lineRule="exact"/>
              <w:rPr>
                <w:sz w:val="20"/>
                <w:szCs w:val="20"/>
                <w:color w:val="auto"/>
              </w:rPr>
            </w:pPr>
            <w:r>
              <w:rPr>
                <w:rFonts w:ascii="Arial" w:cs="Arial" w:eastAsia="Arial" w:hAnsi="Arial"/>
                <w:sz w:val="12"/>
                <w:szCs w:val="12"/>
                <w:color w:val="auto"/>
              </w:rPr>
              <w:t>Comprehensive</w:t>
            </w:r>
          </w:p>
        </w:tc>
        <w:tc>
          <w:tcPr>
            <w:tcW w:w="980" w:type="dxa"/>
            <w:vAlign w:val="bottom"/>
            <w:gridSpan w:val="3"/>
          </w:tcPr>
          <w:p>
            <w:pPr>
              <w:jc w:val="right"/>
              <w:ind w:right="140"/>
              <w:spacing w:after="0" w:line="105" w:lineRule="exact"/>
              <w:rPr>
                <w:sz w:val="20"/>
                <w:szCs w:val="20"/>
                <w:color w:val="auto"/>
              </w:rPr>
            </w:pPr>
            <w:r>
              <w:rPr>
                <w:rFonts w:ascii="Arial" w:cs="Arial" w:eastAsia="Arial" w:hAnsi="Arial"/>
                <w:sz w:val="12"/>
                <w:szCs w:val="12"/>
                <w:color w:val="auto"/>
              </w:rPr>
              <w:t>Accumulated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Amount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7"/>
                <w:szCs w:val="17"/>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Capital</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Deficit</w:t>
            </w: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75,596,007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w w:val="89"/>
              </w:rPr>
              <w:t>38</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5,931,319</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288,564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167,273</w:t>
            </w: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Arial" w:cs="Arial" w:eastAsia="Arial" w:hAnsi="Arial"/>
                <w:sz w:val="14"/>
                <w:szCs w:val="14"/>
                <w:color w:val="auto"/>
              </w:rPr>
              <w:t>Issuance of common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in connection with initial</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public offering, net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underwriting discounts</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268,370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268,375</w:t>
            </w:r>
          </w:p>
        </w:tc>
        <w:tc>
          <w:tcPr>
            <w:tcW w:w="0" w:type="dxa"/>
            <w:vAlign w:val="bottom"/>
          </w:tcPr>
          <w:p>
            <w:pPr>
              <w:spacing w:after="0"/>
              <w:rPr>
                <w:sz w:val="1"/>
                <w:szCs w:val="1"/>
                <w:color w:val="auto"/>
              </w:rPr>
            </w:pPr>
          </w:p>
        </w:tc>
      </w:tr>
      <w:tr>
        <w:trPr>
          <w:trHeight w:val="186"/>
        </w:trPr>
        <w:tc>
          <w:tcPr>
            <w:tcW w:w="2040" w:type="dxa"/>
            <w:vAlign w:val="bottom"/>
          </w:tcPr>
          <w:p>
            <w:pPr>
              <w:ind w:left="520"/>
              <w:spacing w:after="0"/>
              <w:rPr>
                <w:sz w:val="20"/>
                <w:szCs w:val="20"/>
                <w:color w:val="auto"/>
              </w:rPr>
            </w:pPr>
            <w:r>
              <w:rPr>
                <w:rFonts w:ascii="Arial" w:cs="Arial" w:eastAsia="Arial" w:hAnsi="Arial"/>
                <w:sz w:val="14"/>
                <w:szCs w:val="14"/>
                <w:color w:val="auto"/>
              </w:rPr>
              <w:t>and commissions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Costs in connection with</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initial public offering</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837,420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325,530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Reclassification of voting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520"/>
              <w:spacing w:after="0" w:line="135" w:lineRule="exact"/>
              <w:rPr>
                <w:sz w:val="20"/>
                <w:szCs w:val="20"/>
                <w:color w:val="auto"/>
              </w:rPr>
            </w:pPr>
            <w:r>
              <w:rPr>
                <w:rFonts w:ascii="Arial" w:cs="Arial" w:eastAsia="Arial" w:hAnsi="Arial"/>
                <w:sz w:val="14"/>
                <w:szCs w:val="14"/>
                <w:color w:val="auto"/>
                <w:w w:val="99"/>
              </w:rPr>
              <w:t>and non-voting common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(75,921,537)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308"/>
              <w:spacing w:after="0"/>
              <w:rPr>
                <w:sz w:val="20"/>
                <w:szCs w:val="20"/>
                <w:color w:val="auto"/>
              </w:rPr>
            </w:pPr>
            <w:r>
              <w:rPr>
                <w:rFonts w:ascii="Arial" w:cs="Arial" w:eastAsia="Arial" w:hAnsi="Arial"/>
                <w:sz w:val="14"/>
                <w:szCs w:val="14"/>
                <w:color w:val="auto"/>
                <w:w w:val="96"/>
              </w:rPr>
              <w:t>(38)</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(5,931,319)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stock</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360"/>
              <w:spacing w:after="0"/>
              <w:rPr>
                <w:sz w:val="20"/>
                <w:szCs w:val="20"/>
                <w:color w:val="auto"/>
              </w:rPr>
            </w:pPr>
            <w:r>
              <w:rPr>
                <w:rFonts w:ascii="Arial" w:cs="Arial" w:eastAsia="Arial" w:hAnsi="Arial"/>
                <w:sz w:val="14"/>
                <w:szCs w:val="14"/>
                <w:color w:val="auto"/>
                <w:w w:val="98"/>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19,613</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Other comprehensive</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Arial" w:cs="Arial" w:eastAsia="Arial" w:hAnsi="Arial"/>
                <w:sz w:val="14"/>
                <w:szCs w:val="14"/>
                <w:color w:val="auto"/>
              </w:rPr>
              <w:t>Net loss attributable to</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nCino, Inc., including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w w:val="92"/>
              </w:rPr>
              <w:t>adjustment to redeemable</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(28,135)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(28,478)</w:t>
            </w:r>
          </w:p>
        </w:tc>
        <w:tc>
          <w:tcPr>
            <w:tcW w:w="0" w:type="dxa"/>
            <w:vAlign w:val="bottom"/>
          </w:tcPr>
          <w:p>
            <w:pPr>
              <w:spacing w:after="0"/>
              <w:rPr>
                <w:sz w:val="1"/>
                <w:szCs w:val="1"/>
                <w:color w:val="auto"/>
              </w:rPr>
            </w:pPr>
          </w:p>
        </w:tc>
      </w:tr>
      <w:tr>
        <w:trPr>
          <w:trHeight w:val="186"/>
        </w:trPr>
        <w:tc>
          <w:tcPr>
            <w:tcW w:w="2040" w:type="dxa"/>
            <w:vAlign w:val="bottom"/>
          </w:tcPr>
          <w:p>
            <w:pPr>
              <w:ind w:left="520"/>
              <w:spacing w:after="0"/>
              <w:rPr>
                <w:sz w:val="20"/>
                <w:szCs w:val="20"/>
                <w:color w:val="auto"/>
              </w:rPr>
            </w:pPr>
            <w:r>
              <w:rPr>
                <w:rFonts w:ascii="Arial" w:cs="Arial" w:eastAsia="Arial" w:hAnsi="Arial"/>
                <w:sz w:val="14"/>
                <w:szCs w:val="14"/>
                <w:color w:val="auto"/>
              </w:rPr>
              <w:t>non-controlling interest</w:t>
            </w: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October 31,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91,959,276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575,529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426,717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8"/>
              </w:rPr>
              <w:t>Nine Months Ended October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12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8"/>
                <w:szCs w:val="8"/>
                <w:color w:val="auto"/>
              </w:rPr>
            </w:pPr>
          </w:p>
        </w:tc>
        <w:tc>
          <w:tcPr>
            <w:tcW w:w="1100" w:type="dxa"/>
            <w:vAlign w:val="bottom"/>
            <w:gridSpan w:val="2"/>
          </w:tcPr>
          <w:p>
            <w:pPr>
              <w:ind w:left="60"/>
              <w:spacing w:after="0" w:line="102" w:lineRule="exact"/>
              <w:rPr>
                <w:sz w:val="20"/>
                <w:szCs w:val="20"/>
                <w:color w:val="auto"/>
              </w:rPr>
            </w:pPr>
            <w:r>
              <w:rPr>
                <w:rFonts w:ascii="Arial" w:cs="Arial" w:eastAsia="Arial" w:hAnsi="Arial"/>
                <w:sz w:val="11"/>
                <w:szCs w:val="11"/>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93,643,759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585,956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(161,064)</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425,179</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2,527,287</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12,620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issuance upon vesting of restricted stock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520,585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20,549</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35"/>
        </w:trPr>
        <w:tc>
          <w:tcPr>
            <w:tcW w:w="3860" w:type="dxa"/>
            <w:vAlign w:val="bottom"/>
          </w:tcPr>
          <w:p>
            <w:pPr>
              <w:ind w:left="360"/>
              <w:spacing w:after="0" w:line="135" w:lineRule="exact"/>
              <w:rPr>
                <w:sz w:val="20"/>
                <w:szCs w:val="20"/>
                <w:color w:val="auto"/>
              </w:rPr>
            </w:pPr>
            <w:r>
              <w:rPr>
                <w:rFonts w:ascii="Arial" w:cs="Arial" w:eastAsia="Arial" w:hAnsi="Arial"/>
                <w:sz w:val="14"/>
                <w:szCs w:val="14"/>
                <w:color w:val="auto"/>
                <w:w w:val="96"/>
              </w:rPr>
              <w:t>Net loss attributable to nCino, Inc., including adjustment to</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(42,266)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(42,327)</w:t>
            </w:r>
          </w:p>
        </w:tc>
        <w:tc>
          <w:tcPr>
            <w:tcW w:w="0" w:type="dxa"/>
            <w:vAlign w:val="bottom"/>
          </w:tcPr>
          <w:p>
            <w:pPr>
              <w:spacing w:after="0"/>
              <w:rPr>
                <w:sz w:val="1"/>
                <w:szCs w:val="1"/>
                <w:color w:val="auto"/>
              </w:rPr>
            </w:pPr>
          </w:p>
        </w:tc>
      </w:tr>
      <w:tr>
        <w:trPr>
          <w:trHeight w:val="186"/>
        </w:trPr>
        <w:tc>
          <w:tcPr>
            <w:tcW w:w="3860" w:type="dxa"/>
            <w:vAlign w:val="bottom"/>
          </w:tcPr>
          <w:p>
            <w:pPr>
              <w:ind w:left="520"/>
              <w:spacing w:after="0"/>
              <w:rPr>
                <w:sz w:val="20"/>
                <w:szCs w:val="20"/>
                <w:color w:val="auto"/>
              </w:rPr>
            </w:pPr>
            <w:r>
              <w:rPr>
                <w:rFonts w:ascii="Arial" w:cs="Arial" w:eastAsia="Arial" w:hAnsi="Arial"/>
                <w:sz w:val="14"/>
                <w:szCs w:val="14"/>
                <w:color w:val="auto"/>
              </w:rPr>
              <w:t>redeemable non-controlling interest</w:t>
            </w:r>
          </w:p>
        </w:tc>
        <w:tc>
          <w:tcPr>
            <w:tcW w:w="12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October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96,691,631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619,063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415,767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0"/>
        </w:trPr>
        <w:tc>
          <w:tcPr>
            <w:tcW w:w="8420" w:type="dxa"/>
            <w:vAlign w:val="bottom"/>
          </w:tcPr>
          <w:p>
            <w:pPr>
              <w:ind w:left="360"/>
              <w:spacing w:after="0"/>
              <w:rPr>
                <w:sz w:val="20"/>
                <w:szCs w:val="20"/>
                <w:color w:val="auto"/>
              </w:rPr>
            </w:pPr>
            <w:r>
              <w:rPr>
                <w:rFonts w:ascii="Arial" w:cs="Arial" w:eastAsia="Arial" w:hAnsi="Arial"/>
                <w:sz w:val="16"/>
                <w:szCs w:val="16"/>
                <w:color w:val="auto"/>
              </w:rPr>
              <w:t>Net loss attributable to nCino,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(28,478)</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(42,327)</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r>
      <w:tr>
        <w:trPr>
          <w:trHeight w:val="220"/>
        </w:trPr>
        <w:tc>
          <w:tcPr>
            <w:tcW w:w="8420" w:type="dxa"/>
            <w:vAlign w:val="bottom"/>
          </w:tcPr>
          <w:p>
            <w:pPr>
              <w:ind w:left="36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(43,525)</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6,139</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operating lease costs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Amortization of costs capitalized to obtain revenue contracts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4,157</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20,549</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bad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Net foreign currency losses</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21,614</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 related parties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Pr>
          <w:p>
            <w:pPr>
              <w:ind w:left="1000"/>
              <w:spacing w:after="0"/>
              <w:rPr>
                <w:sz w:val="20"/>
                <w:szCs w:val="20"/>
                <w:color w:val="auto"/>
              </w:rPr>
            </w:pPr>
            <w:r>
              <w:rPr>
                <w:rFonts w:ascii="Arial" w:cs="Arial" w:eastAsia="Arial" w:hAnsi="Arial"/>
                <w:sz w:val="16"/>
                <w:szCs w:val="16"/>
                <w:color w:val="auto"/>
              </w:rPr>
              <w:t>Costs capitalized to obtain revenue contracts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(5,848)</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payable and accrued expenses and other liabilities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1,887</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payable, related parties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Deferred rent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Deferred revenue, related parties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w:t>
            </w:r>
          </w:p>
        </w:tc>
      </w:tr>
      <w:tr>
        <w:trPr>
          <w:trHeight w:val="206"/>
        </w:trPr>
        <w:tc>
          <w:tcPr>
            <w:tcW w:w="8420" w:type="dxa"/>
            <w:vAlign w:val="bottom"/>
            <w:tcBorders>
              <w:bottom w:val="single" w:sz="8" w:color="CCEEFF"/>
            </w:tcBorders>
          </w:tcPr>
          <w:p>
            <w:pPr>
              <w:ind w:left="132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21,147</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1,823</w:t>
            </w:r>
          </w:p>
        </w:tc>
      </w:tr>
      <w:tr>
        <w:trPr>
          <w:trHeight w:val="226"/>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w:t>
            </w: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Payments of costs related to initial public offering</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Exercise of stock options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12,620</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Principal payments on financing obligations</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26"/>
        </w:trPr>
        <w:tc>
          <w:tcPr>
            <w:tcW w:w="842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12,439</w:t>
            </w:r>
          </w:p>
        </w:tc>
      </w:tr>
      <w:tr>
        <w:trPr>
          <w:trHeight w:val="22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foreign currency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r>
      <w:tr>
        <w:trPr>
          <w:trHeight w:val="24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91,184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371,425</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378,584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381,415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378,584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381,080</w:t>
            </w:r>
          </w:p>
        </w:tc>
      </w:tr>
      <w:tr>
        <w:trPr>
          <w:trHeight w:val="24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Restricted cash included in other long-term assets</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2"/>
        </w:trPr>
        <w:tc>
          <w:tcPr>
            <w:tcW w:w="8420" w:type="dxa"/>
            <w:vAlign w:val="bottom"/>
          </w:tcPr>
          <w:p>
            <w:pPr>
              <w:ind w:left="360"/>
              <w:spacing w:after="0"/>
              <w:rPr>
                <w:sz w:val="20"/>
                <w:szCs w:val="20"/>
                <w:color w:val="auto"/>
              </w:rPr>
            </w:pPr>
            <w:r>
              <w:rPr>
                <w:rFonts w:ascii="Arial" w:cs="Arial" w:eastAsia="Arial" w:hAnsi="Arial"/>
                <w:sz w:val="16"/>
                <w:szCs w:val="16"/>
                <w:color w:val="auto"/>
              </w:rPr>
              <w:t>Total cash, cash equivalents, and restricted cash,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378,584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381,415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paid during the year for taxes, net of refunds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420" w:type="dxa"/>
            <w:vAlign w:val="bottom"/>
          </w:tcPr>
          <w:p>
            <w:pPr>
              <w:ind w:left="680"/>
              <w:spacing w:after="0"/>
              <w:rPr>
                <w:sz w:val="20"/>
                <w:szCs w:val="20"/>
                <w:color w:val="auto"/>
              </w:rPr>
            </w:pPr>
            <w:r>
              <w:rPr>
                <w:rFonts w:ascii="Arial" w:cs="Arial" w:eastAsia="Arial" w:hAnsi="Arial"/>
                <w:sz w:val="16"/>
                <w:szCs w:val="16"/>
                <w:color w:val="auto"/>
              </w:rPr>
              <w:t>Cash paid during the year for interest on financing obligations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20" w:type="dxa"/>
            <w:vAlign w:val="bottom"/>
          </w:tcPr>
          <w:p>
            <w:pPr>
              <w:ind w:left="680"/>
              <w:spacing w:after="0"/>
              <w:rPr>
                <w:sz w:val="20"/>
                <w:szCs w:val="20"/>
                <w:color w:val="auto"/>
              </w:rPr>
            </w:pPr>
            <w:r>
              <w:rPr>
                <w:rFonts w:ascii="Arial" w:cs="Arial" w:eastAsia="Arial" w:hAnsi="Arial"/>
                <w:sz w:val="16"/>
                <w:szCs w:val="16"/>
                <w:color w:val="auto"/>
              </w:rPr>
              <w:t>Purchase of property and equipment, accrued but not paid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Building-leased facility acquired through financing obligation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8420" w:type="dxa"/>
            <w:vAlign w:val="bottom"/>
          </w:tcPr>
          <w:p>
            <w:pPr>
              <w:ind w:left="680"/>
              <w:spacing w:after="0"/>
              <w:rPr>
                <w:sz w:val="20"/>
                <w:szCs w:val="20"/>
                <w:color w:val="auto"/>
              </w:rPr>
            </w:pPr>
            <w:r>
              <w:rPr>
                <w:rFonts w:ascii="Arial" w:cs="Arial" w:eastAsia="Arial" w:hAnsi="Arial"/>
                <w:sz w:val="16"/>
                <w:szCs w:val="16"/>
                <w:color w:val="auto"/>
              </w:rPr>
              <w:t>Costs related to initial public offering, accrued but not paid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Costs related to initial public offering, reclassified from other long term assets to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ind w:right="100" w:firstLine="89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is a software-as-a-service ("SaaS") company that provides software applications to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streamline employee and client interactions. The Company is headquartered in Wilmington, North Carolina and has offices in Salt Lake City, Utah; London, United Kingdom; Sydney, Australia; Melbourne, Australia; Toronto, Canada; and Tokyo, Japan.</w:t>
      </w:r>
    </w:p>
    <w:p>
      <w:pPr>
        <w:spacing w:after="0" w:line="180"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color w:val="auto"/>
        </w:rPr>
        <w:t>On November 16, 2021, the Company entered into an Agreement and Plan of Merger (the "Merger Agreement") with Penny HoldCo, Inc., a Delaware corporation and wholly-owned subsidiary of the Company ("Parent"), SimpleNexus, LLC, a Utah limited liability company ("SimpleNexus"), and certain other parties thereto providing for a merger transaction with the Company and SimpleNexus surviving as wholly-owned subsidiaries of Parent and the holders of shares of the Company's common stock, par value $0.0005 ("Company Common Stock") immediately prior to the effectuation of the merger transaction receiving a commensurate number of shares of Parent common stock, par value $0.0005 ("Parent Common Stock"). See Note 15 "Subsequent Event" for additional information regarding the Merger Agreement.</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2021 filed with the SEC on March 31, 2021. The unaudited condensed consolidated financial statements include accounts of the Company’s wholly-owned subsidiaries, as well as a variable interest entity in which the Company is the primary beneficiary. All intercompany accounts and transactions are eliminated. See the variable interest entity section below and Note 3 "Variable Interest Entity and Redeemable Non-Controlling Interest" for additional information regarding the Company’s variable interest entity.</w:t>
      </w:r>
    </w:p>
    <w:p>
      <w:pPr>
        <w:spacing w:after="0" w:line="165"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2022 or any future period.</w:t>
      </w:r>
    </w:p>
    <w:p>
      <w:pPr>
        <w:spacing w:after="0" w:line="184" w:lineRule="exact"/>
        <w:rPr>
          <w:sz w:val="20"/>
          <w:szCs w:val="20"/>
          <w:color w:val="auto"/>
        </w:rPr>
      </w:pPr>
    </w:p>
    <w:p>
      <w:pPr>
        <w:ind w:right="140" w:firstLine="891"/>
        <w:spacing w:after="0" w:line="342" w:lineRule="auto"/>
        <w:rPr>
          <w:sz w:val="20"/>
          <w:szCs w:val="20"/>
          <w:color w:val="auto"/>
        </w:rPr>
      </w:pPr>
      <w:r>
        <w:rPr>
          <w:rFonts w:ascii="Arial" w:cs="Arial" w:eastAsia="Arial" w:hAnsi="Arial"/>
          <w:sz w:val="16"/>
          <w:szCs w:val="16"/>
          <w:color w:val="auto"/>
        </w:rPr>
        <w:t>In March 2021, a Certificate of Amendment was filed with the state of Delaware for Visible Equity, LLC ("Visible Equity"), a wholly-owned subsidiary of the Company, to change its name to nCino Portfolio Analytics, LLC. The state of Delaware effected the name change in April 2021.</w:t>
      </w:r>
    </w:p>
    <w:p>
      <w:pPr>
        <w:spacing w:after="0" w:line="124" w:lineRule="exact"/>
        <w:rPr>
          <w:sz w:val="20"/>
          <w:szCs w:val="20"/>
          <w:color w:val="auto"/>
        </w:rPr>
      </w:pPr>
    </w:p>
    <w:p>
      <w:pPr>
        <w:ind w:right="340" w:firstLine="891"/>
        <w:spacing w:after="0" w:line="286" w:lineRule="auto"/>
        <w:rPr>
          <w:sz w:val="20"/>
          <w:szCs w:val="20"/>
          <w:color w:val="auto"/>
        </w:rPr>
      </w:pPr>
      <w:r>
        <w:rPr>
          <w:rFonts w:ascii="Arial" w:cs="Arial" w:eastAsia="Arial" w:hAnsi="Arial"/>
          <w:sz w:val="17"/>
          <w:szCs w:val="17"/>
          <w:color w:val="auto"/>
        </w:rPr>
        <w:t xml:space="preserve">Effective February 1, 2021, the Company adopted the requirement of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using the alternative transition method. Under this method, the Company is not required to restate or disclose the effects of applying this ASU for comparative periods. See the Recently Adopted Accounting Guidance section for the adoption of ASU 2016-02, </w:t>
      </w:r>
      <w:r>
        <w:rPr>
          <w:rFonts w:ascii="Arial" w:cs="Arial" w:eastAsia="Arial" w:hAnsi="Arial"/>
          <w:sz w:val="17"/>
          <w:szCs w:val="17"/>
          <w:i w:val="1"/>
          <w:iCs w:val="1"/>
          <w:color w:val="auto"/>
        </w:rPr>
        <w:t>Leases (Topic 842).</w:t>
      </w:r>
    </w:p>
    <w:p>
      <w:pPr>
        <w:spacing w:after="0" w:line="161" w:lineRule="exact"/>
        <w:rPr>
          <w:sz w:val="20"/>
          <w:szCs w:val="20"/>
          <w:color w:val="auto"/>
        </w:rPr>
      </w:pPr>
    </w:p>
    <w:p>
      <w:pPr>
        <w:ind w:right="180" w:firstLine="891"/>
        <w:spacing w:after="0" w:line="282"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("VIE"). nCino K.K. is considered a VIE as it has insufficient equity capital to finance its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77"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b w:val="1"/>
          <w:bCs w:val="1"/>
          <w:color w:val="auto"/>
        </w:rPr>
        <w:t xml:space="preserve">Redeemable Non-Controlling Interest: </w:t>
      </w:r>
      <w:r>
        <w:rPr>
          <w:rFonts w:ascii="Arial" w:cs="Arial" w:eastAsia="Arial" w:hAnsi="Arial"/>
          <w:sz w:val="17"/>
          <w:szCs w:val="17"/>
          <w:color w:val="auto"/>
        </w:rPr>
        <w:t>Redeemable non-controlling interest relates to minority investors of nCino K.K. An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4"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unaudited condensed consolidated financial statements in conformity with GAAP requires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73" w:lineRule="exact"/>
        <w:rPr>
          <w:sz w:val="20"/>
          <w:szCs w:val="20"/>
          <w:color w:val="auto"/>
        </w:rPr>
      </w:pPr>
    </w:p>
    <w:p>
      <w:pPr>
        <w:ind w:right="100" w:firstLine="891"/>
        <w:spacing w:after="0" w:line="261" w:lineRule="auto"/>
        <w:rPr>
          <w:sz w:val="20"/>
          <w:szCs w:val="20"/>
          <w:color w:val="auto"/>
        </w:rPr>
      </w:pPr>
      <w:r>
        <w:rPr>
          <w:rFonts w:ascii="Arial" w:cs="Arial" w:eastAsia="Arial" w:hAnsi="Arial"/>
          <w:sz w:val="18"/>
          <w:szCs w:val="18"/>
          <w:b w:val="1"/>
          <w:bCs w:val="1"/>
          <w:color w:val="auto"/>
        </w:rPr>
        <w:t xml:space="preserve">Concentration of Credit Risk and Significant Customers: </w:t>
      </w:r>
      <w:r>
        <w:rPr>
          <w:rFonts w:ascii="Arial" w:cs="Arial" w:eastAsia="Arial" w:hAnsi="Arial"/>
          <w:sz w:val="18"/>
          <w:szCs w:val="18"/>
          <w:color w:val="auto"/>
        </w:rPr>
        <w:t>The Company’s financial instruments that are exposed to concentration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cash equivalents and restricted cash. The Company’s cash and cash equivalents exceeded the Federal deposit insurance limit at January 31, 2021 and October 31, 2021. The Company maintains its cash, cash equivalents and restricted cash with high-credit-quality financial institutions.</w:t>
      </w:r>
    </w:p>
    <w:p>
      <w:pPr>
        <w:spacing w:after="0" w:line="184"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As of January 31, 2021, no individual customer represented more than 10% of accounts receivable and, as of October 31, 2021, one customer represented 34% of accounts receivable. For the three and nine months ended October 31, 2020 and 2021, no individual customer represented more than 10% of the Company’s total revenues.</w:t>
      </w:r>
    </w:p>
    <w:p>
      <w:pPr>
        <w:spacing w:after="0" w:line="180" w:lineRule="exact"/>
        <w:rPr>
          <w:sz w:val="20"/>
          <w:szCs w:val="20"/>
          <w:color w:val="auto"/>
        </w:rPr>
      </w:pPr>
    </w:p>
    <w:p>
      <w:pPr>
        <w:ind w:right="80" w:firstLine="891"/>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consists of deposits held as collateral for the Company's bank guarantees issued in place of security 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for certain property leases.</w:t>
      </w:r>
    </w:p>
    <w:p>
      <w:pPr>
        <w:spacing w:after="0" w:line="162" w:lineRule="exact"/>
        <w:rPr>
          <w:sz w:val="20"/>
          <w:szCs w:val="20"/>
          <w:color w:val="auto"/>
        </w:rPr>
      </w:pPr>
    </w:p>
    <w:p>
      <w:pPr>
        <w:ind w:right="100" w:firstLine="891"/>
        <w:spacing w:after="0" w:line="298"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 that</w:t>
      </w:r>
      <w:r>
        <w:rPr>
          <w:rFonts w:ascii="Arial" w:cs="Arial" w:eastAsia="Arial" w:hAnsi="Arial"/>
          <w:sz w:val="16"/>
          <w:szCs w:val="16"/>
          <w:b w:val="1"/>
          <w:bCs w:val="1"/>
          <w:color w:val="auto"/>
        </w:rPr>
        <w:t xml:space="preserve"> </w:t>
      </w:r>
      <w:r>
        <w:rPr>
          <w:rFonts w:ascii="Arial" w:cs="Arial" w:eastAsia="Arial" w:hAnsi="Arial"/>
          <w:sz w:val="16"/>
          <w:szCs w:val="16"/>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w:t>
      </w:r>
    </w:p>
    <w:p>
      <w:pPr>
        <w:jc w:val="both"/>
        <w:ind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190"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 xml:space="preserve">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See the Recently Adopted Accounting Guidance section for the adoption of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Measurement of Credit Losses on Financial Instruments.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5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Charged to (recovery of) bad debt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91"/>
        <w:spacing w:after="0" w:line="258"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determines if an arrangement is or contains a lease at inception date based on whether there is an identified asset and</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October 31, 2021.</w:t>
      </w:r>
    </w:p>
    <w:p>
      <w:pPr>
        <w:spacing w:after="0" w:line="187"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The Company's leases do not generally provide an implicit rate; therefore, the Company uses its incremental borrowing rate in determining the present value of the lease payments. Lease expense is recognized on a straight-line basis over the lease term.</w:t>
      </w:r>
    </w:p>
    <w:p>
      <w:pPr>
        <w:spacing w:after="0" w:line="192"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Company does not recognize ROU assets or lease liabilities for leases with a term of 12 months or less. Lease expense for such leases is recognized on a straight-line basis over the lease term.</w:t>
      </w:r>
    </w:p>
    <w:p>
      <w:pPr>
        <w:spacing w:after="0" w:line="166" w:lineRule="exact"/>
        <w:rPr>
          <w:sz w:val="20"/>
          <w:szCs w:val="20"/>
          <w:color w:val="auto"/>
        </w:rPr>
      </w:pPr>
    </w:p>
    <w:p>
      <w:pPr>
        <w:ind w:right="100" w:firstLine="891"/>
        <w:spacing w:after="0" w:line="270" w:lineRule="auto"/>
        <w:rPr>
          <w:sz w:val="20"/>
          <w:szCs w:val="20"/>
          <w:color w:val="auto"/>
        </w:rPr>
      </w:pPr>
      <w:r>
        <w:rPr>
          <w:rFonts w:ascii="Arial" w:cs="Arial" w:eastAsia="Arial" w:hAnsi="Arial"/>
          <w:sz w:val="17"/>
          <w:szCs w:val="17"/>
          <w:b w:val="1"/>
          <w:bCs w:val="1"/>
          <w:color w:val="auto"/>
        </w:rPr>
        <w:t xml:space="preserve">Recently Adopted Accounting Guidance: </w:t>
      </w:r>
      <w:r>
        <w:rPr>
          <w:rFonts w:ascii="Arial" w:cs="Arial" w:eastAsia="Arial" w:hAnsi="Arial"/>
          <w:sz w:val="17"/>
          <w:szCs w:val="17"/>
          <w:color w:val="auto"/>
        </w:rPr>
        <w:t>In February 2016, the FASB issued ASU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b w:val="1"/>
          <w:bCs w:val="1"/>
          <w:color w:val="auto"/>
        </w:rPr>
        <w:t xml:space="preserve"> </w:t>
      </w:r>
      <w:r>
        <w:rPr>
          <w:rFonts w:ascii="Arial" w:cs="Arial" w:eastAsia="Arial" w:hAnsi="Arial"/>
          <w:sz w:val="17"/>
          <w:szCs w:val="17"/>
          <w:color w:val="auto"/>
        </w:rPr>
        <w:t>The standard will affect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firstLine="891"/>
        <w:spacing w:after="0" w:line="273" w:lineRule="auto"/>
        <w:rPr>
          <w:sz w:val="20"/>
          <w:szCs w:val="20"/>
          <w:color w:val="auto"/>
        </w:rPr>
      </w:pPr>
      <w:r>
        <w:rPr>
          <w:rFonts w:ascii="Arial" w:cs="Arial" w:eastAsia="Arial" w:hAnsi="Arial"/>
          <w:sz w:val="17"/>
          <w:szCs w:val="17"/>
          <w:color w:val="auto"/>
        </w:rPr>
        <w:t>The Company used the alternative transition method in which the Company is not required to restate or disclose the effects of applying this ASU for comparative periods. The Company elected the package of practical expedients which permits the Company to not reassess prior conclusions pertaining to lease identification, lease classification, and initial direct costs. The Company did not elect the use-of-hindsight or the practical expedient pertaining to land easements. In addition, the Company elected ongoing practical expedients including the option to not recognize right-of-use assets and lease liabilities for short term leases (leases with an original term of twelve months or less). The Company also elected the practical expedient to not separate lease and non-lease components for our facilities and equipment leases.</w:t>
      </w:r>
    </w:p>
    <w:p>
      <w:pPr>
        <w:spacing w:after="0" w:line="178" w:lineRule="exact"/>
        <w:rPr>
          <w:sz w:val="20"/>
          <w:szCs w:val="20"/>
          <w:color w:val="auto"/>
        </w:rPr>
      </w:pPr>
    </w:p>
    <w:p>
      <w:pPr>
        <w:ind w:right="80" w:firstLine="891"/>
        <w:spacing w:after="0" w:line="301" w:lineRule="auto"/>
        <w:rPr>
          <w:sz w:val="20"/>
          <w:szCs w:val="20"/>
          <w:color w:val="auto"/>
        </w:rPr>
      </w:pPr>
      <w:r>
        <w:rPr>
          <w:rFonts w:ascii="Arial" w:cs="Arial" w:eastAsia="Arial" w:hAnsi="Arial"/>
          <w:sz w:val="16"/>
          <w:szCs w:val="16"/>
          <w:color w:val="auto"/>
        </w:rPr>
        <w:t>The adoption of this ASU resulted in the recognition of operating right-of-use assets of $10.5 million and lease liabilities of $12.2 million, and the derecognition of deferred rent on the Company's unaudited condensed consolidated balance sheet on February 1, 2021. The adoption of this ASU did not impact the Company's unaudited condensed consolidated statements of operations, comprehensive loss or the unaudited condensed consolidated statements of cash flows. Upon the adoption of this ASU there was no change to the accounting for the Company's financing obligation.</w:t>
      </w:r>
    </w:p>
    <w:p>
      <w:pPr>
        <w:spacing w:after="0" w:line="157" w:lineRule="exact"/>
        <w:rPr>
          <w:sz w:val="20"/>
          <w:szCs w:val="20"/>
          <w:color w:val="auto"/>
        </w:rPr>
      </w:pPr>
    </w:p>
    <w:p>
      <w:pPr>
        <w:ind w:right="40" w:firstLine="891"/>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 which changes the impairment model for most financial assets. The new model uses a forward-looking expected loss method, which will 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 The adoption of this ASU, which impacted the Company's allowance for doubtful accounts, did not have a material impact on the Company's unaudited condensed consolidated financial statements.</w:t>
      </w:r>
    </w:p>
    <w:p>
      <w:pPr>
        <w:spacing w:after="0" w:line="165" w:lineRule="exact"/>
        <w:rPr>
          <w:sz w:val="20"/>
          <w:szCs w:val="20"/>
          <w:color w:val="auto"/>
        </w:rPr>
      </w:pPr>
    </w:p>
    <w:p>
      <w:pPr>
        <w:ind w:right="20" w:firstLine="891"/>
        <w:spacing w:after="0" w:line="25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 The adoption of this ASU did not have a material impact on the Company’s unaudited condensed consolidated financial statements.</w:t>
      </w:r>
    </w:p>
    <w:p>
      <w:pPr>
        <w:spacing w:after="0" w:line="196"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color w:val="auto"/>
        </w:rPr>
        <w:t xml:space="preserve">In October 2020, the FASB issued ASU 2020-10,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The guidance includes amendments to improve the codification by ensuring that all guidance that requires or provides an option for an entity to provide information in the notes to the financial statements is codified in the disclosure section of the codification and to clarify guidance so that entities can apply guidance more consistently on codifications that are varied in nature where the original guidance may have been unclear. ASU 2020-10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 The adoption of this ASU did not have a material impact on the Company’s unaudited condensed consolidated financial statements.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Recent Accounting Pronouncements Not Yet Adopted: </w:t>
      </w:r>
      <w:r>
        <w:rPr>
          <w:rFonts w:ascii="Arial" w:cs="Arial" w:eastAsia="Arial" w:hAnsi="Arial"/>
          <w:sz w:val="16"/>
          <w:szCs w:val="16"/>
          <w:color w:val="auto"/>
        </w:rPr>
        <w:t>In October 2021, the FASB issued ASU 2021-08,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 (Topic</w:t>
      </w:r>
    </w:p>
    <w:p>
      <w:pPr>
        <w:spacing w:after="0" w:line="50" w:lineRule="exact"/>
        <w:rPr>
          <w:sz w:val="20"/>
          <w:szCs w:val="20"/>
          <w:color w:val="auto"/>
        </w:rPr>
      </w:pPr>
    </w:p>
    <w:p>
      <w:pPr>
        <w:ind w:right="120" w:firstLine="8"/>
        <w:spacing w:after="0" w:line="295" w:lineRule="auto"/>
        <w:tabs>
          <w:tab w:leader="none" w:pos="37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Accounting for Contract Assets and Contract Liabilities from Contracts with Customers</w:t>
      </w:r>
      <w:r>
        <w:rPr>
          <w:rFonts w:ascii="Arial" w:cs="Arial" w:eastAsia="Arial" w:hAnsi="Arial"/>
          <w:sz w:val="16"/>
          <w:szCs w:val="16"/>
          <w:color w:val="auto"/>
        </w:rPr>
        <w:t>. The standard addresses diversity and inconsistency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recognition and measurement of contract assets and contract liabilities acquired in a business combination. ASU 2021-08 requires an acquirer to recognize and measure contract assets and contract liabilities acquired in a business combination in accordance with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ASU 2021-08 is effective for emerging growth companies following private company adoption dates in fiscal years beginning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after December 15, 2023, and for interim periods within those fiscal years, and early adoption is permitted. Since the Company will cease to qualify as an emerging growth company as of January 31, 2022, this ASU would be effective for the Company for its Annual Report on Form 10-K for the fiscal year ended January 31, 2024, with early adoption permitted. The Company is currently evaluating the impact of this standard to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October 31, 2021, the Company controls a majority of the outstanding common stock in nCino K.K.</w:t>
      </w:r>
    </w:p>
    <w:p>
      <w:pPr>
        <w:spacing w:after="0" w:line="171"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$0.5 million at October 31, 2021.</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3"/>
              </w:rPr>
              <w:t>Net loss attributable to redeemable non-controlling interest (excluding</w:t>
            </w:r>
          </w:p>
        </w:tc>
        <w:tc>
          <w:tcPr>
            <w:tcW w:w="9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adjustment to non-controlling interest)</w:t>
            </w:r>
          </w:p>
        </w:tc>
        <w:tc>
          <w:tcPr>
            <w:tcW w:w="9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right="840" w:firstLine="891"/>
        <w:spacing w:after="0" w:line="277"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as of January 31, 2021 and October 31, 2021 because of the relatively short duration of these instruments.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2021 and October 31, 2021 and indicates the fair value hierarchy of the valuation:</w:t>
      </w:r>
    </w:p>
    <w:p>
      <w:pPr>
        <w:spacing w:after="0" w:line="216" w:lineRule="exact"/>
        <w:rPr>
          <w:sz w:val="20"/>
          <w:szCs w:val="20"/>
          <w:color w:val="auto"/>
        </w:rPr>
      </w:pPr>
    </w:p>
    <w:p>
      <w:pPr>
        <w:jc w:val="center"/>
        <w:ind w:left="7500"/>
        <w:spacing w:after="0"/>
        <w:rPr>
          <w:sz w:val="20"/>
          <w:szCs w:val="20"/>
          <w:color w:val="auto"/>
        </w:rPr>
      </w:pPr>
      <w:r>
        <w:rPr>
          <w:rFonts w:ascii="Arial" w:cs="Arial" w:eastAsia="Arial" w:hAnsi="Arial"/>
          <w:sz w:val="13"/>
          <w:szCs w:val="13"/>
          <w:b w:val="1"/>
          <w:bCs w:val="1"/>
          <w:color w:val="auto"/>
        </w:rPr>
        <w:t>Fair value measurements on a recurring basis as of January</w:t>
      </w:r>
    </w:p>
    <w:p>
      <w:pPr>
        <w:spacing w:after="0" w:line="2"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deposits (included in other long-term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Fair value measurements on a recurring basis as of</w:t>
      </w:r>
    </w:p>
    <w:p>
      <w:pPr>
        <w:jc w:val="center"/>
        <w:spacing w:after="0"/>
        <w:rPr>
          <w:sz w:val="20"/>
          <w:szCs w:val="20"/>
          <w:color w:val="auto"/>
        </w:rPr>
      </w:pPr>
      <w:r>
        <w:rPr>
          <w:rFonts w:ascii="Arial" w:cs="Arial" w:eastAsia="Arial" w:hAnsi="Arial"/>
          <w:sz w:val="14"/>
          <w:szCs w:val="14"/>
          <w:b w:val="1"/>
          <w:bCs w:val="1"/>
          <w:color w:val="auto"/>
        </w:rPr>
        <w:t>October 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44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329,501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25" w:right="339" w:bottom="1440" w:gutter="0" w:footer="0" w:header="0"/>
          <w:type w:val="continuous"/>
        </w:sectPr>
      </w:pPr>
    </w:p>
    <w:p>
      <w:pPr>
        <w:spacing w:after="0" w:line="83"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Area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Revenues by geographic region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5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167,389</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31,521</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198,910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Amounts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receivable, less allowance for doubtful accounts, is as follows as of January 31, 2021 and October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As of October 31, 2021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Deferred Revenue and Remaining Performance Obligations</w:t>
      </w:r>
    </w:p>
    <w:p>
      <w:pPr>
        <w:spacing w:after="0" w:line="225"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nine months ended October 31, 2021, $82.2 million of revenues were recognized out of the deferred revenue balance as of January 31, 2021.</w:t>
      </w:r>
    </w:p>
    <w:p>
      <w:pPr>
        <w:spacing w:after="0" w:line="187"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Remaining performance obligations were $717.7 million as of October 31, 2021. The Company expects to recognize approximately 59% of its remaining performance obligation as revenues in the next 24 months, approximately 32% more in the following 25 to 48 months, and the remainder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As of October 31, 2021</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Buildings and land</w:t>
            </w:r>
            <w:r>
              <w:rPr>
                <w:rFonts w:ascii="Arial" w:cs="Arial" w:eastAsia="Arial" w:hAnsi="Arial"/>
                <w:sz w:val="23"/>
                <w:szCs w:val="23"/>
                <w:color w:val="auto"/>
                <w:vertAlign w:val="superscript"/>
              </w:rPr>
              <w:t>1</w:t>
            </w:r>
          </w:p>
        </w:tc>
        <w:tc>
          <w:tcPr>
            <w:tcW w:w="4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13,425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4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67,252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29,943</w:t>
            </w:r>
          </w:p>
        </w:tc>
        <w:tc>
          <w:tcPr>
            <w:tcW w:w="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400" w:type="dxa"/>
            <w:vAlign w:val="bottom"/>
            <w:vMerge w:val="restart"/>
          </w:tcPr>
          <w:p>
            <w:pPr>
              <w:jc w:val="right"/>
              <w:ind w:right="247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depreciation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5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firstLine="891"/>
        <w:spacing w:after="0" w:line="256"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The construction of a parking deck, which is an addition to our existing headquarters, began in fiscal 2022 and was completed during September 2021. Since we are considered the owners of the parking deck for accounting purposes, upon completion of the construction of the parking deck, $17.7 million was reclassified from construction in progress to buildings and land within property and equipment, net on the unaudited condensed consolidated balance sheets. See Note 12 "Commitments and Contingencies" for additional details.</w:t>
      </w:r>
    </w:p>
    <w:p>
      <w:pPr>
        <w:spacing w:after="0" w:line="185" w:lineRule="exact"/>
        <w:rPr>
          <w:sz w:val="20"/>
          <w:szCs w:val="20"/>
          <w:color w:val="auto"/>
        </w:rPr>
      </w:pPr>
    </w:p>
    <w:p>
      <w:pPr>
        <w:ind w:right="40" w:firstLine="891"/>
        <w:spacing w:after="0" w:line="236"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The increase in construction in progress is primarily due to construction for an additional office building that is on the property of our existing headquarters for which we are considered the owners for accounting purposes. See Note 12 "Commitments and Contingencies" for additional details including future commitments.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 in the carrying amounts of goodwill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80" w:type="dxa"/>
            <w:vAlign w:val="bottom"/>
            <w:tcBorders>
              <w:bottom w:val="single" w:sz="8" w:color="auto"/>
            </w:tcBorders>
            <w:gridSpan w:val="11"/>
          </w:tcPr>
          <w:p>
            <w:pPr>
              <w:jc w:val="right"/>
              <w:ind w:right="296"/>
              <w:spacing w:after="0"/>
              <w:rPr>
                <w:sz w:val="20"/>
                <w:szCs w:val="20"/>
                <w:color w:val="auto"/>
              </w:rPr>
            </w:pPr>
            <w:r>
              <w:rPr>
                <w:rFonts w:ascii="Arial" w:cs="Arial" w:eastAsia="Arial" w:hAnsi="Arial"/>
                <w:sz w:val="14"/>
                <w:szCs w:val="14"/>
                <w:b w:val="1"/>
                <w:bCs w:val="1"/>
                <w:color w:val="auto"/>
              </w:rPr>
              <w:t>Three Months Ended October 31,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right"/>
              <w:ind w:right="395"/>
              <w:spacing w:after="0"/>
              <w:rPr>
                <w:sz w:val="20"/>
                <w:szCs w:val="20"/>
                <w:color w:val="auto"/>
              </w:rPr>
            </w:pPr>
            <w:r>
              <w:rPr>
                <w:rFonts w:ascii="Arial" w:cs="Arial" w:eastAsia="Arial" w:hAnsi="Arial"/>
                <w:sz w:val="14"/>
                <w:szCs w:val="14"/>
                <w:b w:val="1"/>
                <w:bCs w:val="1"/>
                <w:color w:val="auto"/>
                <w:w w:val="95"/>
              </w:rPr>
              <w:t>Nine Months Ended October 31,</w:t>
            </w:r>
          </w:p>
        </w:tc>
        <w:tc>
          <w:tcPr>
            <w:tcW w:w="0" w:type="dxa"/>
            <w:vAlign w:val="bottom"/>
          </w:tcPr>
          <w:p>
            <w:pPr>
              <w:spacing w:after="0"/>
              <w:rPr>
                <w:sz w:val="1"/>
                <w:szCs w:val="1"/>
                <w:color w:val="auto"/>
              </w:rPr>
            </w:pPr>
          </w:p>
        </w:tc>
      </w:tr>
      <w:tr>
        <w:trPr>
          <w:trHeight w:val="187"/>
        </w:trPr>
        <w:tc>
          <w:tcPr>
            <w:tcW w:w="30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57,149</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adjustments</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January 31, 2021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4"/>
                <w:szCs w:val="14"/>
                <w:b w:val="1"/>
                <w:bCs w:val="1"/>
                <w:color w:val="auto"/>
                <w:w w:val="94"/>
              </w:rPr>
              <w:t>As of October 31, 2021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jc w:val="right"/>
              <w:ind w:right="150"/>
              <w:spacing w:after="0" w:line="135"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right"/>
              <w:ind w:right="200"/>
              <w:spacing w:after="0" w:line="135"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155"/>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4,025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19,112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21,719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(3,861)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23,137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28,126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(7,448)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2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260" w:type="dxa"/>
            <w:vAlign w:val="bottom"/>
            <w:gridSpan w:val="8"/>
          </w:tcPr>
          <w:p>
            <w:pPr>
              <w:ind w:left="880"/>
              <w:spacing w:after="0"/>
              <w:rPr>
                <w:sz w:val="20"/>
                <w:szCs w:val="20"/>
                <w:color w:val="auto"/>
              </w:rPr>
            </w:pPr>
            <w:r>
              <w:rPr>
                <w:rFonts w:ascii="Arial" w:cs="Arial" w:eastAsia="Arial" w:hAnsi="Arial"/>
                <w:sz w:val="18"/>
                <w:szCs w:val="18"/>
                <w:color w:val="auto"/>
                <w:w w:val="92"/>
              </w:rPr>
              <w:t>The expected future amortization expense for intangible assets as of October 31, 2021 is as follows: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3,239</w:t>
            </w: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29"/>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Reseller Agreement</w:t>
      </w:r>
    </w:p>
    <w:p>
      <w:pPr>
        <w:spacing w:after="0" w:line="229" w:lineRule="exact"/>
        <w:rPr>
          <w:sz w:val="20"/>
          <w:szCs w:val="20"/>
          <w:color w:val="auto"/>
        </w:rPr>
      </w:pPr>
    </w:p>
    <w:p>
      <w:pPr>
        <w:ind w:right="40" w:firstLine="891"/>
        <w:spacing w:after="0" w:line="272" w:lineRule="auto"/>
        <w:rPr>
          <w:sz w:val="20"/>
          <w:szCs w:val="20"/>
          <w:color w:val="auto"/>
        </w:rPr>
      </w:pPr>
      <w:r>
        <w:rPr>
          <w:rFonts w:ascii="Arial" w:cs="Arial" w:eastAsia="Arial" w:hAnsi="Arial"/>
          <w:sz w:val="17"/>
          <w:szCs w:val="17"/>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and nine months ended October 31, 2020 and 2021 substantially consists of fees paid for access to the related party’s platform, including their hosting infrastructure and data center operations. The Company has recorded expenses of $9.1 million and $11.6 million for the three months ended October 31, 2020 and 2021, respectively, and $25.3 million and $33.4 million for the nine months ended October 31, 2020 and 2021, respectively. See also Note 13 "Related-Party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 October 31, 2021, the Company committed a total of 25,138,069 shares of common stock for future issuance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stock options</w:t>
            </w:r>
          </w:p>
        </w:tc>
        <w:tc>
          <w:tcPr>
            <w:tcW w:w="6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2,873,232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w w:val="97"/>
              </w:rPr>
              <w:t>Nonvested issued and outstanding restricted stock units ("RSUs")</w:t>
            </w:r>
          </w:p>
        </w:tc>
        <w:tc>
          <w:tcPr>
            <w:tcW w:w="6100" w:type="dxa"/>
            <w:vAlign w:val="bottom"/>
            <w:gridSpan w:val="2"/>
          </w:tcPr>
          <w:p>
            <w:pPr>
              <w:jc w:val="right"/>
              <w:spacing w:after="0"/>
              <w:rPr>
                <w:sz w:val="20"/>
                <w:szCs w:val="20"/>
                <w:color w:val="auto"/>
              </w:rPr>
            </w:pPr>
            <w:r>
              <w:rPr>
                <w:rFonts w:ascii="Arial" w:cs="Arial" w:eastAsia="Arial" w:hAnsi="Arial"/>
                <w:sz w:val="18"/>
                <w:szCs w:val="18"/>
                <w:color w:val="auto"/>
              </w:rPr>
              <w:t>2,007,528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Possible issuance under stock plans</w:t>
            </w:r>
          </w:p>
        </w:tc>
        <w:tc>
          <w:tcPr>
            <w:tcW w:w="6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20,257,309</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25,138,069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660" w:type="dxa"/>
            <w:vAlign w:val="bottom"/>
            <w:vMerge w:val="restart"/>
          </w:tcPr>
          <w:p>
            <w:pPr>
              <w:jc w:val="right"/>
              <w:ind w:right="3990"/>
              <w:spacing w:after="0"/>
              <w:rPr>
                <w:sz w:val="20"/>
                <w:szCs w:val="20"/>
                <w:color w:val="auto"/>
              </w:rPr>
            </w:pPr>
            <w:r>
              <w:rPr>
                <w:rFonts w:ascii="Arial" w:cs="Arial" w:eastAsia="Arial" w:hAnsi="Arial"/>
                <w:sz w:val="18"/>
                <w:szCs w:val="18"/>
                <w:color w:val="auto"/>
              </w:rPr>
              <w:t>15</w:t>
            </w: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option activity for the nine months ended October 31, 2021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5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(2,527,287)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October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2,873,232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Arial" w:cs="Arial" w:eastAsia="Arial" w:hAnsi="Arial"/>
                <w:sz w:val="18"/>
                <w:szCs w:val="18"/>
                <w:color w:val="auto"/>
              </w:rPr>
              <w:t>Exercisable, October 31, 2021</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2,528,860</w:t>
            </w:r>
          </w:p>
        </w:tc>
        <w:tc>
          <w:tcPr>
            <w:tcW w:w="3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or expected to vest, October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2,838,795</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As of October 31, 2021, there was $1.5 million of total unrecognized compensation expense related to unvested stock-based compensation arrangements under the 2014 Stock Plan ("2014 Plan") and 2019 Equity Incentive Plan (as amended and restated, "2019 Plan"). That cost is expected to be recognized over a weighted average period of 1.26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RSU activity during the nine months ended October 31, 2021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812,025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October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As of October 31, 2021, total unrecognized compensation expense related to non-vested RSUs was $58.5 million, adjusted for estimated forfeitures, based on the estimated fair value of the Company’s common stock at the time of grant. That cost is expected to be recognized over a weighted average period of 3.17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first offering period for the Employee Stock Purchase Plan ("ESPP") began on July 1, 2021 and will end on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Thereafter, offering periods will begin on January 1 and July 1.</w:t>
      </w:r>
    </w:p>
    <w:p>
      <w:pPr>
        <w:spacing w:after="0" w:line="211"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The fair value of ESPP shares is estimated at the date of grant using the Black-Scholes option valuation model based on assumptions as follows for ESPP awards:</w:t>
      </w:r>
    </w:p>
    <w:p>
      <w:pPr>
        <w:spacing w:after="0" w:line="170" w:lineRule="exact"/>
        <w:rPr>
          <w:sz w:val="20"/>
          <w:szCs w:val="20"/>
          <w:color w:val="auto"/>
        </w:rPr>
      </w:pPr>
    </w:p>
    <w:p>
      <w:pPr>
        <w:ind w:right="180" w:firstLine="891"/>
        <w:spacing w:after="0" w:line="277" w:lineRule="auto"/>
        <w:rPr>
          <w:sz w:val="20"/>
          <w:szCs w:val="20"/>
          <w:color w:val="auto"/>
        </w:rPr>
      </w:pPr>
      <w:r>
        <w:rPr>
          <w:rFonts w:ascii="Arial" w:cs="Arial" w:eastAsia="Arial" w:hAnsi="Arial"/>
          <w:sz w:val="18"/>
          <w:szCs w:val="18"/>
          <w:i w:val="1"/>
          <w:iCs w:val="1"/>
          <w:color w:val="auto"/>
        </w:rPr>
        <w:t xml:space="preserve">Expected life. </w:t>
      </w:r>
      <w:r>
        <w:rPr>
          <w:rFonts w:ascii="Arial" w:cs="Arial" w:eastAsia="Arial" w:hAnsi="Arial"/>
          <w:sz w:val="18"/>
          <w:szCs w:val="18"/>
          <w:color w:val="auto"/>
        </w:rPr>
        <w:t>The expected life reflects the period for which the Company believes the ESPP will remain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award approximates the offering period of six months.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based on the historical volatility of the Company's common stock.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expected dividend yield is zero as the Company has not and does not expect to pay dividends.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firstLine="89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reflects the U.S. Treasury yield for a similar expected life instrument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the ESPP share.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assumptions utilized for the ESPP shares for the nine months ended October 31, 2021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r>
      <w:tr>
        <w:trPr>
          <w:trHeight w:val="183"/>
        </w:trPr>
        <w:tc>
          <w:tcPr>
            <w:tcW w:w="96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0.5</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ind w:right="38"/>
              <w:spacing w:after="0"/>
              <w:rPr>
                <w:sz w:val="20"/>
                <w:szCs w:val="20"/>
                <w:color w:val="auto"/>
              </w:rPr>
            </w:pPr>
            <w:r>
              <w:rPr>
                <w:rFonts w:ascii="Arial" w:cs="Arial" w:eastAsia="Arial" w:hAnsi="Arial"/>
                <w:sz w:val="18"/>
                <w:szCs w:val="18"/>
                <w:color w:val="auto"/>
              </w:rPr>
              <w:t>48.70%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0.00%</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ind w:right="38"/>
              <w:spacing w:after="0"/>
              <w:rPr>
                <w:sz w:val="20"/>
                <w:szCs w:val="20"/>
                <w:color w:val="auto"/>
              </w:rPr>
            </w:pPr>
            <w:r>
              <w:rPr>
                <w:rFonts w:ascii="Arial" w:cs="Arial" w:eastAsia="Arial" w:hAnsi="Arial"/>
                <w:sz w:val="18"/>
                <w:szCs w:val="18"/>
                <w:color w:val="auto"/>
              </w:rPr>
              <w:t>0.05%</w:t>
            </w:r>
          </w:p>
        </w:tc>
      </w:tr>
    </w:tbl>
    <w:p>
      <w:pPr>
        <w:spacing w:after="0" w:line="295" w:lineRule="exact"/>
        <w:rPr>
          <w:sz w:val="20"/>
          <w:szCs w:val="20"/>
          <w:color w:val="auto"/>
        </w:rPr>
      </w:pPr>
    </w:p>
    <w:p>
      <w:pPr>
        <w:jc w:val="both"/>
        <w:ind w:right="20" w:firstLine="891"/>
        <w:spacing w:after="0" w:line="277" w:lineRule="auto"/>
        <w:rPr>
          <w:sz w:val="20"/>
          <w:szCs w:val="20"/>
          <w:color w:val="auto"/>
        </w:rPr>
      </w:pPr>
      <w:r>
        <w:rPr>
          <w:rFonts w:ascii="Arial" w:cs="Arial" w:eastAsia="Arial" w:hAnsi="Arial"/>
          <w:sz w:val="18"/>
          <w:szCs w:val="18"/>
          <w:color w:val="auto"/>
        </w:rPr>
        <w:t>As of October 31, 2021, total unrecognized compensation expense related to the ESPP was $0.3 million. That cost is expected to be recognized over the remaining term of the initial offering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The Company leases its facilities and a portion of its equipment under various non-cancellable agreements, which expire at various times through July 2028, some of which include options to extend the leases for up to five years.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components of lease expense for the three and nine months ended October 31, 2021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31, 2021</w:t>
            </w:r>
          </w:p>
        </w:tc>
        <w:tc>
          <w:tcPr>
            <w:tcW w:w="160" w:type="dxa"/>
            <w:vAlign w:val="bottom"/>
          </w:tcPr>
          <w:p>
            <w:pPr>
              <w:spacing w:after="0"/>
              <w:rPr>
                <w:sz w:val="16"/>
                <w:szCs w:val="16"/>
                <w:color w:val="auto"/>
              </w:rPr>
            </w:pPr>
          </w:p>
        </w:tc>
        <w:tc>
          <w:tcPr>
            <w:tcW w:w="12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October 31, 2021</w:t>
            </w:r>
          </w:p>
        </w:tc>
      </w:tr>
      <w:tr>
        <w:trPr>
          <w:trHeight w:val="224"/>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Supplemental cash flow information for the nine months ended October 31, 2021 related to operating leases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1,771</w:t>
            </w:r>
          </w:p>
        </w:tc>
      </w:tr>
    </w:tbl>
    <w:p>
      <w:pPr>
        <w:spacing w:after="0" w:line="295" w:lineRule="exact"/>
        <w:rPr>
          <w:sz w:val="20"/>
          <w:szCs w:val="20"/>
          <w:color w:val="auto"/>
        </w:rPr>
      </w:pPr>
    </w:p>
    <w:p>
      <w:pPr>
        <w:jc w:val="both"/>
        <w:ind w:right="100" w:firstLine="891"/>
        <w:spacing w:after="0" w:line="277" w:lineRule="auto"/>
        <w:rPr>
          <w:sz w:val="20"/>
          <w:szCs w:val="20"/>
          <w:color w:val="auto"/>
        </w:rPr>
      </w:pPr>
      <w:r>
        <w:rPr>
          <w:rFonts w:ascii="Arial" w:cs="Arial" w:eastAsia="Arial" w:hAnsi="Arial"/>
          <w:sz w:val="18"/>
          <w:szCs w:val="18"/>
          <w:color w:val="auto"/>
        </w:rPr>
        <w:t>The weighted-average remaining lease term and weighted-average discount rate for the Company's operating lease liabilities as of October 31, 2021 were 5.02 years and 4.4%,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Arial" w:cs="Arial" w:eastAsia="Arial" w:hAnsi="Arial"/>
                <w:sz w:val="18"/>
                <w:szCs w:val="18"/>
                <w:color w:val="auto"/>
              </w:rPr>
              <w:t>Future minimum lease payments as of October 31, 2021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780" w:type="dxa"/>
            <w:vAlign w:val="bottom"/>
            <w:tcBorders>
              <w:top w:val="single" w:sz="8" w:color="CCEEFF"/>
              <w:bottom w:val="single" w:sz="8" w:color="CCEEFF"/>
            </w:tcBorders>
            <w:gridSpan w:val="2"/>
            <w:vMerge w:val="restart"/>
          </w:tcPr>
          <w:p>
            <w:pPr>
              <w:ind w:left="880"/>
              <w:spacing w:after="0"/>
              <w:rPr>
                <w:sz w:val="20"/>
                <w:szCs w:val="20"/>
                <w:color w:val="auto"/>
              </w:rPr>
            </w:pPr>
            <w:r>
              <w:rPr>
                <w:rFonts w:ascii="Arial" w:cs="Arial" w:eastAsia="Arial" w:hAnsi="Arial"/>
                <w:sz w:val="18"/>
                <w:szCs w:val="18"/>
                <w:color w:val="auto"/>
                <w:w w:val="94"/>
              </w:rPr>
              <w:t>Future minimum lease payments as of January 31, 2021, prior to our adoption of the new lease ASU, were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9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580" w:firstLine="891"/>
        <w:spacing w:after="0" w:line="277" w:lineRule="auto"/>
        <w:rPr>
          <w:sz w:val="20"/>
          <w:szCs w:val="20"/>
          <w:color w:val="auto"/>
        </w:rPr>
      </w:pPr>
      <w:r>
        <w:rPr>
          <w:rFonts w:ascii="Arial" w:cs="Arial" w:eastAsia="Arial" w:hAnsi="Arial"/>
          <w:sz w:val="18"/>
          <w:szCs w:val="18"/>
          <w:color w:val="auto"/>
        </w:rPr>
        <w:t>In addition to the operating lease commitments described in Note 11 "Leases", the Company has additional contractual commitments as described further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The Company’s purchase commitments consist of non-cancellable agreements to purchase goods and services, primarily licenses, entered into in the ordinary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Construction Liabilities</w:t>
      </w:r>
    </w:p>
    <w:p>
      <w:pPr>
        <w:spacing w:after="0" w:line="225" w:lineRule="exact"/>
        <w:rPr>
          <w:sz w:val="20"/>
          <w:szCs w:val="20"/>
          <w:color w:val="auto"/>
        </w:rPr>
      </w:pPr>
    </w:p>
    <w:p>
      <w:pPr>
        <w:ind w:right="20" w:firstLine="891"/>
        <w:spacing w:after="0" w:line="293" w:lineRule="auto"/>
        <w:rPr>
          <w:sz w:val="20"/>
          <w:szCs w:val="20"/>
          <w:color w:val="auto"/>
        </w:rPr>
      </w:pPr>
      <w:r>
        <w:rPr>
          <w:rFonts w:ascii="Arial" w:cs="Arial" w:eastAsia="Arial" w:hAnsi="Arial"/>
          <w:sz w:val="16"/>
          <w:szCs w:val="16"/>
          <w:color w:val="auto"/>
        </w:rPr>
        <w:t>The Company entered into a new lease agreement for our headquarters in November 2020 with a new lessor. The lease goes through 2035 with options to renew. Due to a purchase option contained in the lease, the Company is deemed to have continuing involvement and is considered to be the owner of our headquarters for accounting purposes. As a result, the Company did not meet the criteria to apply sale-leaseback accounting and therefore, recorded an asset and corresponding financing obligation for $16.3 million at inception of the lease. Upon expiration of the purchase option in the lease, the lease will be analyzed for applicable lease accounting. The fair value of the leased property and corresponding financing obligation are included in property and equipment, net and financing obligations on the unaudited condensed consolidated balance sheets,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color w:val="auto"/>
        </w:rPr>
        <w:t>In January 2021, the Company entered into an agreement for a parking deck which is an addition to our existing headquarters building.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unaudited condensed consolidated balance sheets, respectively. Upon expiration of the purchase option in the lease, the lease will be analyzed for applicable lease accounting.</w:t>
      </w:r>
    </w:p>
    <w:p>
      <w:pPr>
        <w:spacing w:after="0" w:line="178" w:lineRule="exact"/>
        <w:rPr>
          <w:sz w:val="20"/>
          <w:szCs w:val="20"/>
          <w:color w:val="auto"/>
        </w:rPr>
      </w:pPr>
    </w:p>
    <w:p>
      <w:pPr>
        <w:ind w:right="60" w:firstLine="891"/>
        <w:spacing w:after="0" w:line="254" w:lineRule="auto"/>
        <w:rPr>
          <w:sz w:val="20"/>
          <w:szCs w:val="20"/>
          <w:color w:val="auto"/>
        </w:rPr>
      </w:pPr>
      <w:r>
        <w:rPr>
          <w:rFonts w:ascii="Arial" w:cs="Arial" w:eastAsia="Arial" w:hAnsi="Arial"/>
          <w:sz w:val="18"/>
          <w:szCs w:val="18"/>
          <w:color w:val="auto"/>
        </w:rPr>
        <w:t>In April 2021, the Company entered into a new lease agreement for the construction of an additional office building that is on the property of our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 The costs of the construction in progress and corresponding construction liability are included in property and equipment, net and construction liability, noncurrent on the unaudited condensed consolidated balance sheets, respectively.</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Purchase commitments and future minimum lease payments required under financing obligations as of October 31, 2021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Ending January 31,</w:t>
            </w: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Purchase</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Financing obligations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w w:val="95"/>
              </w:rPr>
              <w:t>- leased facility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10,104</w:t>
            </w: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From time to time, the Company may become involved in legal proceedings or be subject to claims including the following:</w:t>
      </w:r>
    </w:p>
    <w:p>
      <w:pPr>
        <w:spacing w:after="0" w:line="225" w:lineRule="exact"/>
        <w:rPr>
          <w:sz w:val="20"/>
          <w:szCs w:val="20"/>
          <w:color w:val="auto"/>
        </w:rPr>
      </w:pPr>
    </w:p>
    <w:p>
      <w:pPr>
        <w:ind w:right="380" w:firstLine="891"/>
        <w:spacing w:after="0" w:line="263" w:lineRule="auto"/>
        <w:rPr>
          <w:sz w:val="20"/>
          <w:szCs w:val="20"/>
          <w:color w:val="auto"/>
        </w:rPr>
      </w:pPr>
      <w:r>
        <w:rPr>
          <w:rFonts w:ascii="Arial" w:cs="Arial" w:eastAsia="Arial" w:hAnsi="Arial"/>
          <w:sz w:val="18"/>
          <w:szCs w:val="18"/>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outside counsel and is fully cooperating with the authorities. Although there can be no assurance with respect to the outcome of this matter, the Company believes its hiring and wage practices do not violate antitrust laws.</w:t>
      </w:r>
    </w:p>
    <w:p>
      <w:pPr>
        <w:spacing w:after="0" w:line="170"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On November 23, 2021, the District Court approved preliminary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spacing w:after="0" w:line="178" w:lineRule="exact"/>
        <w:rPr>
          <w:sz w:val="20"/>
          <w:szCs w:val="20"/>
          <w:color w:val="auto"/>
        </w:rPr>
      </w:pPr>
    </w:p>
    <w:p>
      <w:pPr>
        <w:jc w:val="both"/>
        <w:ind w:right="40" w:firstLine="891"/>
        <w:spacing w:after="0" w:line="263" w:lineRule="auto"/>
        <w:rPr>
          <w:sz w:val="20"/>
          <w:szCs w:val="20"/>
          <w:color w:val="auto"/>
        </w:rPr>
      </w:pPr>
      <w:r>
        <w:rPr>
          <w:rFonts w:ascii="Arial" w:cs="Arial" w:eastAsia="Arial" w:hAnsi="Arial"/>
          <w:sz w:val="18"/>
          <w:szCs w:val="18"/>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us because of the related expenses, diversion of management resources, and other factors.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Given the uncertainty and preliminary stages of these matters, we cannot reasonably estimate any possible loss or range of loss that may result.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jc w:val="both"/>
        <w:ind w:right="60" w:firstLine="891"/>
        <w:spacing w:after="0" w:line="263" w:lineRule="auto"/>
        <w:rPr>
          <w:sz w:val="20"/>
          <w:szCs w:val="20"/>
          <w:color w:val="auto"/>
        </w:rPr>
      </w:pPr>
      <w:r>
        <w:rPr>
          <w:rFonts w:ascii="Arial" w:cs="Arial" w:eastAsia="Arial" w:hAnsi="Arial"/>
          <w:sz w:val="18"/>
          <w:szCs w:val="18"/>
          <w:color w:val="auto"/>
        </w:rPr>
        <w:t>The Company may be subject to audits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Related-Party Transactions</w:t>
      </w:r>
    </w:p>
    <w:p>
      <w:pPr>
        <w:spacing w:after="0" w:line="229" w:lineRule="exact"/>
        <w:rPr>
          <w:sz w:val="20"/>
          <w:szCs w:val="20"/>
          <w:color w:val="auto"/>
        </w:rPr>
      </w:pPr>
    </w:p>
    <w:p>
      <w:pPr>
        <w:ind w:right="60" w:firstLine="891"/>
        <w:spacing w:after="0" w:line="271" w:lineRule="auto"/>
        <w:rPr>
          <w:sz w:val="20"/>
          <w:szCs w:val="20"/>
          <w:color w:val="auto"/>
        </w:rPr>
      </w:pPr>
      <w:r>
        <w:rPr>
          <w:rFonts w:ascii="Arial" w:cs="Arial" w:eastAsia="Arial" w:hAnsi="Arial"/>
          <w:sz w:val="17"/>
          <w:szCs w:val="17"/>
          <w:color w:val="auto"/>
        </w:rPr>
        <w:t>The Company’s main vendor is also an equityholder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has a non-cancellable agreement with the related party for the purchase of services. In December 2020, this agreement was renewed for one year and expires in December 2021. Total payments to the related party for these services recorded to expenses were $0.3 million and $0.4 million for the three months ended October 31, 2020 and 2021, respectively, and $0.9 million and $1.2 million for the nine months ended October 31, 2020 and 2021, respectively, and $1.3 million and $0.2 million were in prepaid expenses and other current assets as of January 31, 2021 and October 31, 2021, respectively. Accounts payable to the related party were $4.4 million and $5.2 million at January 31, 2021 and October 31, 2021, respectively, included in accounts payable, related parties.</w:t>
      </w:r>
    </w:p>
    <w:p>
      <w:pPr>
        <w:spacing w:after="0" w:line="178" w:lineRule="exact"/>
        <w:rPr>
          <w:sz w:val="20"/>
          <w:szCs w:val="20"/>
          <w:color w:val="auto"/>
        </w:rPr>
      </w:pPr>
    </w:p>
    <w:p>
      <w:pPr>
        <w:jc w:val="both"/>
        <w:ind w:right="80" w:firstLine="891"/>
        <w:spacing w:after="0" w:line="286" w:lineRule="auto"/>
        <w:rPr>
          <w:sz w:val="20"/>
          <w:szCs w:val="20"/>
          <w:color w:val="auto"/>
        </w:rPr>
      </w:pPr>
      <w:r>
        <w:rPr>
          <w:rFonts w:ascii="Arial" w:cs="Arial" w:eastAsia="Arial" w:hAnsi="Arial"/>
          <w:sz w:val="17"/>
          <w:szCs w:val="17"/>
          <w:color w:val="auto"/>
        </w:rPr>
        <w:t>In the quarter ended July 31, 2020, certain equityholders ceased to qualify as related parties of the Company and the amounts disclosed related to them are accordingly presented through April 30, 2020 only. Included in revenues from three equityholders, who are also customers of the Company, is $0.0 million for the three months ended October 31, 2020 and $2.8 million for the nine months ended October 31, 2020.</w:t>
      </w:r>
    </w:p>
    <w:p>
      <w:pPr>
        <w:spacing w:after="0" w:line="165"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The Company has a banking relationship with one of its former equityholders who was considered a related party. In the quarter ended July 31, 2020, the equityholder ceased to qualify as a related party of the Company and the amounts disclosed related to such former equityholder are accordingly presented as a related party through April 30, 2020 only. Included in interest income is $0.0 million for the three months ended October 31, 2020 and $0.1 million for the nine months ended October 31, 2020.</w:t>
      </w:r>
    </w:p>
    <w:p>
      <w:pPr>
        <w:spacing w:after="0" w:line="187" w:lineRule="exact"/>
        <w:rPr>
          <w:sz w:val="20"/>
          <w:szCs w:val="20"/>
          <w:color w:val="auto"/>
        </w:rPr>
      </w:pPr>
    </w:p>
    <w:p>
      <w:pPr>
        <w:jc w:val="both"/>
        <w:ind w:right="40" w:firstLine="891"/>
        <w:spacing w:after="0" w:line="263" w:lineRule="auto"/>
        <w:rPr>
          <w:sz w:val="20"/>
          <w:szCs w:val="20"/>
          <w:color w:val="auto"/>
        </w:rPr>
      </w:pPr>
      <w:r>
        <w:rPr>
          <w:rFonts w:ascii="Arial" w:cs="Arial" w:eastAsia="Arial" w:hAnsi="Arial"/>
          <w:sz w:val="18"/>
          <w:szCs w:val="18"/>
          <w:color w:val="auto"/>
        </w:rPr>
        <w:t>The Company entered into an agreement with one of its equityholders in May 2016 to spend an agreed-upon amount of funds over a three-year period to further the alliance between the two companies. In April 2019, the agreement was extended for an additional three years. As of October 31, 2021, the Company was in compliance with the terms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agreement. In the quarter ended July 31, 2020, the equityholder ceased to qualify as a related party of the Company and the amounts disclosed related to such equityholder are accordingly presented as a related party through April 30, 2020 only. No funds were spent under the agreement during the nine months ended October 31, 2020.</w:t>
      </w:r>
    </w:p>
    <w:p>
      <w:pPr>
        <w:spacing w:after="0" w:line="184"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color w:val="auto"/>
        </w:rPr>
        <w:t>The Company entered into a Merger Agreement, as disclosed in Note 1 "Organization and Description of Business". Affiliates of Insight Partners are equityholders of SimpleNexus and certain other parties in connection with the transactions contemplated by the Merger Agreement, and other affiliates of Insight Partners are currently significant stockholders of the Company. See Note 15 "Subsequent Event" for additional information regarding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Basic and Diluted Loss per Share</w:t>
      </w:r>
    </w:p>
    <w:p>
      <w:pPr>
        <w:spacing w:after="0" w:line="229" w:lineRule="exact"/>
        <w:rPr>
          <w:sz w:val="20"/>
          <w:szCs w:val="20"/>
          <w:color w:val="auto"/>
        </w:rPr>
      </w:pPr>
    </w:p>
    <w:p>
      <w:pPr>
        <w:ind w:right="120" w:firstLine="891"/>
        <w:spacing w:after="0" w:line="255"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October 31, 2020 and 2021 and for the nine months ended October 31, 2020 and 2021 is the same as the basic loss per share as there was a net loss for those periods, and inclusion of potentially issuable shares was anti-dilutive.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52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(42,327)</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91,600,203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96,431,082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85,962,141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95,510,413</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Basic and diluted loss per share attributable to nCino,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(0.44)</w:t>
            </w:r>
          </w:p>
        </w:tc>
      </w:tr>
    </w:tbl>
    <w:p>
      <w:pPr>
        <w:spacing w:after="0" w:line="295" w:lineRule="exact"/>
        <w:rPr>
          <w:sz w:val="20"/>
          <w:szCs w:val="20"/>
          <w:color w:val="auto"/>
        </w:rPr>
      </w:pPr>
    </w:p>
    <w:p>
      <w:pPr>
        <w:ind w:right="640" w:firstLine="891"/>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6,620,274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2,873,232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Nonvested RSUs issued and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1,834,626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2,007,528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ESPP</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229" w:lineRule="exact"/>
        <w:rPr>
          <w:sz w:val="20"/>
          <w:szCs w:val="20"/>
          <w:color w:val="auto"/>
        </w:rPr>
      </w:pPr>
    </w:p>
    <w:p>
      <w:pPr>
        <w:ind w:right="40" w:firstLine="891"/>
        <w:spacing w:after="0" w:line="254" w:lineRule="auto"/>
        <w:rPr>
          <w:sz w:val="20"/>
          <w:szCs w:val="20"/>
          <w:color w:val="auto"/>
        </w:rPr>
      </w:pPr>
      <w:r>
        <w:rPr>
          <w:rFonts w:ascii="Arial" w:cs="Arial" w:eastAsia="Arial" w:hAnsi="Arial"/>
          <w:sz w:val="17"/>
          <w:szCs w:val="17"/>
          <w:color w:val="auto"/>
        </w:rPr>
        <w:t>On November 16, 2021, the Company entered into the Merger Agreement with Parent, SimpleNexus and certain other parties thereto, with the Company and SimpleNexus surviving as wholly-owned subsidiaries of Parent. The Merger Agreement provides, among other things, that on the terms and subject to the conditions set forth therein, the Company will pay to certain securityholders of SimpleNexus and certain blocker entities a total consideration of approximately $1.2 billion, subject to certain customary adjustments. The consideration to be paid to such securityholders will consist, in the aggregate, of approximately 80% Parent Common Stock (at a fixed value of $72.5250 per share, which is the average of the daily volume weighted average prices of the shares of the Company Common Stock for the 20 trading days prior to and including November 12, 2021) and approximately 20% in cash, subject to certain customary adjustments. Any securityholder of SimpleNexus or the blocker entities that is not an accredited investor will receive his, her or its portion of the merger consideration solely in cash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and the securityholders that are accredited investors will receive proportionally more shares of Parent Common Stock and less cash. A portion of the cash consideration will also be held in escrow to serve as security for the potential payment of a customary post-closing purchase price adjustment, capped at the amount of such escrowed funds.</w:t>
      </w:r>
    </w:p>
    <w:p>
      <w:pPr>
        <w:spacing w:after="0" w:line="182" w:lineRule="exact"/>
        <w:rPr>
          <w:sz w:val="20"/>
          <w:szCs w:val="20"/>
          <w:color w:val="auto"/>
        </w:rPr>
      </w:pPr>
    </w:p>
    <w:p>
      <w:pPr>
        <w:ind w:firstLine="891"/>
        <w:spacing w:after="0" w:line="257" w:lineRule="auto"/>
        <w:rPr>
          <w:sz w:val="20"/>
          <w:szCs w:val="20"/>
          <w:color w:val="auto"/>
        </w:rPr>
      </w:pPr>
      <w:r>
        <w:rPr>
          <w:rFonts w:ascii="Arial" w:cs="Arial" w:eastAsia="Arial" w:hAnsi="Arial"/>
          <w:sz w:val="17"/>
          <w:szCs w:val="17"/>
          <w:color w:val="auto"/>
        </w:rPr>
        <w:t>In connection with the transaction contemplated by the Merger Agreement, each share of the Company Common Stock, par value $0.0005, that is issued and outstanding immediately prior to the effectuation of the merger will automatically convert into an equivalent corresponding share of Parent Common Stock, having the same designations, rights, powers and preferences and the qualifications, limitations and restrictions as the corresponding share of the Company Common Stock being converted. Accordingly, upon the consummation of the merger, the Company's stockholders immediately prior to the consummation of the merger will become the stockholders of the Parent. The stockholders of the Company will not recognize gain or loss for U.S. federal income tax purposes upon the conversion of their shares in connection with the merger.</w:t>
      </w:r>
    </w:p>
    <w:p>
      <w:pPr>
        <w:spacing w:after="0" w:line="175" w:lineRule="exact"/>
        <w:rPr>
          <w:sz w:val="20"/>
          <w:szCs w:val="20"/>
          <w:color w:val="auto"/>
        </w:rPr>
      </w:pPr>
    </w:p>
    <w:p>
      <w:pPr>
        <w:ind w:right="80" w:firstLine="891"/>
        <w:spacing w:after="0" w:line="255" w:lineRule="auto"/>
        <w:rPr>
          <w:sz w:val="20"/>
          <w:szCs w:val="20"/>
          <w:color w:val="auto"/>
        </w:rPr>
      </w:pPr>
      <w:r>
        <w:rPr>
          <w:rFonts w:ascii="Arial" w:cs="Arial" w:eastAsia="Arial" w:hAnsi="Arial"/>
          <w:sz w:val="17"/>
          <w:szCs w:val="17"/>
          <w:color w:val="auto"/>
        </w:rPr>
        <w:t>The merger will be conducted pursuant to Section 251(g) of the General Corporation Law of the State of Delaware, which provides for the formation of a holding company without a vote of the stockholders of the constituent corporation. The conversion of stock will occur automatically. Following the consummation of the merger, Parent Common Stock shares will continue to trade on the Nasdaq Global Select Market on an uninterrupted basis under the symbol “NCNO” with a new CUSIP number. Immediately after consummation of the merger, Parent will have, on a consolidated basis, the same assets, businesses and operations as the Company had immediately prior to the consummation of the merger. As a result of the merger, Parent will become the successor issuer to the Company pursuant to 12g-3(a) of the Exchange Act and as a result the Parent Common Stock shares will be deemed registered under Section 12(b) of the Exchange Act.</w:t>
      </w:r>
    </w:p>
    <w:p>
      <w:pPr>
        <w:spacing w:after="0" w:line="166" w:lineRule="exact"/>
        <w:rPr>
          <w:sz w:val="20"/>
          <w:szCs w:val="20"/>
          <w:color w:val="auto"/>
        </w:rPr>
      </w:pPr>
    </w:p>
    <w:p>
      <w:pPr>
        <w:ind w:right="20" w:firstLine="891"/>
        <w:spacing w:after="0" w:line="227" w:lineRule="auto"/>
        <w:rPr>
          <w:sz w:val="20"/>
          <w:szCs w:val="20"/>
          <w:color w:val="auto"/>
        </w:rPr>
      </w:pPr>
      <w:r>
        <w:rPr>
          <w:rFonts w:ascii="Arial" w:cs="Arial" w:eastAsia="Arial" w:hAnsi="Arial"/>
          <w:sz w:val="18"/>
          <w:szCs w:val="18"/>
          <w:color w:val="auto"/>
        </w:rPr>
        <w:t>The completion of the merger is subject to customary closing conditions, including, without limitation, (i) the expiration or termination of the applicable waiting periods under the Hart-Scott-Rodino Antitrust Improvements Act of 1976, as amended, (ii) the absence of any material applicable law or any order that has the effect of enjoining or otherwise prohibiting the completion of the mergers, (iii) the receipt of certain tax opinions, (iv) the absence of a material adverse effect on the Company and SimpleNexus, and (v) the authorization for listing of the shares of Parent Common Stock on Nasdaq. The closing of the transactions contemplated by the Merger Agreement is anticipated to occur in the fourth quarter of the Company’s fiscal year, ending January 31, 2022.</w:t>
      </w:r>
    </w:p>
    <w:p>
      <w:pPr>
        <w:spacing w:after="0" w:line="189" w:lineRule="exact"/>
        <w:rPr>
          <w:sz w:val="20"/>
          <w:szCs w:val="20"/>
          <w:color w:val="auto"/>
        </w:rPr>
      </w:pPr>
    </w:p>
    <w:p>
      <w:pPr>
        <w:ind w:right="40" w:firstLine="891"/>
        <w:spacing w:after="0" w:line="271" w:lineRule="auto"/>
        <w:rPr>
          <w:sz w:val="20"/>
          <w:szCs w:val="20"/>
          <w:color w:val="auto"/>
        </w:rPr>
      </w:pPr>
      <w:r>
        <w:rPr>
          <w:rFonts w:ascii="Arial" w:cs="Arial" w:eastAsia="Arial" w:hAnsi="Arial"/>
          <w:sz w:val="16"/>
          <w:szCs w:val="16"/>
          <w:color w:val="auto"/>
        </w:rPr>
        <w:t>Affiliates of Insight Partners are equityholders of SimpleNexus and certain other parties in connection with the transactions contemplated by the Merger Agreement, and other affiliates of Insight Partners are currently significant stockholders of the Company (collectively, the “Insight Parties”). As such, and as a condition and material inducement to the willingness of the Company, Parent and other parties to enter into the Merger Agreement, Parent and the Insight Parties have entered into a restrictive covenant agreement with Parent providing for, among other things, the Insight Parties’ agreement not to sell or otherwise directly or indirectly dispose of approximately two-thirds of the shares of Parent Common Stock that will be held by the Insight Parties following the closing of the transactions contemplated by the Merger Agreement, on a pro forma basis, and assuming no sales by the Insight Parties of shares of the Company’s Common Stock prior to the closing of the transactions contemplated by the Merger Agreement. Following the closing of the transactions contemplated by the Merger Agreement, approximately one-third of this approximately two-thirds will be released from such restrictions on each of the six, nine and twelve month anniversaries of the closing of the transactions contemplated by the Merger Agreement.</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891"/>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2021 filed with the SEC on March 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2022" refer to the fiscal year ended January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891"/>
        <w:spacing w:after="0" w:line="290"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5"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70"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right="80" w:firstLine="891"/>
        <w:spacing w:after="0" w:line="269"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 The state of Delaware effected the name change of Visible Equity to nCino Portfolio Analytics, LLC in April 2021. All Visible Equity references throughout this document are one and the same with the new name change nCino Portfolio Analytics, LLC.</w:t>
      </w:r>
    </w:p>
    <w:p>
      <w:pPr>
        <w:spacing w:after="0" w:line="185"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original focus on commercial and small business loan origination to retail loan origination, client onboarding, deposit account opening, and, most recently, analytics and AI/ML applications, has enhanced our ability to increase adoption of our solution by our customers.</w:t>
      </w:r>
    </w:p>
    <w:p>
      <w:pPr>
        <w:spacing w:after="0" w:line="170" w:lineRule="exact"/>
        <w:rPr>
          <w:sz w:val="20"/>
          <w:szCs w:val="20"/>
          <w:color w:val="auto"/>
        </w:rPr>
      </w:pPr>
    </w:p>
    <w:p>
      <w:pPr>
        <w:ind w:right="60" w:firstLine="891"/>
        <w:spacing w:after="0" w:line="255" w:lineRule="auto"/>
        <w:rPr>
          <w:sz w:val="20"/>
          <w:szCs w:val="20"/>
          <w:color w:val="auto"/>
        </w:rPr>
      </w:pPr>
      <w:r>
        <w:rPr>
          <w:rFonts w:ascii="Arial" w:cs="Arial" w:eastAsia="Arial" w:hAnsi="Arial"/>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October 31, 2021, we had 174 sales and sales support personnel in the United States, and 76 sales and support personnel in offices outside the United States.</w:t>
      </w:r>
    </w:p>
    <w:p>
      <w:pPr>
        <w:spacing w:after="0" w:line="192"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To help customers go live with our solution and achieve success, we offer professional services including configuration and implementation, training and advisory services. For larger financial institutions, we generally work with system integrators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92" w:lineRule="exact"/>
        <w:rPr>
          <w:sz w:val="20"/>
          <w:szCs w:val="20"/>
          <w:color w:val="auto"/>
        </w:rPr>
      </w:pPr>
    </w:p>
    <w:p>
      <w:pPr>
        <w:ind w:right="200" w:firstLine="891"/>
        <w:spacing w:after="0" w:line="296" w:lineRule="auto"/>
        <w:rPr>
          <w:sz w:val="20"/>
          <w:szCs w:val="20"/>
          <w:color w:val="auto"/>
        </w:rPr>
      </w:pPr>
      <w:r>
        <w:rPr>
          <w:rFonts w:ascii="Arial" w:cs="Arial" w:eastAsia="Arial" w:hAnsi="Arial"/>
          <w:sz w:val="16"/>
          <w:szCs w:val="16"/>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61" w:lineRule="exact"/>
        <w:rPr>
          <w:sz w:val="20"/>
          <w:szCs w:val="20"/>
          <w:color w:val="auto"/>
        </w:rPr>
      </w:pPr>
    </w:p>
    <w:p>
      <w:pPr>
        <w:ind w:right="100" w:firstLine="891"/>
        <w:spacing w:after="0" w:line="293" w:lineRule="auto"/>
        <w:rPr>
          <w:sz w:val="20"/>
          <w:szCs w:val="20"/>
          <w:color w:val="auto"/>
        </w:rPr>
      </w:pPr>
      <w:r>
        <w:rPr>
          <w:rFonts w:ascii="Arial" w:cs="Arial" w:eastAsia="Arial" w:hAnsi="Arial"/>
          <w:sz w:val="16"/>
          <w:szCs w:val="16"/>
          <w:color w:val="auto"/>
        </w:rPr>
        <w:t>For the three months ended October 31, 2020 and 2021, our total revenues were $54.2 million and $70.0 million, respectively, representing a 29.1% increase, and our subscription revenues were $43.3 million and $57.1 million, respectively, representing a 31.9% increase. Due to our continuing investment in growth, we recorded net losses attributable to nCino of $9.1 million and $13.6 million for the three months ended October 31, 2020 and 2021, respectively. For the nine months ended October 31, 2020 and 2021, our total revenues were $147.7 million and $198.9 million, respectively, representing a 34.7% increase, and our subscription revenues were $117.5 million and $162.1 million, respectively, representing a 38.0% increase. We had net losses attributable to nCino of $28.5 million and $42.3 million for the nine months ended October 31, 2020 and 2021,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right="40" w:firstLine="891"/>
        <w:spacing w:after="0" w:line="253" w:lineRule="auto"/>
        <w:rPr>
          <w:sz w:val="20"/>
          <w:szCs w:val="20"/>
          <w:color w:val="auto"/>
        </w:rPr>
      </w:pPr>
      <w:r>
        <w:rPr>
          <w:rFonts w:ascii="Arial" w:cs="Arial" w:eastAsia="Arial" w:hAnsi="Arial"/>
          <w:sz w:val="17"/>
          <w:szCs w:val="17"/>
          <w:color w:val="auto"/>
        </w:rPr>
        <w:t>On November 16, 2021, the Company entered into the Merger Agreement with Parent, SimpleNexus and certain other parties thereto, with the Company and SimpleNexus surviving as wholly-owned subsidiaries of Parent. The Merger Agreement provides, among other things, that on the terms and subject to the conditions set forth therein, the Company will pay to certain securityholders of SimpleNexus and certain blocker entities a total consideration of approximately $1.2 billion, subject to certain customary adjustments. The consideration to be paid to such securityholders will consist, in the aggregate, of approximately 80% Parent Common Stock (at a fixed value of $72.5250 per share, which is the average of the daily volume weighted average prices of the shares of the Company Common Stock for the 20 trading days prior to and including November 12, 2021) and approximately 20% in cash, subject to certain customary adjustments. Any securityholder of SimpleNexus or the blocker entities that is not an accredited investor will receive his, her or its portion of the merger consideration solely in cash and the securityholders that are accredited investors will receive proportionally more shares of Parent Common Stock and less cash. A portion of the cash consideration will also be held in escrow to serve as security for the potential payment of a customary post-closing purchase price adjustment, capped at the amount of such escrowed funds.</w:t>
      </w:r>
    </w:p>
    <w:p>
      <w:pPr>
        <w:spacing w:after="0" w:line="180" w:lineRule="exact"/>
        <w:rPr>
          <w:sz w:val="20"/>
          <w:szCs w:val="20"/>
          <w:color w:val="auto"/>
        </w:rPr>
      </w:pPr>
    </w:p>
    <w:p>
      <w:pPr>
        <w:ind w:firstLine="891"/>
        <w:spacing w:after="0" w:line="257" w:lineRule="auto"/>
        <w:rPr>
          <w:sz w:val="20"/>
          <w:szCs w:val="20"/>
          <w:color w:val="auto"/>
        </w:rPr>
      </w:pPr>
      <w:r>
        <w:rPr>
          <w:rFonts w:ascii="Arial" w:cs="Arial" w:eastAsia="Arial" w:hAnsi="Arial"/>
          <w:sz w:val="17"/>
          <w:szCs w:val="17"/>
          <w:color w:val="auto"/>
        </w:rPr>
        <w:t>In connection with the transaction contemplated by the Merger Agreement, each share of the Company Common Stock, par value $0.0005, that is issued and outstanding immediately prior to the effectuation of the merger will automatically convert into an equivalent corresponding share of Parent Common Stock, having the same designations, rights, powers and preferences and the qualifications, limitations and restrictions as the corresponding share of the Company Common Stock being converted. Accordingly, upon the consummation of the merger, the Company's stockholders immediately prior to the consummation of the merger will become the stockholders of the Parent. The stockholders of the Company will not recognize gain or loss for U.S. federal income tax purposes upon the conversion of their shares in connection with the merger.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91"/>
        <w:spacing w:after="0" w:line="255" w:lineRule="auto"/>
        <w:rPr>
          <w:sz w:val="20"/>
          <w:szCs w:val="20"/>
          <w:color w:val="auto"/>
        </w:rPr>
      </w:pPr>
      <w:r>
        <w:rPr>
          <w:rFonts w:ascii="Arial" w:cs="Arial" w:eastAsia="Arial" w:hAnsi="Arial"/>
          <w:sz w:val="17"/>
          <w:szCs w:val="17"/>
          <w:color w:val="auto"/>
        </w:rPr>
        <w:t>The merger will be conducted pursuant to Section 251(g) of the General Corporation Law of the State of Delaware, which provides for the formation of a holding company without a vote of the stockholders of the constituent corporation. The conversion of stock will occur automatically. Following the consummation of the merger, Parent Common Stock shares will continue to trade on the Nasdaq Global Select Market on an uninterrupted basis under the symbol “NCNO” with a new CUSIP number. Immediately after consummation of the merger, Parent will have, on a consolidated basis, the same assets, businesses and operations as the Company had immediately prior to the consummation of the merger. As a result of the merger, Parent will become the successor issuer to the Company pursuant to 12g-3(a) of the Exchange Act and as a result the Parent Common Stock shares will be deemed registered under Section 12(b) of the Exchange Act.</w:t>
      </w:r>
    </w:p>
    <w:p>
      <w:pPr>
        <w:spacing w:after="0" w:line="166" w:lineRule="exact"/>
        <w:rPr>
          <w:sz w:val="20"/>
          <w:szCs w:val="20"/>
          <w:color w:val="auto"/>
        </w:rPr>
      </w:pPr>
    </w:p>
    <w:p>
      <w:pPr>
        <w:ind w:firstLine="891"/>
        <w:spacing w:after="0" w:line="227" w:lineRule="auto"/>
        <w:rPr>
          <w:sz w:val="20"/>
          <w:szCs w:val="20"/>
          <w:color w:val="auto"/>
        </w:rPr>
      </w:pPr>
      <w:r>
        <w:rPr>
          <w:rFonts w:ascii="Arial" w:cs="Arial" w:eastAsia="Arial" w:hAnsi="Arial"/>
          <w:sz w:val="18"/>
          <w:szCs w:val="18"/>
          <w:color w:val="auto"/>
        </w:rPr>
        <w:t>The completion of the merger is subject to customary closing conditions, including, without limitation, (i) the expiration or termination of the applicable waiting periods under the Hart-Scott-Rodino Antitrust Improvements Act of 1976, as amended, (ii) the absence of any material applicable law or any order that has the effect of enjoining or otherwise prohibiting the completion of the mergers, (iii) the receipt of certain tax opinions, (iv) the absence of a material adverse effect on the Company and SimpleNexus, and (v) the authorization for listing of the shares of Parent Common Stock on Nasdaq. The closing of the transactions contemplated by the Merger Agreement is anticipated to occur in the fourth quarter of the Company’s fiscal year, ending January 31, 2022.</w:t>
      </w:r>
    </w:p>
    <w:p>
      <w:pPr>
        <w:spacing w:after="0" w:line="189" w:lineRule="exact"/>
        <w:rPr>
          <w:sz w:val="20"/>
          <w:szCs w:val="20"/>
          <w:color w:val="auto"/>
        </w:rPr>
      </w:pPr>
    </w:p>
    <w:p>
      <w:pPr>
        <w:ind w:right="40" w:firstLine="891"/>
        <w:spacing w:after="0" w:line="253" w:lineRule="auto"/>
        <w:rPr>
          <w:sz w:val="20"/>
          <w:szCs w:val="20"/>
          <w:color w:val="auto"/>
        </w:rPr>
      </w:pPr>
      <w:r>
        <w:rPr>
          <w:rFonts w:ascii="Arial" w:cs="Arial" w:eastAsia="Arial" w:hAnsi="Arial"/>
          <w:sz w:val="17"/>
          <w:szCs w:val="17"/>
          <w:color w:val="auto"/>
        </w:rPr>
        <w:t>Affiliates of Insight Partners are equityholders of SimpleNexus and certain other parties in connection with the transactions contemplated by the Merger Agreement, and other affiliates of Insight Partners are currently significant stockholders of the Company. As such, and as a condition and material inducement to the willingness of the Company, Parent and other parties to enter into the Merger Agreement, Parent and the Insight Parties have entered into a restrictive covenant agreement with Parent providing for, among other things, the Insight Parties’ agreement not to sell or otherwise directly or indirectly dispose of approximately two-thirds of the shares of Parent Common Stock that will be held by the Insight Parties following the closing of the transactions contemplated by the Merger Agreement, on a pro forma basis, and assuming no sales by the Insight Parties of shares of the Company’s Common Stock prior to the closing of the transactions contemplated by the Merger Agreement. Following the closing of the transactions contemplated by the Merger Agreement, approximately one-third of this approximately two-thirds will be released from such restrictions on each of the six, nine and twelve month anniversaries of the closing of the transactions contemplated by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right="20" w:firstLine="891"/>
        <w:spacing w:after="0" w:line="269" w:lineRule="auto"/>
        <w:rPr>
          <w:sz w:val="20"/>
          <w:szCs w:val="20"/>
          <w:color w:val="auto"/>
        </w:rPr>
      </w:pPr>
      <w:r>
        <w:rPr>
          <w:rFonts w:ascii="Arial" w:cs="Arial" w:eastAsia="Arial" w:hAnsi="Arial"/>
          <w:sz w:val="17"/>
          <w:szCs w:val="17"/>
          <w:b w:val="1"/>
          <w:bCs w:val="1"/>
          <w:i w:val="1"/>
          <w:iCs w:val="1"/>
          <w:color w:val="auto"/>
        </w:rPr>
        <w:t>Market Adoption of Our Solution</w:t>
      </w:r>
      <w:r>
        <w:rPr>
          <w:rFonts w:ascii="Arial" w:cs="Arial" w:eastAsia="Arial" w:hAnsi="Arial"/>
          <w:sz w:val="17"/>
          <w:szCs w:val="17"/>
          <w:color w:val="auto"/>
        </w:rPr>
        <w:t>. Our future growth depends on our ability to expand our reach to new financial institution customers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markets accounted for 16.7% of total revenues for the three months ended October 31, 2021, and 15.8% for the nine months ended October 31, 2021.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79" w:lineRule="exact"/>
        <w:rPr>
          <w:sz w:val="20"/>
          <w:szCs w:val="20"/>
          <w:color w:val="auto"/>
        </w:rPr>
      </w:pPr>
    </w:p>
    <w:p>
      <w:pPr>
        <w:ind w:right="40" w:firstLine="891"/>
        <w:spacing w:after="0" w:line="273" w:lineRule="auto"/>
        <w:rPr>
          <w:sz w:val="20"/>
          <w:szCs w:val="20"/>
          <w:color w:val="auto"/>
        </w:rPr>
      </w:pPr>
      <w:r>
        <w:rPr>
          <w:rFonts w:ascii="Arial" w:cs="Arial" w:eastAsia="Arial" w:hAnsi="Arial"/>
          <w:sz w:val="17"/>
          <w:szCs w:val="17"/>
          <w:b w:val="1"/>
          <w:bCs w:val="1"/>
          <w:i w:val="1"/>
          <w:iCs w:val="1"/>
          <w:color w:val="auto"/>
        </w:rPr>
        <w:t xml:space="preserve">Mix of Subscription and Professional Services Revenues. </w:t>
      </w:r>
      <w:r>
        <w:rPr>
          <w:rFonts w:ascii="Arial" w:cs="Arial" w:eastAsia="Arial" w:hAnsi="Arial"/>
          <w:sz w:val="17"/>
          <w:szCs w:val="17"/>
          <w:color w:val="auto"/>
        </w:rPr>
        <w:t>The initial deployment of the nCino Bank Operating System by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8" w:lineRule="exact"/>
        <w:rPr>
          <w:sz w:val="20"/>
          <w:szCs w:val="20"/>
          <w:color w:val="auto"/>
        </w:rPr>
      </w:pPr>
    </w:p>
    <w:p>
      <w:pPr>
        <w:ind w:right="280" w:firstLine="891"/>
        <w:spacing w:after="0" w:line="259" w:lineRule="auto"/>
        <w:rPr>
          <w:sz w:val="20"/>
          <w:szCs w:val="20"/>
          <w:color w:val="auto"/>
        </w:rPr>
      </w:pPr>
      <w:r>
        <w:rPr>
          <w:rFonts w:ascii="Arial" w:cs="Arial" w:eastAsia="Arial" w:hAnsi="Arial"/>
          <w:sz w:val="18"/>
          <w:szCs w:val="18"/>
          <w:b w:val="1"/>
          <w:bCs w:val="1"/>
          <w:i w:val="1"/>
          <w:iCs w:val="1"/>
          <w:color w:val="auto"/>
        </w:rPr>
        <w:t>COVID-19 Effects on Demand for Our Solution</w:t>
      </w:r>
      <w:r>
        <w:rPr>
          <w:rFonts w:ascii="Arial" w:cs="Arial" w:eastAsia="Arial" w:hAnsi="Arial"/>
          <w:sz w:val="18"/>
          <w:szCs w:val="18"/>
          <w:color w:val="auto"/>
        </w:rPr>
        <w:t>. To help our customers service demand for Paycheck Protection Program ("PPP")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coupled with the disruptive effect of COVID-19 on the economy more generally, may have the effect of moderating revenue growth rates in fiscal 2022. In addition, our revenue growth rates in fiscal 2023 and our subscription revenue retention rates may be adversely affected upon the expiration of access and use rights to our PPP solution to the extent such rights are not re-purposed for other applications.</w:t>
      </w:r>
    </w:p>
    <w:p>
      <w:pPr>
        <w:spacing w:after="0" w:line="164"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5" w:lineRule="exact"/>
        <w:rPr>
          <w:sz w:val="20"/>
          <w:szCs w:val="20"/>
          <w:color w:val="auto"/>
        </w:rPr>
      </w:pPr>
    </w:p>
    <w:p>
      <w:pPr>
        <w:ind w:right="140" w:firstLine="89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and support services that we generally offer under non-cancellable multi-year contracts, which typically range from three to five years. Specifically, we offer:</w:t>
      </w:r>
    </w:p>
    <w:p>
      <w:pPr>
        <w:spacing w:after="0" w:line="184" w:lineRule="exact"/>
        <w:rPr>
          <w:sz w:val="20"/>
          <w:szCs w:val="20"/>
          <w:color w:val="auto"/>
        </w:rPr>
      </w:pPr>
    </w:p>
    <w:p>
      <w:pPr>
        <w:ind w:left="1300" w:right="46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70" w:lineRule="exact"/>
        <w:rPr>
          <w:rFonts w:ascii="Arial" w:cs="Arial" w:eastAsia="Arial" w:hAnsi="Arial"/>
          <w:sz w:val="18"/>
          <w:szCs w:val="18"/>
          <w:color w:val="auto"/>
        </w:rPr>
      </w:pPr>
    </w:p>
    <w:p>
      <w:pPr>
        <w:ind w:left="1300" w:hanging="320"/>
        <w:spacing w:after="0" w:line="259"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in fiscal 2020, they generally licensed their products under annual contracts that could be cancelled on 30-days’ notice. We will continue to support these customers under their legacy contracts until such contracts are renewed, cancelled, or expire.</w:t>
      </w:r>
    </w:p>
    <w:p>
      <w:pPr>
        <w:spacing w:after="0" w:line="186" w:lineRule="exact"/>
        <w:rPr>
          <w:rFonts w:ascii="Arial" w:cs="Arial" w:eastAsia="Arial" w:hAnsi="Arial"/>
          <w:sz w:val="18"/>
          <w:szCs w:val="18"/>
          <w:color w:val="auto"/>
        </w:rPr>
      </w:pPr>
    </w:p>
    <w:p>
      <w:pPr>
        <w:ind w:left="1300" w:right="8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right="80" w:firstLine="891"/>
        <w:spacing w:after="0" w:line="290"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65" w:lineRule="exact"/>
        <w:rPr>
          <w:sz w:val="20"/>
          <w:szCs w:val="20"/>
          <w:color w:val="auto"/>
        </w:rPr>
      </w:pPr>
    </w:p>
    <w:p>
      <w:pPr>
        <w:ind w:right="140" w:firstLine="891"/>
        <w:spacing w:after="0" w:line="272" w:lineRule="auto"/>
        <w:rPr>
          <w:sz w:val="20"/>
          <w:szCs w:val="20"/>
          <w:color w:val="auto"/>
        </w:rPr>
      </w:pPr>
      <w:r>
        <w:rPr>
          <w:rFonts w:ascii="Arial" w:cs="Arial" w:eastAsia="Arial" w:hAnsi="Arial"/>
          <w:sz w:val="17"/>
          <w:szCs w:val="17"/>
          <w:i w:val="1"/>
          <w:iCs w:val="1"/>
          <w:color w:val="auto"/>
        </w:rPr>
        <w:t>Professional Services Revenues</w:t>
      </w:r>
      <w:r>
        <w:rPr>
          <w:rFonts w:ascii="Arial" w:cs="Arial" w:eastAsia="Arial" w:hAnsi="Arial"/>
          <w:sz w:val="17"/>
          <w:szCs w:val="17"/>
          <w:color w:val="auto"/>
        </w:rPr>
        <w:t>. Professional services revenues consist of fees for implementation and configuration assistance, training, and</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primarily consists of fees paid to Salesforce for access to the Salesforce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4"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i w:val="1"/>
          <w:iCs w:val="1"/>
          <w:color w:val="auto"/>
        </w:rPr>
        <w:t>Cost of Professional Services Revenues</w:t>
      </w:r>
      <w:r>
        <w:rPr>
          <w:rFonts w:ascii="Arial" w:cs="Arial" w:eastAsia="Arial" w:hAnsi="Arial"/>
          <w:sz w:val="18"/>
          <w:szCs w:val="18"/>
          <w:color w:val="auto"/>
        </w:rPr>
        <w:t>. Cost of professional services revenues consists primarily of personnel-related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firstLine="891"/>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primarily of personnel costs of our sales and marketing employees,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66" w:lineRule="exact"/>
        <w:rPr>
          <w:sz w:val="20"/>
          <w:szCs w:val="20"/>
          <w:color w:val="auto"/>
        </w:rPr>
      </w:pPr>
    </w:p>
    <w:p>
      <w:pPr>
        <w:ind w:right="160" w:firstLine="891"/>
        <w:spacing w:after="0" w:line="30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consist primarily of salaries, benefits and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57" w:lineRule="exact"/>
        <w:rPr>
          <w:sz w:val="20"/>
          <w:szCs w:val="20"/>
          <w:color w:val="auto"/>
        </w:rPr>
      </w:pPr>
    </w:p>
    <w:p>
      <w:pPr>
        <w:ind w:right="280" w:firstLine="891"/>
        <w:spacing w:after="0" w:line="29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benefits and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which primarily consists of third-party expenses related to announced acquisitions, such as legal professional services fees. We expect that general and administrative expenses will continue to increase as we scale our business and as we incur costs associated with being a new publicly-traded company, including legal, audit, and consulting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891"/>
        <w:spacing w:after="0" w:line="273" w:lineRule="auto"/>
        <w:rPr>
          <w:sz w:val="20"/>
          <w:szCs w:val="20"/>
          <w:color w:val="auto"/>
        </w:rPr>
      </w:pPr>
      <w:r>
        <w:rPr>
          <w:rFonts w:ascii="Arial" w:cs="Arial" w:eastAsia="Arial" w:hAnsi="Arial"/>
          <w:sz w:val="17"/>
          <w:szCs w:val="17"/>
          <w:color w:val="auto"/>
        </w:rPr>
        <w:t>We have historically recorded stock-based compensation expense associated with stock options in cost of revenues and operating expenses as the related options vest. Beginning in the quarter ended July 31, 2020, we recorded stock-based compensation expenses associated with RSUs as cost of revenues and operating expenses as a liquidity-based vesting condition was satisfied upon the IPO. Stock-based compensation expense was $5.3 million and $5.8 million for the three months ended October 31, 2020 and 2021, respectively, and $19.6 million and $20.5 million for the nine months ended October 31, 2020 and 2021, respectively. After the IPO, stock-based compensation expense for both stock options and RSUs is recognized as the time-based vesting conditions under such awards are met.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results of operations presented below should be reviewed in conjunction with the financial statements and notes included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The following tables present our selected consolidated statements of operations data for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October 31, 2020 and 2021 in both dollars and as a percentage of total revenues, except as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43,279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57,085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117,461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162,052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line="230" w:lineRule="exact"/>
              <w:rPr>
                <w:sz w:val="20"/>
                <w:szCs w:val="20"/>
                <w:color w:val="auto"/>
              </w:rPr>
            </w:pPr>
            <w:r>
              <w:rPr>
                <w:rFonts w:ascii="Arial" w:cs="Arial" w:eastAsia="Arial" w:hAnsi="Arial"/>
                <w:sz w:val="18"/>
                <w:szCs w:val="18"/>
                <w:color w:val="auto"/>
              </w:rPr>
              <w:t>Cost of subscription revenues</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Cost of professional services revenues</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118,782</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55,990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160,148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(42,495)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(43,525)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non-controlling interest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 attributable to nCino, Inc.</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nCino, Inc.:</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91,600,203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96,431,082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85,962,141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95,510,413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24"/>
                <w:szCs w:val="24"/>
                <w:color w:val="auto"/>
              </w:rPr>
            </w:pPr>
          </w:p>
        </w:tc>
        <w:tc>
          <w:tcPr>
            <w:tcW w:w="26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5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20" w:type="dxa"/>
            <w:vAlign w:val="bottom"/>
            <w:gridSpan w:val="3"/>
          </w:tcPr>
          <w:p>
            <w:pPr>
              <w:ind w:left="440"/>
              <w:spacing w:after="0"/>
              <w:rPr>
                <w:sz w:val="20"/>
                <w:szCs w:val="20"/>
                <w:color w:val="auto"/>
              </w:rPr>
            </w:pPr>
            <w:r>
              <w:rPr>
                <w:rFonts w:ascii="Arial" w:cs="Arial" w:eastAsia="Arial" w:hAnsi="Arial"/>
                <w:sz w:val="14"/>
                <w:szCs w:val="14"/>
                <w:b w:val="1"/>
                <w:bCs w:val="1"/>
                <w:color w:val="auto"/>
              </w:rPr>
              <w:t>Three Months Ended October 31,</w:t>
            </w:r>
          </w:p>
        </w:tc>
        <w:tc>
          <w:tcPr>
            <w:tcW w:w="296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Nine Months Ended October 31,</w:t>
            </w:r>
          </w:p>
        </w:tc>
      </w:tr>
      <w:tr>
        <w:trPr>
          <w:trHeight w:val="186"/>
        </w:trPr>
        <w:tc>
          <w:tcPr>
            <w:tcW w:w="52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4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r>
      <w:tr>
        <w:trPr>
          <w:trHeight w:val="20"/>
        </w:trPr>
        <w:tc>
          <w:tcPr>
            <w:tcW w:w="5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95"/>
              </w:rPr>
              <w:t>Three Months Ended October 31,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gridSpan w:val="9"/>
          </w:tcPr>
          <w:p>
            <w:pPr>
              <w:jc w:val="right"/>
              <w:ind w:right="470"/>
              <w:spacing w:after="0"/>
              <w:rPr>
                <w:sz w:val="20"/>
                <w:szCs w:val="20"/>
                <w:color w:val="auto"/>
              </w:rPr>
            </w:pPr>
            <w:r>
              <w:rPr>
                <w:rFonts w:ascii="Arial" w:cs="Arial" w:eastAsia="Arial" w:hAnsi="Arial"/>
                <w:sz w:val="14"/>
                <w:szCs w:val="14"/>
                <w:b w:val="1"/>
                <w:bCs w:val="1"/>
                <w:color w:val="auto"/>
              </w:rPr>
              <w:t>Nine Months Ended October 31,</w:t>
            </w:r>
          </w:p>
        </w:tc>
      </w:tr>
      <w:tr>
        <w:trPr>
          <w:trHeight w:val="187"/>
        </w:trPr>
        <w:tc>
          <w:tcPr>
            <w:tcW w:w="32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3"/>
          </w:tcPr>
          <w:p>
            <w:pPr>
              <w:jc w:val="center"/>
              <w:ind w:right="53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2021</w:t>
            </w: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79.8 %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81.5 %</w:t>
            </w:r>
          </w:p>
        </w:tc>
        <w:tc>
          <w:tcPr>
            <w:tcW w:w="20" w:type="dxa"/>
            <w:vAlign w:val="bottom"/>
          </w:tcPr>
          <w:p>
            <w:pPr>
              <w:spacing w:after="0"/>
              <w:rPr>
                <w:sz w:val="19"/>
                <w:szCs w:val="19"/>
                <w:color w:val="auto"/>
              </w:rPr>
            </w:pPr>
          </w:p>
        </w:tc>
        <w:tc>
          <w:tcPr>
            <w:tcW w:w="1560" w:type="dxa"/>
            <w:vAlign w:val="bottom"/>
            <w:gridSpan w:val="7"/>
          </w:tcPr>
          <w:p>
            <w:pPr>
              <w:jc w:val="right"/>
              <w:spacing w:after="0"/>
              <w:rPr>
                <w:sz w:val="20"/>
                <w:szCs w:val="20"/>
                <w:color w:val="auto"/>
              </w:rPr>
            </w:pPr>
            <w:r>
              <w:rPr>
                <w:rFonts w:ascii="Arial" w:cs="Arial" w:eastAsia="Arial" w:hAnsi="Arial"/>
                <w:sz w:val="18"/>
                <w:szCs w:val="18"/>
                <w:color w:val="auto"/>
              </w:rPr>
              <w:t>79.5 %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81.5 %</w:t>
            </w: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r>
      <w:tr>
        <w:trPr>
          <w:trHeight w:val="223"/>
        </w:trPr>
        <w:tc>
          <w:tcPr>
            <w:tcW w:w="3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3"/>
              </w:rPr>
              <w:t>100.0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100.0</w:t>
            </w:r>
          </w:p>
        </w:tc>
      </w:tr>
      <w:tr>
        <w:trPr>
          <w:trHeight w:val="175"/>
        </w:trPr>
        <w:tc>
          <w:tcPr>
            <w:tcW w:w="524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revenues (percentage shown in comparison to related</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28.4</w:t>
            </w: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Cost of professional services 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88.8</w:t>
            </w:r>
          </w:p>
        </w:tc>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92.6</w:t>
            </w:r>
          </w:p>
        </w:tc>
      </w:tr>
      <w:tr>
        <w:trPr>
          <w:trHeight w:val="223"/>
        </w:trPr>
        <w:tc>
          <w:tcPr>
            <w:tcW w:w="3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40.3</w:t>
            </w:r>
          </w:p>
        </w:tc>
      </w:tr>
      <w:tr>
        <w:trPr>
          <w:trHeight w:val="223"/>
        </w:trPr>
        <w:tc>
          <w:tcPr>
            <w:tcW w:w="3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59.7</w:t>
            </w: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29.3</w:t>
            </w: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28.1</w:t>
            </w: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23.1</w:t>
            </w:r>
          </w:p>
        </w:tc>
      </w:tr>
      <w:tr>
        <w:trPr>
          <w:trHeight w:val="223"/>
        </w:trPr>
        <w:tc>
          <w:tcPr>
            <w:tcW w:w="3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79.3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80.5</w:t>
            </w:r>
          </w:p>
        </w:tc>
      </w:tr>
      <w:tr>
        <w:trPr>
          <w:trHeight w:val="223"/>
        </w:trPr>
        <w:tc>
          <w:tcPr>
            <w:tcW w:w="3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ind w:left="880"/>
              <w:spacing w:after="0"/>
              <w:rPr>
                <w:sz w:val="20"/>
                <w:szCs w:val="20"/>
                <w:color w:val="auto"/>
              </w:rPr>
            </w:pPr>
            <w:r>
              <w:rPr>
                <w:rFonts w:ascii="Arial" w:cs="Arial" w:eastAsia="Arial" w:hAnsi="Arial"/>
                <w:sz w:val="18"/>
                <w:szCs w:val="18"/>
                <w:color w:val="auto"/>
                <w:w w:val="93"/>
              </w:rPr>
              <w:t>(19.5)</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r>
      <w:tr>
        <w:trPr>
          <w:trHeight w:val="210"/>
        </w:trPr>
        <w:tc>
          <w:tcPr>
            <w:tcW w:w="32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79"/>
              </w:rPr>
              <w:t>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0.2</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23"/>
        </w:trPr>
        <w:tc>
          <w:tcPr>
            <w:tcW w:w="3480" w:type="dxa"/>
            <w:vAlign w:val="bottom"/>
            <w:gridSpan w:val="2"/>
          </w:tcPr>
          <w:p>
            <w:pPr>
              <w:ind w:left="1120"/>
              <w:spacing w:after="0"/>
              <w:rPr>
                <w:sz w:val="20"/>
                <w:szCs w:val="20"/>
                <w:color w:val="auto"/>
              </w:rPr>
            </w:pPr>
            <w:r>
              <w:rPr>
                <w:rFonts w:ascii="Arial" w:cs="Arial" w:eastAsia="Arial" w:hAnsi="Arial"/>
                <w:sz w:val="18"/>
                <w:szCs w:val="18"/>
                <w:color w:val="auto"/>
                <w:w w:val="90"/>
              </w:rPr>
              <w:t>Loss before income tax expense</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ind w:left="880"/>
              <w:spacing w:after="0"/>
              <w:rPr>
                <w:sz w:val="20"/>
                <w:szCs w:val="20"/>
                <w:color w:val="auto"/>
              </w:rPr>
            </w:pPr>
            <w:r>
              <w:rPr>
                <w:rFonts w:ascii="Arial" w:cs="Arial" w:eastAsia="Arial" w:hAnsi="Arial"/>
                <w:sz w:val="18"/>
                <w:szCs w:val="18"/>
                <w:color w:val="auto"/>
                <w:w w:val="93"/>
              </w:rPr>
              <w:t>(19.1)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8"/>
                <w:szCs w:val="18"/>
                <w:color w:val="auto"/>
              </w:rPr>
              <w:t>(21.4)</w:t>
            </w: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0.5</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23"/>
        </w:trPr>
        <w:tc>
          <w:tcPr>
            <w:tcW w:w="3240" w:type="dxa"/>
            <w:vAlign w:val="bottom"/>
          </w:tcPr>
          <w:p>
            <w:pPr>
              <w:ind w:left="11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color w:val="auto"/>
                <w:w w:val="91"/>
              </w:rPr>
              <w:t>(19.6)%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4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7"/>
        </w:trPr>
        <w:tc>
          <w:tcPr>
            <w:tcW w:w="6460" w:type="dxa"/>
            <w:vAlign w:val="bottom"/>
            <w:gridSpan w:val="12"/>
          </w:tcPr>
          <w:p>
            <w:pPr>
              <w:spacing w:after="0"/>
              <w:rPr>
                <w:sz w:val="20"/>
                <w:szCs w:val="20"/>
                <w:color w:val="auto"/>
              </w:rPr>
            </w:pPr>
            <w:r>
              <w:rPr>
                <w:rFonts w:ascii="Arial" w:cs="Arial" w:eastAsia="Arial" w:hAnsi="Arial"/>
                <w:sz w:val="18"/>
                <w:szCs w:val="18"/>
                <w:b w:val="1"/>
                <w:bCs w:val="1"/>
                <w:color w:val="auto"/>
                <w:w w:val="98"/>
              </w:rPr>
              <w:t>Comparison of the Three and Nine Months Ended October 31, 2020 and 2021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5"/>
        </w:trPr>
        <w:tc>
          <w:tcPr>
            <w:tcW w:w="3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7"/>
              </w:rPr>
              <w:t>Three Months Ended October 31,</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right"/>
              <w:ind w:right="910"/>
              <w:spacing w:after="0"/>
              <w:rPr>
                <w:sz w:val="20"/>
                <w:szCs w:val="20"/>
                <w:color w:val="auto"/>
              </w:rPr>
            </w:pPr>
            <w:r>
              <w:rPr>
                <w:rFonts w:ascii="Arial" w:cs="Arial" w:eastAsia="Arial" w:hAnsi="Arial"/>
                <w:sz w:val="14"/>
                <w:szCs w:val="14"/>
                <w:b w:val="1"/>
                <w:bCs w:val="1"/>
                <w:color w:val="auto"/>
                <w:w w:val="94"/>
              </w:rPr>
              <w:t>Nine Months Ended October 31,</w:t>
            </w:r>
          </w:p>
        </w:tc>
      </w:tr>
      <w:tr>
        <w:trPr>
          <w:trHeight w:val="18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43,279</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79.8 %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81.5 %</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117,461</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79.5 %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162,052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81.5 %</w:t>
            </w: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10,950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30,245</w:t>
            </w:r>
          </w:p>
        </w:tc>
        <w:tc>
          <w:tcPr>
            <w:tcW w:w="1120" w:type="dxa"/>
            <w:vAlign w:val="bottom"/>
            <w:gridSpan w:val="4"/>
            <w:shd w:val="clear" w:color="auto" w:fill="CCEEFF"/>
          </w:tcPr>
          <w:p>
            <w:pPr>
              <w:jc w:val="right"/>
              <w:ind w:right="14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36,858</w:t>
            </w: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r>
      <w:tr>
        <w:trPr>
          <w:trHeight w:val="223"/>
        </w:trPr>
        <w:tc>
          <w:tcPr>
            <w:tcW w:w="3240" w:type="dxa"/>
            <w:vAlign w:val="bottom"/>
          </w:tcPr>
          <w:p>
            <w:pPr>
              <w:ind w:left="11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54,229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100.0 %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147,706</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198,910</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180" w:firstLine="891"/>
        <w:spacing w:after="0" w:line="259" w:lineRule="auto"/>
        <w:rPr>
          <w:sz w:val="20"/>
          <w:szCs w:val="20"/>
          <w:color w:val="auto"/>
        </w:rPr>
      </w:pPr>
      <w:r>
        <w:rPr>
          <w:rFonts w:ascii="Arial" w:cs="Arial" w:eastAsia="Arial" w:hAnsi="Arial"/>
          <w:sz w:val="18"/>
          <w:szCs w:val="18"/>
          <w:color w:val="auto"/>
        </w:rPr>
        <w:t>Subscription revenues increased $13.8 million for the three months ended October 31, 2021 compared to the three months ended October 31, 2020. Of the increase, 75.6% was attributable to increased revenues from existing customers as additional seats were activated in accordance with contractual terms and customers expanded their adoption of our solution, and 24.4% was attributable to initial revenues from customers who did not contribute to subscription revenues during the three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months ended October 31, 2020. Subscription revenues were 81.5% of total revenues for the three months ended October 31, 2021 compared to 79.8% of total revenues for the three months ended October 31, 2020, reflecting the growth in our installed base.</w:t>
      </w:r>
    </w:p>
    <w:p>
      <w:pPr>
        <w:spacing w:after="0" w:line="170" w:lineRule="exact"/>
        <w:rPr>
          <w:sz w:val="20"/>
          <w:szCs w:val="20"/>
          <w:color w:val="auto"/>
        </w:rPr>
      </w:pPr>
    </w:p>
    <w:p>
      <w:pPr>
        <w:ind w:right="280" w:firstLine="891"/>
        <w:spacing w:after="0" w:line="255" w:lineRule="auto"/>
        <w:rPr>
          <w:sz w:val="20"/>
          <w:szCs w:val="20"/>
          <w:color w:val="auto"/>
        </w:rPr>
      </w:pPr>
      <w:r>
        <w:rPr>
          <w:rFonts w:ascii="Arial" w:cs="Arial" w:eastAsia="Arial" w:hAnsi="Arial"/>
          <w:sz w:val="18"/>
          <w:szCs w:val="18"/>
          <w:color w:val="auto"/>
        </w:rPr>
        <w:t>Subscription revenues increased $44.6 million for the nine months ended October 31, 2021 compared to the nine months ended October 31, 2020. Of the increase, 77.0% was attributable to increased revenues from existing customers as additional seats were activated in accordance with contractual terms and customers expanded their adoption of our solution, and 23.0% was attributable to initial revenues from customers who did not contribute to subscription revenues during the nine months ended October 31, 2020. Subscription revenues were 81.5% of total revenues for the nine months ended October 31, 2021 compared to 79.5% of total revenues for the nine months ended October 31, 2020, reflecting the growth in our installed base.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color w:val="auto"/>
        </w:rPr>
        <w:t>Professional services revenues increased $2.0 million for the three months ended October 31, 2021 compared to the three months ended October 31, 2020,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Professional services revenues increased $6.6 million for the nine months ended October 31, 2021 compared to the nine months ended October 31, 2020,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6"/>
              </w:rPr>
              <w:t>Three Months Ended October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8"/>
              </w:rPr>
              <w:t>Nine Months Ended October 31,</w:t>
            </w:r>
          </w:p>
        </w:tc>
        <w:tc>
          <w:tcPr>
            <w:tcW w:w="680" w:type="dxa"/>
            <w:vAlign w:val="bottom"/>
            <w:tcBorders>
              <w:bottom w:val="single" w:sz="8" w:color="auto"/>
            </w:tcBorders>
          </w:tcPr>
          <w:p>
            <w:pPr>
              <w:spacing w:after="0"/>
              <w:rPr>
                <w:sz w:val="16"/>
                <w:szCs w:val="16"/>
                <w:color w:val="auto"/>
              </w:rPr>
            </w:pPr>
          </w:p>
        </w:tc>
      </w:tr>
      <w:tr>
        <w:trPr>
          <w:trHeight w:val="188"/>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Cost of revenues (percentage shown in</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comparison to related revenues):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26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12,380</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92"/>
              </w:rPr>
              <w:t>28.6 %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15,753</w:t>
            </w:r>
          </w:p>
        </w:tc>
        <w:tc>
          <w:tcPr>
            <w:tcW w:w="40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92"/>
              </w:rPr>
              <w:t>27.6 %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34,399</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92"/>
              </w:rPr>
              <w:t>29.3 %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46,007</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92"/>
              </w:rPr>
              <w:t>28.4 %</w:t>
            </w:r>
          </w:p>
        </w:tc>
      </w:tr>
      <w:tr>
        <w:trPr>
          <w:trHeight w:val="230"/>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Cost of professional services revenues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11,501</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29,568</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34,121</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92.6</w:t>
            </w:r>
          </w:p>
        </w:tc>
      </w:tr>
      <w:tr>
        <w:trPr>
          <w:trHeight w:val="223"/>
        </w:trPr>
        <w:tc>
          <w:tcPr>
            <w:tcW w:w="3260" w:type="dxa"/>
            <w:vAlign w:val="bottom"/>
          </w:tcPr>
          <w:p>
            <w:pPr>
              <w:ind w:left="6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22,514</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w:t>
            </w:r>
          </w:p>
        </w:tc>
        <w:tc>
          <w:tcPr>
            <w:tcW w:w="40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63,967</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80,128</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40.3</w:t>
            </w: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249"/>
        </w:trPr>
        <w:tc>
          <w:tcPr>
            <w:tcW w:w="3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58.5 %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42,782</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61.1 %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83,739</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56.7 %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118,782</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59.7 %</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Cost of subscription revenues increased $3.4 million for the three months ended October 31, 2021 compared to the three months ended October 31, 2020, generating a gross margin for subscription revenues of 72.4% compared to a gross margin of 71.4% for the three months ended October 31, 2020. Costs related to Salesforce user fees increased $2.6 million as we continued to add new customers and sell additional functionality to existing customers, and personnel costs increased $0.4 million as we added new employees. Other costs of subscription revenues increased $0.3 million due to other data center costs. We expect the cost of subscription revenues will continue to increase in absolute dollars as the number of users of the nCino Bank Operating System grows.</w:t>
      </w:r>
    </w:p>
    <w:p>
      <w:pPr>
        <w:spacing w:after="0" w:line="192"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Cost of subscription revenues increased $11.6 million for the nine months ended October 31, 2021 compared to the nine months ended October 31, 2020, generating a gross margin for subscription revenues of 71.6% compared to a gross margin of 70.7% for the nine months ended October 31, 2020. Costs related to Salesforce user fees increased $8.1 million as we continued to add new customers and sell additional functionality to existing customers, and personnel costs increased $2.3 million as we added new employees. Other costs of subscription revenues increased $0.9 million due to other data center costs. We expect the cost of subscription revenues will continue to increase in absolute dollars as the number of users of the nCino Bank Operating System grows.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Cost of professional services revenues increased $1.4 million for the three months ended October 31, 2021 compared to the three months ended October 31, 2020, generating a gross margin for professional services of 11.2% compared to a gross margin of 7.5% for the three months ended October 31, 2020. For the three months ended October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personnel costs increased $1.2 million primarily due to increased headcount. The increase in our professional services gross margin for the three months ended October 31, 2021 was primarily due to an improved mix and use of our billable resources on our professional services teams.</w:t>
      </w:r>
    </w:p>
    <w:p>
      <w:pPr>
        <w:spacing w:after="0" w:line="146" w:lineRule="exact"/>
        <w:rPr>
          <w:sz w:val="20"/>
          <w:szCs w:val="20"/>
          <w:color w:val="auto"/>
        </w:rPr>
      </w:pPr>
    </w:p>
    <w:p>
      <w:pPr>
        <w:ind w:right="100" w:firstLine="891"/>
        <w:spacing w:after="0" w:line="275" w:lineRule="auto"/>
        <w:rPr>
          <w:sz w:val="20"/>
          <w:szCs w:val="20"/>
          <w:color w:val="auto"/>
        </w:rPr>
      </w:pPr>
      <w:r>
        <w:rPr>
          <w:rFonts w:ascii="Arial" w:cs="Arial" w:eastAsia="Arial" w:hAnsi="Arial"/>
          <w:sz w:val="17"/>
          <w:szCs w:val="17"/>
          <w:color w:val="auto"/>
        </w:rPr>
        <w:t>Cost of professional services revenues increased $4.6 million for the nine months ended October 31, 2021 compared to the nine months ended October 31, 2020, generating a gross margin for professional services of 7.4% compared to a gross margin of 2.2% for the nine months ended October 31, 2020. For the nine months ended October 31, 2021, personnel costs increased $4.4 million for the professional services team compared to the prior year period primarily due to increased headcount. The increase in our professional services gross margin for the nine months ended October 31, 2021 was primarily due to an improved mix and use of our billable resources on our professional services teams.</w:t>
      </w:r>
    </w:p>
    <w:p>
      <w:pPr>
        <w:spacing w:after="0" w:line="176" w:lineRule="exact"/>
        <w:rPr>
          <w:sz w:val="20"/>
          <w:szCs w:val="20"/>
          <w:color w:val="auto"/>
        </w:rPr>
      </w:pPr>
    </w:p>
    <w:p>
      <w:pPr>
        <w:ind w:right="400" w:firstLine="891"/>
        <w:spacing w:after="0" w:line="277" w:lineRule="auto"/>
        <w:rPr>
          <w:sz w:val="20"/>
          <w:szCs w:val="20"/>
          <w:color w:val="auto"/>
        </w:rPr>
      </w:pPr>
      <w:r>
        <w:rPr>
          <w:rFonts w:ascii="Arial" w:cs="Arial" w:eastAsia="Arial" w:hAnsi="Arial"/>
          <w:sz w:val="18"/>
          <w:szCs w:val="18"/>
          <w:color w:val="auto"/>
        </w:rPr>
        <w:t>We expect the cost of professional services revenues to increase in absolute dollars in the near term as we add new customer subscriptions where we provide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2"/>
              </w:rPr>
              <w:t>Three Months Ended October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4"/>
              </w:rPr>
              <w:t>Nine Months Ended October 31,</w:t>
            </w:r>
          </w:p>
        </w:tc>
        <w:tc>
          <w:tcPr>
            <w:tcW w:w="720" w:type="dxa"/>
            <w:vAlign w:val="bottom"/>
            <w:tcBorders>
              <w:bottom w:val="single" w:sz="8" w:color="auto"/>
            </w:tcBorders>
          </w:tcPr>
          <w:p>
            <w:pPr>
              <w:spacing w:after="0"/>
              <w:rPr>
                <w:sz w:val="16"/>
                <w:szCs w:val="16"/>
                <w:color w:val="auto"/>
              </w:rPr>
            </w:pPr>
          </w:p>
        </w:tc>
      </w:tr>
      <w:tr>
        <w:trPr>
          <w:trHeight w:val="18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r>
      <w:tr>
        <w:trPr>
          <w:trHeight w:val="21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14,175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w w:val="92"/>
              </w:rPr>
              <w:t>26.1 %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20,586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29.4 %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w w:val="89"/>
              </w:rPr>
              <w:t>28.5 %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29.3 %</w:t>
            </w:r>
          </w:p>
        </w:tc>
      </w:tr>
      <w:tr>
        <w:trPr>
          <w:trHeight w:val="229"/>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15,077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28.1</w:t>
            </w:r>
          </w:p>
        </w:tc>
      </w:tr>
      <w:tr>
        <w:trPr>
          <w:trHeight w:val="229"/>
        </w:trPr>
        <w:tc>
          <w:tcPr>
            <w:tcW w:w="3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11,251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14,964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23.1</w:t>
            </w:r>
          </w:p>
        </w:tc>
      </w:tr>
      <w:tr>
        <w:trPr>
          <w:trHeight w:val="223"/>
        </w:trPr>
        <w:tc>
          <w:tcPr>
            <w:tcW w:w="3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40,503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55,506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112,491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160,148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80.5</w:t>
            </w:r>
          </w:p>
        </w:tc>
      </w:tr>
      <w:tr>
        <w:trPr>
          <w:trHeight w:val="223"/>
        </w:trPr>
        <w:tc>
          <w:tcPr>
            <w:tcW w:w="3160" w:type="dxa"/>
            <w:vAlign w:val="bottom"/>
          </w:tcPr>
          <w:p>
            <w:pPr>
              <w:ind w:left="11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(8,788)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(16.1)%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(12,724)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(18.2)%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(28,752)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(19.5)%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(20.8)%</w:t>
            </w: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891"/>
        <w:spacing w:after="0" w:line="257" w:lineRule="auto"/>
        <w:rPr>
          <w:sz w:val="20"/>
          <w:szCs w:val="20"/>
          <w:color w:val="auto"/>
        </w:rPr>
      </w:pPr>
      <w:r>
        <w:rPr>
          <w:rFonts w:ascii="Arial" w:cs="Arial" w:eastAsia="Arial" w:hAnsi="Arial"/>
          <w:sz w:val="18"/>
          <w:szCs w:val="18"/>
          <w:color w:val="auto"/>
        </w:rPr>
        <w:t>Sales and marketing expenses increased $6.4 million for the three months ended October 31, 2021 compared to the three months ended October 31, 2020, primarily due to an increase of $4.7 million in personnel costs resulting mainly from an increase in headcount on the sales and marketing teams. Also contributing to the increase in personnel costs was expatriate tax equalization expenses of $1.2 million. The increase in sales and marketing expenses also included an increase of $1.1 million in marketing costs, an increase of $0.4 million in sales-related travel costs, and an increase of $0.2 million in allocated overhead costs.</w:t>
      </w:r>
    </w:p>
    <w:p>
      <w:pPr>
        <w:spacing w:after="0" w:line="188"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Sales and marketing expenses increased $16.2 million for the nine months ended October 31, 2021 compared to the nine months ended October 31, 2020, primarily due to an increase of $12.9 million in personnel costs resulting mainly from an increase in headcount on the sales and marketing teams. Also contributing to the increase in personnel costs was expatriate tax equalization expenses of $2.6 million. The increase in sales and marketing expenses also included an increase of $2.1 million in marketing costs, an increase of $0.1 million in sales-related travel costs, an increase of $0.6 million in allocated overhead costs, and an increase of $0.5 million in outside consulting fees due to growth supporting our continued business expansion.</w:t>
      </w:r>
    </w:p>
    <w:p>
      <w:pPr>
        <w:spacing w:after="0" w:line="161" w:lineRule="exact"/>
        <w:rPr>
          <w:sz w:val="20"/>
          <w:szCs w:val="20"/>
          <w:color w:val="auto"/>
        </w:rPr>
      </w:pPr>
    </w:p>
    <w:p>
      <w:pPr>
        <w:ind w:right="580" w:firstLine="891"/>
        <w:spacing w:after="0" w:line="277" w:lineRule="auto"/>
        <w:rPr>
          <w:sz w:val="20"/>
          <w:szCs w:val="20"/>
          <w:color w:val="auto"/>
        </w:rPr>
      </w:pPr>
      <w:r>
        <w:rPr>
          <w:rFonts w:ascii="Arial" w:cs="Arial" w:eastAsia="Arial" w:hAnsi="Arial"/>
          <w:sz w:val="18"/>
          <w:szCs w:val="18"/>
          <w:color w:val="auto"/>
        </w:rPr>
        <w:t>Our sales and marketing headcount grew by 52 from October 31, 2020 to October 31, 2021. We expect sales and marketing expenses to increase in absolute dollars as we invest in expanding our customer base and user adoption.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Research and development expenses increased $4.9 million for the three months ended October 31, 2021 compared to the three months ended October 31, 2020, primarily due to an increase of $4.2 million in personnel costs resulting mainly from a continued increase in headcount, a $0.6 million increase in allocated overhead costs due to growth supporting our continued business expansion, and a $0.1 million increase in third party professional fees attributable to an increase in contract research and development spend.</w:t>
      </w:r>
    </w:p>
    <w:p>
      <w:pPr>
        <w:spacing w:after="0" w:line="187" w:lineRule="exact"/>
        <w:rPr>
          <w:sz w:val="20"/>
          <w:szCs w:val="20"/>
          <w:color w:val="auto"/>
        </w:rPr>
      </w:pPr>
    </w:p>
    <w:p>
      <w:pPr>
        <w:ind w:right="140" w:firstLine="891"/>
        <w:spacing w:after="0" w:line="259" w:lineRule="auto"/>
        <w:rPr>
          <w:sz w:val="20"/>
          <w:szCs w:val="20"/>
          <w:color w:val="auto"/>
        </w:rPr>
      </w:pPr>
      <w:r>
        <w:rPr>
          <w:rFonts w:ascii="Arial" w:cs="Arial" w:eastAsia="Arial" w:hAnsi="Arial"/>
          <w:sz w:val="18"/>
          <w:szCs w:val="18"/>
          <w:color w:val="auto"/>
        </w:rPr>
        <w:t>Research and development expenses increased $14.7 million for the nine months ended October 31, 2021 compared to the nine months ended October 31, 2020, primarily due to an increase of $11.1 million in personnel costs resulting mainly from a continued increase in headcount, a $2.1 million increase in third party professional fees attributable to an increase in contract research and development spend, and a $1.5 million increase in allocated overhead costs due to growth supporting our continued business expansion.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891"/>
        <w:spacing w:after="0" w:line="263" w:lineRule="auto"/>
        <w:rPr>
          <w:sz w:val="20"/>
          <w:szCs w:val="20"/>
          <w:color w:val="auto"/>
        </w:rPr>
      </w:pPr>
      <w:r>
        <w:rPr>
          <w:rFonts w:ascii="Arial" w:cs="Arial" w:eastAsia="Arial" w:hAnsi="Arial"/>
          <w:sz w:val="18"/>
          <w:szCs w:val="18"/>
          <w:color w:val="auto"/>
        </w:rPr>
        <w:t>Our research and development headcount grew by 91 from October 31, 2020 to October 31, 2021. We expect research and development expenses to increase in absolute dollars due to higher headcount as we continue to develop new solutions and further enhance the nCino Bank Operating System.</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891"/>
        <w:spacing w:after="0" w:line="270" w:lineRule="auto"/>
        <w:rPr>
          <w:sz w:val="20"/>
          <w:szCs w:val="20"/>
          <w:color w:val="auto"/>
        </w:rPr>
      </w:pPr>
      <w:r>
        <w:rPr>
          <w:rFonts w:ascii="Arial" w:cs="Arial" w:eastAsia="Arial" w:hAnsi="Arial"/>
          <w:sz w:val="17"/>
          <w:szCs w:val="17"/>
          <w:color w:val="auto"/>
        </w:rPr>
        <w:t>General and administrative expenses increased $3.7 million for the three months ended October 31, 2021 compared to the three months ended October 31, 2020. Personnel costs increased $0.6 million. Excluding the effect of stock-based compensation expense that is included in personnel costs, personnel costs increased $1.3 million primarily from additional headcount as we continued to scale our business. Third party professional fees increased $2.1 million for the three months ended October 31, 2021 compared to the three months ended October 31, 2020, mostly attributable to a $2.0 million increase in fees and expenses related to the Antitrust Matters (defined below) and a $0.9 million increase in acquisition-related expenses for an announced acquisition, partially offset by a $0.8 million decrease in other professional fees. Allocated overhead and other general and administrative costs increased $0.8 million, which includes an increase in insurance costs associated with being a public company, and an increase in travel-related costs of $0.2 million. Stock-based compensation expense, included in personnel costs, decreased $0.7 million overall due to reversals of stock-based compensation expense as a result of forfeited awards.</w:t>
      </w:r>
    </w:p>
    <w:p>
      <w:pPr>
        <w:spacing w:after="0" w:line="181" w:lineRule="exact"/>
        <w:rPr>
          <w:sz w:val="20"/>
          <w:szCs w:val="20"/>
          <w:color w:val="auto"/>
        </w:rPr>
      </w:pPr>
    </w:p>
    <w:p>
      <w:pPr>
        <w:ind w:right="120" w:firstLine="891"/>
        <w:spacing w:after="0" w:line="270" w:lineRule="auto"/>
        <w:rPr>
          <w:sz w:val="20"/>
          <w:szCs w:val="20"/>
          <w:color w:val="auto"/>
        </w:rPr>
      </w:pPr>
      <w:r>
        <w:rPr>
          <w:rFonts w:ascii="Arial" w:cs="Arial" w:eastAsia="Arial" w:hAnsi="Arial"/>
          <w:sz w:val="17"/>
          <w:szCs w:val="17"/>
          <w:color w:val="auto"/>
        </w:rPr>
        <w:t>General and administrative expenses increased $16.8 million for the nine months ended October 31, 2021 compared to the nine months ended October 31, 2020. Personnel costs increased $3.4 million. Excluding the effect of stock-based compensation expense that is included in personnel costs, personnel costs increased $4.0 million primarily from additional headcount as we continued to scale our business and $0.9 million due to associated employer taxes with the exercises of certain stock-based transactions. Third party professional fees increased $9.6 million for the nine months ended October 31, 2021 compared to the nine months ended October 31, 2020, mostly attributable to a $8.2 million increase in fees and expenses related to the Antitrust Matters and a $0.9 million increase in acquisition-related expenses for an announced acquisition. Allocated overhead and other general and administrative costs increased $3.3 million, which includes an increase in insurance costs associated with being a public company, and an increase in travel-related costs of $0.4 million. Stock-based compensation expense, included in personnel costs, decreased $0.6 million overall due to reversals of stock-based compensation expense as a result of forfeited awards.</w:t>
      </w:r>
    </w:p>
    <w:p>
      <w:pPr>
        <w:spacing w:after="0" w:line="181" w:lineRule="exact"/>
        <w:rPr>
          <w:sz w:val="20"/>
          <w:szCs w:val="20"/>
          <w:color w:val="auto"/>
        </w:rPr>
      </w:pPr>
    </w:p>
    <w:p>
      <w:pPr>
        <w:ind w:right="220" w:firstLine="891"/>
        <w:spacing w:after="0" w:line="286" w:lineRule="auto"/>
        <w:rPr>
          <w:sz w:val="20"/>
          <w:szCs w:val="20"/>
          <w:color w:val="auto"/>
        </w:rPr>
      </w:pPr>
      <w:r>
        <w:rPr>
          <w:rFonts w:ascii="Arial" w:cs="Arial" w:eastAsia="Arial" w:hAnsi="Arial"/>
          <w:sz w:val="17"/>
          <w:szCs w:val="17"/>
          <w:color w:val="auto"/>
        </w:rPr>
        <w:t>Our general and administrative headcount grew by 26 from October 31, 2020 to October 31, 2021. We expect general and administrative expenses to increase in absolute dollars in the near term, primarily due to higher headcount to support our continued growth, fees and expenses related to the Antitrust Matters, and additional expenses for our transition to, and continuing costs of, being a public company.</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ind w:firstLine="891"/>
        <w:spacing w:after="0" w:line="268" w:lineRule="auto"/>
        <w:rPr>
          <w:sz w:val="20"/>
          <w:szCs w:val="20"/>
          <w:color w:val="auto"/>
        </w:rPr>
      </w:pPr>
      <w:r>
        <w:rPr>
          <w:rFonts w:ascii="Arial" w:cs="Arial" w:eastAsia="Arial" w:hAnsi="Arial"/>
          <w:sz w:val="17"/>
          <w:szCs w:val="17"/>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We have recently eased some of these restrictions, but substantially all of our employees continue to work remotely and work-related travel remains limited. In addition, we shifted most of our conferences and other marketing events to virtual for the foreseeable future. We expect these restrictions to stay in effect into future periods.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effectiveness of COVID-19 vaccinations, the effects of pandemic on financial institutions generally as well as on our customers, their clients and on our business partners in particular, restrictions on travel and other actions that may be taken by governmental authorities and other factors. For further information, please see “Management’s Discussion and Analysis of Financial Condition and Results of Operations—Factors Affecting Our Operating Results—COVID-19 Effects on Demand for Our Solutions” and “Risk Factors—Uncertain or weakened economic conditions, including as a result of COVID-19, may adversely affect our industry, business, and results of operations," included in our Annual Report on Form 10-K for the fiscal year ended January 31, 2021 filed with the SEC on March 31, 2021.</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160" w:firstLine="891"/>
        <w:spacing w:after="0" w:line="275" w:lineRule="auto"/>
        <w:rPr>
          <w:sz w:val="20"/>
          <w:szCs w:val="20"/>
          <w:color w:val="auto"/>
        </w:rPr>
      </w:pPr>
      <w:r>
        <w:rPr>
          <w:rFonts w:ascii="Arial" w:cs="Arial" w:eastAsia="Arial" w:hAnsi="Arial"/>
          <w:sz w:val="17"/>
          <w:szCs w:val="17"/>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76" w:lineRule="exact"/>
        <w:rPr>
          <w:sz w:val="20"/>
          <w:szCs w:val="20"/>
          <w:color w:val="auto"/>
        </w:rPr>
      </w:pPr>
    </w:p>
    <w:p>
      <w:pPr>
        <w:ind w:right="220" w:firstLine="89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right="40" w:firstLine="891"/>
        <w:spacing w:after="0" w:line="271" w:lineRule="auto"/>
        <w:rPr>
          <w:sz w:val="20"/>
          <w:szCs w:val="20"/>
          <w:color w:val="auto"/>
        </w:rPr>
      </w:pPr>
      <w:r>
        <w:rPr>
          <w:rFonts w:ascii="Arial" w:cs="Arial" w:eastAsia="Arial" w:hAnsi="Arial"/>
          <w:sz w:val="17"/>
          <w:szCs w:val="17"/>
          <w:i w:val="1"/>
          <w:iCs w:val="1"/>
          <w:color w:val="auto"/>
        </w:rPr>
        <w:t xml:space="preserve">Non-GAAP operating loss. </w:t>
      </w:r>
      <w:r>
        <w:rPr>
          <w:rFonts w:ascii="Arial" w:cs="Arial" w:eastAsia="Arial" w:hAnsi="Arial"/>
          <w:sz w:val="17"/>
          <w:szCs w:val="17"/>
          <w:color w:val="auto"/>
        </w:rPr>
        <w:t>Non-GAAP operating loss is defined as loss from operations as reported in our unaudited condensed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operations excluding the impact of amortization of intangible assets, stock-based compensation expense, acquisition-related expenses, and expenses related to the government antitrust investigation and related civil action disclosed in Note 12 "Commitments and Contingencies" of Part I, Item I of this Quarterly Report on Form 10-Q (the "Antitrust Matters").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 We do not believe acquisition-related expenses for announced acquisitions and fees and expenses related to the Antitrust Matters are indicative of the Company's ongoing operating performance and hinder comparability with prior and future performance.</w:t>
      </w:r>
    </w:p>
    <w:p>
      <w:pPr>
        <w:spacing w:after="0" w:line="178"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61"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 October 31,</w:t>
            </w:r>
          </w:p>
        </w:tc>
      </w:tr>
      <w:tr>
        <w:trPr>
          <w:trHeight w:val="18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loss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(41,366)</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r>
      <w:tr>
        <w:trPr>
          <w:trHeight w:val="229"/>
        </w:trPr>
        <w:tc>
          <w:tcPr>
            <w:tcW w:w="524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20,549</w:t>
            </w: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5240" w:type="dxa"/>
            <w:vAlign w:val="bottom"/>
          </w:tcPr>
          <w:p>
            <w:pPr>
              <w:ind w:left="460"/>
              <w:spacing w:after="0"/>
              <w:rPr>
                <w:sz w:val="20"/>
                <w:szCs w:val="20"/>
                <w:color w:val="auto"/>
              </w:rPr>
            </w:pPr>
            <w:r>
              <w:rPr>
                <w:rFonts w:ascii="Arial" w:cs="Arial" w:eastAsia="Arial" w:hAnsi="Arial"/>
                <w:sz w:val="18"/>
                <w:szCs w:val="18"/>
                <w:color w:val="auto"/>
              </w:rPr>
              <w:t>Fees and expenses related to the Antitrust Matters</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8,168</w:t>
            </w:r>
          </w:p>
        </w:tc>
      </w:tr>
      <w:tr>
        <w:trPr>
          <w:trHeight w:val="223"/>
        </w:trPr>
        <w:tc>
          <w:tcPr>
            <w:tcW w:w="524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adjustments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32,049</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Non-GAAP operating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(9,317)</w:t>
            </w: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0" w:firstLine="891"/>
        <w:spacing w:after="0" w:line="311" w:lineRule="auto"/>
        <w:rPr>
          <w:sz w:val="20"/>
          <w:szCs w:val="20"/>
          <w:color w:val="auto"/>
        </w:rPr>
      </w:pPr>
      <w:r>
        <w:rPr>
          <w:rFonts w:ascii="Arial" w:cs="Arial" w:eastAsia="Arial" w:hAnsi="Arial"/>
          <w:sz w:val="16"/>
          <w:szCs w:val="16"/>
          <w:color w:val="auto"/>
        </w:rPr>
        <w:t>As of October 31, 2021, we had $381.1 million in cash and cash equivalents, and an accumulated deficit of $203.3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believe that current cash and cash equivalents will be sufficient to fund our operations and capital requirements for at least the next</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 We currently intend to use cash on our balance sheet to fund the cash portion of the merger with SimpleNexus.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2021 and October 31, 2021, the redeemable non-controlling interest was $3.8 million and $2.4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Summary Cash Flow information for the nine months ended October 31, 2020 and 2021 are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 October 31,</w:t>
            </w:r>
          </w:p>
        </w:tc>
      </w:tr>
      <w:tr>
        <w:trPr>
          <w:trHeight w:val="18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40" w:firstLine="891"/>
        <w:spacing w:after="0" w:line="291" w:lineRule="auto"/>
        <w:rPr>
          <w:sz w:val="20"/>
          <w:szCs w:val="20"/>
          <w:color w:val="auto"/>
        </w:rPr>
      </w:pPr>
      <w:r>
        <w:rPr>
          <w:rFonts w:ascii="Arial" w:cs="Arial" w:eastAsia="Arial" w:hAnsi="Arial"/>
          <w:sz w:val="16"/>
          <w:szCs w:val="16"/>
          <w:color w:val="auto"/>
        </w:rPr>
        <w:t>The $1.8 million provided by operating activities in the nine months ended October 31, 2021 reflects our net loss of $43.5 million, offset by $33.3 million in non-cash charges and $12.0 million generated by changes in working capital accounts. Non-cash charges primarily consisted of stock-based compensation, depreciation and amortization, amortization of costs capitalized to obtain revenue contracts and non-cash operating lease costs. Cash generated by working capital accounts was principally a function of a $21.6 million decrease in accounts receivable, a $2.7 million increase in accounts payable and accrued expenses and other liabilities. The cash generated by working capital accounts was partially offset by payments of $5.8 million of capitalized costs to obtain revenue contracts, which consisted primarily of sales commissions, a $3.2 million decrease in deferred revenue, a $1.9 million decrease in operating lease liabilities, and a $1.4 million increase in prepaid expenses and other assets.</w:t>
      </w:r>
    </w:p>
    <w:p>
      <w:pPr>
        <w:spacing w:after="0" w:line="166" w:lineRule="exact"/>
        <w:rPr>
          <w:sz w:val="20"/>
          <w:szCs w:val="20"/>
          <w:color w:val="auto"/>
        </w:rPr>
      </w:pPr>
    </w:p>
    <w:p>
      <w:pPr>
        <w:ind w:right="180" w:firstLine="891"/>
        <w:spacing w:after="0" w:line="263" w:lineRule="auto"/>
        <w:rPr>
          <w:sz w:val="20"/>
          <w:szCs w:val="20"/>
          <w:color w:val="auto"/>
        </w:rPr>
      </w:pPr>
      <w:r>
        <w:rPr>
          <w:rFonts w:ascii="Arial" w:cs="Arial" w:eastAsia="Arial" w:hAnsi="Arial"/>
          <w:sz w:val="18"/>
          <w:szCs w:val="18"/>
          <w:color w:val="auto"/>
        </w:rPr>
        <w:t>The $21.1 million provided by operating activities in the nine months ended October 31, 2020 reflects our net loss of $28.8 million, offset by $29.0 million in non-cash charges and $20.9 million generated by changes in working capital accounts. Non-cash charges primarily consisted of stock-based compensation, depreciation and amortization, and amortization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of costs capitalized to obtain revenue contracts. Cash generated by working capital accounts was principally a function of a $17.7 million decrease in accounts receivable and a $11.4 million increase in our deferred revenue, as we expanded our customer base and renewed existing customers. The cash generated by working capital accounts was partially offset by payments of $4.5 million of capitalized costs to obtain revenue contracts, which consisted primarily of sales commissions, a $2.7 million increase in prepaid expenses and other assets, a $0.9 million decrease in accounts payable and accrued expenses and other liabilities, and a $0.1 million decrease in deferred rent.</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620" w:firstLine="891"/>
        <w:spacing w:after="0" w:line="277" w:lineRule="auto"/>
        <w:rPr>
          <w:sz w:val="20"/>
          <w:szCs w:val="20"/>
          <w:color w:val="auto"/>
        </w:rPr>
      </w:pPr>
      <w:r>
        <w:rPr>
          <w:rFonts w:ascii="Arial" w:cs="Arial" w:eastAsia="Arial" w:hAnsi="Arial"/>
          <w:sz w:val="18"/>
          <w:szCs w:val="18"/>
          <w:color w:val="auto"/>
        </w:rPr>
        <w:t>We used $3.6 million and $3.8 million in investing activities in the nine months ended October 31, 2021 and 2020, respectively, for the purchase of property and equipment and leasehold improvements to support the expansion of our business.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80" w:firstLine="891"/>
        <w:spacing w:after="0" w:line="275" w:lineRule="auto"/>
        <w:rPr>
          <w:sz w:val="20"/>
          <w:szCs w:val="20"/>
          <w:color w:val="auto"/>
        </w:rPr>
      </w:pPr>
      <w:r>
        <w:rPr>
          <w:rFonts w:ascii="Arial" w:cs="Arial" w:eastAsia="Arial" w:hAnsi="Arial"/>
          <w:sz w:val="17"/>
          <w:szCs w:val="17"/>
          <w:color w:val="auto"/>
        </w:rPr>
        <w:t>The $12.4 million provided by financing activities in the nine months ended October 31, 2021 was comprised principally of $12.6 million of proceeds from the exercise of stock options. The cash provided by financing activities was partially reduced by principal payments of $0.2 million on financing obligations. The $269.7 million provided by financing activities in the nine months ended October 31, 2020 was comprised principally of $268.4 million in proceeds from the IPO in July 2020, net of underwriting discounts and commissions, and $3.8 million of proceeds from the exercise of stock options. The cash provided by financing activities was partially reduced by payments of $2.5 million in costs related to the IPO.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our contractual obligations and commitments as of October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1"/>
              </w:rPr>
              <w:t>Payment due by period (in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Less than</w:t>
            </w:r>
          </w:p>
        </w:tc>
        <w:tc>
          <w:tcPr>
            <w:tcW w:w="320" w:type="dxa"/>
            <w:vAlign w:val="bottom"/>
          </w:tcPr>
          <w:p>
            <w:pPr>
              <w:spacing w:after="0"/>
              <w:rPr>
                <w:sz w:val="11"/>
                <w:szCs w:val="11"/>
                <w:color w:val="auto"/>
              </w:rPr>
            </w:pPr>
          </w:p>
        </w:tc>
        <w:tc>
          <w:tcPr>
            <w:tcW w:w="120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1 to 3</w:t>
            </w:r>
          </w:p>
        </w:tc>
        <w:tc>
          <w:tcPr>
            <w:tcW w:w="320" w:type="dxa"/>
            <w:vAlign w:val="bottom"/>
          </w:tcPr>
          <w:p>
            <w:pPr>
              <w:spacing w:after="0"/>
              <w:rPr>
                <w:sz w:val="11"/>
                <w:szCs w:val="11"/>
                <w:color w:val="auto"/>
              </w:rPr>
            </w:pPr>
          </w:p>
        </w:tc>
        <w:tc>
          <w:tcPr>
            <w:tcW w:w="12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3 to 5</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More than 5</w:t>
            </w:r>
          </w:p>
        </w:tc>
        <w:tc>
          <w:tcPr>
            <w:tcW w:w="34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Financing obligations - leased facility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16,547</w:t>
            </w: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For additional discussion on our leases, financing obligations and other contractual commitments, see Note 11 "Leases", Note 12 "Commitments and Contingencies", and Note 15 "Subsequent Event" of the notes to our unaudited condensed consolidated financial statements included in Part 1,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891"/>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9" w:lineRule="exact"/>
        <w:rPr>
          <w:sz w:val="20"/>
          <w:szCs w:val="20"/>
          <w:color w:val="auto"/>
        </w:rPr>
      </w:pPr>
    </w:p>
    <w:p>
      <w:pPr>
        <w:ind w:firstLine="891"/>
        <w:spacing w:after="0" w:line="246" w:lineRule="auto"/>
        <w:rPr>
          <w:sz w:val="20"/>
          <w:szCs w:val="20"/>
          <w:color w:val="auto"/>
        </w:rPr>
      </w:pPr>
      <w:r>
        <w:rPr>
          <w:rFonts w:ascii="Arial" w:cs="Arial" w:eastAsia="Arial" w:hAnsi="Arial"/>
          <w:sz w:val="18"/>
          <w:szCs w:val="18"/>
          <w:color w:val="auto"/>
        </w:rPr>
        <w:t>There have been no material changes in our critical accounting policies or estimates as compared to those disclosed in the Annual Report on Form 10-K for the fiscal year ended January 31, 2021 filed with the SEC on March 31,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00" w:firstLine="891"/>
        <w:spacing w:after="0" w:line="263" w:lineRule="auto"/>
        <w:rPr>
          <w:sz w:val="20"/>
          <w:szCs w:val="20"/>
          <w:color w:val="auto"/>
        </w:rPr>
      </w:pPr>
      <w:r>
        <w:rPr>
          <w:rFonts w:ascii="Arial" w:cs="Arial" w:eastAsia="Arial" w:hAnsi="Arial"/>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0" w:firstLine="891"/>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360" w:firstLine="891"/>
        <w:spacing w:after="0" w:line="277" w:lineRule="auto"/>
        <w:rPr>
          <w:sz w:val="20"/>
          <w:szCs w:val="20"/>
          <w:color w:val="auto"/>
        </w:rPr>
      </w:pPr>
      <w:r>
        <w:rPr>
          <w:rFonts w:ascii="Arial" w:cs="Arial" w:eastAsia="Arial" w:hAnsi="Arial"/>
          <w:sz w:val="18"/>
          <w:szCs w:val="18"/>
          <w:color w:val="auto"/>
        </w:rPr>
        <w:t>Based on the market value of our common stock held by non-affiliates as of July 31, 2021, we will cease to qualify as an emerging growth company as of January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00" w:firstLine="89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At October 31, 2021, we had cash, cash equivalents and restricted cash of $381.4 million, which consisted primarily of bank deposits and money market accounts.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the participation of our principal executive officer and principal financial officer, evaluated the effectiveness of our disclosure controls and procedures at October 31, 2021, the last day of the period covered by this Quarterly Report on Form 10-Q. Based on this evaluation, our principal executive officer and principal financial officer have concluded that, at October 31, 2021, our disclosure controls and procedures were effective at the reasonable assurance level.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the Quarterly Report on Form 10-Q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ind w:right="100" w:firstLine="891"/>
        <w:spacing w:after="0" w:line="254"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There are no material changes to the risk factors in the Company's Annual Report on Form 10-K for the fiscal year ended January 31, 2021 filed with the SEC on March 31, 2021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225" w:lineRule="exact"/>
        <w:rPr>
          <w:sz w:val="20"/>
          <w:szCs w:val="20"/>
          <w:color w:val="auto"/>
        </w:rPr>
      </w:pPr>
    </w:p>
    <w:p>
      <w:pPr>
        <w:ind w:firstLine="891"/>
        <w:spacing w:after="0" w:line="301" w:lineRule="auto"/>
        <w:rPr>
          <w:sz w:val="20"/>
          <w:szCs w:val="20"/>
          <w:color w:val="auto"/>
        </w:rPr>
      </w:pPr>
      <w:r>
        <w:rPr>
          <w:rFonts w:ascii="Arial" w:cs="Arial" w:eastAsia="Arial" w:hAnsi="Arial"/>
          <w:sz w:val="16"/>
          <w:szCs w:val="16"/>
          <w:color w:val="auto"/>
        </w:rPr>
        <w:t>On July 16, 2020, we completed our IPO, selling 9,269,000 shares of our common stock at a price of $31.00 per share (including shares subject to the underwriters’ over-allotment option) for an aggregate price of $287.3 million. The offer and sale of the shares in the IPO was registered under the Securities Act pursuant to a registration statement on Form S-1 (File Nos. 333-239335 and 333-239844), which was declared effective by the SEC on July 13, 2020. We raised approximately $268.4 million in net proceeds after deducting underwriting discounts and commissions of approximately $18.9 million.</w:t>
      </w:r>
    </w:p>
    <w:p>
      <w:pPr>
        <w:spacing w:after="0" w:line="157"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the IPO dated July 13, 2020 and filed with the SEC on July 14, 2020, pursuant to Rule 424(b)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98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60" w:type="dxa"/>
            <w:vAlign w:val="bottom"/>
            <w:gridSpan w:val="18"/>
            <w:vMerge w:val="restart"/>
          </w:tcPr>
          <w:p>
            <w:pPr>
              <w:ind w:left="140"/>
              <w:spacing w:after="0"/>
              <w:rPr>
                <w:sz w:val="20"/>
                <w:szCs w:val="20"/>
                <w:color w:val="auto"/>
              </w:rPr>
            </w:pPr>
            <w:r>
              <w:rPr>
                <w:rFonts w:ascii="Arial" w:cs="Arial" w:eastAsia="Arial" w:hAnsi="Arial"/>
                <w:sz w:val="14"/>
                <w:szCs w:val="14"/>
                <w:b w:val="1"/>
                <w:bCs w:val="1"/>
                <w:color w:val="auto"/>
              </w:rPr>
              <w:t>Description of Exhibit</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8"/>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Arial" w:cs="Arial" w:eastAsia="Arial" w:hAnsi="Arial"/>
                <w:sz w:val="18"/>
                <w:szCs w:val="18"/>
                <w:color w:val="auto"/>
              </w:rPr>
              <w:t>2.1+</w:t>
            </w:r>
          </w:p>
        </w:tc>
        <w:tc>
          <w:tcPr>
            <w:tcW w:w="4200" w:type="dxa"/>
            <w:vAlign w:val="bottom"/>
            <w:tcBorders>
              <w:bottom w:val="single" w:sz="8" w:color="0000FF"/>
            </w:tcBorders>
            <w:gridSpan w:val="11"/>
          </w:tcPr>
          <w:p>
            <w:pPr>
              <w:spacing w:after="0" w:line="184"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Agreement and Plan of Merger, dated as of November 16,</w:t>
              </w:r>
            </w:hyperlink>
          </w:p>
        </w:tc>
        <w:tc>
          <w:tcPr>
            <w:tcW w:w="260" w:type="dxa"/>
            <w:vAlign w:val="bottom"/>
            <w:gridSpan w:val="10"/>
          </w:tcPr>
          <w:p>
            <w:pPr>
              <w:spacing w:after="0"/>
              <w:rPr>
                <w:sz w:val="15"/>
                <w:szCs w:val="15"/>
                <w:color w:val="auto"/>
              </w:rPr>
            </w:pPr>
          </w:p>
        </w:tc>
        <w:tc>
          <w:tcPr>
            <w:tcW w:w="720" w:type="dxa"/>
            <w:vAlign w:val="bottom"/>
          </w:tcPr>
          <w:p>
            <w:pPr>
              <w:jc w:val="center"/>
              <w:spacing w:after="0" w:line="184" w:lineRule="exact"/>
              <w:rPr>
                <w:sz w:val="20"/>
                <w:szCs w:val="20"/>
                <w:color w:val="auto"/>
              </w:rPr>
            </w:pPr>
            <w:r>
              <w:rPr>
                <w:rFonts w:ascii="Arial" w:cs="Arial" w:eastAsia="Arial" w:hAnsi="Arial"/>
                <w:sz w:val="18"/>
                <w:szCs w:val="18"/>
                <w:color w:val="auto"/>
                <w:w w:val="99"/>
              </w:rPr>
              <w:t>8-K</w:t>
            </w:r>
          </w:p>
        </w:tc>
        <w:tc>
          <w:tcPr>
            <w:tcW w:w="1180" w:type="dxa"/>
            <w:vAlign w:val="bottom"/>
          </w:tcPr>
          <w:p>
            <w:pPr>
              <w:jc w:val="right"/>
              <w:ind w:right="116"/>
              <w:spacing w:after="0" w:line="184" w:lineRule="exact"/>
              <w:rPr>
                <w:sz w:val="20"/>
                <w:szCs w:val="20"/>
                <w:color w:val="auto"/>
              </w:rPr>
            </w:pPr>
            <w:r>
              <w:rPr>
                <w:rFonts w:ascii="Arial" w:cs="Arial" w:eastAsia="Arial" w:hAnsi="Arial"/>
                <w:sz w:val="18"/>
                <w:szCs w:val="18"/>
                <w:color w:val="auto"/>
              </w:rPr>
              <w:t>001-39380</w:t>
            </w:r>
          </w:p>
        </w:tc>
        <w:tc>
          <w:tcPr>
            <w:tcW w:w="780" w:type="dxa"/>
            <w:vAlign w:val="bottom"/>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680" w:type="dxa"/>
            <w:vAlign w:val="bottom"/>
          </w:tcPr>
          <w:p>
            <w:pPr>
              <w:jc w:val="center"/>
              <w:spacing w:after="0" w:line="184" w:lineRule="exact"/>
              <w:rPr>
                <w:sz w:val="20"/>
                <w:szCs w:val="20"/>
                <w:color w:val="auto"/>
              </w:rPr>
            </w:pPr>
            <w:r>
              <w:rPr>
                <w:rFonts w:ascii="Arial" w:cs="Arial" w:eastAsia="Arial" w:hAnsi="Arial"/>
                <w:sz w:val="18"/>
                <w:szCs w:val="18"/>
                <w:color w:val="auto"/>
                <w:w w:val="91"/>
              </w:rPr>
              <w:t>November 17, 2021</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60" w:type="dxa"/>
            <w:vAlign w:val="bottom"/>
            <w:gridSpan w:val="21"/>
          </w:tcPr>
          <w:p>
            <w:pPr>
              <w:spacing w:after="0" w:line="15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2021, by and among nCino, Inc., Penny HoldCo, Inc., Dollar</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0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Merger Sub, Inc., Penny Merger Sub, LLC, Simple Nexus,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4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LLC, Insight Venture Partners, LLC, and the other parties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thereto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3.1</w:t>
            </w:r>
          </w:p>
        </w:tc>
        <w:tc>
          <w:tcPr>
            <w:tcW w:w="4460" w:type="dxa"/>
            <w:vAlign w:val="bottom"/>
            <w:gridSpan w:val="21"/>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Form of Amended and Restated Certificate of Incorporation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333-239335</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July 6, 2020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of nCino, Inc.</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3.2</w:t>
            </w:r>
          </w:p>
        </w:tc>
        <w:tc>
          <w:tcPr>
            <w:tcW w:w="3940" w:type="dxa"/>
            <w:vAlign w:val="bottom"/>
            <w:tcBorders>
              <w:bottom w:val="single" w:sz="8" w:color="0000FF"/>
            </w:tcBorders>
            <w:gridSpan w:val="7"/>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Form of Amended and Restated Bylaws of nCino, Inc.</w:t>
              </w:r>
            </w:hyperlink>
          </w:p>
        </w:tc>
        <w:tc>
          <w:tcPr>
            <w:tcW w:w="52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333-239335</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July 6, 2020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10.1+</w:t>
            </w:r>
          </w:p>
        </w:tc>
        <w:tc>
          <w:tcPr>
            <w:tcW w:w="4460" w:type="dxa"/>
            <w:vAlign w:val="bottom"/>
            <w:gridSpan w:val="21"/>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Restrictive Covenant Agreement, dated as of November 16,</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001-39380</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November 17, 2021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20" w:type="dxa"/>
            <w:vAlign w:val="bottom"/>
            <w:tcBorders>
              <w:top w:val="single" w:sz="8" w:color="0000FF"/>
            </w:tcBorders>
            <w:gridSpan w:val="15"/>
          </w:tcPr>
          <w:p>
            <w:pPr>
              <w:spacing w:after="0" w:line="156"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2021, by and among nCino, Inc. and the Insight Parties</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thereto</w:t>
              </w:r>
            </w:hyperlink>
          </w:p>
        </w:tc>
        <w:tc>
          <w:tcPr>
            <w:tcW w:w="2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10.2++</w:t>
            </w:r>
          </w:p>
        </w:tc>
        <w:tc>
          <w:tcPr>
            <w:tcW w:w="4460" w:type="dxa"/>
            <w:vAlign w:val="bottom"/>
            <w:gridSpan w:val="21"/>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Parking Deck Rent Adjustment Notice</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31.1</w:t>
            </w:r>
          </w:p>
        </w:tc>
        <w:tc>
          <w:tcPr>
            <w:tcW w:w="4460" w:type="dxa"/>
            <w:vAlign w:val="bottom"/>
            <w:tcBorders>
              <w:bottom w:val="single" w:sz="8" w:color="0000FF"/>
            </w:tcBorders>
            <w:gridSpan w:val="21"/>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Certification of Principal Executive Officer Pursuant to Rules</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60" w:type="dxa"/>
            <w:vAlign w:val="bottom"/>
            <w:gridSpan w:val="21"/>
          </w:tcPr>
          <w:p>
            <w:pPr>
              <w:spacing w:after="0" w:line="15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13a-14(a) and 15d-14(a) under the Securities Exchange Act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00" w:type="dxa"/>
            <w:vAlign w:val="bottom"/>
            <w:tcBorders>
              <w:top w:val="single" w:sz="8" w:color="0000FF"/>
            </w:tcBorders>
            <w:gridSpan w:val="14"/>
          </w:tcPr>
          <w:p>
            <w:pPr>
              <w:spacing w:after="0" w:line="156"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of 1934, as Adopted Pursuant to Section 302 of the Sarbanes</w:t>
              </w:r>
            </w:hyperlink>
          </w:p>
        </w:tc>
        <w:tc>
          <w:tcPr>
            <w:tcW w:w="160" w:type="dxa"/>
            <w:vAlign w:val="bottom"/>
            <w:gridSpan w:val="7"/>
          </w:tcPr>
          <w:p>
            <w:pPr>
              <w:jc w:val="right"/>
              <w:ind w:right="20"/>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Oxley Act of 2002.</w:t>
              </w:r>
            </w:hyperlink>
          </w:p>
        </w:tc>
        <w:tc>
          <w:tcPr>
            <w:tcW w:w="30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31.2</w:t>
            </w:r>
          </w:p>
        </w:tc>
        <w:tc>
          <w:tcPr>
            <w:tcW w:w="4460" w:type="dxa"/>
            <w:vAlign w:val="bottom"/>
            <w:gridSpan w:val="21"/>
          </w:tcPr>
          <w:p>
            <w:pPr>
              <w:spacing w:after="0"/>
              <w:rPr>
                <w:rFonts w:ascii="Arial" w:cs="Arial" w:eastAsia="Arial" w:hAnsi="Arial"/>
                <w:sz w:val="18"/>
                <w:szCs w:val="18"/>
                <w:color w:val="0000FF"/>
                <w:w w:val="94"/>
              </w:rPr>
            </w:pPr>
            <w:hyperlink w:anchor="page49">
              <w:r>
                <w:rPr>
                  <w:rFonts w:ascii="Arial" w:cs="Arial" w:eastAsia="Arial" w:hAnsi="Arial"/>
                  <w:sz w:val="18"/>
                  <w:szCs w:val="18"/>
                  <w:color w:val="0000FF"/>
                  <w:w w:val="94"/>
                </w:rPr>
                <w:t>Certification of Principal Financial Officer Pursuant to Rules</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2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13a-14(a) and 15d-14(a) under the Securities Exchange Act</w:t>
              </w:r>
            </w:hyperlink>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00" w:type="dxa"/>
            <w:vAlign w:val="bottom"/>
            <w:tcBorders>
              <w:top w:val="single" w:sz="8" w:color="0000FF"/>
            </w:tcBorders>
            <w:gridSpan w:val="14"/>
          </w:tcPr>
          <w:p>
            <w:pPr>
              <w:spacing w:after="0" w:line="156"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of 1934, as Adopted Pursuant to Section 302 of the Sarbanes</w:t>
              </w:r>
            </w:hyperlink>
          </w:p>
        </w:tc>
        <w:tc>
          <w:tcPr>
            <w:tcW w:w="160" w:type="dxa"/>
            <w:vAlign w:val="bottom"/>
            <w:gridSpan w:val="7"/>
          </w:tcPr>
          <w:p>
            <w:pPr>
              <w:jc w:val="right"/>
              <w:ind w:right="20"/>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Oxley Act of 2002.</w:t>
              </w:r>
            </w:hyperlink>
          </w:p>
        </w:tc>
        <w:tc>
          <w:tcPr>
            <w:tcW w:w="30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32.1*</w:t>
            </w:r>
          </w:p>
        </w:tc>
        <w:tc>
          <w:tcPr>
            <w:tcW w:w="4460" w:type="dxa"/>
            <w:vAlign w:val="bottom"/>
            <w:gridSpan w:val="21"/>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Certification of Principal Executive Officer Pursuant to 18</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2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U.S.C. Section 1350, as Adopted Pursuant to Section 906</w:t>
              </w:r>
            </w:hyperlink>
          </w:p>
        </w:tc>
        <w:tc>
          <w:tcPr>
            <w:tcW w:w="240" w:type="dxa"/>
            <w:vAlign w:val="bottom"/>
            <w:gridSpan w:val="9"/>
          </w:tcPr>
          <w:p>
            <w:pPr>
              <w:jc w:val="right"/>
              <w:ind w:right="120"/>
              <w:spacing w:after="0" w:line="155" w:lineRule="exact"/>
              <w:rPr>
                <w:rFonts w:ascii="Arial" w:cs="Arial" w:eastAsia="Arial" w:hAnsi="Arial"/>
                <w:sz w:val="17"/>
                <w:szCs w:val="17"/>
                <w:color w:val="0000FF"/>
                <w:w w:val="70"/>
              </w:rPr>
            </w:pPr>
            <w:hyperlink w:anchor="page51">
              <w:r>
                <w:rPr>
                  <w:rFonts w:ascii="Arial" w:cs="Arial" w:eastAsia="Arial" w:hAnsi="Arial"/>
                  <w:sz w:val="17"/>
                  <w:szCs w:val="17"/>
                  <w:color w:val="0000FF"/>
                  <w:w w:val="70"/>
                </w:rPr>
                <w:t>of</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the Sarbanes-Oxley Act of 2002.</w:t>
              </w:r>
            </w:hyperlink>
          </w:p>
        </w:tc>
        <w:tc>
          <w:tcPr>
            <w:tcW w:w="1980" w:type="dxa"/>
            <w:vAlign w:val="bottom"/>
            <w:tcBorders>
              <w:top w:val="single" w:sz="8" w:color="0000FF"/>
            </w:tcBorders>
            <w:gridSpan w:val="12"/>
          </w:tcPr>
          <w:p>
            <w:pPr>
              <w:spacing w:after="0"/>
              <w:rPr>
                <w:sz w:val="13"/>
                <w:szCs w:val="13"/>
                <w:color w:val="auto"/>
              </w:rPr>
            </w:pPr>
          </w:p>
        </w:tc>
        <w:tc>
          <w:tcPr>
            <w:tcW w:w="10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32.2*</w:t>
            </w:r>
          </w:p>
        </w:tc>
        <w:tc>
          <w:tcPr>
            <w:tcW w:w="4460" w:type="dxa"/>
            <w:vAlign w:val="bottom"/>
            <w:gridSpan w:val="21"/>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Certification of Principal Financial Officer Pursuant to 18</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80" w:type="dxa"/>
            <w:vAlign w:val="bottom"/>
            <w:tcBorders>
              <w:top w:val="single" w:sz="8" w:color="0000FF"/>
            </w:tcBorders>
            <w:gridSpan w:val="10"/>
          </w:tcPr>
          <w:p>
            <w:pPr>
              <w:spacing w:after="0" w:line="15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U.S.C. Section 1350, as Adopted Pursuant to Section 906</w:t>
              </w:r>
            </w:hyperlink>
          </w:p>
        </w:tc>
        <w:tc>
          <w:tcPr>
            <w:tcW w:w="280" w:type="dxa"/>
            <w:vAlign w:val="bottom"/>
            <w:gridSpan w:val="11"/>
          </w:tcPr>
          <w:p>
            <w:pPr>
              <w:jc w:val="right"/>
              <w:ind w:right="120"/>
              <w:spacing w:after="0" w:line="156"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of</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the Sarbanes-Oxley Act of 2002.</w:t>
              </w:r>
            </w:hyperlink>
          </w:p>
        </w:tc>
        <w:tc>
          <w:tcPr>
            <w:tcW w:w="10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80" w:type="dxa"/>
            <w:vAlign w:val="bottom"/>
          </w:tcPr>
          <w:p>
            <w:pPr>
              <w:ind w:left="40"/>
              <w:spacing w:after="0"/>
              <w:rPr>
                <w:sz w:val="20"/>
                <w:szCs w:val="20"/>
                <w:color w:val="auto"/>
              </w:rPr>
            </w:pPr>
            <w:r>
              <w:rPr>
                <w:rFonts w:ascii="Arial" w:cs="Arial" w:eastAsia="Arial" w:hAnsi="Arial"/>
                <w:sz w:val="18"/>
                <w:szCs w:val="18"/>
                <w:color w:val="auto"/>
              </w:rPr>
              <w:t>101.INS</w:t>
            </w:r>
          </w:p>
        </w:tc>
        <w:tc>
          <w:tcPr>
            <w:tcW w:w="23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100" w:type="dxa"/>
            <w:vAlign w:val="bottom"/>
            <w:gridSpan w:val="17"/>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101.SCH</w:t>
            </w:r>
          </w:p>
        </w:tc>
        <w:tc>
          <w:tcPr>
            <w:tcW w:w="446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101.CAL</w:t>
            </w:r>
          </w:p>
        </w:tc>
        <w:tc>
          <w:tcPr>
            <w:tcW w:w="4460" w:type="dxa"/>
            <w:vAlign w:val="bottom"/>
            <w:gridSpan w:val="21"/>
          </w:tcPr>
          <w:p>
            <w:pPr>
              <w:spacing w:after="0"/>
              <w:rPr>
                <w:sz w:val="20"/>
                <w:szCs w:val="20"/>
                <w:color w:val="auto"/>
              </w:rPr>
            </w:pPr>
            <w:r>
              <w:rPr>
                <w:rFonts w:ascii="Arial" w:cs="Arial" w:eastAsia="Arial" w:hAnsi="Arial"/>
                <w:sz w:val="18"/>
                <w:szCs w:val="18"/>
                <w:color w:val="auto"/>
                <w:w w:val="92"/>
              </w:rPr>
              <w:t>XBRL Taxonomy Extension Calculation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101.DEF</w:t>
            </w:r>
          </w:p>
        </w:tc>
        <w:tc>
          <w:tcPr>
            <w:tcW w:w="4460" w:type="dxa"/>
            <w:vAlign w:val="bottom"/>
            <w:gridSpan w:val="21"/>
          </w:tcPr>
          <w:p>
            <w:pPr>
              <w:spacing w:after="0"/>
              <w:rPr>
                <w:sz w:val="20"/>
                <w:szCs w:val="20"/>
                <w:color w:val="auto"/>
              </w:rPr>
            </w:pPr>
            <w:r>
              <w:rPr>
                <w:rFonts w:ascii="Arial" w:cs="Arial" w:eastAsia="Arial" w:hAnsi="Arial"/>
                <w:sz w:val="18"/>
                <w:szCs w:val="18"/>
                <w:color w:val="auto"/>
                <w:w w:val="95"/>
              </w:rPr>
              <w:t>XBRL Taxonomy Extension Definition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101.LAB</w:t>
            </w:r>
          </w:p>
        </w:tc>
        <w:tc>
          <w:tcPr>
            <w:tcW w:w="446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101.PRE</w:t>
            </w:r>
          </w:p>
        </w:tc>
        <w:tc>
          <w:tcPr>
            <w:tcW w:w="4460" w:type="dxa"/>
            <w:vAlign w:val="bottom"/>
            <w:gridSpan w:val="21"/>
          </w:tcPr>
          <w:p>
            <w:pPr>
              <w:spacing w:after="0" w:line="176" w:lineRule="exact"/>
              <w:rPr>
                <w:sz w:val="20"/>
                <w:szCs w:val="20"/>
                <w:color w:val="auto"/>
              </w:rPr>
            </w:pPr>
            <w:r>
              <w:rPr>
                <w:rFonts w:ascii="Arial" w:cs="Arial" w:eastAsia="Arial" w:hAnsi="Arial"/>
                <w:sz w:val="18"/>
                <w:szCs w:val="18"/>
                <w:color w:val="auto"/>
              </w:rPr>
              <w:t>XBRL Taxonomy Extension Presentation Linkbase</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6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4460" w:type="dxa"/>
            <w:vAlign w:val="bottom"/>
            <w:gridSpan w:val="21"/>
          </w:tcPr>
          <w:p>
            <w:pPr>
              <w:spacing w:after="0" w:line="176" w:lineRule="exact"/>
              <w:rPr>
                <w:sz w:val="20"/>
                <w:szCs w:val="20"/>
                <w:color w:val="auto"/>
              </w:rPr>
            </w:pPr>
            <w:r>
              <w:rPr>
                <w:rFonts w:ascii="Arial" w:cs="Arial" w:eastAsia="Arial" w:hAnsi="Arial"/>
                <w:sz w:val="18"/>
                <w:szCs w:val="18"/>
                <w:color w:val="auto"/>
                <w:w w:val="91"/>
              </w:rPr>
              <w:t>Cover Page Interactive Data File (embedded within the Inline</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460" w:type="dxa"/>
            <w:vAlign w:val="bottom"/>
            <w:gridSpan w:val="21"/>
          </w:tcPr>
          <w:p>
            <w:pPr>
              <w:spacing w:after="0"/>
              <w:rPr>
                <w:sz w:val="20"/>
                <w:szCs w:val="20"/>
                <w:color w:val="auto"/>
              </w:rPr>
            </w:pPr>
            <w:r>
              <w:rPr>
                <w:rFonts w:ascii="Arial" w:cs="Arial" w:eastAsia="Arial" w:hAnsi="Arial"/>
                <w:sz w:val="18"/>
                <w:szCs w:val="18"/>
                <w:color w:val="auto"/>
              </w:rPr>
              <w:t>XBRL document)</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right="160" w:hanging="954"/>
        <w:spacing w:after="0" w:line="264"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pursuant to Items 601(a)(5) of Regulation S-K, and the Company agrees to furnish supplementally to the Securities and Exchange Commission a copy of any omitted schedule and/or exhibit upon request.</w:t>
      </w:r>
    </w:p>
    <w:p>
      <w:pPr>
        <w:spacing w:after="0" w:line="1" w:lineRule="exact"/>
        <w:rPr>
          <w:sz w:val="20"/>
          <w:szCs w:val="20"/>
          <w:color w:val="auto"/>
        </w:rPr>
      </w:pPr>
    </w:p>
    <w:p>
      <w:pPr>
        <w:ind w:left="980" w:hanging="95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601(b)(10)(iv) of Regulation S-K.</w:t>
      </w:r>
    </w:p>
    <w:p>
      <w:pPr>
        <w:spacing w:after="0" w:line="23" w:lineRule="exact"/>
        <w:rPr>
          <w:sz w:val="20"/>
          <w:szCs w:val="20"/>
          <w:color w:val="auto"/>
        </w:rPr>
      </w:pPr>
    </w:p>
    <w:p>
      <w:pPr>
        <w:ind w:left="980" w:right="300" w:hanging="954"/>
        <w:spacing w:after="0" w:line="22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nCino, Inc.</w:t>
      </w:r>
    </w:p>
    <w:p>
      <w:pPr>
        <w:spacing w:after="0" w:line="189"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December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Pierre Naudé</w:t>
      </w:r>
    </w:p>
    <w:p>
      <w:pPr>
        <w:ind w:left="6880"/>
        <w:spacing w:after="0" w:line="215" w:lineRule="auto"/>
        <w:rPr>
          <w:sz w:val="20"/>
          <w:szCs w:val="20"/>
          <w:color w:val="auto"/>
        </w:rPr>
      </w:pPr>
      <w:r>
        <w:rPr>
          <w:rFonts w:ascii="Arial" w:cs="Arial" w:eastAsia="Arial" w:hAnsi="Arial"/>
          <w:sz w:val="17"/>
          <w:szCs w:val="17"/>
          <w:color w:val="auto"/>
        </w:rPr>
        <w:t>President and Chief Executive Officer; Director</w:t>
      </w:r>
    </w:p>
    <w:p>
      <w:pPr>
        <w:ind w:left="688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December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Rudow</w:t>
      </w:r>
    </w:p>
    <w:p>
      <w:pPr>
        <w:ind w:left="6880"/>
        <w:spacing w:after="0" w:line="203" w:lineRule="auto"/>
        <w:rPr>
          <w:sz w:val="20"/>
          <w:szCs w:val="20"/>
          <w:color w:val="auto"/>
        </w:rPr>
      </w:pPr>
      <w:r>
        <w:rPr>
          <w:rFonts w:ascii="Arial" w:cs="Arial" w:eastAsia="Arial" w:hAnsi="Arial"/>
          <w:sz w:val="18"/>
          <w:szCs w:val="18"/>
          <w:color w:val="auto"/>
        </w:rPr>
        <w:t>Chief Financial Officer and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420"/>
          </w:cols>
          <w:pgMar w:left="320" w:top="125" w:right="115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10.2</w:t>
      </w:r>
    </w:p>
    <w:p>
      <w:pPr>
        <w:spacing w:after="0" w:line="93" w:lineRule="exact"/>
        <w:rPr>
          <w:sz w:val="20"/>
          <w:szCs w:val="20"/>
          <w:color w:val="auto"/>
        </w:rPr>
      </w:pPr>
    </w:p>
    <w:p>
      <w:pPr>
        <w:ind w:left="300" w:right="40" w:hanging="261"/>
        <w:spacing w:after="0" w:line="376" w:lineRule="auto"/>
        <w:tabs>
          <w:tab w:leader="none" w:pos="28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Cloud Real Estate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2021</w:t>
      </w:r>
    </w:p>
    <w:p>
      <w:pPr>
        <w:spacing w:after="0" w:line="200" w:lineRule="exact"/>
        <w:rPr>
          <w:sz w:val="20"/>
          <w:szCs w:val="20"/>
          <w:color w:val="auto"/>
        </w:rPr>
      </w:pPr>
    </w:p>
    <w:p>
      <w:pPr>
        <w:spacing w:after="0" w:line="222" w:lineRule="exact"/>
        <w:rPr>
          <w:sz w:val="20"/>
          <w:szCs w:val="20"/>
          <w:color w:val="auto"/>
        </w:rPr>
      </w:pPr>
    </w:p>
    <w:p>
      <w:pPr>
        <w:jc w:val="both"/>
        <w:spacing w:after="0"/>
        <w:tabs>
          <w:tab w:leader="none" w:pos="540" w:val="left"/>
        </w:tabs>
        <w:rPr>
          <w:sz w:val="20"/>
          <w:szCs w:val="20"/>
          <w:color w:val="auto"/>
        </w:rPr>
      </w:pPr>
      <w:r>
        <w:rPr>
          <w:rFonts w:ascii="Arial" w:cs="Arial" w:eastAsia="Arial" w:hAnsi="Arial"/>
          <w:sz w:val="22"/>
          <w:szCs w:val="22"/>
          <w:color w:val="auto"/>
        </w:rPr>
        <w:t>To:</w:t>
        <w:tab/>
        <w:t>Pierre Naudé</w:t>
      </w:r>
    </w:p>
    <w:p>
      <w:pPr>
        <w:jc w:val="right"/>
        <w:ind w:right="9540"/>
        <w:spacing w:after="0" w:line="238" w:lineRule="auto"/>
        <w:rPr>
          <w:sz w:val="20"/>
          <w:szCs w:val="20"/>
          <w:color w:val="auto"/>
        </w:rPr>
      </w:pPr>
      <w:r>
        <w:rPr>
          <w:rFonts w:ascii="Arial" w:cs="Arial" w:eastAsia="Arial" w:hAnsi="Arial"/>
          <w:sz w:val="22"/>
          <w:szCs w:val="22"/>
          <w:color w:val="auto"/>
        </w:rPr>
        <w:t>Katie Smith</w:t>
      </w:r>
    </w:p>
    <w:p>
      <w:pPr>
        <w:jc w:val="right"/>
        <w:ind w:right="9620"/>
        <w:spacing w:after="0"/>
        <w:rPr>
          <w:sz w:val="20"/>
          <w:szCs w:val="20"/>
          <w:color w:val="auto"/>
        </w:rPr>
      </w:pPr>
      <w:r>
        <w:rPr>
          <w:rFonts w:ascii="Arial" w:cs="Arial" w:eastAsia="Arial" w:hAnsi="Arial"/>
          <w:sz w:val="22"/>
          <w:szCs w:val="22"/>
          <w:color w:val="auto"/>
        </w:rPr>
        <w:t>nCino, Inc.</w:t>
      </w:r>
    </w:p>
    <w:p>
      <w:pPr>
        <w:spacing w:after="0" w:line="200" w:lineRule="exact"/>
        <w:rPr>
          <w:sz w:val="20"/>
          <w:szCs w:val="20"/>
          <w:color w:val="auto"/>
        </w:rPr>
      </w:pPr>
    </w:p>
    <w:p>
      <w:pPr>
        <w:spacing w:after="0" w:line="25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Notice of Parking Deck Completion Date and Parking Deck Rent Adjustment</w:t>
      </w:r>
    </w:p>
    <w:p>
      <w:pPr>
        <w:spacing w:after="0" w:line="200" w:lineRule="exact"/>
        <w:rPr>
          <w:sz w:val="20"/>
          <w:szCs w:val="20"/>
          <w:color w:val="auto"/>
        </w:rPr>
      </w:pPr>
    </w:p>
    <w:p>
      <w:pPr>
        <w:spacing w:after="0" w:line="27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Parking Deck received its Certificate of Occupancy on September 28, 2021, and therefore September 28, 2021 is the Parking Deck Completion Date. Per the First Amendment to Office Lease, effective upon the Parking Deck Completion Date, the applicable rate of Basic Rent per rentable square foot of the premises shall be increased by the Parking Deck Rent Adjustment, which will be the result of the following formula: (Parking Deck Project Costs x 7.30%)/89,975 rentable square feet.</w:t>
      </w:r>
    </w:p>
    <w:p>
      <w:pPr>
        <w:spacing w:after="0" w:line="164"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 xml:space="preserve">As previously discussed, Change Order No. G-06 shown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resulted in a project cost for the generator line item that exceeded the allocated budget. As a result, any unused budget dollars in all other line items remaining at the end of the Parking Deck Project were reallocated to the generator line item along with all remaining contingency. Any excess cost for the generator is being reallocated to the New Building Project Costs. As a result, the Parking Deck Project Costs totaled up to 100% of the approved budget at $17,677,558.</w:t>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Therefore, the Parking Deck Rent Adjustment is equal to $14.34 per rentable square foot. Expenses for the parking deck are initially estimated to be $2.78 per rentable square foot and will be included with the Parking Deck Rent Adjustment as Additional Rent. The Parking Deck Rent Adjustment shall take effect on September 28, 2021.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shows the Schedule of Parking Deck Rent Adjustment.</w:t>
      </w:r>
    </w:p>
    <w:p>
      <w:pPr>
        <w:spacing w:after="0" w:line="212"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Execution of this notice signifies your knowledge and understanding of the Parking Deck Completion Date and Parking Deck Rent Adjustment.</w:t>
      </w:r>
    </w:p>
    <w:p>
      <w:pPr>
        <w:spacing w:after="0" w:line="277"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22"/>
          <w:szCs w:val="22"/>
          <w:b w:val="1"/>
          <w:bCs w:val="1"/>
          <w:u w:val="single" w:color="auto"/>
          <w:color w:val="auto"/>
        </w:rPr>
        <w:t>TENANT:</w:t>
      </w:r>
      <w:r>
        <w:rPr>
          <w:sz w:val="20"/>
          <w:szCs w:val="20"/>
          <w:color w:val="auto"/>
        </w:rPr>
        <w:tab/>
      </w:r>
      <w:r>
        <w:rPr>
          <w:rFonts w:ascii="Arial" w:cs="Arial" w:eastAsia="Arial" w:hAnsi="Arial"/>
          <w:sz w:val="22"/>
          <w:szCs w:val="22"/>
          <w:b w:val="1"/>
          <w:bCs w:val="1"/>
          <w:u w:val="single" w:color="auto"/>
          <w:color w:val="auto"/>
        </w:rPr>
        <w:t>LANDLORD: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4820" w:type="dxa"/>
            <w:vAlign w:val="bottom"/>
            <w:gridSpan w:val="2"/>
          </w:tcPr>
          <w:p>
            <w:pPr>
              <w:spacing w:after="0"/>
              <w:rPr>
                <w:sz w:val="20"/>
                <w:szCs w:val="20"/>
                <w:color w:val="auto"/>
              </w:rPr>
            </w:pPr>
            <w:r>
              <w:rPr>
                <w:rFonts w:ascii="Arial" w:cs="Arial" w:eastAsia="Arial" w:hAnsi="Arial"/>
                <w:sz w:val="22"/>
                <w:szCs w:val="22"/>
                <w:b w:val="1"/>
                <w:bCs w:val="1"/>
                <w:color w:val="auto"/>
              </w:rPr>
              <w:t>nCino, Inc.</w:t>
            </w:r>
          </w:p>
        </w:tc>
        <w:tc>
          <w:tcPr>
            <w:tcW w:w="6380" w:type="dxa"/>
            <w:vAlign w:val="bottom"/>
            <w:gridSpan w:val="2"/>
          </w:tcPr>
          <w:p>
            <w:pPr>
              <w:ind w:left="1320"/>
              <w:spacing w:after="0"/>
              <w:rPr>
                <w:sz w:val="20"/>
                <w:szCs w:val="20"/>
                <w:color w:val="auto"/>
              </w:rPr>
            </w:pPr>
            <w:r>
              <w:rPr>
                <w:rFonts w:ascii="Arial" w:cs="Arial" w:eastAsia="Arial" w:hAnsi="Arial"/>
                <w:sz w:val="22"/>
                <w:szCs w:val="22"/>
                <w:b w:val="1"/>
                <w:bCs w:val="1"/>
                <w:color w:val="auto"/>
              </w:rPr>
              <w:t>Cloud Real Estate Holdings, LLC</w:t>
            </w:r>
          </w:p>
        </w:tc>
        <w:tc>
          <w:tcPr>
            <w:tcW w:w="0" w:type="dxa"/>
            <w:vAlign w:val="bottom"/>
          </w:tcPr>
          <w:p>
            <w:pPr>
              <w:spacing w:after="0"/>
              <w:rPr>
                <w:sz w:val="1"/>
                <w:szCs w:val="1"/>
                <w:color w:val="auto"/>
              </w:rPr>
            </w:pPr>
          </w:p>
        </w:tc>
      </w:tr>
      <w:tr>
        <w:trPr>
          <w:trHeight w:val="338"/>
        </w:trPr>
        <w:tc>
          <w:tcPr>
            <w:tcW w:w="4820" w:type="dxa"/>
            <w:vAlign w:val="bottom"/>
            <w:gridSpan w:val="2"/>
          </w:tcPr>
          <w:p>
            <w:pPr>
              <w:spacing w:after="0"/>
              <w:rPr>
                <w:sz w:val="20"/>
                <w:szCs w:val="20"/>
                <w:color w:val="auto"/>
              </w:rPr>
            </w:pPr>
            <w:r>
              <w:rPr>
                <w:rFonts w:ascii="Arial" w:cs="Arial" w:eastAsia="Arial" w:hAnsi="Arial"/>
                <w:sz w:val="22"/>
                <w:szCs w:val="22"/>
                <w:color w:val="auto"/>
              </w:rPr>
              <w:t>a Delaware corporation</w:t>
            </w:r>
          </w:p>
        </w:tc>
        <w:tc>
          <w:tcPr>
            <w:tcW w:w="6380" w:type="dxa"/>
            <w:vAlign w:val="bottom"/>
            <w:gridSpan w:val="2"/>
          </w:tcPr>
          <w:p>
            <w:pPr>
              <w:ind w:left="1320"/>
              <w:spacing w:after="0"/>
              <w:rPr>
                <w:sz w:val="20"/>
                <w:szCs w:val="20"/>
                <w:color w:val="auto"/>
              </w:rPr>
            </w:pPr>
            <w:r>
              <w:rPr>
                <w:rFonts w:ascii="Arial" w:cs="Arial" w:eastAsia="Arial" w:hAnsi="Arial"/>
                <w:sz w:val="22"/>
                <w:szCs w:val="22"/>
                <w:color w:val="auto"/>
              </w:rPr>
              <w:t>a North Carolina limited liability company</w:t>
            </w:r>
          </w:p>
        </w:tc>
        <w:tc>
          <w:tcPr>
            <w:tcW w:w="0" w:type="dxa"/>
            <w:vAlign w:val="bottom"/>
          </w:tcPr>
          <w:p>
            <w:pPr>
              <w:spacing w:after="0"/>
              <w:rPr>
                <w:sz w:val="1"/>
                <w:szCs w:val="1"/>
                <w:color w:val="auto"/>
              </w:rPr>
            </w:pPr>
          </w:p>
        </w:tc>
      </w:tr>
      <w:tr>
        <w:trPr>
          <w:trHeight w:val="574"/>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4100" w:type="dxa"/>
            <w:vAlign w:val="bottom"/>
          </w:tcPr>
          <w:p>
            <w:pPr>
              <w:ind w:left="20"/>
              <w:spacing w:after="0"/>
              <w:rPr>
                <w:sz w:val="20"/>
                <w:szCs w:val="20"/>
                <w:color w:val="auto"/>
              </w:rPr>
            </w:pPr>
            <w:r>
              <w:rPr>
                <w:rFonts w:ascii="Arial" w:cs="Arial" w:eastAsia="Arial" w:hAnsi="Arial"/>
                <w:sz w:val="20"/>
                <w:szCs w:val="20"/>
                <w:color w:val="auto"/>
              </w:rPr>
              <w:t>/s/ Pierre Naude</w:t>
            </w:r>
          </w:p>
        </w:tc>
        <w:tc>
          <w:tcPr>
            <w:tcW w:w="2260" w:type="dxa"/>
            <w:vAlign w:val="bottom"/>
          </w:tcPr>
          <w:p>
            <w:pPr>
              <w:ind w:left="1320"/>
              <w:spacing w:after="0"/>
              <w:rPr>
                <w:sz w:val="20"/>
                <w:szCs w:val="20"/>
                <w:color w:val="auto"/>
              </w:rPr>
            </w:pPr>
            <w:r>
              <w:rPr>
                <w:rFonts w:ascii="Arial" w:cs="Arial" w:eastAsia="Arial" w:hAnsi="Arial"/>
                <w:sz w:val="20"/>
                <w:szCs w:val="20"/>
                <w:color w:val="auto"/>
              </w:rPr>
              <w:t>By:</w:t>
            </w:r>
          </w:p>
        </w:tc>
        <w:tc>
          <w:tcPr>
            <w:tcW w:w="4120" w:type="dxa"/>
            <w:vAlign w:val="bottom"/>
          </w:tcPr>
          <w:p>
            <w:pPr>
              <w:ind w:lef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72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100" w:type="dxa"/>
            <w:vAlign w:val="bottom"/>
            <w:tcBorders>
              <w:bottom w:val="single" w:sz="8" w:color="auto"/>
            </w:tcBorders>
          </w:tcPr>
          <w:p>
            <w:pPr>
              <w:spacing w:after="0"/>
              <w:rPr>
                <w:sz w:val="3"/>
                <w:szCs w:val="3"/>
                <w:color w:val="auto"/>
              </w:rPr>
            </w:pPr>
          </w:p>
        </w:tc>
        <w:tc>
          <w:tcPr>
            <w:tcW w:w="2260" w:type="dxa"/>
            <w:vAlign w:val="bottom"/>
            <w:vMerge w:val="restart"/>
          </w:tcPr>
          <w:p>
            <w:pPr>
              <w:ind w:left="1320"/>
              <w:spacing w:after="0"/>
              <w:rPr>
                <w:sz w:val="20"/>
                <w:szCs w:val="20"/>
                <w:color w:val="auto"/>
              </w:rPr>
            </w:pPr>
            <w:r>
              <w:rPr>
                <w:rFonts w:ascii="Arial" w:cs="Arial" w:eastAsia="Arial" w:hAnsi="Arial"/>
                <w:sz w:val="20"/>
                <w:szCs w:val="20"/>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720" w:type="dxa"/>
            <w:vAlign w:val="bottom"/>
            <w:vMerge w:val="continue"/>
          </w:tcPr>
          <w:p>
            <w:pPr>
              <w:spacing w:after="0"/>
              <w:rPr>
                <w:sz w:val="23"/>
                <w:szCs w:val="23"/>
                <w:color w:val="auto"/>
              </w:rPr>
            </w:pPr>
          </w:p>
        </w:tc>
        <w:tc>
          <w:tcPr>
            <w:tcW w:w="4100" w:type="dxa"/>
            <w:vAlign w:val="bottom"/>
          </w:tcPr>
          <w:p>
            <w:pPr>
              <w:ind w:left="20"/>
              <w:spacing w:after="0"/>
              <w:rPr>
                <w:sz w:val="20"/>
                <w:szCs w:val="20"/>
                <w:color w:val="auto"/>
              </w:rPr>
            </w:pPr>
            <w:r>
              <w:rPr>
                <w:rFonts w:ascii="Arial" w:cs="Arial" w:eastAsia="Arial" w:hAnsi="Arial"/>
                <w:sz w:val="20"/>
                <w:szCs w:val="20"/>
                <w:color w:val="auto"/>
              </w:rPr>
              <w:t>Pierre Naude</w:t>
            </w:r>
          </w:p>
        </w:tc>
        <w:tc>
          <w:tcPr>
            <w:tcW w:w="2260" w:type="dxa"/>
            <w:vAlign w:val="bottom"/>
            <w:vMerge w:val="continue"/>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7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4100" w:type="dxa"/>
            <w:vAlign w:val="bottom"/>
            <w:tcBorders>
              <w:bottom w:val="single" w:sz="8" w:color="auto"/>
            </w:tcBorders>
          </w:tcPr>
          <w:p>
            <w:pPr>
              <w:spacing w:after="0"/>
              <w:rPr>
                <w:sz w:val="3"/>
                <w:szCs w:val="3"/>
                <w:color w:val="auto"/>
              </w:rPr>
            </w:pPr>
          </w:p>
        </w:tc>
        <w:tc>
          <w:tcPr>
            <w:tcW w:w="2260" w:type="dxa"/>
            <w:vAlign w:val="bottom"/>
            <w:vMerge w:val="restart"/>
          </w:tcPr>
          <w:p>
            <w:pPr>
              <w:ind w:left="1320"/>
              <w:spacing w:after="0"/>
              <w:rPr>
                <w:sz w:val="20"/>
                <w:szCs w:val="20"/>
                <w:color w:val="auto"/>
              </w:rPr>
            </w:pPr>
            <w:r>
              <w:rPr>
                <w:rFonts w:ascii="Arial" w:cs="Arial" w:eastAsia="Arial" w:hAnsi="Arial"/>
                <w:sz w:val="20"/>
                <w:szCs w:val="20"/>
                <w:color w:val="auto"/>
              </w:rPr>
              <w:t>Title: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720" w:type="dxa"/>
            <w:vAlign w:val="bottom"/>
            <w:vMerge w:val="continue"/>
          </w:tcPr>
          <w:p>
            <w:pPr>
              <w:spacing w:after="0"/>
              <w:rPr>
                <w:sz w:val="23"/>
                <w:szCs w:val="23"/>
                <w:color w:val="auto"/>
              </w:rPr>
            </w:pPr>
          </w:p>
        </w:tc>
        <w:tc>
          <w:tcPr>
            <w:tcW w:w="4100" w:type="dxa"/>
            <w:vAlign w:val="bottom"/>
          </w:tcPr>
          <w:p>
            <w:pPr>
              <w:ind w:left="20"/>
              <w:spacing w:after="0"/>
              <w:rPr>
                <w:sz w:val="20"/>
                <w:szCs w:val="20"/>
                <w:color w:val="auto"/>
              </w:rPr>
            </w:pPr>
            <w:r>
              <w:rPr>
                <w:rFonts w:ascii="Arial" w:cs="Arial" w:eastAsia="Arial" w:hAnsi="Arial"/>
                <w:sz w:val="20"/>
                <w:szCs w:val="20"/>
                <w:color w:val="auto"/>
              </w:rPr>
              <w:t>CEO</w:t>
            </w:r>
          </w:p>
        </w:tc>
        <w:tc>
          <w:tcPr>
            <w:tcW w:w="2260" w:type="dxa"/>
            <w:vAlign w:val="bottom"/>
            <w:vMerge w:val="continue"/>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20"/>
                <w:szCs w:val="20"/>
                <w:color w:val="auto"/>
              </w:rPr>
              <w:t>Manager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Cloud Real Estate Holdings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1051 Military Cutoff Rd, Suite 210, Wilmington, NC 28405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Ph 910-799-8755 Fax 910-799-8785</w:t>
      </w:r>
    </w:p>
    <w:p>
      <w:pPr>
        <w:sectPr>
          <w:pgSz w:w="11900" w:h="16838" w:orient="portrait"/>
          <w:cols w:equalWidth="0" w:num="1">
            <w:col w:w="11240"/>
          </w:cols>
          <w:pgMar w:left="320" w:top="118" w:right="3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43"/>
          <w:szCs w:val="43"/>
          <w:b w:val="1"/>
          <w:bCs w:val="1"/>
          <w:color w:val="auto"/>
        </w:rPr>
        <w:t>Cloud Real Estate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of Parking Deck Rent Adjustment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0" w:type="dxa"/>
            <w:vAlign w:val="bottom"/>
            <w:tcBorders>
              <w:right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w w:val="87"/>
              </w:rPr>
              <w:t>Period</w:t>
            </w:r>
          </w:p>
        </w:tc>
        <w:tc>
          <w:tcPr>
            <w:tcW w:w="2000" w:type="dxa"/>
            <w:vAlign w:val="bottom"/>
            <w:tcBorders>
              <w:top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91"/>
              </w:rPr>
              <w:t>PRSF</w:t>
            </w:r>
          </w:p>
        </w:tc>
        <w:tc>
          <w:tcPr>
            <w:tcW w:w="3460" w:type="dxa"/>
            <w:vAlign w:val="bottom"/>
            <w:tcBorders>
              <w:top w:val="single" w:sz="8" w:color="auto"/>
              <w:right w:val="single" w:sz="8" w:color="auto"/>
            </w:tcBorders>
            <w:gridSpan w:val="5"/>
          </w:tcPr>
          <w:p>
            <w:pPr>
              <w:jc w:val="center"/>
              <w:ind w:right="40"/>
              <w:spacing w:after="0"/>
              <w:rPr>
                <w:sz w:val="20"/>
                <w:szCs w:val="20"/>
                <w:color w:val="auto"/>
              </w:rPr>
            </w:pPr>
            <w:r>
              <w:rPr>
                <w:rFonts w:ascii="Arial" w:cs="Arial" w:eastAsia="Arial" w:hAnsi="Arial"/>
                <w:sz w:val="22"/>
                <w:szCs w:val="22"/>
                <w:b w:val="1"/>
                <w:bCs w:val="1"/>
                <w:color w:val="auto"/>
              </w:rPr>
              <w:t>MONTHLY PARKING DECK</w:t>
            </w:r>
          </w:p>
        </w:tc>
        <w:tc>
          <w:tcPr>
            <w:tcW w:w="20" w:type="dxa"/>
            <w:vAlign w:val="bottom"/>
            <w:tcBorders>
              <w:top w:val="single" w:sz="8" w:color="auto"/>
            </w:tcBorders>
          </w:tcPr>
          <w:p>
            <w:pPr>
              <w:spacing w:after="0"/>
              <w:rPr>
                <w:sz w:val="23"/>
                <w:szCs w:val="23"/>
                <w:color w:val="auto"/>
              </w:rPr>
            </w:pPr>
          </w:p>
        </w:tc>
        <w:tc>
          <w:tcPr>
            <w:tcW w:w="3480" w:type="dxa"/>
            <w:vAlign w:val="bottom"/>
            <w:tcBorders>
              <w:top w:val="single" w:sz="8" w:color="auto"/>
              <w:right w:val="single" w:sz="8" w:color="auto"/>
            </w:tcBorders>
            <w:gridSpan w:val="4"/>
          </w:tcPr>
          <w:p>
            <w:pPr>
              <w:jc w:val="center"/>
              <w:ind w:right="40"/>
              <w:spacing w:after="0"/>
              <w:rPr>
                <w:sz w:val="20"/>
                <w:szCs w:val="20"/>
                <w:color w:val="auto"/>
              </w:rPr>
            </w:pPr>
            <w:r>
              <w:rPr>
                <w:rFonts w:ascii="Arial" w:cs="Arial" w:eastAsia="Arial" w:hAnsi="Arial"/>
                <w:sz w:val="22"/>
                <w:szCs w:val="22"/>
                <w:b w:val="1"/>
                <w:bCs w:val="1"/>
                <w:color w:val="auto"/>
                <w:w w:val="98"/>
              </w:rPr>
              <w:t>TOTAL RENT ADJUSTMENT FOR</w:t>
            </w:r>
          </w:p>
        </w:tc>
        <w:tc>
          <w:tcPr>
            <w:tcW w:w="160" w:type="dxa"/>
            <w:vAlign w:val="bottom"/>
          </w:tcPr>
          <w:p>
            <w:pPr>
              <w:spacing w:after="0"/>
              <w:rPr>
                <w:sz w:val="23"/>
                <w:szCs w:val="23"/>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22"/>
                <w:szCs w:val="22"/>
                <w:b w:val="1"/>
                <w:bCs w:val="1"/>
                <w:color w:val="auto"/>
                <w:w w:val="98"/>
              </w:rPr>
              <w:t>RENT ADJUSTMENT</w:t>
            </w:r>
          </w:p>
        </w:tc>
        <w:tc>
          <w:tcPr>
            <w:tcW w:w="3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9"/>
              </w:rPr>
              <w:t>PERIOD</w:t>
            </w:r>
          </w:p>
        </w:tc>
        <w:tc>
          <w:tcPr>
            <w:tcW w:w="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61"/>
        </w:trPr>
        <w:tc>
          <w:tcPr>
            <w:tcW w:w="20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140" w:type="dxa"/>
            <w:vAlign w:val="bottom"/>
            <w:tcBorders>
              <w:top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310"/>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Sept. 28, 2021 – Dec. 31,</w:t>
            </w:r>
          </w:p>
        </w:tc>
        <w:tc>
          <w:tcPr>
            <w:tcW w:w="1240" w:type="dxa"/>
            <w:vAlign w:val="bottom"/>
            <w:tcBorders>
              <w:right w:val="single" w:sz="8" w:color="auto"/>
            </w:tcBorders>
            <w:gridSpan w:val="3"/>
          </w:tcPr>
          <w:p>
            <w:pPr>
              <w:jc w:val="center"/>
              <w:ind w:right="40"/>
              <w:spacing w:after="0" w:line="309" w:lineRule="exact"/>
              <w:rPr>
                <w:sz w:val="20"/>
                <w:szCs w:val="20"/>
                <w:color w:val="auto"/>
              </w:rPr>
            </w:pPr>
            <w:r>
              <w:rPr>
                <w:rFonts w:ascii="Arial" w:cs="Arial" w:eastAsia="Arial" w:hAnsi="Arial"/>
                <w:sz w:val="22"/>
                <w:szCs w:val="22"/>
                <w:color w:val="auto"/>
                <w:w w:val="89"/>
              </w:rPr>
              <w:t>$14.34</w:t>
            </w:r>
            <w:r>
              <w:rPr>
                <w:rFonts w:ascii="Arial" w:cs="Arial" w:eastAsia="Arial" w:hAnsi="Arial"/>
                <w:sz w:val="28"/>
                <w:szCs w:val="28"/>
                <w:color w:val="auto"/>
                <w:w w:val="89"/>
                <w:vertAlign w:val="superscript"/>
              </w:rPr>
              <w:t>i</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$107,520.13</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$333,312.39</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74"/>
        </w:trPr>
        <w:tc>
          <w:tcPr>
            <w:tcW w:w="200" w:type="dxa"/>
            <w:vAlign w:val="bottom"/>
            <w:tcBorders>
              <w:right w:val="single" w:sz="8" w:color="auto"/>
            </w:tcBorders>
          </w:tcPr>
          <w:p>
            <w:pPr>
              <w:spacing w:after="0"/>
              <w:rPr>
                <w:sz w:val="23"/>
                <w:szCs w:val="23"/>
                <w:color w:val="auto"/>
              </w:rPr>
            </w:pPr>
          </w:p>
        </w:tc>
        <w:tc>
          <w:tcPr>
            <w:tcW w:w="680" w:type="dxa"/>
            <w:vAlign w:val="bottom"/>
            <w:gridSpan w:val="2"/>
          </w:tcPr>
          <w:p>
            <w:pPr>
              <w:ind w:left="20"/>
              <w:spacing w:after="0"/>
              <w:rPr>
                <w:sz w:val="20"/>
                <w:szCs w:val="20"/>
                <w:color w:val="auto"/>
              </w:rPr>
            </w:pPr>
            <w:r>
              <w:rPr>
                <w:rFonts w:ascii="Arial" w:cs="Arial" w:eastAsia="Arial" w:hAnsi="Arial"/>
                <w:sz w:val="22"/>
                <w:szCs w:val="22"/>
                <w:color w:val="auto"/>
              </w:rPr>
              <w:t>2021</w:t>
            </w:r>
          </w:p>
        </w:tc>
        <w:tc>
          <w:tcPr>
            <w:tcW w:w="200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31"/>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0"/>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2022 – Dec. 31, 2022</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$14.34</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$107,520.13</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$1,290,241.50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1"/>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0"/>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2023 – Dec. 31, 2023</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$14.66</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$109,919.46</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$1,319,033.50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1"/>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2024 – Dec. 31, 2024</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$14.99</w:t>
            </w:r>
          </w:p>
        </w:tc>
        <w:tc>
          <w:tcPr>
            <w:tcW w:w="2780" w:type="dxa"/>
            <w:vAlign w:val="bottom"/>
            <w:gridSpan w:val="3"/>
          </w:tcPr>
          <w:p>
            <w:pPr>
              <w:jc w:val="center"/>
              <w:ind w:left="532"/>
              <w:spacing w:after="0"/>
              <w:rPr>
                <w:sz w:val="20"/>
                <w:szCs w:val="20"/>
                <w:color w:val="auto"/>
              </w:rPr>
            </w:pPr>
            <w:r>
              <w:rPr>
                <w:rFonts w:ascii="Arial" w:cs="Arial" w:eastAsia="Arial" w:hAnsi="Arial"/>
                <w:sz w:val="22"/>
                <w:szCs w:val="22"/>
                <w:color w:val="auto"/>
                <w:w w:val="86"/>
              </w:rPr>
              <w:t>$112,393.77</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$1,348,725.25</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2025 – Dec. 31, 2025</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$15.33</w:t>
            </w:r>
          </w:p>
        </w:tc>
        <w:tc>
          <w:tcPr>
            <w:tcW w:w="2780" w:type="dxa"/>
            <w:vAlign w:val="bottom"/>
            <w:gridSpan w:val="3"/>
          </w:tcPr>
          <w:p>
            <w:pPr>
              <w:jc w:val="center"/>
              <w:ind w:left="532"/>
              <w:spacing w:after="0"/>
              <w:rPr>
                <w:sz w:val="20"/>
                <w:szCs w:val="20"/>
                <w:color w:val="auto"/>
              </w:rPr>
            </w:pPr>
            <w:r>
              <w:rPr>
                <w:rFonts w:ascii="Arial" w:cs="Arial" w:eastAsia="Arial" w:hAnsi="Arial"/>
                <w:sz w:val="22"/>
                <w:szCs w:val="22"/>
                <w:color w:val="auto"/>
                <w:w w:val="86"/>
              </w:rPr>
              <w:t>$114,943.06</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$1,379,316.75</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2026 – Dec. 31, 2026</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$15.67</w:t>
            </w:r>
          </w:p>
        </w:tc>
        <w:tc>
          <w:tcPr>
            <w:tcW w:w="2780" w:type="dxa"/>
            <w:vAlign w:val="bottom"/>
            <w:gridSpan w:val="3"/>
          </w:tcPr>
          <w:p>
            <w:pPr>
              <w:jc w:val="center"/>
              <w:ind w:left="532"/>
              <w:spacing w:after="0"/>
              <w:rPr>
                <w:sz w:val="20"/>
                <w:szCs w:val="20"/>
                <w:color w:val="auto"/>
              </w:rPr>
            </w:pPr>
            <w:r>
              <w:rPr>
                <w:rFonts w:ascii="Arial" w:cs="Arial" w:eastAsia="Arial" w:hAnsi="Arial"/>
                <w:sz w:val="22"/>
                <w:szCs w:val="22"/>
                <w:color w:val="auto"/>
                <w:w w:val="86"/>
              </w:rPr>
              <w:t>$117,492.35</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$1,409,908.25</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2027 – Dec. 31, 2027</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$16.02</w:t>
            </w:r>
          </w:p>
        </w:tc>
        <w:tc>
          <w:tcPr>
            <w:tcW w:w="2780" w:type="dxa"/>
            <w:vAlign w:val="bottom"/>
            <w:gridSpan w:val="3"/>
          </w:tcPr>
          <w:p>
            <w:pPr>
              <w:jc w:val="center"/>
              <w:ind w:left="532"/>
              <w:spacing w:after="0"/>
              <w:rPr>
                <w:sz w:val="20"/>
                <w:szCs w:val="20"/>
                <w:color w:val="auto"/>
              </w:rPr>
            </w:pPr>
            <w:r>
              <w:rPr>
                <w:rFonts w:ascii="Arial" w:cs="Arial" w:eastAsia="Arial" w:hAnsi="Arial"/>
                <w:sz w:val="22"/>
                <w:szCs w:val="22"/>
                <w:color w:val="auto"/>
                <w:w w:val="86"/>
              </w:rPr>
              <w:t>$120,116.63</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$1,441,399.50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1"/>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0"/>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2028 – Dec. 31, 2028</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$16.38</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$122,815.88</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$1,473,790.50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2029 – Dec. 31, 2029</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$16.75</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$125,590.10</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$1,507,081.25</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0"/>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2030 – Dec. 31, 2030</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$17.13</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$128,439.31</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$1,541,271.75</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2031 – Dec. 31, 2031</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$17.52</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$131,363.50</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$1,576,362.00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2032 – Dec. 31, 2032</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$17.91</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$134,287.69</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$1,611,452.25</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0"/>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2033 – Dec. 31, 2033</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$18.31</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$137,286.85</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$1,647,442.25</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2034 – Dec. 31, 2034</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$18.72</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$140,361.00</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$1,684,332.00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w w:val="92"/>
              </w:rPr>
              <w:t>Jan. 1, 2035 – Dec. 31, 2035</w:t>
            </w:r>
          </w:p>
        </w:tc>
        <w:tc>
          <w:tcPr>
            <w:tcW w:w="12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$19.14</w:t>
            </w:r>
          </w:p>
        </w:tc>
        <w:tc>
          <w:tcPr>
            <w:tcW w:w="2780" w:type="dxa"/>
            <w:vAlign w:val="bottom"/>
            <w:gridSpan w:val="3"/>
          </w:tcPr>
          <w:p>
            <w:pPr>
              <w:jc w:val="center"/>
              <w:ind w:left="552"/>
              <w:spacing w:after="0"/>
              <w:rPr>
                <w:sz w:val="20"/>
                <w:szCs w:val="20"/>
                <w:color w:val="auto"/>
              </w:rPr>
            </w:pPr>
            <w:r>
              <w:rPr>
                <w:rFonts w:ascii="Arial" w:cs="Arial" w:eastAsia="Arial" w:hAnsi="Arial"/>
                <w:sz w:val="22"/>
                <w:szCs w:val="22"/>
                <w:color w:val="auto"/>
                <w:w w:val="88"/>
              </w:rPr>
              <w:t>$143,510.13</w:t>
            </w: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gridSpan w:val="4"/>
          </w:tcPr>
          <w:p>
            <w:pPr>
              <w:jc w:val="center"/>
              <w:spacing w:after="0"/>
              <w:rPr>
                <w:sz w:val="20"/>
                <w:szCs w:val="20"/>
                <w:color w:val="auto"/>
              </w:rPr>
            </w:pPr>
            <w:r>
              <w:rPr>
                <w:rFonts w:ascii="Arial" w:cs="Arial" w:eastAsia="Arial" w:hAnsi="Arial"/>
                <w:sz w:val="22"/>
                <w:szCs w:val="22"/>
                <w:color w:val="auto"/>
                <w:w w:val="88"/>
              </w:rPr>
              <w:t>$1,722,121.50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28"/>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4"/>
          </w:tcPr>
          <w:p>
            <w:pPr>
              <w:ind w:left="220"/>
              <w:spacing w:after="0"/>
              <w:rPr>
                <w:sz w:val="20"/>
                <w:szCs w:val="20"/>
                <w:color w:val="auto"/>
              </w:rPr>
            </w:pPr>
            <w:r>
              <w:rPr>
                <w:rFonts w:ascii="Arial" w:cs="Arial" w:eastAsia="Arial" w:hAnsi="Arial"/>
                <w:sz w:val="22"/>
                <w:szCs w:val="22"/>
                <w:color w:val="auto"/>
              </w:rPr>
              <w:t>Page 1 of 2 – Exhibit B</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3"/>
        </w:trPr>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Cloud Real Estate Holdings</w:t>
      </w:r>
    </w:p>
    <w:p>
      <w:pPr>
        <w:jc w:val="center"/>
        <w:spacing w:after="0" w:line="238" w:lineRule="auto"/>
        <w:rPr>
          <w:sz w:val="20"/>
          <w:szCs w:val="20"/>
          <w:color w:val="auto"/>
        </w:rPr>
      </w:pPr>
      <w:r>
        <w:rPr>
          <w:rFonts w:ascii="Arial" w:cs="Arial" w:eastAsia="Arial" w:hAnsi="Arial"/>
          <w:sz w:val="22"/>
          <w:szCs w:val="22"/>
          <w:color w:val="auto"/>
        </w:rPr>
        <w:t>1051 Military Cutoff Rd, Suite 210, Wilmington, NC 28405</w:t>
      </w:r>
    </w:p>
    <w:p>
      <w:pPr>
        <w:jc w:val="center"/>
        <w:spacing w:after="0"/>
        <w:rPr>
          <w:sz w:val="20"/>
          <w:szCs w:val="20"/>
          <w:color w:val="auto"/>
        </w:rPr>
      </w:pPr>
      <w:r>
        <w:rPr>
          <w:rFonts w:ascii="Arial" w:cs="Arial" w:eastAsia="Arial" w:hAnsi="Arial"/>
          <w:sz w:val="22"/>
          <w:szCs w:val="22"/>
          <w:color w:val="auto"/>
        </w:rPr>
        <w:t>Ph 910-799-8755 Fax 910-799-8785</w:t>
      </w:r>
    </w:p>
    <w:p>
      <w:pPr>
        <w:sectPr>
          <w:pgSz w:w="11900" w:h="16838" w:orient="portrait"/>
          <w:cols w:equalWidth="0" w:num="1">
            <w:col w:w="11240"/>
          </w:cols>
          <w:pgMar w:left="320" w:top="96"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43"/>
          <w:szCs w:val="43"/>
          <w:b w:val="1"/>
          <w:bCs w:val="1"/>
          <w:color w:val="auto"/>
        </w:rPr>
        <w:t>Cloud Real Estate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553720</wp:posOffset>
            </wp:positionV>
            <wp:extent cx="6369050" cy="1894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36905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80" w:right="860"/>
        <w:spacing w:after="0" w:line="275" w:lineRule="auto"/>
        <w:rPr>
          <w:sz w:val="20"/>
          <w:szCs w:val="20"/>
          <w:color w:val="auto"/>
        </w:rPr>
      </w:pPr>
      <w:r>
        <w:rPr>
          <w:rFonts w:ascii="Arial" w:cs="Arial" w:eastAsia="Arial" w:hAnsi="Arial"/>
          <w:sz w:val="22"/>
          <w:szCs w:val="22"/>
          <w:color w:val="auto"/>
        </w:rPr>
        <w:t>If the Expiration Date under each Lease occurs after December 31, 2035, the Parking Deck Rent Adjustment (as allocated between the Existing Building and the New Building) shall continue to escalate annually (automatically and with further notice) by two and one-quarter percent (2.25%) on January 1, 2036 and on January 1 of each year thereafter during the Term.</w:t>
      </w:r>
    </w:p>
    <w:p>
      <w:pPr>
        <w:spacing w:after="0" w:line="42" w:lineRule="exact"/>
        <w:rPr>
          <w:sz w:val="20"/>
          <w:szCs w:val="20"/>
          <w:color w:val="auto"/>
        </w:rPr>
      </w:pPr>
    </w:p>
    <w:p>
      <w:pPr>
        <w:ind w:left="480" w:right="840"/>
        <w:spacing w:after="0" w:line="323" w:lineRule="auto"/>
        <w:rPr>
          <w:sz w:val="20"/>
          <w:szCs w:val="20"/>
          <w:color w:val="auto"/>
        </w:rPr>
      </w:pPr>
      <w:r>
        <w:rPr>
          <w:rFonts w:ascii="Arial" w:cs="Arial" w:eastAsia="Arial" w:hAnsi="Arial"/>
          <w:sz w:val="19"/>
          <w:szCs w:val="19"/>
          <w:color w:val="auto"/>
        </w:rPr>
        <w:t>In accordance with Section 5 of that Second Amendment to Office Lease dated April 5, 2021, between Cloud Real Estate Holdings, LLC and nCino, Inc., upon the occurrence of the Commencement Date under the New Building Lease, the Parking Deck Rent Adjustment shall not longer apply solely to the Existing Building Lease, but shall be allocated between the Existing Building Lease and the New Building Lease pro-rata based on the rentable square footage of the two buildings. The parties further will make appropriate prorations in the event the New Building Lease Commencement Date occurs on other than the first day of a month.</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w:t>
      </w:r>
    </w:p>
    <w:p>
      <w:pPr>
        <w:spacing w:after="0" w:line="29" w:lineRule="exact"/>
        <w:rPr>
          <w:sz w:val="20"/>
          <w:szCs w:val="20"/>
          <w:color w:val="auto"/>
        </w:rPr>
      </w:pPr>
    </w:p>
    <w:p>
      <w:pPr>
        <w:ind w:firstLine="8"/>
        <w:spacing w:after="0" w:line="205" w:lineRule="auto"/>
        <w:tabs>
          <w:tab w:leader="none" w:pos="77"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14.34 starting rate is based on Parking Deck Project Costs of $17,677,558, which amount is under review. This table will need to be recalculated if the parties agree that Parking Deck Project Costs should be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 of 2 –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Cloud Real Estate Holdings</w:t>
      </w:r>
    </w:p>
    <w:p>
      <w:pPr>
        <w:jc w:val="center"/>
        <w:ind w:right="-19"/>
        <w:spacing w:after="0" w:line="238" w:lineRule="auto"/>
        <w:rPr>
          <w:sz w:val="20"/>
          <w:szCs w:val="20"/>
          <w:color w:val="auto"/>
        </w:rPr>
      </w:pPr>
      <w:r>
        <w:rPr>
          <w:rFonts w:ascii="Arial" w:cs="Arial" w:eastAsia="Arial" w:hAnsi="Arial"/>
          <w:sz w:val="22"/>
          <w:szCs w:val="22"/>
          <w:color w:val="auto"/>
        </w:rPr>
        <w:t>1051 Military Cutoff Rd, Suite 210, Wilmington, NC 28405</w:t>
      </w:r>
    </w:p>
    <w:p>
      <w:pPr>
        <w:jc w:val="center"/>
        <w:ind w:right="-19"/>
        <w:spacing w:after="0"/>
        <w:rPr>
          <w:sz w:val="20"/>
          <w:szCs w:val="20"/>
          <w:color w:val="auto"/>
        </w:rPr>
      </w:pPr>
      <w:r>
        <w:rPr>
          <w:rFonts w:ascii="Arial" w:cs="Arial" w:eastAsia="Arial" w:hAnsi="Arial"/>
          <w:sz w:val="22"/>
          <w:szCs w:val="22"/>
          <w:color w:val="auto"/>
        </w:rPr>
        <w:t>Ph 910-799-8755 Fax 910-799-8785</w:t>
      </w:r>
    </w:p>
    <w:p>
      <w:pPr>
        <w:sectPr>
          <w:pgSz w:w="11900" w:h="16838" w:orient="portrait"/>
          <w:cols w:equalWidth="0" w:num="1">
            <w:col w:w="11240"/>
          </w:cols>
          <w:pgMar w:left="320" w:top="96" w:right="339" w:bottom="1129"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Pierre Naudé, certify that:</w:t>
      </w:r>
    </w:p>
    <w:p>
      <w:pPr>
        <w:spacing w:after="0" w:line="243" w:lineRule="exact"/>
        <w:rPr>
          <w:sz w:val="20"/>
          <w:szCs w:val="20"/>
          <w:color w:val="auto"/>
        </w:rPr>
      </w:pPr>
    </w:p>
    <w:p>
      <w:pPr>
        <w:ind w:left="700" w:hanging="692"/>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6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right="80" w:hanging="644"/>
        <w:spacing w:after="0" w:line="250" w:lineRule="auto"/>
        <w:tabs>
          <w:tab w:leader="none" w:pos="1288" w:val="left"/>
        </w:tabs>
        <w:numPr>
          <w:ilvl w:val="1"/>
          <w:numId w:val="1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ind w:left="1300" w:right="120" w:hanging="644"/>
        <w:spacing w:after="0" w:line="291"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1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47" w:name="page48"/>
    <w:bookmarkEnd w:id="47"/>
    <w:p>
      <w:pPr>
        <w:ind w:left="1280" w:hanging="644"/>
        <w:spacing w:after="0" w:line="260" w:lineRule="auto"/>
        <w:tabs>
          <w:tab w:leader="none" w:pos="1268"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20"/>
          <w:szCs w:val="20"/>
          <w:color w:val="auto"/>
        </w:rPr>
        <w:t>Date: December 1,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27305</wp:posOffset>
            </wp:positionV>
            <wp:extent cx="28975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Pierre Naudé</w:t>
      </w:r>
    </w:p>
    <w:p>
      <w:pPr>
        <w:spacing w:after="0" w:line="54"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0460"/>
          </w:cols>
          <w:pgMar w:left="340" w:top="1419" w:right="109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David Rudow, certify that:</w:t>
      </w:r>
    </w:p>
    <w:p>
      <w:pPr>
        <w:spacing w:after="0" w:line="243"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6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right="80" w:hanging="644"/>
        <w:spacing w:after="0" w:line="250" w:lineRule="auto"/>
        <w:tabs>
          <w:tab w:leader="none" w:pos="1288" w:val="left"/>
        </w:tabs>
        <w:numPr>
          <w:ilvl w:val="1"/>
          <w:numId w:val="1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ind w:left="1300" w:right="120" w:hanging="644"/>
        <w:spacing w:after="0" w:line="291"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49" w:name="page50"/>
    <w:bookmarkEnd w:id="49"/>
    <w:p>
      <w:pPr>
        <w:ind w:left="1280" w:right="520" w:hanging="644"/>
        <w:spacing w:after="0" w:line="260" w:lineRule="auto"/>
        <w:tabs>
          <w:tab w:leader="none" w:pos="126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820" w:type="dxa"/>
            <w:vAlign w:val="bottom"/>
          </w:tcPr>
          <w:p>
            <w:pPr>
              <w:spacing w:after="0"/>
              <w:rPr>
                <w:sz w:val="20"/>
                <w:szCs w:val="20"/>
                <w:color w:val="auto"/>
              </w:rPr>
            </w:pPr>
            <w:r>
              <w:rPr>
                <w:rFonts w:ascii="Arial" w:cs="Arial" w:eastAsia="Arial" w:hAnsi="Arial"/>
                <w:sz w:val="20"/>
                <w:szCs w:val="20"/>
                <w:color w:val="auto"/>
              </w:rPr>
              <w:t>Date: December 1, 2021</w:t>
            </w:r>
          </w:p>
        </w:tc>
        <w:tc>
          <w:tcPr>
            <w:tcW w:w="2600" w:type="dxa"/>
            <w:vAlign w:val="bottom"/>
          </w:tcPr>
          <w:p>
            <w:pPr>
              <w:ind w:left="188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8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ectPr>
          <w:pgSz w:w="11900" w:h="16838" w:orient="portrait"/>
          <w:cols w:equalWidth="0" w:num="1">
            <w:col w:w="10980"/>
          </w:cols>
          <w:pgMar w:left="340" w:top="1419" w:right="5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ind w:right="2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October 31,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820" w:type="dxa"/>
            <w:vAlign w:val="bottom"/>
          </w:tcPr>
          <w:p>
            <w:pPr>
              <w:spacing w:after="0"/>
              <w:rPr>
                <w:sz w:val="20"/>
                <w:szCs w:val="20"/>
                <w:color w:val="auto"/>
              </w:rPr>
            </w:pPr>
            <w:r>
              <w:rPr>
                <w:rFonts w:ascii="Arial" w:cs="Arial" w:eastAsia="Arial" w:hAnsi="Arial"/>
                <w:sz w:val="20"/>
                <w:szCs w:val="20"/>
                <w:color w:val="auto"/>
              </w:rPr>
              <w:t>Date: December 1, 2021</w:t>
            </w:r>
          </w:p>
        </w:tc>
        <w:tc>
          <w:tcPr>
            <w:tcW w:w="2600" w:type="dxa"/>
            <w:vAlign w:val="bottom"/>
          </w:tcPr>
          <w:p>
            <w:pPr>
              <w:ind w:left="188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Pierre Naudé</w:t>
            </w:r>
          </w:p>
        </w:tc>
      </w:tr>
      <w:tr>
        <w:trPr>
          <w:trHeight w:val="233"/>
        </w:trPr>
        <w:tc>
          <w:tcPr>
            <w:tcW w:w="3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88"/>
              </w:rPr>
              <w:t>Pierre Naudé</w:t>
            </w:r>
          </w:p>
        </w:tc>
      </w:tr>
      <w:tr>
        <w:trPr>
          <w:trHeight w:val="250"/>
        </w:trPr>
        <w:tc>
          <w:tcPr>
            <w:tcW w:w="38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240"/>
          </w:cols>
          <w:pgMar w:left="320" w:top="141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ind w:right="2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October 31,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820" w:type="dxa"/>
            <w:vAlign w:val="bottom"/>
          </w:tcPr>
          <w:p>
            <w:pPr>
              <w:spacing w:after="0"/>
              <w:rPr>
                <w:sz w:val="20"/>
                <w:szCs w:val="20"/>
                <w:color w:val="auto"/>
              </w:rPr>
            </w:pPr>
            <w:r>
              <w:rPr>
                <w:rFonts w:ascii="Arial" w:cs="Arial" w:eastAsia="Arial" w:hAnsi="Arial"/>
                <w:sz w:val="20"/>
                <w:szCs w:val="20"/>
                <w:color w:val="auto"/>
              </w:rPr>
              <w:t>Date: December 1, 2021</w:t>
            </w:r>
          </w:p>
        </w:tc>
        <w:tc>
          <w:tcPr>
            <w:tcW w:w="2600" w:type="dxa"/>
            <w:vAlign w:val="bottom"/>
          </w:tcPr>
          <w:p>
            <w:pPr>
              <w:ind w:left="188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8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2"/>
    </w:lvl>
  </w:abstractNum>
  <w:abstractNum w:abstractNumId="3">
    <w:nsid w:val="216231B"/>
    <w:multiLevelType w:val="hybridMultilevel"/>
    <w:lvl w:ilvl="0">
      <w:lvlJc w:val="left"/>
      <w:lvlText w:val="%1)"/>
      <w:numFmt w:val="decimal"/>
      <w:start w:val="805"/>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i"/>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57" Type="http://schemas.openxmlformats.org/officeDocument/2006/relationships/hyperlink" Target="https://www.sec.gov/Archives/edgar/data/1566895/000156689521000036/agreementandplanofmerger11.htm" TargetMode="External"/><Relationship Id="rId58" Type="http://schemas.openxmlformats.org/officeDocument/2006/relationships/hyperlink" Target="https://www.sec.gov/Archives/edgar/data/1566895/000119312520187868/d828449dex31.htm" TargetMode="External"/><Relationship Id="rId59" Type="http://schemas.openxmlformats.org/officeDocument/2006/relationships/hyperlink" Target="https://www.sec.gov/Archives/edgar/data/1566895/000119312520187868/d828449dex32.htm" TargetMode="External"/><Relationship Id="rId60" Type="http://schemas.openxmlformats.org/officeDocument/2006/relationships/hyperlink" Target="https://www.sec.gov/Archives/edgar/data/1566895/000156689521000036/restrictivecovena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2021-12-01T16:21:08Z</dcterms:created>
  <dcterms:modified xsi:type="dcterms:W3CDTF">2021-12-01T16:21:08Z</dcterms:modified>
</cp:coreProperties>
</file>