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39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3" w:lineRule="exact"/>
        <w:rPr>
          <w:sz w:val="24"/>
          <w:szCs w:val="24"/>
          <w:color w:val="auto"/>
        </w:rPr>
      </w:pPr>
    </w:p>
    <w:p>
      <w:pPr>
        <w:ind w:left="2100" w:hanging="271"/>
        <w:spacing w:after="0"/>
        <w:tabs>
          <w:tab w:leader="none" w:pos="21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366" w:lineRule="exact"/>
        <w:rPr>
          <w:sz w:val="24"/>
          <w:szCs w:val="24"/>
          <w:color w:val="auto"/>
        </w:rPr>
      </w:pPr>
    </w:p>
    <w:p>
      <w:pPr>
        <w:ind w:left="4460" w:right="1800" w:hanging="2635"/>
        <w:spacing w:after="0" w:line="271" w:lineRule="auto"/>
        <w:tabs>
          <w:tab w:leader="none" w:pos="2106"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__to __</w:t>
      </w:r>
    </w:p>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001-41211</w:t>
            </w: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599"/>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31"/>
                <w:szCs w:val="31"/>
                <w:b w:val="1"/>
                <w:bCs w:val="1"/>
                <w:color w:val="auto"/>
                <w:w w:val="99"/>
              </w:rPr>
              <w:t>nCino, Inc.</w:t>
            </w: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0"/>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47"/>
        </w:trPr>
        <w:tc>
          <w:tcPr>
            <w:tcW w:w="1340" w:type="dxa"/>
            <w:vAlign w:val="bottom"/>
          </w:tcPr>
          <w:p>
            <w:pPr>
              <w:spacing w:after="0"/>
              <w:rPr>
                <w:sz w:val="21"/>
                <w:szCs w:val="21"/>
                <w:color w:val="auto"/>
              </w:rPr>
            </w:pPr>
          </w:p>
        </w:tc>
        <w:tc>
          <w:tcPr>
            <w:tcW w:w="2320" w:type="dxa"/>
            <w:vAlign w:val="bottom"/>
            <w:gridSpan w:val="2"/>
          </w:tcPr>
          <w:p>
            <w:pPr>
              <w:jc w:val="center"/>
              <w:ind w:right="12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40" w:type="dxa"/>
            <w:vAlign w:val="bottom"/>
            <w:gridSpan w:val="2"/>
          </w:tcPr>
          <w:p>
            <w:pPr>
              <w:jc w:val="center"/>
              <w:ind w:left="304"/>
              <w:spacing w:after="0"/>
              <w:rPr>
                <w:sz w:val="20"/>
                <w:szCs w:val="20"/>
                <w:color w:val="auto"/>
              </w:rPr>
            </w:pPr>
            <w:r>
              <w:rPr>
                <w:rFonts w:ascii="Times New Roman" w:cs="Times New Roman" w:eastAsia="Times New Roman" w:hAnsi="Times New Roman"/>
                <w:sz w:val="16"/>
                <w:szCs w:val="16"/>
                <w:b w:val="1"/>
                <w:bCs w:val="1"/>
                <w:color w:val="auto"/>
              </w:rPr>
              <w:t>87-4154342</w:t>
            </w:r>
          </w:p>
        </w:tc>
      </w:tr>
      <w:tr>
        <w:trPr>
          <w:trHeight w:val="168"/>
        </w:trPr>
        <w:tc>
          <w:tcPr>
            <w:tcW w:w="3660" w:type="dxa"/>
            <w:vAlign w:val="bottom"/>
            <w:gridSpan w:val="3"/>
          </w:tcPr>
          <w:p>
            <w:pPr>
              <w:jc w:val="center"/>
              <w:ind w:left="4"/>
              <w:spacing w:after="0" w:line="168"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3660" w:type="dxa"/>
            <w:vAlign w:val="bottom"/>
            <w:gridSpan w:val="3"/>
          </w:tcPr>
          <w:p>
            <w:pPr>
              <w:jc w:val="center"/>
              <w:ind w:left="24"/>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271"/>
        </w:trPr>
        <w:tc>
          <w:tcPr>
            <w:tcW w:w="1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6770 Parker Farm Drive</w:t>
            </w:r>
          </w:p>
        </w:tc>
        <w:tc>
          <w:tcPr>
            <w:tcW w:w="36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180"/>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Wilmington, North Carolina 28405</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190"/>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including zip code)</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498"/>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gridSpan w:val="2"/>
          </w:tcPr>
          <w:p>
            <w:pPr>
              <w:jc w:val="center"/>
              <w:ind w:left="1334"/>
              <w:spacing w:after="0"/>
              <w:rPr>
                <w:sz w:val="20"/>
                <w:szCs w:val="20"/>
                <w:color w:val="auto"/>
              </w:rPr>
            </w:pPr>
            <w:r>
              <w:rPr>
                <w:rFonts w:ascii="Times New Roman" w:cs="Times New Roman" w:eastAsia="Times New Roman" w:hAnsi="Times New Roman"/>
                <w:sz w:val="16"/>
                <w:szCs w:val="16"/>
                <w:b w:val="1"/>
                <w:bCs w:val="1"/>
                <w:color w:val="auto"/>
              </w:rPr>
              <w:t>(888) 676-2466</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0"/>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486"/>
        </w:trPr>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6"/>
        </w:trPr>
        <w:tc>
          <w:tcPr>
            <w:tcW w:w="13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40" w:type="dxa"/>
            <w:vAlign w:val="bottom"/>
          </w:tcPr>
          <w:p>
            <w:pPr>
              <w:spacing w:after="0"/>
              <w:rPr>
                <w:sz w:val="19"/>
                <w:szCs w:val="19"/>
                <w:color w:val="auto"/>
              </w:rPr>
            </w:pPr>
          </w:p>
        </w:tc>
        <w:tc>
          <w:tcPr>
            <w:tcW w:w="4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040" w:type="dxa"/>
            <w:vAlign w:val="bottom"/>
            <w:gridSpan w:val="2"/>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13"/>
        </w:trPr>
        <w:tc>
          <w:tcPr>
            <w:tcW w:w="3660" w:type="dxa"/>
            <w:vAlign w:val="bottom"/>
            <w:gridSpan w:val="3"/>
          </w:tcPr>
          <w:p>
            <w:pPr>
              <w:jc w:val="center"/>
              <w:ind w:left="4"/>
              <w:spacing w:after="0"/>
              <w:rPr>
                <w:sz w:val="20"/>
                <w:szCs w:val="20"/>
                <w:color w:val="auto"/>
              </w:rPr>
            </w:pPr>
            <w:r>
              <w:rPr>
                <w:rFonts w:ascii="Times New Roman" w:cs="Times New Roman" w:eastAsia="Times New Roman" w:hAnsi="Times New Roman"/>
                <w:sz w:val="14"/>
                <w:szCs w:val="14"/>
                <w:color w:val="auto"/>
              </w:rPr>
              <w:t>Common stock, par value $0.0005 per share</w:t>
            </w:r>
          </w:p>
        </w:tc>
        <w:tc>
          <w:tcPr>
            <w:tcW w:w="1380" w:type="dxa"/>
            <w:vAlign w:val="bottom"/>
          </w:tcPr>
          <w:p>
            <w:pPr>
              <w:spacing w:after="0"/>
              <w:rPr>
                <w:sz w:val="18"/>
                <w:szCs w:val="18"/>
                <w:color w:val="auto"/>
              </w:rPr>
            </w:pPr>
          </w:p>
        </w:tc>
        <w:tc>
          <w:tcPr>
            <w:tcW w:w="262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color w:val="auto"/>
              </w:rPr>
              <w:t>NCNO</w:t>
            </w:r>
          </w:p>
        </w:tc>
        <w:tc>
          <w:tcPr>
            <w:tcW w:w="3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325" w:lineRule="exact"/>
        <w:rPr>
          <w:sz w:val="24"/>
          <w:szCs w:val="24"/>
          <w:color w:val="auto"/>
        </w:rPr>
      </w:pPr>
    </w:p>
    <w:p>
      <w:pPr>
        <w:ind w:right="20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36" w:lineRule="exact"/>
        <w:rPr>
          <w:sz w:val="24"/>
          <w:szCs w:val="24"/>
          <w:color w:val="auto"/>
        </w:rPr>
      </w:pPr>
    </w:p>
    <w:p>
      <w:pPr>
        <w:ind w:right="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63" w:lineRule="exact"/>
        <w:rPr>
          <w:sz w:val="24"/>
          <w:szCs w:val="24"/>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9"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1"/>
                <w:szCs w:val="21"/>
                <w:color w:val="auto"/>
              </w:rPr>
            </w:pPr>
          </w:p>
        </w:tc>
        <w:tc>
          <w:tcPr>
            <w:tcW w:w="400" w:type="dxa"/>
            <w:vAlign w:val="bottom"/>
          </w:tcPr>
          <w:p>
            <w:pPr>
              <w:spacing w:after="0"/>
              <w:rPr>
                <w:sz w:val="21"/>
                <w:szCs w:val="21"/>
                <w:color w:val="auto"/>
              </w:rPr>
            </w:pPr>
          </w:p>
        </w:tc>
      </w:tr>
    </w:tbl>
    <w:p>
      <w:pPr>
        <w:spacing w:after="0" w:line="343" w:lineRule="exact"/>
        <w:rPr>
          <w:sz w:val="24"/>
          <w:szCs w:val="24"/>
          <w:color w:val="auto"/>
        </w:rPr>
      </w:pPr>
    </w:p>
    <w:p>
      <w:pPr>
        <w:ind w:right="54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59" w:lineRule="exact"/>
        <w:rPr>
          <w:sz w:val="24"/>
          <w:szCs w:val="24"/>
          <w:color w:val="auto"/>
        </w:rPr>
      </w:pPr>
    </w:p>
    <w:p>
      <w:pPr>
        <w:spacing w:after="0" w:line="161" w:lineRule="exact"/>
        <w:tabs>
          <w:tab w:leader="none" w:pos="6660" w:val="left"/>
          <w:tab w:leader="none" w:pos="72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356"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115,941,576 shares of common stock, net of treasury stock, $0.0005 par value per share, as of May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20" w:type="dxa"/>
            <w:vAlign w:val="bottom"/>
          </w:tcPr>
          <w:p>
            <w:pPr>
              <w:spacing w:after="0"/>
              <w:rPr>
                <w:sz w:val="18"/>
                <w:szCs w:val="18"/>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479"/>
        </w:trPr>
        <w:tc>
          <w:tcPr>
            <w:tcW w:w="2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6440" w:type="dxa"/>
            <w:vAlign w:val="bottom"/>
            <w:gridSpan w:val="14"/>
          </w:tcPr>
          <w:p>
            <w:pPr>
              <w:jc w:val="center"/>
              <w:ind w:right="332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6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7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240" w:type="dxa"/>
            <w:vAlign w:val="bottom"/>
            <w:tcBorders>
              <w:top w:val="single" w:sz="8" w:color="0000FF"/>
            </w:tcBorders>
            <w:gridSpan w:val="6"/>
          </w:tcPr>
          <w:p>
            <w:pPr>
              <w:spacing w:after="0"/>
              <w:rPr>
                <w:sz w:val="18"/>
                <w:szCs w:val="18"/>
                <w:color w:val="auto"/>
              </w:rPr>
            </w:pPr>
          </w:p>
        </w:tc>
        <w:tc>
          <w:tcPr>
            <w:tcW w:w="3760" w:type="dxa"/>
            <w:vAlign w:val="bottom"/>
            <w:gridSpan w:val="7"/>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January 31, 2025 and April 30, 2025 (Unaudited)</w:t>
            </w:r>
          </w:p>
        </w:tc>
        <w:tc>
          <w:tcPr>
            <w:tcW w:w="2780" w:type="dxa"/>
            <w:vAlign w:val="bottom"/>
            <w:gridSpan w:val="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Months Ended April 30, 2024 and 2025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Income (Loss) for the Three Months Ended April, 2024 and 2025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760" w:type="dxa"/>
            <w:vAlign w:val="bottom"/>
            <w:tcBorders>
              <w:top w:val="single" w:sz="8" w:color="0000FF"/>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Stockholders' Equity for the Three and Ended April 30, 2024 and 2025</w:t>
            </w:r>
          </w:p>
        </w:tc>
        <w:tc>
          <w:tcPr>
            <w:tcW w:w="78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1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Cash Flows for the Three Months Ended April, 2024 and 2025</w:t>
            </w:r>
          </w:p>
        </w:tc>
        <w:tc>
          <w:tcPr>
            <w:tcW w:w="1520" w:type="dxa"/>
            <w:vAlign w:val="bottom"/>
            <w:gridSpan w:val="4"/>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240" w:type="dxa"/>
            <w:vAlign w:val="bottom"/>
            <w:gridSpan w:val="6"/>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340" w:type="dxa"/>
            <w:vAlign w:val="bottom"/>
            <w:gridSpan w:val="10"/>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7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20" w:type="dxa"/>
            <w:vAlign w:val="bottom"/>
            <w:gridSpan w:val="12"/>
          </w:tcPr>
          <w:p>
            <w:pPr>
              <w:jc w:val="center"/>
              <w:ind w:right="3860"/>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6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440" w:type="dxa"/>
            <w:vAlign w:val="bottom"/>
            <w:gridSpan w:val="6"/>
          </w:tcPr>
          <w:p>
            <w:pPr>
              <w:spacing w:after="0"/>
              <w:rPr>
                <w:sz w:val="18"/>
                <w:szCs w:val="18"/>
                <w:color w:val="auto"/>
              </w:rPr>
            </w:pPr>
          </w:p>
        </w:tc>
        <w:tc>
          <w:tcPr>
            <w:tcW w:w="2060" w:type="dxa"/>
            <w:vAlign w:val="bottom"/>
            <w:tcBorders>
              <w:top w:val="single" w:sz="8" w:color="0000FF"/>
            </w:tcBorders>
            <w:gridSpan w:val="4"/>
          </w:tcPr>
          <w:p>
            <w:pPr>
              <w:spacing w:after="0"/>
              <w:rPr>
                <w:sz w:val="18"/>
                <w:szCs w:val="18"/>
                <w:color w:val="auto"/>
              </w:rPr>
            </w:pPr>
          </w:p>
        </w:tc>
        <w:tc>
          <w:tcPr>
            <w:tcW w:w="3860" w:type="dxa"/>
            <w:vAlign w:val="bottom"/>
            <w:gridSpan w:val="8"/>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360" w:type="dxa"/>
            <w:vAlign w:val="bottom"/>
            <w:gridSpan w:val="11"/>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380" w:type="dxa"/>
            <w:vAlign w:val="bottom"/>
            <w:gridSpan w:val="1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940" w:type="dxa"/>
            <w:vAlign w:val="bottom"/>
            <w:gridSpan w:val="16"/>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9100" w:type="dxa"/>
            <w:vAlign w:val="bottom"/>
            <w:gridSpan w:val="22"/>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1026"/>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140" w:firstLine="891"/>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w:t>
      </w:r>
    </w:p>
    <w:p>
      <w:pPr>
        <w:spacing w:after="0" w:line="187"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w:t>
      </w:r>
    </w:p>
    <w:p>
      <w:pPr>
        <w:spacing w:after="0" w:line="180" w:lineRule="exact"/>
        <w:rPr>
          <w:sz w:val="20"/>
          <w:szCs w:val="20"/>
          <w:color w:val="auto"/>
        </w:rPr>
      </w:pPr>
    </w:p>
    <w:p>
      <w:pPr>
        <w:ind w:right="400" w:firstLine="891"/>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76" w:lineRule="exact"/>
        <w:rPr>
          <w:sz w:val="20"/>
          <w:szCs w:val="20"/>
          <w:color w:val="auto"/>
        </w:rPr>
      </w:pPr>
    </w:p>
    <w:p>
      <w:pPr>
        <w:ind w:right="360" w:firstLine="891"/>
        <w:spacing w:after="0" w:line="282" w:lineRule="auto"/>
        <w:rPr>
          <w:sz w:val="20"/>
          <w:szCs w:val="20"/>
          <w:color w:val="auto"/>
        </w:rPr>
      </w:pPr>
      <w:r>
        <w:rPr>
          <w:rFonts w:ascii="Times New Roman" w:cs="Times New Roman" w:eastAsia="Times New Roman" w:hAnsi="Times New Roman"/>
          <w:sz w:val="18"/>
          <w:szCs w:val="18"/>
          <w:color w:val="auto"/>
        </w:rPr>
        <w:t>As used in this report, the terms “nCino,” the “Company,” “we,” “us,” and “our” mean nCino, Inc. and its subsidiaries, unless the context indicates otherwise.</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60" w:type="dxa"/>
            <w:vAlign w:val="bottom"/>
          </w:tcPr>
          <w:p>
            <w:pPr>
              <w:spacing w:after="0"/>
              <w:rPr>
                <w:sz w:val="16"/>
                <w:szCs w:val="16"/>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23"/>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8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and cash equivalents (VIE: $2,254 and $2,577 at January 31, 2025 and April 30, 2025, respectively)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120,928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133,230</w:t>
            </w:r>
          </w:p>
        </w:tc>
      </w:tr>
      <w:tr>
        <w:trPr>
          <w:trHeight w:val="229"/>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 less allowances of $1,229 and $1,269 at January 31, 2025 and April 30, 2025, respectively</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104,417</w:t>
            </w:r>
          </w:p>
        </w:tc>
      </w:tr>
      <w:tr>
        <w:trPr>
          <w:trHeight w:val="229"/>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Costs capitalized to obtain revenue contracts, current portion,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13,928</w:t>
            </w:r>
          </w:p>
        </w:tc>
      </w:tr>
      <w:tr>
        <w:trPr>
          <w:trHeight w:val="230"/>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22,109</w:t>
            </w:r>
          </w:p>
        </w:tc>
      </w:tr>
      <w:tr>
        <w:trPr>
          <w:trHeight w:val="223"/>
        </w:trPr>
        <w:tc>
          <w:tcPr>
            <w:tcW w:w="856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302,249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273,684</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77,293</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15,560</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capitalized to obtain revenue contracts, noncurrent,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23,233</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1,019,375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1,080,657</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161,316</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(related party $2,500 and $0 at January 31, 2025 and April 30, 2025, respectively)</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prepaid expenses and 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11,937</w:t>
            </w:r>
          </w:p>
        </w:tc>
      </w:tr>
      <w:tr>
        <w:trPr>
          <w:trHeight w:val="223"/>
        </w:trPr>
        <w:tc>
          <w:tcPr>
            <w:tcW w:w="85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1,610,381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1,650,942</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8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 and stockholders’ equity</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15,101</w:t>
            </w:r>
          </w:p>
        </w:tc>
      </w:tr>
      <w:tr>
        <w:trPr>
          <w:trHeight w:val="230"/>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35,185</w:t>
            </w:r>
          </w:p>
        </w:tc>
      </w:tr>
      <w:tr>
        <w:trPr>
          <w:trHeight w:val="229"/>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203,659</w:t>
            </w:r>
          </w:p>
        </w:tc>
      </w:tr>
      <w:tr>
        <w:trPr>
          <w:trHeight w:val="230"/>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Financing obligations, current portion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r>
      <w:tr>
        <w:trPr>
          <w:trHeight w:val="230"/>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r>
      <w:tr>
        <w:trPr>
          <w:trHeight w:val="223"/>
        </w:trPr>
        <w:tc>
          <w:tcPr>
            <w:tcW w:w="85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260,742</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12,338</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20,718</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208,500</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obligations,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50,713</w:t>
            </w:r>
          </w:p>
        </w:tc>
      </w:tr>
      <w:tr>
        <w:trPr>
          <w:trHeight w:val="23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16,707</w:t>
            </w:r>
          </w:p>
        </w:tc>
      </w:tr>
      <w:tr>
        <w:trPr>
          <w:trHeight w:val="223"/>
        </w:trPr>
        <w:tc>
          <w:tcPr>
            <w:tcW w:w="85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512,783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569,995</w:t>
            </w:r>
          </w:p>
        </w:tc>
      </w:tr>
      <w:tr>
        <w:trPr>
          <w:trHeight w:val="20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 (Note 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75"/>
        </w:trPr>
        <w:tc>
          <w:tcPr>
            <w:tcW w:w="85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and none issued and outstanding at January 31,</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2025 and April 30, 2025</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5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$0.0005 par value; 500,000,000 shares authorized at January 31, 2025 and April 30, 2025;</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4"/>
        </w:trPr>
        <w:tc>
          <w:tcPr>
            <w:tcW w:w="8560" w:type="dxa"/>
            <w:vAlign w:val="bottom"/>
          </w:tcPr>
          <w:p>
            <w:pPr>
              <w:ind w:left="620"/>
              <w:spacing w:after="0" w:line="184" w:lineRule="exact"/>
              <w:rPr>
                <w:sz w:val="20"/>
                <w:szCs w:val="20"/>
                <w:color w:val="auto"/>
              </w:rPr>
            </w:pPr>
            <w:r>
              <w:rPr>
                <w:rFonts w:ascii="Times New Roman" w:cs="Times New Roman" w:eastAsia="Times New Roman" w:hAnsi="Times New Roman"/>
                <w:sz w:val="18"/>
                <w:szCs w:val="18"/>
                <w:color w:val="auto"/>
              </w:rPr>
              <w:t>115,996,852 and 117,069,731 shares issued; 115,996,852 and 115,240,618 outstanding at January 31, 2025</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85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and April 30, 2025, respectively</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Treasury stock, at cost; 0 and 1,829,113 shares at January 31, 2025 and April 30, 2025, respectively</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(40,588)</w:t>
            </w:r>
          </w:p>
        </w:tc>
      </w:tr>
      <w:tr>
        <w:trPr>
          <w:trHeight w:val="229"/>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1,474,413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1,490,590</w:t>
            </w:r>
          </w:p>
        </w:tc>
      </w:tr>
      <w:tr>
        <w:trPr>
          <w:trHeight w:val="230"/>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30"/>
        </w:trPr>
        <w:tc>
          <w:tcPr>
            <w:tcW w:w="8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(385,335)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(379,394)</w:t>
            </w:r>
          </w:p>
        </w:tc>
      </w:tr>
      <w:tr>
        <w:trPr>
          <w:trHeight w:val="223"/>
        </w:trPr>
        <w:tc>
          <w:tcPr>
            <w:tcW w:w="85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1,089,312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1,072,218</w:t>
            </w:r>
          </w:p>
        </w:tc>
      </w:tr>
      <w:tr>
        <w:trPr>
          <w:trHeight w:val="223"/>
        </w:trPr>
        <w:tc>
          <w:tcPr>
            <w:tcW w:w="85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1,610,381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1,650,942</w:t>
            </w:r>
          </w:p>
        </w:tc>
      </w:tr>
      <w:tr>
        <w:trPr>
          <w:trHeight w:val="21"/>
        </w:trPr>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125,588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0" w:type="dxa"/>
            <w:vAlign w:val="bottom"/>
          </w:tcPr>
          <w:p>
            <w:pPr>
              <w:spacing w:after="0"/>
              <w:rPr>
                <w:sz w:val="1"/>
                <w:szCs w:val="1"/>
                <w:color w:val="auto"/>
              </w:rPr>
            </w:pPr>
          </w:p>
        </w:tc>
      </w:tr>
      <w:tr>
        <w:trPr>
          <w:trHeight w:val="223"/>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128,087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144,137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21,570</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57,695</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86,442</w:t>
            </w: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32,971</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80,570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87,955</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16,097</w:t>
            </w:r>
          </w:p>
        </w:tc>
        <w:tc>
          <w:tcPr>
            <w:tcW w:w="0" w:type="dxa"/>
            <w:vAlign w:val="bottom"/>
          </w:tcPr>
          <w:p>
            <w:pPr>
              <w:spacing w:after="0"/>
              <w:rPr>
                <w:sz w:val="1"/>
                <w:szCs w:val="1"/>
                <w:color w:val="auto"/>
              </w:rPr>
            </w:pPr>
          </w:p>
        </w:tc>
      </w:tr>
      <w:tr>
        <w:trPr>
          <w:trHeight w:val="223"/>
        </w:trPr>
        <w:tc>
          <w:tcPr>
            <w:tcW w:w="82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Net income (loss) before income taxes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0" w:type="dxa"/>
            <w:vAlign w:val="bottom"/>
          </w:tcPr>
          <w:p>
            <w:pPr>
              <w:spacing w:after="0"/>
              <w:rPr>
                <w:sz w:val="1"/>
                <w:szCs w:val="1"/>
                <w:color w:val="auto"/>
              </w:rPr>
            </w:pPr>
          </w:p>
        </w:tc>
      </w:tr>
      <w:tr>
        <w:trPr>
          <w:trHeight w:val="223"/>
        </w:trPr>
        <w:tc>
          <w:tcPr>
            <w:tcW w:w="82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redeemable non-controlling interest (Note 2)</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Adjustment attributable to redeemable non-controlling interest (Note 2)</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Net income (loss) attributable to nCino,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nCino, Inc.: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tcPr>
          <w:p>
            <w:pPr>
              <w:ind w:left="4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114,197,068</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114,781,654</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114,197,068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116,578,848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00" w:type="dxa"/>
            <w:vAlign w:val="bottom"/>
          </w:tcPr>
          <w:p>
            <w:pPr>
              <w:spacing w:after="0"/>
              <w:rPr>
                <w:sz w:val="16"/>
                <w:szCs w:val="16"/>
                <w:color w:val="auto"/>
              </w:rPr>
            </w:pPr>
          </w:p>
        </w:tc>
      </w:tr>
      <w:tr>
        <w:trPr>
          <w:trHeight w:val="23"/>
        </w:trPr>
        <w:tc>
          <w:tcPr>
            <w:tcW w:w="8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(2,297)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6,017</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1,358</w:t>
            </w:r>
          </w:p>
        </w:tc>
      </w:tr>
      <w:tr>
        <w:trPr>
          <w:trHeight w:val="223"/>
        </w:trPr>
        <w:tc>
          <w:tcPr>
            <w:tcW w:w="8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1,358</w:t>
            </w:r>
          </w:p>
        </w:tc>
      </w:tr>
      <w:tr>
        <w:trPr>
          <w:trHeight w:val="22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(2,428)</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7,375</w:t>
            </w:r>
          </w:p>
        </w:tc>
      </w:tr>
      <w:tr>
        <w:trPr>
          <w:trHeight w:val="21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comprehensive income (loss) attributable to redeemable non-controlling interest:</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redeemable non-controlling interest</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attributable to redeemable non-controlling interest</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redeemable non-controlling interest</w:t>
            </w:r>
          </w:p>
        </w:tc>
        <w:tc>
          <w:tcPr>
            <w:tcW w:w="8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nCino, Inc.</w:t>
            </w: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(2,256)</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7,316</w:t>
            </w:r>
          </w:p>
        </w:tc>
      </w:tr>
      <w:tr>
        <w:trPr>
          <w:trHeight w:val="21"/>
        </w:trPr>
        <w:tc>
          <w:tcPr>
            <w:tcW w:w="8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April 30, 2024</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40" w:type="dxa"/>
            <w:vAlign w:val="bottom"/>
            <w:gridSpan w:val="9"/>
            <w:vMerge w:val="restart"/>
          </w:tcPr>
          <w:p>
            <w:pPr>
              <w:ind w:left="480"/>
              <w:spacing w:after="0"/>
              <w:rPr>
                <w:sz w:val="20"/>
                <w:szCs w:val="20"/>
                <w:color w:val="auto"/>
              </w:rPr>
            </w:pPr>
            <w:r>
              <w:rPr>
                <w:rFonts w:ascii="Times New Roman" w:cs="Times New Roman" w:eastAsia="Times New Roman" w:hAnsi="Times New Roman"/>
                <w:sz w:val="14"/>
                <w:szCs w:val="14"/>
                <w:color w:val="auto"/>
              </w:rPr>
              <w:t>Common Stock</w:t>
            </w:r>
          </w:p>
        </w:tc>
        <w:tc>
          <w:tcPr>
            <w:tcW w:w="1820" w:type="dxa"/>
            <w:vAlign w:val="bottom"/>
            <w:gridSpan w:val="7"/>
            <w:vMerge w:val="restart"/>
          </w:tcPr>
          <w:p>
            <w:pPr>
              <w:jc w:val="right"/>
              <w:ind w:right="372"/>
              <w:spacing w:after="0"/>
              <w:rPr>
                <w:sz w:val="20"/>
                <w:szCs w:val="20"/>
                <w:color w:val="auto"/>
              </w:rPr>
            </w:pPr>
            <w:r>
              <w:rPr>
                <w:rFonts w:ascii="Times New Roman" w:cs="Times New Roman" w:eastAsia="Times New Roman" w:hAnsi="Times New Roman"/>
                <w:sz w:val="14"/>
                <w:szCs w:val="14"/>
                <w:color w:val="auto"/>
              </w:rPr>
              <w:t>Treasury Stock</w:t>
            </w:r>
          </w:p>
        </w:tc>
        <w:tc>
          <w:tcPr>
            <w:tcW w:w="106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4"/>
                <w:szCs w:val="14"/>
                <w:color w:val="auto"/>
              </w:rPr>
              <w:t>Additional</w:t>
            </w:r>
          </w:p>
        </w:tc>
        <w:tc>
          <w:tcPr>
            <w:tcW w:w="280" w:type="dxa"/>
            <w:vAlign w:val="bottom"/>
          </w:tcPr>
          <w:p>
            <w:pPr>
              <w:spacing w:after="0"/>
              <w:rPr>
                <w:sz w:val="11"/>
                <w:szCs w:val="11"/>
                <w:color w:val="auto"/>
              </w:rPr>
            </w:pPr>
          </w:p>
        </w:tc>
        <w:tc>
          <w:tcPr>
            <w:tcW w:w="780" w:type="dxa"/>
            <w:vAlign w:val="bottom"/>
            <w:gridSpan w:val="2"/>
          </w:tcPr>
          <w:p>
            <w:pPr>
              <w:jc w:val="center"/>
              <w:ind w:right="400"/>
              <w:spacing w:after="0" w:line="133"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940" w:type="dxa"/>
            <w:vAlign w:val="bottom"/>
            <w:gridSpan w:val="9"/>
            <w:vMerge w:val="continue"/>
          </w:tcPr>
          <w:p>
            <w:pPr>
              <w:spacing w:after="0"/>
              <w:rPr>
                <w:sz w:val="8"/>
                <w:szCs w:val="8"/>
                <w:color w:val="auto"/>
              </w:rPr>
            </w:pPr>
          </w:p>
        </w:tc>
        <w:tc>
          <w:tcPr>
            <w:tcW w:w="1820" w:type="dxa"/>
            <w:vAlign w:val="bottom"/>
            <w:gridSpan w:val="7"/>
            <w:vMerge w:val="continue"/>
          </w:tcPr>
          <w:p>
            <w:pPr>
              <w:spacing w:after="0"/>
              <w:rPr>
                <w:sz w:val="8"/>
                <w:szCs w:val="8"/>
                <w:color w:val="auto"/>
              </w:rPr>
            </w:pPr>
          </w:p>
        </w:tc>
        <w:tc>
          <w:tcPr>
            <w:tcW w:w="1060" w:type="dxa"/>
            <w:vAlign w:val="bottom"/>
            <w:gridSpan w:val="2"/>
            <w:vMerge w:val="restart"/>
          </w:tcPr>
          <w:p>
            <w:pPr>
              <w:jc w:val="center"/>
              <w:ind w:right="80"/>
              <w:spacing w:after="0" w:line="118" w:lineRule="exact"/>
              <w:rPr>
                <w:sz w:val="20"/>
                <w:szCs w:val="20"/>
                <w:color w:val="auto"/>
              </w:rPr>
            </w:pPr>
            <w:r>
              <w:rPr>
                <w:rFonts w:ascii="Times New Roman" w:cs="Times New Roman" w:eastAsia="Times New Roman" w:hAnsi="Times New Roman"/>
                <w:sz w:val="13"/>
                <w:szCs w:val="13"/>
                <w:color w:val="auto"/>
              </w:rPr>
              <w:t>Paid-in</w:t>
            </w:r>
          </w:p>
        </w:tc>
        <w:tc>
          <w:tcPr>
            <w:tcW w:w="1060" w:type="dxa"/>
            <w:vAlign w:val="bottom"/>
            <w:gridSpan w:val="3"/>
            <w:vMerge w:val="restart"/>
          </w:tcPr>
          <w:p>
            <w:pPr>
              <w:ind w:left="40"/>
              <w:spacing w:after="0" w:line="118" w:lineRule="exact"/>
              <w:rPr>
                <w:sz w:val="20"/>
                <w:szCs w:val="20"/>
                <w:color w:val="auto"/>
              </w:rPr>
            </w:pPr>
            <w:r>
              <w:rPr>
                <w:rFonts w:ascii="Times New Roman" w:cs="Times New Roman" w:eastAsia="Times New Roman" w:hAnsi="Times New Roman"/>
                <w:sz w:val="13"/>
                <w:szCs w:val="13"/>
                <w:color w:val="auto"/>
              </w:rPr>
              <w:t>Comprehensive</w:t>
            </w:r>
          </w:p>
        </w:tc>
        <w:tc>
          <w:tcPr>
            <w:tcW w:w="1040" w:type="dxa"/>
            <w:vAlign w:val="bottom"/>
            <w:gridSpan w:val="3"/>
            <w:vMerge w:val="restart"/>
          </w:tcPr>
          <w:p>
            <w:pPr>
              <w:jc w:val="center"/>
              <w:ind w:right="80"/>
              <w:spacing w:after="0" w:line="118" w:lineRule="exact"/>
              <w:rPr>
                <w:sz w:val="20"/>
                <w:szCs w:val="20"/>
                <w:color w:val="auto"/>
              </w:rPr>
            </w:pPr>
            <w:r>
              <w:rPr>
                <w:rFonts w:ascii="Times New Roman" w:cs="Times New Roman" w:eastAsia="Times New Roman" w:hAnsi="Times New Roman"/>
                <w:sz w:val="13"/>
                <w:szCs w:val="13"/>
                <w:color w:val="auto"/>
              </w:rPr>
              <w:t>Accumulated</w:t>
            </w: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88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Capital</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2024</w:t>
            </w:r>
          </w:p>
        </w:tc>
        <w:tc>
          <w:tcPr>
            <w:tcW w:w="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113,684,299</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$ 1,400,881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(352,758)</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$ 1,049,176</w:t>
            </w:r>
          </w:p>
        </w:tc>
        <w:tc>
          <w:tcPr>
            <w:tcW w:w="0" w:type="dxa"/>
            <w:vAlign w:val="bottom"/>
          </w:tcPr>
          <w:p>
            <w:pPr>
              <w:spacing w:after="0"/>
              <w:rPr>
                <w:sz w:val="1"/>
                <w:szCs w:val="1"/>
                <w:color w:val="auto"/>
              </w:rPr>
            </w:pPr>
          </w:p>
        </w:tc>
      </w:tr>
      <w:tr>
        <w:trPr>
          <w:trHeight w:val="229"/>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199,300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w w:val="99"/>
              </w:rPr>
              <w:t>Stock issuance upon vesting of restricted</w:t>
            </w: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 units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456,288</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76"/>
        </w:trPr>
        <w:tc>
          <w:tcPr>
            <w:tcW w:w="33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income (loss) attributable to nCino,</w:t>
            </w: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2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color w:val="auto"/>
              </w:rPr>
              <w:t>Inc., including adjustment to</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4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April 30, 2024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114,339,887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$ 1,417,838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$ 1,063,877</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April 30, 2025</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9"/>
          </w:tcPr>
          <w:p>
            <w:pPr>
              <w:spacing w:after="0"/>
              <w:rPr>
                <w:sz w:val="2"/>
                <w:szCs w:val="2"/>
                <w:color w:val="auto"/>
              </w:rPr>
            </w:pPr>
          </w:p>
        </w:tc>
        <w:tc>
          <w:tcPr>
            <w:tcW w:w="1820" w:type="dxa"/>
            <w:vAlign w:val="bottom"/>
            <w:tcBorders>
              <w:bottom w:val="single" w:sz="8" w:color="auto"/>
            </w:tcBorders>
            <w:gridSpan w:val="7"/>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9"/>
          </w:tcPr>
          <w:p>
            <w:pPr>
              <w:ind w:left="460"/>
              <w:spacing w:after="0"/>
              <w:rPr>
                <w:sz w:val="20"/>
                <w:szCs w:val="20"/>
                <w:color w:val="auto"/>
              </w:rPr>
            </w:pPr>
            <w:r>
              <w:rPr>
                <w:rFonts w:ascii="Times New Roman" w:cs="Times New Roman" w:eastAsia="Times New Roman" w:hAnsi="Times New Roman"/>
                <w:sz w:val="14"/>
                <w:szCs w:val="14"/>
                <w:color w:val="auto"/>
              </w:rPr>
              <w:t>Common Stock</w:t>
            </w:r>
          </w:p>
        </w:tc>
        <w:tc>
          <w:tcPr>
            <w:tcW w:w="1820" w:type="dxa"/>
            <w:vAlign w:val="bottom"/>
            <w:gridSpan w:val="7"/>
          </w:tcPr>
          <w:p>
            <w:pPr>
              <w:jc w:val="right"/>
              <w:ind w:right="392"/>
              <w:spacing w:after="0"/>
              <w:rPr>
                <w:sz w:val="20"/>
                <w:szCs w:val="20"/>
                <w:color w:val="auto"/>
              </w:rPr>
            </w:pPr>
            <w:r>
              <w:rPr>
                <w:rFonts w:ascii="Times New Roman" w:cs="Times New Roman" w:eastAsia="Times New Roman" w:hAnsi="Times New Roman"/>
                <w:sz w:val="14"/>
                <w:szCs w:val="14"/>
                <w:color w:val="auto"/>
              </w:rPr>
              <w:t>Treasury 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Additional</w:t>
            </w:r>
          </w:p>
        </w:tc>
        <w:tc>
          <w:tcPr>
            <w:tcW w:w="280" w:type="dxa"/>
            <w:vAlign w:val="bottom"/>
          </w:tcPr>
          <w:p>
            <w:pPr>
              <w:spacing w:after="0"/>
              <w:rPr>
                <w:sz w:val="14"/>
                <w:szCs w:val="14"/>
                <w:color w:val="auto"/>
              </w:rPr>
            </w:pPr>
          </w:p>
        </w:tc>
        <w:tc>
          <w:tcPr>
            <w:tcW w:w="7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3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60" w:type="dxa"/>
            <w:vAlign w:val="bottom"/>
            <w:gridSpan w:val="2"/>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color w:val="auto"/>
              </w:rPr>
              <w:t>Paid-in</w:t>
            </w:r>
          </w:p>
        </w:tc>
        <w:tc>
          <w:tcPr>
            <w:tcW w:w="106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color w:val="auto"/>
              </w:rPr>
              <w:t>Comprehensive</w:t>
            </w:r>
          </w:p>
        </w:tc>
        <w:tc>
          <w:tcPr>
            <w:tcW w:w="104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color w:val="auto"/>
              </w:rPr>
              <w:t>Accumulated</w:t>
            </w: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33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Shares</w:t>
            </w: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88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060" w:type="dxa"/>
            <w:vAlign w:val="bottom"/>
            <w:gridSpan w:val="2"/>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9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line="20" w:lineRule="exact"/>
              <w:rPr>
                <w:sz w:val="1"/>
                <w:szCs w:val="1"/>
                <w:color w:val="auto"/>
              </w:rPr>
            </w:pPr>
          </w:p>
        </w:tc>
      </w:tr>
      <w:tr>
        <w:trPr>
          <w:trHeight w:val="196"/>
        </w:trPr>
        <w:tc>
          <w:tcPr>
            <w:tcW w:w="3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4"/>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Capital</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2025</w:t>
            </w:r>
          </w:p>
        </w:tc>
        <w:tc>
          <w:tcPr>
            <w:tcW w:w="9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115,996,852</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$ 1,474,413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(385,335)</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$ 1,089,312</w:t>
            </w:r>
          </w:p>
        </w:tc>
        <w:tc>
          <w:tcPr>
            <w:tcW w:w="0" w:type="dxa"/>
            <w:vAlign w:val="bottom"/>
          </w:tcPr>
          <w:p>
            <w:pPr>
              <w:spacing w:after="0"/>
              <w:rPr>
                <w:sz w:val="1"/>
                <w:szCs w:val="1"/>
                <w:color w:val="auto"/>
              </w:rPr>
            </w:pPr>
          </w:p>
        </w:tc>
      </w:tr>
      <w:tr>
        <w:trPr>
          <w:trHeight w:val="230"/>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172,446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w w:val="99"/>
              </w:rPr>
              <w:t>Stock issuance upon vesting of restricted</w:t>
            </w: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 units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900,433</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3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repurchases under share</w:t>
            </w: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repurchase program</w:t>
            </w:r>
          </w:p>
        </w:tc>
        <w:tc>
          <w:tcPr>
            <w:tcW w:w="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1,829,113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(40,588)</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(40,588)</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15,809</w:t>
            </w:r>
          </w:p>
        </w:tc>
        <w:tc>
          <w:tcPr>
            <w:tcW w:w="0" w:type="dxa"/>
            <w:vAlign w:val="bottom"/>
          </w:tcPr>
          <w:p>
            <w:pPr>
              <w:spacing w:after="0"/>
              <w:rPr>
                <w:sz w:val="1"/>
                <w:szCs w:val="1"/>
                <w:color w:val="auto"/>
              </w:rPr>
            </w:pPr>
          </w:p>
        </w:tc>
      </w:tr>
      <w:tr>
        <w:trPr>
          <w:trHeight w:val="230"/>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income (loss) attributable to nCino,</w:t>
            </w: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Inc., including adjustment to</w:t>
            </w: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April 30, 2025</w:t>
            </w:r>
          </w:p>
        </w:tc>
        <w:tc>
          <w:tcPr>
            <w:tcW w:w="9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117,069,731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1,829,113</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gridSpan w:val="2"/>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(40,588)</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$ 1,490,590</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(379,394)</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$ 1,072,218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40"/>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 attributable to nCino, Inc.</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5,562</w:t>
            </w:r>
          </w:p>
        </w:tc>
      </w:tr>
      <w:tr>
        <w:trPr>
          <w:trHeight w:val="219"/>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(loss) and adjustment attributable to redeemable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r>
      <w:tr>
        <w:trPr>
          <w:trHeight w:val="220"/>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6,017</w:t>
            </w:r>
          </w:p>
        </w:tc>
      </w:tr>
      <w:tr>
        <w:trPr>
          <w:trHeight w:val="219"/>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10,705</w:t>
            </w:r>
          </w:p>
        </w:tc>
      </w:tr>
      <w:tr>
        <w:trPr>
          <w:trHeight w:val="219"/>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r>
      <w:tr>
        <w:trPr>
          <w:trHeight w:val="213"/>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Amortization of costs capitalized to obtain revenue contracts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w:t>
            </w:r>
          </w:p>
        </w:tc>
      </w:tr>
      <w:tr>
        <w:trPr>
          <w:trHeight w:val="219"/>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3"/>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15,814</w:t>
            </w:r>
          </w:p>
        </w:tc>
      </w:tr>
      <w:tr>
        <w:trPr>
          <w:trHeight w:val="219"/>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3"/>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w:t>
            </w:r>
          </w:p>
        </w:tc>
      </w:tr>
      <w:tr>
        <w:trPr>
          <w:trHeight w:val="219"/>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Provision for (recovery of) bad debt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3"/>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foreign currency losses (gains)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(13,669)</w:t>
            </w:r>
          </w:p>
        </w:tc>
      </w:tr>
      <w:tr>
        <w:trPr>
          <w:trHeight w:val="219"/>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Gains on investments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r>
      <w:tr>
        <w:trPr>
          <w:trHeight w:val="213"/>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Loss on disposal of long-lived assets</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9"/>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0"/>
        </w:trPr>
        <w:tc>
          <w:tcPr>
            <w:tcW w:w="84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45,717</w:t>
            </w:r>
          </w:p>
        </w:tc>
      </w:tr>
      <w:tr>
        <w:trPr>
          <w:trHeight w:val="219"/>
        </w:trPr>
        <w:tc>
          <w:tcPr>
            <w:tcW w:w="84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Costs capitalized to obtain revenue contracts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w:t>
            </w:r>
          </w:p>
        </w:tc>
      </w:tr>
      <w:tr>
        <w:trPr>
          <w:trHeight w:val="240"/>
        </w:trPr>
        <w:tc>
          <w:tcPr>
            <w:tcW w:w="84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w:t>
            </w:r>
          </w:p>
        </w:tc>
      </w:tr>
      <w:tr>
        <w:trPr>
          <w:trHeight w:val="246"/>
        </w:trPr>
        <w:tc>
          <w:tcPr>
            <w:tcW w:w="84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40"/>
        </w:trPr>
        <w:tc>
          <w:tcPr>
            <w:tcW w:w="84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(15,796)</w:t>
            </w:r>
          </w:p>
        </w:tc>
      </w:tr>
      <w:tr>
        <w:trPr>
          <w:trHeight w:val="219"/>
        </w:trPr>
        <w:tc>
          <w:tcPr>
            <w:tcW w:w="84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w:t>
            </w:r>
          </w:p>
        </w:tc>
      </w:tr>
      <w:tr>
        <w:trPr>
          <w:trHeight w:val="240"/>
        </w:trPr>
        <w:tc>
          <w:tcPr>
            <w:tcW w:w="84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r>
      <w:tr>
        <w:trPr>
          <w:trHeight w:val="246"/>
        </w:trPr>
        <w:tc>
          <w:tcPr>
            <w:tcW w:w="84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Other long term liabilities</w:t>
            </w: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r>
      <w:tr>
        <w:trPr>
          <w:trHeight w:val="207"/>
        </w:trPr>
        <w:tc>
          <w:tcPr>
            <w:tcW w:w="8420" w:type="dxa"/>
            <w:vAlign w:val="bottom"/>
            <w:tcBorders>
              <w:bottom w:val="single" w:sz="8" w:color="CCEEFF"/>
            </w:tcBorders>
          </w:tcPr>
          <w:p>
            <w:pPr>
              <w:ind w:left="13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54,442</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54,320</w:t>
            </w:r>
          </w:p>
        </w:tc>
      </w:tr>
      <w:tr>
        <w:trPr>
          <w:trHeight w:val="22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(50,263)</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Acquisition of assets</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Sale of investment</w:t>
            </w: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w:t>
            </w:r>
          </w:p>
        </w:tc>
      </w:tr>
      <w:tr>
        <w:trPr>
          <w:trHeight w:val="220"/>
        </w:trPr>
        <w:tc>
          <w:tcPr>
            <w:tcW w:w="8420" w:type="dxa"/>
            <w:vAlign w:val="bottom"/>
            <w:tcBorders>
              <w:bottom w:val="single" w:sz="8" w:color="CCEEFF"/>
            </w:tcBorders>
          </w:tcPr>
          <w:p>
            <w:pPr>
              <w:ind w:left="13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(91,229)</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(48,297)</w:t>
            </w:r>
          </w:p>
        </w:tc>
      </w:tr>
      <w:tr>
        <w:trPr>
          <w:trHeight w:val="22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(40,588)</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Proceeds from borrowings on revolving credit facility</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102,500</w:t>
            </w: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Payments on revolving credit facility</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Principal payments on financing obligations</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r>
      <w:tr>
        <w:trPr>
          <w:trHeight w:val="220"/>
        </w:trPr>
        <w:tc>
          <w:tcPr>
            <w:tcW w:w="8420" w:type="dxa"/>
            <w:vAlign w:val="bottom"/>
            <w:tcBorders>
              <w:bottom w:val="single" w:sz="8" w:color="CCEEFF"/>
            </w:tcBorders>
          </w:tcPr>
          <w:p>
            <w:pPr>
              <w:ind w:left="13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w:t>
            </w:r>
          </w:p>
        </w:tc>
      </w:tr>
      <w:tr>
        <w:trPr>
          <w:trHeight w:val="226"/>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foreign currency exchange rate changes on cash, cash equivalents, and 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w:t>
            </w:r>
          </w:p>
        </w:tc>
      </w:tr>
      <w:tr>
        <w:trPr>
          <w:trHeight w:val="220"/>
        </w:trPr>
        <w:tc>
          <w:tcPr>
            <w:tcW w:w="842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12,313</w:t>
            </w:r>
          </w:p>
        </w:tc>
      </w:tr>
      <w:tr>
        <w:trPr>
          <w:trHeight w:val="243"/>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117,444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121,267</w:t>
            </w:r>
          </w:p>
        </w:tc>
      </w:tr>
      <w:tr>
        <w:trPr>
          <w:trHeight w:val="21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134,838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133,580</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8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129,481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133,230</w:t>
            </w:r>
          </w:p>
        </w:tc>
      </w:tr>
      <w:tr>
        <w:trPr>
          <w:trHeight w:val="240"/>
        </w:trPr>
        <w:tc>
          <w:tcPr>
            <w:tcW w:w="84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Restricted cash included in long-term prepaid expenses and other assets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38"/>
        </w:trPr>
        <w:tc>
          <w:tcPr>
            <w:tcW w:w="8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133,580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440" w:type="dxa"/>
            <w:vAlign w:val="bottom"/>
          </w:tcPr>
          <w:p>
            <w:pPr>
              <w:spacing w:after="0"/>
              <w:rPr>
                <w:sz w:val="16"/>
                <w:szCs w:val="16"/>
                <w:color w:val="auto"/>
              </w:rPr>
            </w:pPr>
          </w:p>
        </w:tc>
      </w:tr>
      <w:tr>
        <w:trPr>
          <w:trHeight w:val="23"/>
        </w:trPr>
        <w:tc>
          <w:tcPr>
            <w:tcW w:w="84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8420" w:type="dxa"/>
            <w:vAlign w:val="bottom"/>
          </w:tcPr>
          <w:p>
            <w:pPr>
              <w:spacing w:after="0"/>
              <w:rPr>
                <w:sz w:val="16"/>
                <w:szCs w:val="16"/>
                <w:color w:val="auto"/>
              </w:rPr>
            </w:pPr>
          </w:p>
        </w:tc>
        <w:tc>
          <w:tcPr>
            <w:tcW w:w="9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r>
      <w:tr>
        <w:trPr>
          <w:trHeight w:val="202"/>
        </w:trPr>
        <w:tc>
          <w:tcPr>
            <w:tcW w:w="8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43"/>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9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Cash paid for taxes, net of refunds</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00" w:type="dxa"/>
            <w:vAlign w:val="bottom"/>
          </w:tcPr>
          <w:p>
            <w:pPr>
              <w:spacing w:after="0"/>
              <w:rPr>
                <w:sz w:val="20"/>
                <w:szCs w:val="20"/>
                <w:color w:val="auto"/>
              </w:rPr>
            </w:pPr>
          </w:p>
        </w:tc>
        <w:tc>
          <w:tcPr>
            <w:tcW w:w="92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Cash paid for interest</w:t>
            </w:r>
          </w:p>
        </w:tc>
        <w:tc>
          <w:tcPr>
            <w:tcW w:w="94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4,145</w:t>
            </w:r>
          </w:p>
        </w:tc>
      </w:tr>
      <w:tr>
        <w:trPr>
          <w:trHeight w:val="23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12"/>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Fair value of contingent consideration in connection with business acquisition in accrued expenses and other current</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43"/>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liabilities</w:t>
            </w:r>
          </w:p>
        </w:tc>
        <w:tc>
          <w:tcPr>
            <w:tcW w:w="94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8,100</w:t>
            </w: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Purchase of property and equipment, accrued but not paid</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2,425</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Measurement period adjustments relating to business acquisitions</w:t>
            </w:r>
          </w:p>
        </w:tc>
        <w:tc>
          <w:tcPr>
            <w:tcW w:w="94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1,353</w:t>
            </w:r>
          </w:p>
        </w:tc>
      </w:tr>
      <w:tr>
        <w:trPr>
          <w:trHeight w:val="237"/>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Noncash consideration in connection with business acquisition for settlement of a preexisting contract</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1,354</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Business and Significant Accounting Policies</w:t>
      </w:r>
    </w:p>
    <w:p>
      <w:pPr>
        <w:spacing w:after="0" w:line="225" w:lineRule="exact"/>
        <w:rPr>
          <w:sz w:val="20"/>
          <w:szCs w:val="20"/>
          <w:color w:val="auto"/>
        </w:rPr>
      </w:pPr>
    </w:p>
    <w:p>
      <w:pPr>
        <w:ind w:right="4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Description of Business: </w:t>
      </w:r>
      <w:r>
        <w:rPr>
          <w:rFonts w:ascii="Times New Roman" w:cs="Times New Roman" w:eastAsia="Times New Roman" w:hAnsi="Times New Roman"/>
          <w:sz w:val="18"/>
          <w:szCs w:val="18"/>
          <w:color w:val="auto"/>
        </w:rPr>
        <w:t>nCino, Inc., together with its subsidiaries (collectively "the Company"), is a software-as-a-service ("SaaS")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provides software solutions to financial institutions to streamline employee and client interactions. The Company is headquartered in Wilmington, North Carolina and has various locations in North America, Europe, Asia Pacific and South Africa. Unless otherwise indicated or the context otherwise requires, references to "we," "us," "our," "nCino," and the "Company" refer to nCino, Inc. and its consolidated subsidiaries.</w:t>
      </w:r>
    </w:p>
    <w:p>
      <w:pPr>
        <w:spacing w:after="0" w:line="176" w:lineRule="exact"/>
        <w:rPr>
          <w:sz w:val="20"/>
          <w:szCs w:val="20"/>
          <w:color w:val="auto"/>
        </w:rPr>
      </w:pPr>
    </w:p>
    <w:p>
      <w:pPr>
        <w:ind w:right="300" w:firstLine="8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Fiscal Year End: </w:t>
      </w:r>
      <w:r>
        <w:rPr>
          <w:rFonts w:ascii="Times New Roman" w:cs="Times New Roman" w:eastAsia="Times New Roman" w:hAnsi="Times New Roman"/>
          <w:sz w:val="18"/>
          <w:szCs w:val="18"/>
          <w:color w:val="auto"/>
        </w:rPr>
        <w:t>The Company's fiscal year ends on January 31. References to fiscal year 2026, for example, refer to the fiscal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31, 2026.</w:t>
      </w:r>
    </w:p>
    <w:p>
      <w:pPr>
        <w:spacing w:after="0" w:line="155"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and Basis of Presentation: </w:t>
      </w:r>
      <w:r>
        <w:rPr>
          <w:rFonts w:ascii="Times New Roman" w:cs="Times New Roman" w:eastAsia="Times New Roman" w:hAnsi="Times New Roman"/>
          <w:sz w:val="18"/>
          <w:szCs w:val="18"/>
          <w:color w:val="auto"/>
        </w:rPr>
        <w:t>The accompanying unaudited condensed consolidated financial statements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prepared in accordance with generally accepted accounting principles in the United States of America ("GAAP") as set forth in the Financial Accounting Standards Board ("FASB") Accounting Standards Codification ("ASC") and applicable rules and regulations of the Securities Exchange Commission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in the Company's Annual Report on Form 10-K for the fiscal year ended January 31, 2025, filed with the SEC on April 1, 2025. The unaudited condensed consolidated financial statements include accounts of the Company’s wholly-owned subsidiaries, as well as a variable interest entity in which the Company is the primary beneficiary. All intercompany balances and transactions have been eliminated in consolidation.</w:t>
      </w:r>
    </w:p>
    <w:p>
      <w:pPr>
        <w:spacing w:after="0" w:line="192"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normal recurring adjustments necessary to present fairly the financial position, results of operations, comprehensive income (loss) and cash flows for the interim periods but are not necessarily indicative of the results of operations to be anticipated for the full fiscal 2026 or any future period.</w:t>
      </w:r>
    </w:p>
    <w:p>
      <w:pPr>
        <w:spacing w:after="0" w:line="172"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Variable Interest Entity: </w:t>
      </w:r>
      <w:r>
        <w:rPr>
          <w:rFonts w:ascii="Times New Roman" w:cs="Times New Roman" w:eastAsia="Times New Roman" w:hAnsi="Times New Roman"/>
          <w:sz w:val="18"/>
          <w:szCs w:val="18"/>
          <w:color w:val="auto"/>
        </w:rPr>
        <w:t>The Company holds an interest in a Japanese company (“nCino K.K.”) that is considered a variable interest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investments,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unaudited condensed consolidated balance sheets. See Note 2 "Variable Interest Entity and Redeemable Non-Controlling Interest" for additional information regarding the Company’s variable interest.</w:t>
      </w:r>
    </w:p>
    <w:p>
      <w:pPr>
        <w:spacing w:after="0" w:line="182" w:lineRule="exact"/>
        <w:rPr>
          <w:sz w:val="20"/>
          <w:szCs w:val="20"/>
          <w:color w:val="auto"/>
        </w:rPr>
      </w:pPr>
    </w:p>
    <w:p>
      <w:pPr>
        <w:ind w:right="20" w:firstLine="8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Redeemable Non-Controlling Interest: </w:t>
      </w:r>
      <w:r>
        <w:rPr>
          <w:rFonts w:ascii="Times New Roman" w:cs="Times New Roman" w:eastAsia="Times New Roman" w:hAnsi="Times New Roman"/>
          <w:sz w:val="18"/>
          <w:szCs w:val="18"/>
          <w:color w:val="auto"/>
        </w:rPr>
        <w:t>Redeemable non-controlling interest relates to minority investors of nCino K.K. An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minority investors of nCino K.K. contains redemption features whereby the interest held by the minority investors are redeemable either at the option of the (i) 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earnings, additional paid-in-capital. These interests are presented on the unaudited condensed consolidated balance sheets outside of equity under the caption “Redeemable non-controlling interest.”</w:t>
      </w:r>
    </w:p>
    <w:p>
      <w:pPr>
        <w:spacing w:after="0" w:line="158"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unaudited condensed consolidated financial statements in conformity with GAAP requires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make estimates and assumptions that affect the reported amounts of assets and liabilities and disclosure of contingent assets and liabilities as of the date of the unaudited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and stand-alone selling price; the average period of benefit associated with costs capitalized to obtain revenue contracts; fair value of assets acquired and liabilities assumed for business combinations; fair value of contingent consideration; the useful lives of intangible assets; income taxes and the related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spacing w:after="0" w:line="188" w:lineRule="exact"/>
        <w:rPr>
          <w:sz w:val="20"/>
          <w:szCs w:val="20"/>
          <w:color w:val="auto"/>
        </w:rPr>
      </w:pPr>
    </w:p>
    <w:p>
      <w:pPr>
        <w:ind w:right="14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and Significant Customers: </w:t>
      </w:r>
      <w:r>
        <w:rPr>
          <w:rFonts w:ascii="Times New Roman" w:cs="Times New Roman" w:eastAsia="Times New Roman" w:hAnsi="Times New Roman"/>
          <w:sz w:val="18"/>
          <w:szCs w:val="18"/>
          <w:color w:val="auto"/>
        </w:rPr>
        <w:t>The Company’s financial instruments that are exposed to concentration of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 consist primarily of cash, cash equivalents, restricted cash, and accounts receivable. The Company’s cash and cash equivalents exceeded federally insured limits at January 31, 2025 and April 30, 2025. The Company maintains its cash, cash equivalents and restricted cash with high-credit-quality financial institutions.</w:t>
      </w:r>
    </w:p>
    <w:p>
      <w:pPr>
        <w:spacing w:after="0" w:line="180"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As of January 31, 2025, no individual customer represented more than 10% of accounts receivable and, as of April 30, 2025, one individual customer represented 11% of accounts receivable. For the three months ended April 30, 2024 and 2025, no individual customer represented more than 10% of the Company’s total revenues.</w:t>
      </w:r>
    </w:p>
    <w:p>
      <w:pPr>
        <w:spacing w:after="0" w:line="172" w:lineRule="exact"/>
        <w:rPr>
          <w:sz w:val="20"/>
          <w:szCs w:val="20"/>
          <w:color w:val="auto"/>
        </w:rPr>
      </w:pPr>
    </w:p>
    <w:p>
      <w:pPr>
        <w:ind w:right="80"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Restricted Cash: </w:t>
      </w:r>
      <w:r>
        <w:rPr>
          <w:rFonts w:ascii="Times New Roman" w:cs="Times New Roman" w:eastAsia="Times New Roman" w:hAnsi="Times New Roman"/>
          <w:sz w:val="18"/>
          <w:szCs w:val="18"/>
          <w:color w:val="auto"/>
        </w:rPr>
        <w:t>Restricted cash consists of deposits held as collateral for the Company's bank guarantees issued in place of security deposits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certain property leases and credit cards at January 31, 2025 and April 30, 2025. Restricted cash is included in long-term prepaid expenses and other assets and on the unaudited condensed consolidated balance sheets.</w:t>
      </w:r>
    </w:p>
    <w:p>
      <w:pPr>
        <w:spacing w:after="0" w:line="171" w:lineRule="exact"/>
        <w:rPr>
          <w:sz w:val="20"/>
          <w:szCs w:val="20"/>
          <w:color w:val="auto"/>
        </w:rPr>
      </w:pPr>
    </w:p>
    <w:p>
      <w:pPr>
        <w:ind w:right="80" w:firstLine="891"/>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Allowances: </w:t>
      </w:r>
      <w:r>
        <w:rPr>
          <w:rFonts w:ascii="Times New Roman" w:cs="Times New Roman" w:eastAsia="Times New Roman" w:hAnsi="Times New Roman"/>
          <w:sz w:val="17"/>
          <w:szCs w:val="17"/>
          <w:color w:val="auto"/>
        </w:rPr>
        <w:t>The Company records allowances for doubtful accounts based upon the credit worthiness of customers, historical experience,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age of the accounts receivable, current market and economic conditions, and supportable forecasts about the future. Relevant risk characteristics include customer size and historical loss patterns. This estimate is analyzed quarterly and adjusted as necessary. The Company records the allowance against bad debt expense through the unaudited condensed consolidated statements of operations, included in general and administrative expenses, up to the amount of revenues recognized to date. Any incremental allowance is recorded as an offset to deferred revenue on the unaudited condensed consolidated balance sheets. Receivables are written off and charged against the recorded allowance when the Company has exhausted collection efforts without success.</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summary of activity in the allowance for doubtful accounts and reserve for expected credit losses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(recovery of) bad debt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Charged to deferred revenue</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 and other</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19"/>
                <w:szCs w:val="19"/>
                <w:color w:val="auto"/>
              </w:rPr>
            </w:pP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8" w:lineRule="exact"/>
        <w:rPr>
          <w:sz w:val="20"/>
          <w:szCs w:val="20"/>
          <w:color w:val="auto"/>
        </w:rPr>
      </w:pPr>
    </w:p>
    <w:p>
      <w:pPr>
        <w:ind w:right="280" w:firstLine="891"/>
        <w:spacing w:after="0" w:line="259" w:lineRule="auto"/>
        <w:rPr>
          <w:sz w:val="20"/>
          <w:szCs w:val="20"/>
          <w:color w:val="auto"/>
        </w:rPr>
      </w:pPr>
      <w:r>
        <w:rPr>
          <w:rFonts w:ascii="Times New Roman" w:cs="Times New Roman" w:eastAsia="Times New Roman" w:hAnsi="Times New Roman"/>
          <w:sz w:val="18"/>
          <w:szCs w:val="18"/>
          <w:b w:val="1"/>
          <w:bCs w:val="1"/>
          <w:color w:val="auto"/>
        </w:rPr>
        <w:t>Investments</w:t>
      </w:r>
      <w:r>
        <w:rPr>
          <w:rFonts w:ascii="Times New Roman" w:cs="Times New Roman" w:eastAsia="Times New Roman" w:hAnsi="Times New Roman"/>
          <w:sz w:val="18"/>
          <w:szCs w:val="18"/>
          <w:color w:val="auto"/>
        </w:rPr>
        <w:t>: The Company's investments are non-marketable equity investments without readily determinable fair value and for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does not have control or significant influence. The investments are measured at cost with adjustments for observable changes in price or impairment as permitted by the measurement alternative. The Company assesses at each reporting period if the investments continue to qualify for the measurement alternative. Gains or losses resulting from observable price changes are recognized currently in Other income (expense), net on the Company's unaudited condensed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consolidated statements of operations. The Company assesses the investments whenever events or changes in circumstances indicate that the carrying value of the investments may not be recoverable.</w:t>
      </w:r>
    </w:p>
    <w:p>
      <w:pPr>
        <w:spacing w:after="0" w:line="158" w:lineRule="exact"/>
        <w:rPr>
          <w:sz w:val="20"/>
          <w:szCs w:val="20"/>
          <w:color w:val="auto"/>
        </w:rPr>
      </w:pPr>
    </w:p>
    <w:p>
      <w:pPr>
        <w:ind w:right="80" w:firstLine="8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Foreign Currency: </w:t>
      </w:r>
      <w:r>
        <w:rPr>
          <w:rFonts w:ascii="Times New Roman" w:cs="Times New Roman" w:eastAsia="Times New Roman" w:hAnsi="Times New Roman"/>
          <w:sz w:val="18"/>
          <w:szCs w:val="18"/>
          <w:color w:val="auto"/>
        </w:rPr>
        <w:t>The functional currency of the Company's foreign subsidiaries is generally the local currency. Adjustments resulting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translating foreign functional currency financial statements into United States ("U.S.") dollars are recorded as a separate component on the unaudited condensed consolidated statements of comprehensive loss recorded in foreign currency translation line item. All assets and liabilities denominated in a foreign currency are translated into U.S. dollars at the exchange rate on the balance sheet date. Revenues and expenses are translated at the average exchange rate during the period. Equity transactions are translated using historical exchange rates.</w:t>
      </w:r>
    </w:p>
    <w:p>
      <w:pPr>
        <w:spacing w:after="0" w:line="183"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and losses due to transactions denominated in a currency other than the functional currency are included in other income (expense), net in the unaudited condensed consolidated statements of operations and were $(0.8) million and $14.4 million for the three months ended April 30, 2024 and 2025, respectively, primarily related to remeasurement of various intercompany loans.</w:t>
      </w:r>
    </w:p>
    <w:p>
      <w:pPr>
        <w:spacing w:after="0" w:line="172" w:lineRule="exact"/>
        <w:rPr>
          <w:sz w:val="20"/>
          <w:szCs w:val="20"/>
          <w:color w:val="auto"/>
        </w:rPr>
      </w:pPr>
    </w:p>
    <w:p>
      <w:pPr>
        <w:ind w:right="40" w:firstLine="8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Not Yet Adopted: </w:t>
      </w:r>
      <w:r>
        <w:rPr>
          <w:rFonts w:ascii="Times New Roman" w:cs="Times New Roman" w:eastAsia="Times New Roman" w:hAnsi="Times New Roman"/>
          <w:sz w:val="18"/>
          <w:szCs w:val="18"/>
          <w:color w:val="auto"/>
        </w:rPr>
        <w:t>In December 2023, the FASB issued ASU 2023-09, Income Taxes (Topic 740):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to Income Tax Disclosures. The guidance includes amendments to enhance existing income tax disclosure requirements, primarily related to the rate reconciliation and income taxes paid disclosures. The ASU is effective for annual periods beginning after December 15, 2024 on a prospective basis with the option to apply the ASU retrospectively. Early adoption is permitted. The Company expects to adopt 2023-09 in its consolidated financial statements for the fiscal year ended January 31, 2026. The adoption will require certain additional disclosures in the notes to the Company's consolidated financial statements.</w:t>
      </w:r>
    </w:p>
    <w:p>
      <w:pPr>
        <w:spacing w:after="0" w:line="186"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The guidance includes amendments to require public companies to provide additional disclosure about certain costs and expenses. The ASU is effective for annual periods beginning after December 15, 2026, and interim periods beginning after December 15, 2027. Early adoption is permitted. The Company is currently evaluating the impact that the adoption of this standard will have on the Company’s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Variable Interest Entity and Redeemable Non-Controlling Interest</w:t>
      </w:r>
    </w:p>
    <w:p>
      <w:pPr>
        <w:spacing w:after="0" w:line="229" w:lineRule="exact"/>
        <w:rPr>
          <w:sz w:val="20"/>
          <w:szCs w:val="20"/>
          <w:color w:val="auto"/>
        </w:rPr>
      </w:pPr>
    </w:p>
    <w:p>
      <w:pPr>
        <w:ind w:right="60" w:firstLine="891"/>
        <w:spacing w:after="0" w:line="256" w:lineRule="auto"/>
        <w:rPr>
          <w:sz w:val="20"/>
          <w:szCs w:val="20"/>
          <w:color w:val="auto"/>
        </w:rPr>
      </w:pPr>
      <w:r>
        <w:rPr>
          <w:rFonts w:ascii="Times New Roman" w:cs="Times New Roman" w:eastAsia="Times New Roman" w:hAnsi="Times New Roman"/>
          <w:sz w:val="18"/>
          <w:szCs w:val="18"/>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In October 2023, the Company made a further investment in nCino K.K. of $1.0 million that, including additional investments in nCino K.K. of $1.0 million by existing third-party investors in October 2023, maintained the Company's ownership of 51%. As of April 30, 2025, the Company controls a majority of the outstanding common stock in nCino K.K.</w:t>
      </w:r>
    </w:p>
    <w:p>
      <w:pPr>
        <w:spacing w:after="0" w:line="187" w:lineRule="exact"/>
        <w:rPr>
          <w:sz w:val="20"/>
          <w:szCs w:val="20"/>
          <w:color w:val="auto"/>
        </w:rPr>
      </w:pPr>
    </w:p>
    <w:p>
      <w:pPr>
        <w:ind w:right="20" w:firstLine="891"/>
        <w:spacing w:after="0" w:line="277" w:lineRule="auto"/>
        <w:rPr>
          <w:sz w:val="20"/>
          <w:szCs w:val="20"/>
          <w:color w:val="auto"/>
        </w:rPr>
      </w:pPr>
      <w:r>
        <w:rPr>
          <w:rFonts w:ascii="Times New Roman" w:cs="Times New Roman" w:eastAsia="Times New Roman" w:hAnsi="Times New Roman"/>
          <w:sz w:val="17"/>
          <w:szCs w:val="17"/>
          <w:color w:val="auto"/>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unaudited condensed consolidated balance sheets.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activity in the redeemable non-controlling interests for the period indicated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0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8,286</w:t>
            </w:r>
          </w:p>
        </w:tc>
      </w:tr>
      <w:tr>
        <w:trPr>
          <w:trHeight w:val="176"/>
        </w:trPr>
        <w:tc>
          <w:tcPr>
            <w:tcW w:w="8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attributable to redeemable non-controlling interest (excluding adjustment to non-controlling</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redeemable non-controlling interest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8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1</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8,729</w:t>
            </w:r>
          </w:p>
        </w:tc>
      </w:tr>
      <w:tr>
        <w:trPr>
          <w:trHeight w:val="20"/>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nCino K.K. stock options granted in accordance with nCino K.K.'s equity incentive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Recurring Basis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the valuation methodologies in measuring fair value:</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(unadjusted) in active markets for identical assets or liabilities.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Significant other inputs that are directly or indirectly observable in the marketplace.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Significant unobservable inputs which are supported by little or no market activity.</w:t>
      </w:r>
    </w:p>
    <w:p>
      <w:pPr>
        <w:spacing w:after="0" w:line="229" w:lineRule="exact"/>
        <w:rPr>
          <w:sz w:val="20"/>
          <w:szCs w:val="20"/>
          <w:color w:val="auto"/>
        </w:rPr>
      </w:pPr>
    </w:p>
    <w:p>
      <w:pPr>
        <w:ind w:right="800" w:firstLine="891"/>
        <w:spacing w:after="0" w:line="282" w:lineRule="auto"/>
        <w:rPr>
          <w:sz w:val="20"/>
          <w:szCs w:val="20"/>
          <w:color w:val="auto"/>
        </w:rPr>
      </w:pPr>
      <w:r>
        <w:rPr>
          <w:rFonts w:ascii="Times New Roman" w:cs="Times New Roman" w:eastAsia="Times New Roman" w:hAnsi="Times New Roman"/>
          <w:sz w:val="18"/>
          <w:szCs w:val="18"/>
          <w:color w:val="auto"/>
        </w:rPr>
        <w:t>The carrying amounts of cash equivalents, accounts receivable, accounts payable, and accrued expenses approximate fair value as of January 31, 2025 and April 30, 2025 because of the relatively short duration of these instruments.</w:t>
      </w:r>
    </w:p>
    <w:p>
      <w:pPr>
        <w:spacing w:after="0" w:line="162" w:lineRule="exact"/>
        <w:rPr>
          <w:sz w:val="20"/>
          <w:szCs w:val="20"/>
          <w:color w:val="auto"/>
        </w:rPr>
      </w:pPr>
    </w:p>
    <w:p>
      <w:pPr>
        <w:ind w:right="380" w:firstLine="891"/>
        <w:spacing w:after="0" w:line="282" w:lineRule="auto"/>
        <w:rPr>
          <w:sz w:val="20"/>
          <w:szCs w:val="20"/>
          <w:color w:val="auto"/>
        </w:rPr>
      </w:pPr>
      <w:r>
        <w:rPr>
          <w:rFonts w:ascii="Times New Roman" w:cs="Times New Roman" w:eastAsia="Times New Roman" w:hAnsi="Times New Roman"/>
          <w:sz w:val="18"/>
          <w:szCs w:val="18"/>
          <w:color w:val="auto"/>
        </w:rPr>
        <w:t>The carrying amount of any outstanding borrowings on the Company's revolving credit facility approximates fair value due to the variable interest rates of the borrowings.</w:t>
      </w:r>
    </w:p>
    <w:p>
      <w:pPr>
        <w:spacing w:after="0" w:line="162"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2025 and April 30, 2025 and indicates the fair value hierarchy of the valuation: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Time deposits (included in long-term prepaid expenses and other assets)</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as of January</w:t>
      </w:r>
    </w:p>
    <w:p>
      <w:pPr>
        <w:jc w:val="center"/>
        <w:spacing w:after="0"/>
        <w:rPr>
          <w:sz w:val="20"/>
          <w:szCs w:val="20"/>
          <w:color w:val="auto"/>
        </w:rPr>
      </w:pPr>
      <w:r>
        <w:rPr>
          <w:rFonts w:ascii="Times New Roman" w:cs="Times New Roman" w:eastAsia="Times New Roman" w:hAnsi="Times New Roman"/>
          <w:sz w:val="14"/>
          <w:szCs w:val="14"/>
          <w:b w:val="1"/>
          <w:bCs w:val="1"/>
          <w:color w:val="auto"/>
        </w:rPr>
        <w:t>31, 2025</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440"/>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38,841</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00" w:space="720"/>
            <w:col w:w="3720"/>
          </w:cols>
          <w:pgMar w:left="320" w:top="121"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as of April</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30, 2025</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5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6"/>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 (included in long-term prepaid expenses and other assets)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7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(included in accrued expenses and other current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w:t>
            </w:r>
          </w:p>
        </w:tc>
      </w:tr>
      <w:tr>
        <w:trPr>
          <w:trHeight w:val="248"/>
        </w:trPr>
        <w:tc>
          <w:tcPr>
            <w:tcW w:w="7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change in fair value of the contingent consideration with significant unobservable inputs: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0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in connection with business acquisition</w:t>
            </w:r>
          </w:p>
        </w:tc>
        <w:tc>
          <w:tcPr>
            <w:tcW w:w="102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8,100</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8,300</w:t>
            </w:r>
          </w:p>
        </w:tc>
      </w:tr>
      <w:tr>
        <w:trPr>
          <w:trHeight w:val="21"/>
        </w:trPr>
        <w:tc>
          <w:tcPr>
            <w:tcW w:w="8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The contingent consideration consists of the potential earn-out payment related to the Company's acquisition of Alphapack, Co. dba Sandbox Banking ("Sandbox Banking") on February 7, 2025 and has a maximum potential payment of up to $10.0 million. The fair value of the contingent consideration was determined using a probability weighted discounted cash flow model. Changes in the fair value of the contingent consideration can result from changes in assumed discount periods and rates, and from changes pertaining to the estimated or actual achievement of the defined milestones. This contingent liability was classified as Level 3 within the fair value hierarchy. Changes in fair values of contingent consideration are recognized in general and administrative expenses on the Company's unaudited condensed consolidated statement of operations.</w:t>
      </w:r>
    </w:p>
    <w:p>
      <w:pPr>
        <w:spacing w:after="0" w:line="187" w:lineRule="exact"/>
        <w:rPr>
          <w:sz w:val="20"/>
          <w:szCs w:val="20"/>
          <w:color w:val="auto"/>
        </w:rPr>
      </w:pPr>
    </w:p>
    <w:p>
      <w:pPr>
        <w:ind w:right="340" w:firstLine="891"/>
        <w:spacing w:after="0" w:line="282" w:lineRule="auto"/>
        <w:rPr>
          <w:sz w:val="20"/>
          <w:szCs w:val="20"/>
          <w:color w:val="auto"/>
        </w:rPr>
      </w:pPr>
      <w:r>
        <w:rPr>
          <w:rFonts w:ascii="Times New Roman" w:cs="Times New Roman" w:eastAsia="Times New Roman" w:hAnsi="Times New Roman"/>
          <w:sz w:val="18"/>
          <w:szCs w:val="18"/>
          <w:color w:val="auto"/>
        </w:rPr>
        <w:t>The unobservable inputs used in the valuation as of April 30, 2025 included expected payment in fiscal 2026, a weighted average expected achievement percentage of 86.7%, and a discount rate of 6.7%.</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There were no transfers between levels of the fair value hierarchy during the three months ended April 30, 2024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Non-Recurring Basis</w:t>
      </w:r>
    </w:p>
    <w:p>
      <w:pPr>
        <w:spacing w:after="0" w:line="229" w:lineRule="exact"/>
        <w:rPr>
          <w:sz w:val="20"/>
          <w:szCs w:val="20"/>
          <w:color w:val="auto"/>
        </w:rPr>
      </w:pPr>
    </w:p>
    <w:p>
      <w:pPr>
        <w:ind w:right="200" w:firstLine="891"/>
        <w:spacing w:after="0" w:line="255" w:lineRule="auto"/>
        <w:rPr>
          <w:sz w:val="20"/>
          <w:szCs w:val="20"/>
          <w:color w:val="auto"/>
        </w:rPr>
      </w:pPr>
      <w:r>
        <w:rPr>
          <w:rFonts w:ascii="Times New Roman" w:cs="Times New Roman" w:eastAsia="Times New Roman" w:hAnsi="Times New Roman"/>
          <w:sz w:val="18"/>
          <w:szCs w:val="18"/>
          <w:color w:val="auto"/>
        </w:rPr>
        <w:t>The Company's assets measured at fair value on a non-recurring basis include the investments accounted for under the measurement alternative. Unrealized gains as a result of an observable price change were $0.0 million and $0.5 million for the three months ended April 30, 2024 and 2025, respectively. Cumulative unrealized gains were $0.7 million for investments accounted for under the measurement alternative as of April 30, 2025. There was no impairment recognized for the three months ended April 30, 2024 and 2025. Realized gains from the sale of an investment reflects the difference between the sales proceeds and the carrying value of the investment at the beginning of the period or the purchase date, if later. Realized gains were $0.0 million and $1.2 million for the three months ended April 30, 2024 and 2025, respectively. See Note 12 "Related-Party Transactions" for additional information on the sale of an investment.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Disaggregated revenues by source and geographic region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 - non-mortgage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80,755</w:t>
            </w: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Subscriptions - mortgage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w:t>
            </w:r>
          </w:p>
        </w:tc>
      </w:tr>
      <w:tr>
        <w:trPr>
          <w:trHeight w:val="230"/>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12,826</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United States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112,550</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25,864</w:t>
            </w:r>
          </w:p>
        </w:tc>
      </w:tr>
      <w:tr>
        <w:trPr>
          <w:trHeight w:val="229"/>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31,587</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128,087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144,137</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Revenues by geography are determined based on the region of the Company’s contracting entity, which may be different than the region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w:t>
      </w:r>
    </w:p>
    <w:p>
      <w:pPr>
        <w:spacing w:after="0" w:line="207"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year 2025, the Company changed the presentation of disaggregated revenues from a classification primarily based on geographic region to a classification to include sources by geographic region. The prior period presentation of disaggregated revenues has been reclassified to conform with the current period presentation.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Amounts</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is as follows as of January 31, 2025 and April 30, 2025: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20" w:type="dxa"/>
            <w:vAlign w:val="bottom"/>
          </w:tcPr>
          <w:p>
            <w:pPr>
              <w:spacing w:after="0"/>
              <w:rPr>
                <w:sz w:val="13"/>
                <w:szCs w:val="13"/>
                <w:color w:val="auto"/>
              </w:rPr>
            </w:pPr>
          </w:p>
        </w:tc>
        <w:tc>
          <w:tcPr>
            <w:tcW w:w="132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As of April 30, 2025</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85,828</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146,787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Deferred Revenue and Remaining Performance Obligations</w:t>
      </w:r>
    </w:p>
    <w:p>
      <w:pPr>
        <w:spacing w:after="0" w:line="227"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Significant movements in the deferred revenue balance during the period consisted of increases due to payments received or due in advance prior to the transfer of control of the underlying performance obligations to the customer, which were offset by decreases due to revenues recognized in the period. During the three months ended April 30, 2025, $90.0 million of revenues were recognized out of the deferred revenue balance as of January 31, 2025.</w:t>
      </w:r>
    </w:p>
    <w:p>
      <w:pPr>
        <w:spacing w:after="0" w:line="180" w:lineRule="exact"/>
        <w:rPr>
          <w:sz w:val="20"/>
          <w:szCs w:val="20"/>
          <w:color w:val="auto"/>
        </w:rPr>
      </w:pPr>
    </w:p>
    <w:p>
      <w:pPr>
        <w:jc w:val="both"/>
        <w:ind w:right="500" w:firstLine="891"/>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were $1.2 billion as of April 30, 2025. The Company expects to recognize approximately 69% of its remaining performance obligation as revenues in the next 24 months, approximately 26% more in the following 25 to 48 months, and the remainder thereafter.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20" w:type="dxa"/>
            <w:vAlign w:val="bottom"/>
          </w:tcPr>
          <w:p>
            <w:pPr>
              <w:spacing w:after="0"/>
              <w:rPr>
                <w:sz w:val="13"/>
                <w:szCs w:val="13"/>
                <w:color w:val="auto"/>
              </w:rPr>
            </w:pPr>
          </w:p>
        </w:tc>
        <w:tc>
          <w:tcPr>
            <w:tcW w:w="132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0" w:type="dxa"/>
            <w:vAlign w:val="bottom"/>
          </w:tcPr>
          <w:p>
            <w:pPr>
              <w:spacing w:after="0"/>
              <w:rPr>
                <w:sz w:val="1"/>
                <w:szCs w:val="1"/>
                <w:color w:val="auto"/>
              </w:rPr>
            </w:pPr>
          </w:p>
        </w:tc>
      </w:tr>
      <w:tr>
        <w:trPr>
          <w:trHeight w:val="195"/>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20,754</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20" w:type="dxa"/>
            <w:vAlign w:val="bottom"/>
          </w:tcPr>
          <w:p>
            <w:pPr>
              <w:spacing w:after="0"/>
              <w:rPr>
                <w:sz w:val="24"/>
                <w:szCs w:val="24"/>
                <w:color w:val="auto"/>
              </w:rPr>
            </w:pPr>
          </w:p>
        </w:tc>
        <w:tc>
          <w:tcPr>
            <w:tcW w:w="1320" w:type="dxa"/>
            <w:vAlign w:val="bottom"/>
            <w:vMerge w:val="restart"/>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As of April 30, 2025</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land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56,379</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107,711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(30,418)</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74,953</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77,293</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The Company recognized depreciation expense as follows:</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20" w:type="dxa"/>
            <w:vAlign w:val="bottom"/>
          </w:tcPr>
          <w:p>
            <w:pPr>
              <w:spacing w:after="0"/>
              <w:rPr>
                <w:sz w:val="24"/>
                <w:szCs w:val="24"/>
                <w:color w:val="auto"/>
              </w:rPr>
            </w:pPr>
          </w:p>
        </w:tc>
        <w:tc>
          <w:tcPr>
            <w:tcW w:w="132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0" w:type="dxa"/>
            <w:vAlign w:val="bottom"/>
          </w:tcPr>
          <w:p>
            <w:pPr>
              <w:spacing w:after="0"/>
              <w:rPr>
                <w:sz w:val="1"/>
                <w:szCs w:val="1"/>
                <w:color w:val="auto"/>
              </w:rPr>
            </w:pPr>
          </w:p>
        </w:tc>
      </w:tr>
      <w:tr>
        <w:trPr>
          <w:trHeight w:val="195"/>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14,156</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35,185</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DocFox, Inc. (“DocFox”)</w:t>
      </w:r>
    </w:p>
    <w:p>
      <w:pPr>
        <w:spacing w:after="0" w:line="229" w:lineRule="exact"/>
        <w:rPr>
          <w:sz w:val="20"/>
          <w:szCs w:val="20"/>
          <w:color w:val="auto"/>
        </w:rPr>
      </w:pPr>
    </w:p>
    <w:p>
      <w:pPr>
        <w:ind w:right="340" w:firstLine="891"/>
        <w:spacing w:after="0" w:line="256" w:lineRule="auto"/>
        <w:rPr>
          <w:sz w:val="20"/>
          <w:szCs w:val="20"/>
          <w:color w:val="auto"/>
        </w:rPr>
      </w:pPr>
      <w:r>
        <w:rPr>
          <w:rFonts w:ascii="Times New Roman" w:cs="Times New Roman" w:eastAsia="Times New Roman" w:hAnsi="Times New Roman"/>
          <w:sz w:val="18"/>
          <w:szCs w:val="18"/>
          <w:color w:val="auto"/>
        </w:rPr>
        <w:t>On March 20, 2024 (the "DocFox Acquisition Date"), the Company acquired the outstanding equity interests of DocFox, which provides a solution to automate onboarding experiences for commercial and business banking. The Company acquired DocFox for its complementary product set, which helps simplify and automate the onboarding and account opening process. The Company has included the financial results of DocFox in the unaudited condensed consolidated statements of operations from the DocFox Acquisition Date. Including the $2.0 million in post combination expense referenced below, transaction costs associated with the DocFox acquisition were approximately $3.9 million and were recorded in general and administrative expenses.</w:t>
      </w:r>
    </w:p>
    <w:p>
      <w:pPr>
        <w:spacing w:after="0" w:line="187"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The Company paid a total of $74.3 million in cash as of the DocFox Acquisition Date. Included in the total cash paid was $6.2 million for DocFox common stock options that were cash settled on the DocFox Acquisition Date. The $6.2 million fair value of the DocFox common stock options was allocated between consideration transferred and post combination expense in the amounts of $4.2 million and $2.0 million, respectively. As there was no future service requirement due to accelerated vesting of these options, the entire $2.0 million was recorded as transaction cost immediately following the acquisition and not in consideration transferred. The $2.0 million is included within general and administrative expenses. The estimated fair value of the consideration transferred was $72.4 million on the DocFox Acquisition Date.</w:t>
      </w:r>
    </w:p>
    <w:p>
      <w:pPr>
        <w:spacing w:after="0" w:line="187" w:lineRule="exact"/>
        <w:rPr>
          <w:sz w:val="20"/>
          <w:szCs w:val="20"/>
          <w:color w:val="auto"/>
        </w:rPr>
      </w:pPr>
    </w:p>
    <w:p>
      <w:pPr>
        <w:ind w:right="140" w:firstLine="891"/>
        <w:spacing w:after="0" w:line="266" w:lineRule="auto"/>
        <w:rPr>
          <w:sz w:val="20"/>
          <w:szCs w:val="20"/>
          <w:color w:val="auto"/>
        </w:rPr>
      </w:pPr>
      <w:r>
        <w:rPr>
          <w:rFonts w:ascii="Times New Roman" w:cs="Times New Roman" w:eastAsia="Times New Roman" w:hAnsi="Times New Roman"/>
          <w:sz w:val="18"/>
          <w:szCs w:val="18"/>
          <w:color w:val="auto"/>
        </w:rPr>
        <w:t>In addition, the Company issued 198,505 RSUs with an approximate fair value of $6.1 million to certain employees of DocFox, which will vest over four years subject to such employees' continued employment. The RSUs will be recorded as stock-based compensation expense post-acquisition as the RSUs vest and has been excluded from the purchase consideration.</w:t>
      </w:r>
    </w:p>
    <w:p>
      <w:pPr>
        <w:spacing w:after="0" w:line="176"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tangible and intangible assets acquired and liabilities assumed were recorded at their estimated fair values at the DocFox Acquisition Date. Any excess consideration over the fair value of the assets acquired and liabilities assumed was recognized as goodwill. The Company determined the acquisition date contract assets and liabilities in accordance with ASC 606.</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following table summarizes the final fair values of assets acquired and liabilities assumed as of the DocFox Acquisition Date: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56,302</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current and noncurrent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firstLine="891"/>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30, 2025, within the one year measurement period, we finalized the fair value of the assets acquired and liabilities assumed in the acquisition, and the amounts presented above are now final. The Company recorded measurement period adjustments that included a $1.0 million adjustment to decrease goodwill for a $1.0 million deferred income tax adjustment.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the fair value of identifiable intangible assets and their estimated useful lives over which the acquired intangible assets will be amortized on a straight-line basis, as this approximates the pattern in which economic benefits of the assets are consumed as of the DocFox Acquisition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60" w:firstLine="891"/>
        <w:spacing w:after="0" w:line="282" w:lineRule="auto"/>
        <w:rPr>
          <w:sz w:val="20"/>
          <w:szCs w:val="20"/>
          <w:color w:val="auto"/>
        </w:rPr>
      </w:pPr>
      <w:r>
        <w:rPr>
          <w:rFonts w:ascii="Times New Roman" w:cs="Times New Roman" w:eastAsia="Times New Roman" w:hAnsi="Times New Roman"/>
          <w:sz w:val="18"/>
          <w:szCs w:val="18"/>
          <w:color w:val="auto"/>
        </w:rPr>
        <w:t>Developed technology represents the fair value of DocFox's technology. Customer relationships represent the fair value of the underlying relationships with DocFox's customers. Trade names represents the fair value of DocFox’s company name.</w:t>
      </w:r>
    </w:p>
    <w:p>
      <w:pPr>
        <w:spacing w:after="0" w:line="162"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expanded market opportunities, synergies expected from the acquisition, and assembled workforce. The goodwill is not deductible for tax.</w:t>
      </w:r>
    </w:p>
    <w:p>
      <w:pPr>
        <w:spacing w:after="0" w:line="162" w:lineRule="exact"/>
        <w:rPr>
          <w:sz w:val="20"/>
          <w:szCs w:val="20"/>
          <w:color w:val="auto"/>
        </w:rPr>
      </w:pPr>
    </w:p>
    <w:p>
      <w:pPr>
        <w:ind w:right="840" w:firstLine="891"/>
        <w:spacing w:after="0" w:line="282" w:lineRule="auto"/>
        <w:rPr>
          <w:sz w:val="20"/>
          <w:szCs w:val="20"/>
          <w:color w:val="auto"/>
        </w:rPr>
      </w:pPr>
      <w:r>
        <w:rPr>
          <w:rFonts w:ascii="Times New Roman" w:cs="Times New Roman" w:eastAsia="Times New Roman" w:hAnsi="Times New Roman"/>
          <w:sz w:val="18"/>
          <w:szCs w:val="18"/>
          <w:color w:val="auto"/>
        </w:rPr>
        <w:t>The Company has not disclosed pro-forma revenue and earnings attributable to DocFox as they did not have a material effect on the Company’s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Integrated Lending Technologies, LLC (“ILT”)</w:t>
      </w:r>
    </w:p>
    <w:p>
      <w:pPr>
        <w:spacing w:after="0" w:line="229"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On April 1, 2024 (the "ILT Acquisition Date”), the Company acquired all outstanding membership interests of ILT, which provides consumer loan origination software that streamlines direct and indirect lending operations. The Company acquired ILT for its complementary products. The Company has included the financial results of ILT in the unaudited condensed consolidated statements of operations from the ILT Acquisition Date. Transaction costs associated with the ILT acquisition were approximately $0.9 million and were recorded in general and administrative expenses.</w:t>
      </w:r>
    </w:p>
    <w:p>
      <w:pPr>
        <w:spacing w:after="0" w:line="180" w:lineRule="exact"/>
        <w:rPr>
          <w:sz w:val="20"/>
          <w:szCs w:val="20"/>
          <w:color w:val="auto"/>
        </w:rPr>
      </w:pPr>
    </w:p>
    <w:p>
      <w:pPr>
        <w:ind w:right="180" w:firstLine="891"/>
        <w:spacing w:after="0" w:line="282" w:lineRule="auto"/>
        <w:rPr>
          <w:sz w:val="20"/>
          <w:szCs w:val="20"/>
          <w:color w:val="auto"/>
        </w:rPr>
      </w:pPr>
      <w:r>
        <w:rPr>
          <w:rFonts w:ascii="Times New Roman" w:cs="Times New Roman" w:eastAsia="Times New Roman" w:hAnsi="Times New Roman"/>
          <w:sz w:val="18"/>
          <w:szCs w:val="18"/>
          <w:color w:val="auto"/>
        </w:rPr>
        <w:t>The Company paid a total of $19.9 million in cash on the ILT Acquisition Date, subject to a net working capital adjustment. The net working capital adjustment was finalized in July 2024, resulting in an increase to the purchase price of $0.1 million which was recorded to goodwill.</w:t>
      </w:r>
    </w:p>
    <w:p>
      <w:pPr>
        <w:spacing w:after="0" w:line="162" w:lineRule="exact"/>
        <w:rPr>
          <w:sz w:val="20"/>
          <w:szCs w:val="20"/>
          <w:color w:val="auto"/>
        </w:rPr>
      </w:pPr>
    </w:p>
    <w:p>
      <w:pPr>
        <w:ind w:right="40" w:firstLine="891"/>
        <w:spacing w:after="0" w:line="282"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tangible and intangible assets acquired, and liabilities assumed were recorded at their estimated fair values at the ILT Acquisition Date. Any excess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consideration over the fair value of the assets acquired and liabilities assumed was recognized as goodwill. The Company determined the acquisition date contract assets and liabilities in accordance with ASC 606.</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final fair values of assets acquired and liabilities assumed as of the ILT Acquisition Date: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20,038</w:t>
            </w:r>
          </w:p>
        </w:tc>
      </w:tr>
      <w:tr>
        <w:trPr>
          <w:trHeight w:val="21"/>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firstLine="891"/>
        <w:spacing w:after="0" w:line="282" w:lineRule="auto"/>
        <w:rPr>
          <w:sz w:val="20"/>
          <w:szCs w:val="20"/>
          <w:color w:val="auto"/>
        </w:rPr>
      </w:pPr>
      <w:r>
        <w:rPr>
          <w:rFonts w:ascii="Times New Roman" w:cs="Times New Roman" w:eastAsia="Times New Roman" w:hAnsi="Times New Roman"/>
          <w:sz w:val="18"/>
          <w:szCs w:val="18"/>
          <w:color w:val="auto"/>
        </w:rPr>
        <w:t>During the fiscal year ended January 31, 2025, within the one year measurement period, we finalized the fair value of the assets acquired and liabilities assumed in the acquisition, and the amounts presented above are final.</w:t>
      </w:r>
    </w:p>
    <w:p>
      <w:pPr>
        <w:spacing w:after="0" w:line="162"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the fair value of identifiable intangible assets and their estimated useful lives over which the acquired intangible assets will be amortized on a straight-line basis, as this approximates the pattern in which economic benefits of the assets are consumed as of the ILT Acquisition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79" w:lineRule="exact"/>
        <w:rPr>
          <w:sz w:val="20"/>
          <w:szCs w:val="20"/>
          <w:color w:val="auto"/>
        </w:rPr>
      </w:pPr>
    </w:p>
    <w:p>
      <w:pPr>
        <w:ind w:right="760" w:firstLine="891"/>
        <w:spacing w:after="0" w:line="282" w:lineRule="auto"/>
        <w:rPr>
          <w:sz w:val="20"/>
          <w:szCs w:val="20"/>
          <w:color w:val="auto"/>
        </w:rPr>
      </w:pPr>
      <w:r>
        <w:rPr>
          <w:rFonts w:ascii="Times New Roman" w:cs="Times New Roman" w:eastAsia="Times New Roman" w:hAnsi="Times New Roman"/>
          <w:sz w:val="18"/>
          <w:szCs w:val="18"/>
          <w:color w:val="auto"/>
        </w:rPr>
        <w:t>Developed technology represents the fair value of ILT’s technology. Customer relationships represent the fair value of the underlying relationships with ILT’s customers. Trade name represents the fair value of ILT’s company name.</w:t>
      </w:r>
    </w:p>
    <w:p>
      <w:pPr>
        <w:spacing w:after="0" w:line="162"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expanded market opportunities, synergies expected from the acquisition, and assembled workforce and approximately $11.1 million is deductible for tax purposes.</w:t>
      </w:r>
    </w:p>
    <w:p>
      <w:pPr>
        <w:spacing w:after="0" w:line="162"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The Company has not disclosed pro-forma revenue and earnings attributable to ILT as they did not have a material effect on the Company’s consolidated financial statements.</w:t>
      </w:r>
    </w:p>
    <w:p>
      <w:pPr>
        <w:spacing w:after="0" w:line="1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Artesian Solutions Limited ("FullCircl")</w:t>
      </w:r>
    </w:p>
    <w:p>
      <w:pPr>
        <w:spacing w:after="0" w:line="229"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On November 5, 2024 (the "FullCircl Acquisition Date"), the Company acquired the outstanding equity interests of FullCircl, which provides an onboarding and customer lifecycle intelligence platform. The Company acquired FullCircl for its complementary products and believes this will provide greater value for new and existing customers. The Company has included the financial results of FullCircl in the unaudited condensed consolidated statements of operations from the FullCircl Acquisition Date. Transaction costs associated with the FullCircl acquisition were approximately $3.6 million and were recorded in general and administrative expenses.</w:t>
      </w:r>
    </w:p>
    <w:p>
      <w:pPr>
        <w:spacing w:after="0" w:line="183"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The purchase consideration was $142.4 million, of which the Company paid a total of $129.2 million in cash at the FullCircl Acquisition Date. The purchase consideration includes a deferred payment of $15.0 million, with a present value of $13.2 million at the FullCircl Acquisition Date, relating to an indemnity holdback amount to be paid in 24 months following the FullCircl Acquisition Date which is included in other long-term liabilities on the unaudited condensed consolidated balance sheets.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firstLine="891"/>
        <w:spacing w:after="0" w:line="266" w:lineRule="auto"/>
        <w:rPr>
          <w:sz w:val="20"/>
          <w:szCs w:val="20"/>
          <w:color w:val="auto"/>
        </w:rPr>
      </w:pPr>
      <w:r>
        <w:rPr>
          <w:rFonts w:ascii="Times New Roman" w:cs="Times New Roman" w:eastAsia="Times New Roman" w:hAnsi="Times New Roman"/>
          <w:sz w:val="18"/>
          <w:szCs w:val="18"/>
          <w:color w:val="auto"/>
        </w:rPr>
        <w:t>In addition, the Company issued 52,877 RSUs with an approximate fair value of $2.0 million to certain employees of FullCircl, which will vest over four years subject to such employees' continued employment. The RSUs will be recorded as stock-based compensation expense post-acquisition as the RSUs vest and has been excluded from the purchase consideration.</w:t>
      </w:r>
    </w:p>
    <w:p>
      <w:pPr>
        <w:spacing w:after="0" w:line="176"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tangible and intangible assets acquired and liabilities assumed were recorded at their estimated fair values at the FullCircl Acquisition Date. Any excess consideration over the fair value of the assets acquired and liabilities assumed was recognized as goodwill and is subject to revision as the purchase price allocation is complete. The Company determined the acquisition date contract assets and liabilities in accordance with ASC 606.</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values of assets acquired and liabilities assumed as of the FullCircl Acquisition Date: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117,610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and noncurrent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142,409</w:t>
            </w: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891"/>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2025, the Company recorded measurement period adjustments that included a $0.3 million adjustment to decrease goodwill for a $0.3 million deferred income tax adjustment.</w:t>
      </w:r>
    </w:p>
    <w:p>
      <w:pPr>
        <w:spacing w:after="0" w:line="162"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Due to the timing of the transaction, initial accounting for the acquisition is not complete, and further measurement period adjustments may occur in fiscal year 2026, but no later than one year from the FullCircl Acquisition Date. The Company has estimated the preliminary fair value of net assets acquired based on information currently available and with the assistance of independent third-party valuations and will continue to adjust those estimates as additional information becomes available, valuations are finalized and the tax returns for the pre-acquisition period are completed. The primary areas of the acquisition accounting that remain preliminary relate to, but are not limited to, (i) finalizing the review and valuation of intangible assets (including key assumptions, inputs and estimates), (ii) finalizing the evaluation and valuation of certain legal matters and/or loss contingencies, including those that the Company may not yet be aware of but meet the requirement to qualify as a pre-acquisition contingency, and (iii) finalizing our estimate of the impact of acquisition accounting on deferred income taxes or liabilities, including uncertain tax positions. As the initial acquisition accounting is based on preliminary assessments, actual values may differ materially when final information becomes available. The Company believes the information gathered to date provides a reasonable basis for estimating the preliminary fair values of assets acquired and liabilities assumed. The Company will continue to evaluate these items until they are satisfactorily resolved and make necessary adjustments, within the allowable measurement period.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firstLine="8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the preliminary fair value of identifiable intangible assets and their estimated useful lives over which the acquired intangible assets will be amortized on a straight-line basis, as this approximates the pattern in which economic benefits of the assets are consumed as of the FullCircl Acquisition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40" w:firstLine="891"/>
        <w:spacing w:after="0" w:line="261" w:lineRule="auto"/>
        <w:rPr>
          <w:sz w:val="20"/>
          <w:szCs w:val="20"/>
          <w:color w:val="auto"/>
        </w:rPr>
      </w:pPr>
      <w:r>
        <w:rPr>
          <w:rFonts w:ascii="Times New Roman" w:cs="Times New Roman" w:eastAsia="Times New Roman" w:hAnsi="Times New Roman"/>
          <w:sz w:val="18"/>
          <w:szCs w:val="18"/>
          <w:color w:val="auto"/>
        </w:rPr>
        <w:t>Developed technology represents the preliminary fair value of FullCircl's technology. Customer relationships represent the preliminary fair value of the underlying relationships with FullCircl's customers. Trade names represents the preliminary fair value of FullCircl’s company name. The Company continues to assess the rates used in the preliminary valuation methods such as, but not limited to, the discount rates for developed technology, customer relationships and trade name and customer attrition rate for customer relationships.</w:t>
      </w:r>
    </w:p>
    <w:p>
      <w:pPr>
        <w:spacing w:after="0" w:line="180"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expanded market opportunities, synergies expected from the acquisition, and assembled workforce. The goodwill is not expected to be deductible for tax.</w:t>
      </w:r>
    </w:p>
    <w:p>
      <w:pPr>
        <w:spacing w:after="0" w:line="162" w:lineRule="exact"/>
        <w:rPr>
          <w:sz w:val="20"/>
          <w:szCs w:val="20"/>
          <w:color w:val="auto"/>
        </w:rPr>
      </w:pPr>
    </w:p>
    <w:p>
      <w:pPr>
        <w:ind w:right="760" w:firstLine="891"/>
        <w:spacing w:after="0" w:line="282" w:lineRule="auto"/>
        <w:rPr>
          <w:sz w:val="20"/>
          <w:szCs w:val="20"/>
          <w:color w:val="auto"/>
        </w:rPr>
      </w:pPr>
      <w:r>
        <w:rPr>
          <w:rFonts w:ascii="Times New Roman" w:cs="Times New Roman" w:eastAsia="Times New Roman" w:hAnsi="Times New Roman"/>
          <w:sz w:val="18"/>
          <w:szCs w:val="18"/>
          <w:color w:val="auto"/>
        </w:rPr>
        <w:t>The Company has not disclosed pro-forma revenue and earnings attributable to FullCircl as they did not have a material effect on the Company’s consolidated financial statements.</w:t>
      </w:r>
    </w:p>
    <w:p>
      <w:pPr>
        <w:spacing w:after="0" w:line="1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Sandbox Banking</w:t>
      </w:r>
    </w:p>
    <w:p>
      <w:pPr>
        <w:spacing w:after="0" w:line="229"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On February 7, 2025 (the "Sandbox Acquisition Date"), the Company acquired the outstanding equity interests of Sandbox Banking, a digital transformation leader serving the financial services industry. The Company acquired Sandbox Banking to strengthen the Company's ability to enhance data connectivity. The Company has included the financial results of Sandbox Banking in the consolidated statements of operations from the Sandbox Acquisition Date. Transaction costs associated with the Sandbox Banking acquisition were approximately $1.4 million and were recorded in general and administrative expenses.</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Sandbox Acquisition Date estimated fair value of the consideration transferred is as follows:</w:t>
      </w:r>
    </w:p>
    <w:p>
      <w:pPr>
        <w:spacing w:after="0" w:line="43"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4"/>
          <w:szCs w:val="14"/>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consideration (net of working capital adjustments)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Noncash consideration for settlement of preexisting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853" w:hanging="853"/>
        <w:spacing w:after="0"/>
        <w:tabs>
          <w:tab w:leader="none" w:pos="85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53,488</w:t>
      </w:r>
    </w:p>
    <w:p>
      <w:pPr>
        <w:spacing w:after="0" w:line="38" w:lineRule="exact"/>
        <w:rPr>
          <w:rFonts w:ascii="Times New Roman" w:cs="Times New Roman" w:eastAsia="Times New Roman" w:hAnsi="Times New Roman"/>
          <w:sz w:val="17"/>
          <w:szCs w:val="17"/>
          <w:color w:val="auto"/>
        </w:rPr>
      </w:pPr>
    </w:p>
    <w:p>
      <w:pPr>
        <w:ind w:left="93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1,354</w:t>
      </w:r>
    </w:p>
    <w:p>
      <w:pPr>
        <w:spacing w:after="0" w:line="34" w:lineRule="exact"/>
        <w:rPr>
          <w:rFonts w:ascii="Times New Roman" w:cs="Times New Roman" w:eastAsia="Times New Roman" w:hAnsi="Times New Roman"/>
          <w:sz w:val="17"/>
          <w:szCs w:val="17"/>
          <w:color w:val="auto"/>
        </w:rPr>
      </w:pPr>
    </w:p>
    <w:p>
      <w:pPr>
        <w:ind w:left="93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9086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3" w:lineRule="exact"/>
        <w:rPr>
          <w:sz w:val="20"/>
          <w:szCs w:val="20"/>
          <w:color w:val="auto"/>
        </w:rPr>
      </w:pPr>
    </w:p>
    <w:p>
      <w:pPr>
        <w:ind w:left="853" w:hanging="853"/>
        <w:spacing w:after="0"/>
        <w:tabs>
          <w:tab w:leader="none" w:pos="85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9086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9086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07" w:space="720"/>
            <w:col w:w="1413"/>
          </w:cols>
          <w:pgMar w:left="320" w:top="121" w:right="339" w:bottom="1440" w:gutter="0" w:footer="0" w:header="0"/>
          <w:type w:val="continuous"/>
        </w:sectPr>
      </w:pPr>
    </w:p>
    <w:p>
      <w:pPr>
        <w:spacing w:after="0" w:line="17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As of April 30, 2025, the cash consideration and working capital adjustments were finalized, resulting in final net cash consideration of $53.5 million after working capital adjustments of $0.5 million.</w:t>
      </w:r>
    </w:p>
    <w:p>
      <w:pPr>
        <w:spacing w:after="0" w:line="162"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preliminary purchase price also includes $8.1 million of contingent consideration whereby the Company may be required to pay up to $10.0 million subject to the achievement of certain targets over 18 months, subject to revision. Three earn-outs are payable based on achieving a certain increase in annual contract value, achieving connectivity between defined systems for certain customers and achieving defined development work. See Note 3 "Fair Value Measurements" for additional information on the fair value of the contingent consideration.</w:t>
      </w:r>
    </w:p>
    <w:p>
      <w:pPr>
        <w:spacing w:after="0" w:line="180" w:lineRule="exact"/>
        <w:rPr>
          <w:sz w:val="20"/>
          <w:szCs w:val="20"/>
          <w:color w:val="auto"/>
        </w:rPr>
      </w:pPr>
    </w:p>
    <w:p>
      <w:pPr>
        <w:ind w:right="180" w:firstLine="891"/>
        <w:spacing w:after="0" w:line="266" w:lineRule="auto"/>
        <w:rPr>
          <w:sz w:val="20"/>
          <w:szCs w:val="20"/>
          <w:color w:val="auto"/>
        </w:rPr>
      </w:pPr>
      <w:r>
        <w:rPr>
          <w:rFonts w:ascii="Times New Roman" w:cs="Times New Roman" w:eastAsia="Times New Roman" w:hAnsi="Times New Roman"/>
          <w:sz w:val="18"/>
          <w:szCs w:val="18"/>
          <w:color w:val="auto"/>
        </w:rPr>
        <w:t>In addition, the Company issued 91,160 RSUs, in May 2025, with an approximate fair value of $2.1 million to certain employees of Sandbox Banking, which will vest over four years subject to such employees' continued employment. The RSUs will be recorded as stock-based compensation expense post-acquisition as the RSUs vest and has been excluded from the purchase consideration.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tangible and intangible assets acquired and liabilities assumed were recorded at their estimated fair values at the Sandbox Acquisition Date. Any excess consideration over the fair value of the assets acquired and liabilities assumed was recognized as goodwill and is subject to revision as the purchase price allocation is complete. The Company determined the acquisition date contract assets and liabilities in accordance with ASC 606.</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values of assets acquired and liabilities assumed as of the Sandbox Acquisition Date: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Due to the timing of the transaction, initial accounting for the acquisition is not complete, and further measurement period adjustments may occur in fiscal year 2026, but no later than one year from the Sandbox Acquisition Date. The Company has estimated the preliminary fair value of net assets acquired based on information currently available and with the assistance of independent third-party valuations and will continue to adjust those estimates as additional information becomes available, valuations are finalized and the tax returns for the pre-acquisition period are completed. The primary areas of the acquisition accounting that remain preliminary relate to, but are not limited to, (i) finalizing the review and valuation of intangible assets (including key assumptions, inputs and estimates), (ii) finalizing the Company's review of certain assets acquired and liabilities assumed, (iii) finalizing the evaluation and valuation of certain legal matters and/or loss contingencies, including those that the Company may not yet be aware of but meet the requirement to qualify as a pre-acquisition contingency, (iv) finalizing our estimate of the impact of acquisition accounting on deferred income taxes or liabilities, including uncertain tax positions, and (v) finalizing the Company's review of the acquired contracts and related contract assets and liabilities. As the initial acquisition accounting is based on preliminary assessments, actual values may differ materially when final information becomes available. The Company believes the information gathered to date provides a reasonable basis for estimating the preliminary fair values of assets acquired and liabilities assumed. The Company will continue to evaluate these items until they are satisfactorily resolved and make necessary adjustments, within the allowable measurement period.</w:t>
      </w:r>
    </w:p>
    <w:p>
      <w:pPr>
        <w:spacing w:after="0" w:line="187" w:lineRule="exact"/>
        <w:rPr>
          <w:sz w:val="20"/>
          <w:szCs w:val="20"/>
          <w:color w:val="auto"/>
        </w:rPr>
      </w:pPr>
    </w:p>
    <w:p>
      <w:pPr>
        <w:jc w:val="both"/>
        <w:ind w:right="20" w:firstLine="8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the preliminary fair value of identifiable intangible assets and their estimated useful lives over which the acquired intangible assets will be amortized on a straight-line basis, as this approximates the pattern in which economic benefits of the assets are consumed as of the Sandbox Acquisition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79" w:lineRule="exact"/>
        <w:rPr>
          <w:sz w:val="20"/>
          <w:szCs w:val="20"/>
          <w:color w:val="auto"/>
        </w:rPr>
      </w:pPr>
    </w:p>
    <w:p>
      <w:pPr>
        <w:ind w:right="380" w:firstLine="891"/>
        <w:spacing w:after="0" w:line="266" w:lineRule="auto"/>
        <w:rPr>
          <w:sz w:val="20"/>
          <w:szCs w:val="20"/>
          <w:color w:val="auto"/>
        </w:rPr>
      </w:pPr>
      <w:r>
        <w:rPr>
          <w:rFonts w:ascii="Times New Roman" w:cs="Times New Roman" w:eastAsia="Times New Roman" w:hAnsi="Times New Roman"/>
          <w:sz w:val="18"/>
          <w:szCs w:val="18"/>
          <w:color w:val="auto"/>
        </w:rPr>
        <w:t>Developed technology represents the preliminary fair value of Sandbox Banking's technology. Customer relationships represent the preliminary fair value of the underlying relationships with Sandbox Banking's customers. Trade names represent the preliminary fair value of Sandbox Banking’s company name. The Company continues to assess the rates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used in the preliminary valuation methods such as, but not limited to, the discount rates for developed technology, customer relationships and trade name and customer attrition rate for customer relationships.</w:t>
      </w:r>
    </w:p>
    <w:p>
      <w:pPr>
        <w:spacing w:after="0" w:line="162"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expanded market opportunities, synergies expected from the acquisition, and assembled workforce. The goodwill is not expected to be deductible for tax.</w:t>
      </w:r>
    </w:p>
    <w:p>
      <w:pPr>
        <w:spacing w:after="0" w:line="162" w:lineRule="exact"/>
        <w:rPr>
          <w:sz w:val="20"/>
          <w:szCs w:val="20"/>
          <w:color w:val="auto"/>
        </w:rPr>
      </w:pPr>
    </w:p>
    <w:p>
      <w:pPr>
        <w:ind w:right="400" w:firstLine="891"/>
        <w:spacing w:after="0" w:line="266" w:lineRule="auto"/>
        <w:rPr>
          <w:sz w:val="20"/>
          <w:szCs w:val="20"/>
          <w:color w:val="auto"/>
        </w:rPr>
      </w:pPr>
      <w:r>
        <w:rPr>
          <w:rFonts w:ascii="Times New Roman" w:cs="Times New Roman" w:eastAsia="Times New Roman" w:hAnsi="Times New Roman"/>
          <w:sz w:val="18"/>
          <w:szCs w:val="18"/>
          <w:color w:val="auto"/>
        </w:rPr>
        <w:t>The financial results of Sandbox Banking since the Sandbox Acquisition Date are included in the Company's unaudited condensed consolidated financial statements and are not material to the Company. The Company has not disclosed pro-forma revenue and earnings attributable to Sandbox Banking as they did not have a material effect on the Company’s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change in the carrying amounts of goodwill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2025</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1,019,375</w:t>
            </w:r>
          </w:p>
        </w:tc>
        <w:tc>
          <w:tcPr>
            <w:tcW w:w="0" w:type="dxa"/>
            <w:vAlign w:val="bottom"/>
          </w:tcPr>
          <w:p>
            <w:pPr>
              <w:spacing w:after="0"/>
              <w:rPr>
                <w:sz w:val="1"/>
                <w:szCs w:val="1"/>
                <w:color w:val="auto"/>
              </w:rPr>
            </w:pPr>
          </w:p>
        </w:tc>
      </w:tr>
      <w:tr>
        <w:trPr>
          <w:trHeight w:val="230"/>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53,830</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Translation adjustments</w:t>
            </w:r>
          </w:p>
        </w:tc>
        <w:tc>
          <w:tcPr>
            <w:tcW w:w="2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0" w:type="dxa"/>
            <w:vAlign w:val="bottom"/>
          </w:tcPr>
          <w:p>
            <w:pPr>
              <w:spacing w:after="0"/>
              <w:rPr>
                <w:sz w:val="1"/>
                <w:szCs w:val="1"/>
                <w:color w:val="auto"/>
              </w:rPr>
            </w:pPr>
          </w:p>
        </w:tc>
      </w:tr>
      <w:tr>
        <w:trPr>
          <w:trHeight w:val="248"/>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April 30, 2025</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1,080,657</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Intangible assets, net are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April 30, 2025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75"/>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95"/>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53"/>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47,265</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112,775</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48"/>
        </w:trPr>
        <w:tc>
          <w:tcPr>
            <w:tcW w:w="3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154,571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255,263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161,316</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amortization expense for intangible assets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46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20" w:type="dxa"/>
            <w:vAlign w:val="bottom"/>
            <w:tcBorders>
              <w:bottom w:val="single" w:sz="8" w:color="CCEEFF"/>
            </w:tcBorders>
          </w:tcPr>
          <w:p>
            <w:pPr>
              <w:spacing w:after="0"/>
              <w:rPr>
                <w:sz w:val="16"/>
                <w:szCs w:val="16"/>
                <w:color w:val="auto"/>
              </w:rPr>
            </w:pPr>
          </w:p>
        </w:tc>
        <w:tc>
          <w:tcPr>
            <w:tcW w:w="376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37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5,075</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3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7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4,032</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760" w:type="dxa"/>
            <w:vAlign w:val="bottom"/>
          </w:tcPr>
          <w:p>
            <w:pPr>
              <w:spacing w:after="0"/>
              <w:rPr>
                <w:sz w:val="19"/>
                <w:szCs w:val="19"/>
                <w:color w:val="auto"/>
              </w:rPr>
            </w:pPr>
          </w:p>
        </w:tc>
        <w:tc>
          <w:tcPr>
            <w:tcW w:w="9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9,189</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3760" w:type="dxa"/>
            <w:vAlign w:val="bottom"/>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5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nCino, Inc.</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02"/>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8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NOTES TO UNAUDITED CONDENSED CONSOLIDATED FINANCIAL STATEMENTS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 and unless otherwise indicated)</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97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The expected future amortization expense for intangible assets as of April 30, 2025 is as follows: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27,216</w:t>
            </w:r>
          </w:p>
        </w:tc>
      </w:tr>
      <w:tr>
        <w:trPr>
          <w:trHeight w:val="22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33,994</w:t>
            </w: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19,528</w:t>
            </w:r>
          </w:p>
        </w:tc>
      </w:tr>
      <w:tr>
        <w:trPr>
          <w:trHeight w:val="22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19,428</w:t>
            </w:r>
          </w:p>
        </w:tc>
      </w:tr>
      <w:tr>
        <w:trPr>
          <w:trHeight w:val="22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17,104</w:t>
            </w: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color w:val="auto"/>
        </w:rPr>
        <w:t>In March 2025, our Board of Directors authorized a stock repurchase program of up to $100.0 million of our outstanding common stock. The Company may make repurchases, from time to time, through open market purchases, block trades, in privately negotiated transactions, accelerated stock repurchase transaction, or by other means. Open market repurchases will be structured to occur in accordance with applicable federal securities laws. The Company may also, from time to time, enter into Rule 10b5-1 plans to facilitate repurchases under this authorization. The volume, price, timing, and manner of any repurchases will be determined at the Company's discretion, subject to general market conditions, as well as the Company's management of capital, general business conditions, other investment opportunities, regulatory requirements and other factors. The repurchase program does not obligate the Company to repurchase any specific amount of common stock, has no time limit, and may be modified, suspended, or discontinued at any time without notice at the discretion of our Board of Directors.</w:t>
      </w:r>
    </w:p>
    <w:p>
      <w:pPr>
        <w:spacing w:after="0" w:line="192" w:lineRule="exact"/>
        <w:rPr>
          <w:sz w:val="20"/>
          <w:szCs w:val="20"/>
          <w:color w:val="auto"/>
        </w:rPr>
      </w:pPr>
    </w:p>
    <w:p>
      <w:pPr>
        <w:ind w:right="160" w:firstLine="891"/>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share repurchase activity under the Company's share repurchase program (in thousands, except share and per share data):</w:t>
      </w: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1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number of shares repurchased</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1,829,113</w:t>
            </w:r>
          </w:p>
        </w:tc>
      </w:tr>
      <w:tr>
        <w:trPr>
          <w:trHeight w:val="229"/>
        </w:trPr>
        <w:tc>
          <w:tcPr>
            <w:tcW w:w="8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Average price per share</w:t>
            </w:r>
            <w:r>
              <w:rPr>
                <w:rFonts w:ascii="Times New Roman" w:cs="Times New Roman" w:eastAsia="Times New Roman" w:hAnsi="Times New Roman"/>
                <w:sz w:val="23"/>
                <w:szCs w:val="23"/>
                <w:color w:val="auto"/>
                <w:vertAlign w:val="superscript"/>
              </w:rPr>
              <w:t>(1)</w:t>
            </w:r>
          </w:p>
        </w:tc>
        <w:tc>
          <w:tcPr>
            <w:tcW w:w="110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30"/>
        </w:trPr>
        <w:tc>
          <w:tcPr>
            <w:tcW w:w="8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Aggregate purchase price</w:t>
            </w:r>
            <w:r>
              <w:rPr>
                <w:rFonts w:ascii="Times New Roman" w:cs="Times New Roman" w:eastAsia="Times New Roman" w:hAnsi="Times New Roman"/>
                <w:sz w:val="23"/>
                <w:szCs w:val="23"/>
                <w:color w:val="auto"/>
                <w:vertAlign w:val="superscript"/>
              </w:rPr>
              <w:t>(1)</w:t>
            </w: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40,551</w:t>
            </w:r>
          </w:p>
        </w:tc>
      </w:tr>
    </w:tbl>
    <w:p>
      <w:pPr>
        <w:spacing w:after="0" w:line="279" w:lineRule="exact"/>
        <w:rPr>
          <w:sz w:val="20"/>
          <w:szCs w:val="20"/>
          <w:color w:val="auto"/>
        </w:rPr>
      </w:pPr>
    </w:p>
    <w:p>
      <w:pPr>
        <w:ind w:left="900" w:right="5240" w:hanging="892"/>
        <w:spacing w:after="0" w:line="439" w:lineRule="auto"/>
        <w:tabs>
          <w:tab w:leader="none" w:pos="19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transaction costs and excise tax associated with the repurchases, if any. All repurchases were made in open market transactions.</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As of April 30, 2025, the Company is authorized to repurchase a remaining $59.4 million of its common stock under the share repurchase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Stock option activity for the three months ended April 30, 2025 was as follows:</w:t>
      </w:r>
    </w:p>
    <w:p>
      <w:pPr>
        <w:spacing w:after="0" w:line="200" w:lineRule="exact"/>
        <w:rPr>
          <w:sz w:val="20"/>
          <w:szCs w:val="20"/>
          <w:color w:val="auto"/>
        </w:rPr>
      </w:pPr>
    </w:p>
    <w:p>
      <w:pPr>
        <w:spacing w:after="0" w:line="208"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Number of</w:t>
      </w:r>
    </w:p>
    <w:p>
      <w:pPr>
        <w:spacing w:after="0" w:line="6"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Weighted</w:t>
      </w:r>
    </w:p>
    <w:p>
      <w:pPr>
        <w:ind w:left="200"/>
        <w:spacing w:after="0" w:line="209" w:lineRule="auto"/>
        <w:rPr>
          <w:sz w:val="20"/>
          <w:szCs w:val="20"/>
          <w:color w:val="auto"/>
        </w:rPr>
      </w:pPr>
      <w:r>
        <w:rPr>
          <w:rFonts w:ascii="Times New Roman" w:cs="Times New Roman" w:eastAsia="Times New Roman" w:hAnsi="Times New Roman"/>
          <w:sz w:val="14"/>
          <w:szCs w:val="14"/>
          <w:b w:val="1"/>
          <w:bCs w:val="1"/>
          <w:color w:val="auto"/>
        </w:rPr>
        <w:t>Average</w:t>
      </w:r>
    </w:p>
    <w:p>
      <w:pPr>
        <w:spacing w:after="0"/>
        <w:rPr>
          <w:sz w:val="20"/>
          <w:szCs w:val="20"/>
          <w:color w:val="auto"/>
        </w:rPr>
      </w:pPr>
      <w:r>
        <w:rPr>
          <w:rFonts w:ascii="Times New Roman" w:cs="Times New Roman" w:eastAsia="Times New Roman" w:hAnsi="Times New Roman"/>
          <w:sz w:val="14"/>
          <w:szCs w:val="14"/>
          <w:b w:val="1"/>
          <w:bCs w:val="1"/>
          <w:color w:val="auto"/>
        </w:rPr>
        <w:t>Exercise Price</w:t>
      </w:r>
    </w:p>
    <w:p>
      <w:pPr>
        <w:spacing w:after="0" w:line="24" w:lineRule="exact"/>
        <w:rPr>
          <w:sz w:val="20"/>
          <w:szCs w:val="20"/>
          <w:color w:val="auto"/>
        </w:rPr>
      </w:pPr>
    </w:p>
    <w:p>
      <w:pPr>
        <w:sectPr>
          <w:pgSz w:w="11900" w:h="16838" w:orient="portrait"/>
          <w:cols w:equalWidth="0" w:num="2">
            <w:col w:w="9320" w:space="720"/>
            <w:col w:w="120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33"/>
        </w:trPr>
        <w:tc>
          <w:tcPr>
            <w:tcW w:w="8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31,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811,602</w:t>
            </w:r>
          </w:p>
        </w:tc>
        <w:tc>
          <w:tcPr>
            <w:tcW w:w="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gridSpan w:val="2"/>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 or forfeited</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(172,446)</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April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637,529</w:t>
            </w:r>
          </w:p>
        </w:tc>
        <w:tc>
          <w:tcPr>
            <w:tcW w:w="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April 30, 2025</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637,529</w:t>
            </w:r>
          </w:p>
        </w:tc>
        <w:tc>
          <w:tcPr>
            <w:tcW w:w="40" w:type="dxa"/>
            <w:vAlign w:val="bottom"/>
            <w:tcBorders>
              <w:bottom w:val="single" w:sz="8" w:color="auto"/>
            </w:tcBorders>
          </w:tcPr>
          <w:p>
            <w:pPr>
              <w:spacing w:after="0"/>
              <w:rPr>
                <w:sz w:val="17"/>
                <w:szCs w:val="17"/>
                <w:color w:val="auto"/>
              </w:rPr>
            </w:pPr>
          </w:p>
        </w:tc>
        <w:tc>
          <w:tcPr>
            <w:tcW w:w="22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vested or expected to vest, April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637,529</w:t>
            </w:r>
          </w:p>
        </w:tc>
        <w:tc>
          <w:tcPr>
            <w:tcW w:w="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12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RSU activity during the three months ended April 30, 2025 was as follows:</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8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31, 2025</w:t>
            </w:r>
          </w:p>
        </w:tc>
        <w:tc>
          <w:tcPr>
            <w:tcW w:w="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6,105,459</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(900,433)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(345,761)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April 30,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5,397,603</w:t>
            </w:r>
          </w:p>
        </w:tc>
        <w:tc>
          <w:tcPr>
            <w:tcW w:w="4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60" w:firstLine="891"/>
        <w:spacing w:after="0" w:line="266" w:lineRule="auto"/>
        <w:rPr>
          <w:sz w:val="20"/>
          <w:szCs w:val="20"/>
          <w:color w:val="auto"/>
        </w:rPr>
      </w:pPr>
      <w:r>
        <w:rPr>
          <w:rFonts w:ascii="Times New Roman" w:cs="Times New Roman" w:eastAsia="Times New Roman" w:hAnsi="Times New Roman"/>
          <w:sz w:val="18"/>
          <w:szCs w:val="18"/>
          <w:color w:val="auto"/>
        </w:rPr>
        <w:t>As of April 30, 2025, total unrecognized compensation expense related to non-vested RSUs was $136.1 million, adjusted for estimated forfeitures, based on the estimated fair value of the Company’s common stock at the time of grant. That cost is expected to be recognized over a weighted average period of 2.67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The first offering period for the Employee Stock Purchase Plan ("ESPP") began on July 1, 2021 and ended on December 31, 2021. Thereafter, offering periods begin each year on January 1 and July 1.</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fair value of ESPP shares during the three months ended April 30, 2024 and 2025 was estimated at the date of grant using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 valuation model based on assumptions as follows for ESPP awards: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5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3620" w:type="dxa"/>
            <w:vAlign w:val="bottom"/>
          </w:tcPr>
          <w:p>
            <w:pPr>
              <w:spacing w:after="0"/>
              <w:rPr>
                <w:sz w:val="2"/>
                <w:szCs w:val="2"/>
                <w:color w:val="auto"/>
              </w:rPr>
            </w:pPr>
          </w:p>
        </w:tc>
        <w:tc>
          <w:tcPr>
            <w:tcW w:w="5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90"/>
        </w:trPr>
        <w:tc>
          <w:tcPr>
            <w:tcW w:w="362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top w:val="single" w:sz="8" w:color="auto"/>
              <w:bottom w:val="single" w:sz="8" w:color="CCEEFF"/>
            </w:tcBorders>
          </w:tcPr>
          <w:p>
            <w:pPr>
              <w:spacing w:after="0"/>
              <w:rPr>
                <w:sz w:val="16"/>
                <w:szCs w:val="16"/>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4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820" w:type="dxa"/>
            <w:vAlign w:val="bottom"/>
            <w:gridSpan w:val="2"/>
          </w:tcPr>
          <w:p>
            <w:pPr>
              <w:jc w:val="center"/>
              <w:ind w:left="4050"/>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40.74%</w:t>
            </w: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5820" w:type="dxa"/>
            <w:vAlign w:val="bottom"/>
            <w:gridSpan w:val="2"/>
            <w:shd w:val="clear" w:color="auto" w:fill="CCEEFF"/>
          </w:tcPr>
          <w:p>
            <w:pPr>
              <w:jc w:val="center"/>
              <w:ind w:left="4030"/>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20" w:type="dxa"/>
            <w:vAlign w:val="bottom"/>
            <w:gridSpan w:val="2"/>
          </w:tcPr>
          <w:p>
            <w:pPr>
              <w:jc w:val="center"/>
              <w:ind w:left="4030"/>
              <w:spacing w:after="0"/>
              <w:rPr>
                <w:sz w:val="20"/>
                <w:szCs w:val="20"/>
                <w:color w:val="auto"/>
              </w:rPr>
            </w:pPr>
            <w:r>
              <w:rPr>
                <w:rFonts w:ascii="Times New Roman" w:cs="Times New Roman" w:eastAsia="Times New Roman" w:hAnsi="Times New Roman"/>
                <w:sz w:val="18"/>
                <w:szCs w:val="18"/>
                <w:color w:val="auto"/>
                <w:w w:val="98"/>
              </w:rPr>
              <w:t>5.24%</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r>
      <w:tr>
        <w:trPr>
          <w:trHeight w:val="900"/>
        </w:trPr>
        <w:tc>
          <w:tcPr>
            <w:tcW w:w="3620" w:type="dxa"/>
            <w:vAlign w:val="bottom"/>
          </w:tcPr>
          <w:p>
            <w:pPr>
              <w:spacing w:after="0"/>
              <w:rPr>
                <w:sz w:val="24"/>
                <w:szCs w:val="24"/>
                <w:color w:val="auto"/>
              </w:rPr>
            </w:pPr>
          </w:p>
        </w:tc>
        <w:tc>
          <w:tcPr>
            <w:tcW w:w="412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22</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Total stock-based compensation expense included in our unaudited condensed consolidated statements of operations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960" w:type="dxa"/>
            <w:vAlign w:val="bottom"/>
            <w:gridSpan w:val="5"/>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16,205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15,814</w:t>
            </w:r>
          </w:p>
        </w:tc>
      </w:tr>
      <w:tr>
        <w:trPr>
          <w:trHeight w:val="21"/>
        </w:trPr>
        <w:tc>
          <w:tcPr>
            <w:tcW w:w="8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460" w:firstLine="891"/>
        <w:spacing w:after="0" w:line="282" w:lineRule="auto"/>
        <w:rPr>
          <w:sz w:val="20"/>
          <w:szCs w:val="20"/>
          <w:color w:val="auto"/>
        </w:rPr>
      </w:pPr>
      <w:r>
        <w:rPr>
          <w:rFonts w:ascii="Times New Roman" w:cs="Times New Roman" w:eastAsia="Times New Roman" w:hAnsi="Times New Roman"/>
          <w:sz w:val="18"/>
          <w:szCs w:val="18"/>
          <w:color w:val="auto"/>
        </w:rPr>
        <w:t>The Company leases its facilities and a portion of its equipment under various non-cancellable agreements, which expire at various times through December 2033, some of which include options to extend for up to five years.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1,410</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9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expense</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2,017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90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were as follows: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2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280" w:type="dxa"/>
            <w:vAlign w:val="bottom"/>
          </w:tcPr>
          <w:p>
            <w:pPr>
              <w:spacing w:after="0"/>
              <w:rPr>
                <w:sz w:val="24"/>
                <w:szCs w:val="24"/>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1,584</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right-of-use assets obtained in exchange for operating lease liabilities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assets and operating lease liabilities disposed of</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00" w:firstLine="891"/>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and weighted-average discount rate for the Company's operating lease liabilities as of April 30, 2025 were 5.83 years and 6.9%,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nCino, Inc.</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02"/>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8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NOTES TO UNAUDITED CONDENSED CONSOLIDATED FINANCIAL STATEMENTS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 and unless otherwise indicated)</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97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Future minimum lease payments as of April 30, 2025 were as follows: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16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4"/>
        </w:trPr>
        <w:tc>
          <w:tcPr>
            <w:tcW w:w="20" w:type="dxa"/>
            <w:vAlign w:val="bottom"/>
            <w:tcBorders>
              <w:bottom w:val="single" w:sz="8" w:color="CCEEFF"/>
            </w:tcBorders>
          </w:tcPr>
          <w:p>
            <w:pPr>
              <w:spacing w:after="0"/>
              <w:rPr>
                <w:sz w:val="2"/>
                <w:szCs w:val="2"/>
                <w:color w:val="auto"/>
              </w:rPr>
            </w:pPr>
          </w:p>
        </w:tc>
        <w:tc>
          <w:tcPr>
            <w:tcW w:w="1940" w:type="dxa"/>
            <w:vAlign w:val="bottom"/>
            <w:tcBorders>
              <w:top w:val="single" w:sz="8" w:color="auto"/>
              <w:bottom w:val="single" w:sz="8" w:color="CCEEFF"/>
            </w:tcBorders>
          </w:tcPr>
          <w:p>
            <w:pPr>
              <w:spacing w:after="0"/>
              <w:rPr>
                <w:sz w:val="2"/>
                <w:szCs w:val="2"/>
                <w:color w:val="auto"/>
              </w:rPr>
            </w:pPr>
          </w:p>
        </w:tc>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r>
      <w:tr>
        <w:trPr>
          <w:trHeight w:val="23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r>
      <w:tr>
        <w:trPr>
          <w:trHeight w:val="22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r>
      <w:tr>
        <w:trPr>
          <w:trHeight w:val="22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9"/>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6,328</w:t>
            </w: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21,169</w:t>
            </w:r>
          </w:p>
        </w:tc>
      </w:tr>
      <w:tr>
        <w:trPr>
          <w:trHeight w:val="229"/>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w:t>
            </w: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obligations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17,406</w:t>
            </w:r>
          </w:p>
        </w:tc>
      </w:tr>
      <w:tr>
        <w:trPr>
          <w:trHeight w:val="229"/>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current obligations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Revolving Credit Facility</w:t>
      </w:r>
    </w:p>
    <w:p>
      <w:pPr>
        <w:spacing w:after="0" w:line="229"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On February 11, 2022, the Company entered into a Credit Agreement (the “2022 Credit Agreement”), by and among the Company, nCino OpCo (the “Borrower”), certain subsidiaries of the Company as guarantors, and Bank of America, N.A. as lender (the “Lender”), pursuant to which the Lender provided to the Borrower a senior secured revolving credit facility of up to $50.0 million (the “2022 Credit Facility”). The 2022 Credit Facility included borrowing capacity available for letters of credit subject to a sublimit of $7.5 million. Any issuance of letters of credit would have reduced the amount available under the 2022 Credit Facility. The Company was also required to maintain at least $5.0 million of the Company's cash and/or marketable securities with the Lender.</w:t>
      </w:r>
    </w:p>
    <w:p>
      <w:pPr>
        <w:spacing w:after="0" w:line="187"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On February 9, 2024, the Company entered into a First Amendment to extend the existing maturity date of the 2022 Credit Facility provided for under the 2022 Credit Agreement to February 11, 2025.</w:t>
      </w:r>
    </w:p>
    <w:p>
      <w:pPr>
        <w:spacing w:after="0" w:line="162" w:lineRule="exact"/>
        <w:rPr>
          <w:sz w:val="20"/>
          <w:szCs w:val="20"/>
          <w:color w:val="auto"/>
        </w:rPr>
      </w:pPr>
    </w:p>
    <w:p>
      <w:pPr>
        <w:ind w:right="460" w:firstLine="891"/>
        <w:spacing w:after="0" w:line="282" w:lineRule="auto"/>
        <w:rPr>
          <w:sz w:val="20"/>
          <w:szCs w:val="20"/>
          <w:color w:val="auto"/>
        </w:rPr>
      </w:pPr>
      <w:r>
        <w:rPr>
          <w:rFonts w:ascii="Times New Roman" w:cs="Times New Roman" w:eastAsia="Times New Roman" w:hAnsi="Times New Roman"/>
          <w:sz w:val="18"/>
          <w:szCs w:val="18"/>
          <w:color w:val="auto"/>
        </w:rPr>
        <w:t>On March 17, 2024, the Company entered into the Second Amendment which increased our borrowing availability to $100.0 million and extended the existing maturity date of the 2022 Credit Facility to March 17, 2029.</w:t>
      </w:r>
    </w:p>
    <w:p>
      <w:pPr>
        <w:spacing w:after="0" w:line="162"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Borrowings under the 2022 Credit Facility accrued interest, at the Borrower’s option, at: (i) a base rate equal to the greatest of (a) the Lender’s “prime rate”, (b) the federal funds rate plus 0.50%, and (c) the Term SOFR rate plus 1.00% (provided that the base rate shall not be less than 0.00%), plus a margin of 1.3125%; or (ii) the Term SOFR rate (provided that the Term SOFR shall not be less than 0.00%), plus a margin of 2.3125%, in each case with such margin subject to a step down based on achievement of a certain leverage ratio. The Company was also required to pay an unused commitment fee to the Lender of 0.30% of the average daily unutilized commitments (with a step down based on achievement of a certain leverage ratio). The Company was also required to pay customary letter of credit fees.</w:t>
      </w:r>
    </w:p>
    <w:p>
      <w:pPr>
        <w:spacing w:after="0" w:line="187"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On October 28, 2024, the Company terminated the 2022 Credit Agreement above and entered into a new Credit Agreement (the "2024 Credit Agreement"), by and among the Company, nCino OpCo, Inc. (the "Borrower"), certain subsidiaries of the Company as guarantors, the lenders party thereto (the "Lenders") and Bank of America, N.A. as administrative agent (the "Agent"). The 2024 Credit Agreement includes a senior secured revolving credit facility of up to $250.0 million (the "2024 Credit Facility") with a maturity date of October 28, 2029. The 2024 Credit Facility includes borrowing capacity available for letters of credit subject to a sublimit of $45.0 million. Any issuances of letters of credit will reduce the amount available under the 2024 Credit Facility.</w:t>
      </w:r>
    </w:p>
    <w:p>
      <w:pPr>
        <w:spacing w:after="0" w:line="187"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Borrowings under the 2024 Credit Facility bear interest, at the Borrower’s option, at: (i) a base rate equal to the greatest of (a) the Agent’s “prime rate”, (b) the federal funds rate plus 0.50%, and (c) the Term SOFR rate plus 1.00% (provided that the base rate shall not be less than 0.00%), plus a margin of 1.00%; or (ii) the Term SOFR rate (provided that the Term SOFR shall not be less than 0.00%), plus a margin of 2.00%, in each case with such margin subject to step ups based 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certain leverage ratios. The Company is also required to pay an unused commitment fee to the Lenders of 0.25% of the average daily unutilized commitments (with step ups based on certain leverage ratios). The Company must also pay customary letter of credit fees.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may repay amounts borrowed any time without penalty. Borrowings under the 2024 Credit Facility may be reborrowed.</w:t>
      </w:r>
    </w:p>
    <w:p>
      <w:pPr>
        <w:spacing w:after="0" w:line="225" w:lineRule="exact"/>
        <w:rPr>
          <w:sz w:val="20"/>
          <w:szCs w:val="20"/>
          <w:color w:val="auto"/>
        </w:rPr>
      </w:pPr>
    </w:p>
    <w:p>
      <w:pPr>
        <w:ind w:right="120" w:firstLine="891"/>
        <w:spacing w:after="0" w:line="261" w:lineRule="auto"/>
        <w:rPr>
          <w:sz w:val="20"/>
          <w:szCs w:val="20"/>
          <w:color w:val="auto"/>
        </w:rPr>
      </w:pPr>
      <w:r>
        <w:rPr>
          <w:rFonts w:ascii="Times New Roman" w:cs="Times New Roman" w:eastAsia="Times New Roman" w:hAnsi="Times New Roman"/>
          <w:sz w:val="18"/>
          <w:szCs w:val="18"/>
          <w:color w:val="auto"/>
        </w:rPr>
        <w:t>The 2024 Credit Agreement contains representations and warranties, affirmative, negative and financial covenants, and events of default that are customary for loans of this type. The financial covenants require the Company and its subsidiaries on a consolidated basis to maintain (i) a Consolidated Total Leverage Ratio not in excess of 4.00:1.00 as of the end of any fiscal quarter, and (ii) a Consolidated Interest Coverage Ratio not less than 3.00:1.00 as of the end of any fiscal quarter, in each case, commencing with the fiscal quarter ending January 31, 2025.</w:t>
      </w:r>
    </w:p>
    <w:p>
      <w:pPr>
        <w:spacing w:after="0" w:line="180"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The 2024 Credit Facility is guaranteed by the Company and each of its current and future material domestic subsidiaries (the “Guarantors”) and secured by substantially all of the personal property, subject to customary exceptions, of the Borrower and the Guarantors, in each case, now owned or later acquired, including a pledge of all of the Borrower’s capital stock, the capital stock of all of the Company’s domestic subsidiaries, and 65% of the capital stock of foreign subsidiaries that are directly owned by the Borrower or a Guarantor.</w:t>
      </w:r>
    </w:p>
    <w:p>
      <w:pPr>
        <w:spacing w:after="0" w:line="180"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As of January 31, 2025 and April 30, 2025, unamortized debt issuance costs were $1.4 million and $1.3 million, respectively, and are included in long-term prepaid expenses and other assets.</w:t>
      </w:r>
    </w:p>
    <w:p>
      <w:pPr>
        <w:spacing w:after="0" w:line="162" w:lineRule="exact"/>
        <w:rPr>
          <w:sz w:val="20"/>
          <w:szCs w:val="20"/>
          <w:color w:val="auto"/>
        </w:rPr>
      </w:pPr>
    </w:p>
    <w:p>
      <w:pPr>
        <w:ind w:right="180" w:firstLine="891"/>
        <w:spacing w:after="0" w:line="266" w:lineRule="auto"/>
        <w:rPr>
          <w:sz w:val="20"/>
          <w:szCs w:val="20"/>
          <w:color w:val="auto"/>
        </w:rPr>
      </w:pPr>
      <w:r>
        <w:rPr>
          <w:rFonts w:ascii="Times New Roman" w:cs="Times New Roman" w:eastAsia="Times New Roman" w:hAnsi="Times New Roman"/>
          <w:sz w:val="18"/>
          <w:szCs w:val="18"/>
          <w:color w:val="auto"/>
        </w:rPr>
        <w:t>The Company had $166.0 million and $208.5 million outstanding and no letters of credit issued under the 2024 Credit Facility and was in compliance with all covenants as of January 31, 2025 and April 30, 2025, respectively. As of April 30, 2025, the applicable interest rate was 6.32%. The available borrowing capacity under the 2024 Credit Facility was $41.5 million as of April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9" w:lineRule="exact"/>
        <w:rPr>
          <w:sz w:val="20"/>
          <w:szCs w:val="20"/>
          <w:color w:val="auto"/>
        </w:rPr>
      </w:pPr>
    </w:p>
    <w:p>
      <w:pPr>
        <w:ind w:right="580" w:firstLine="891"/>
        <w:spacing w:after="0" w:line="282" w:lineRule="auto"/>
        <w:rPr>
          <w:sz w:val="20"/>
          <w:szCs w:val="20"/>
          <w:color w:val="auto"/>
        </w:rPr>
      </w:pPr>
      <w:r>
        <w:rPr>
          <w:rFonts w:ascii="Times New Roman" w:cs="Times New Roman" w:eastAsia="Times New Roman" w:hAnsi="Times New Roman"/>
          <w:sz w:val="18"/>
          <w:szCs w:val="18"/>
          <w:color w:val="auto"/>
        </w:rPr>
        <w:t>In addition to the operating lease commitments described in Note 9 "Leases", the Company has additional contractual commitments as described further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The Company’s purchase commitments consist of non-cancellable agreements to purchase goods and services, primarily licenses and hosting services, entered into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w:t>
      </w:r>
    </w:p>
    <w:p>
      <w:pPr>
        <w:spacing w:after="0" w:line="229" w:lineRule="exact"/>
        <w:rPr>
          <w:sz w:val="20"/>
          <w:szCs w:val="20"/>
          <w:color w:val="auto"/>
        </w:rPr>
      </w:pPr>
    </w:p>
    <w:p>
      <w:pPr>
        <w:ind w:right="20" w:firstLine="891"/>
        <w:spacing w:after="0" w:line="282" w:lineRule="auto"/>
        <w:rPr>
          <w:sz w:val="20"/>
          <w:szCs w:val="20"/>
          <w:color w:val="auto"/>
        </w:rPr>
      </w:pPr>
      <w:r>
        <w:rPr>
          <w:rFonts w:ascii="Times New Roman" w:cs="Times New Roman" w:eastAsia="Times New Roman" w:hAnsi="Times New Roman"/>
          <w:sz w:val="18"/>
          <w:szCs w:val="18"/>
          <w:color w:val="auto"/>
        </w:rPr>
        <w:t>The Company's financing obligations consist of leases for the Company's headquarters and parking deck in which the Company is deemed the owner of for accounting purposes. The leases will be analyzed for applicable lease accounting upon expiration of the purchase option, if not exercised.</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Purchase commitments and future minimum lease payments required under financing obligations as of April 30, 2025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20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Financing obligations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commitments</w:t>
            </w:r>
          </w:p>
        </w:tc>
        <w:tc>
          <w:tcPr>
            <w:tcW w:w="200" w:type="dxa"/>
            <w:vAlign w:val="bottom"/>
          </w:tcPr>
          <w:p>
            <w:pPr>
              <w:spacing w:after="0"/>
              <w:rPr>
                <w:sz w:val="12"/>
                <w:szCs w:val="12"/>
                <w:color w:val="auto"/>
              </w:rPr>
            </w:pPr>
          </w:p>
        </w:tc>
        <w:tc>
          <w:tcPr>
            <w:tcW w:w="1240" w:type="dxa"/>
            <w:vAlign w:val="bottom"/>
          </w:tcPr>
          <w:p>
            <w:pPr>
              <w:jc w:val="right"/>
              <w:ind w:right="172"/>
              <w:spacing w:after="0" w:line="127" w:lineRule="exact"/>
              <w:rPr>
                <w:sz w:val="20"/>
                <w:szCs w:val="20"/>
                <w:color w:val="auto"/>
              </w:rPr>
            </w:pPr>
            <w:r>
              <w:rPr>
                <w:rFonts w:ascii="Times New Roman" w:cs="Times New Roman" w:eastAsia="Times New Roman" w:hAnsi="Times New Roman"/>
                <w:sz w:val="14"/>
                <w:szCs w:val="14"/>
                <w:b w:val="1"/>
                <w:bCs w:val="1"/>
                <w:color w:val="auto"/>
              </w:rPr>
              <w:t>- leased facility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40" w:type="dxa"/>
            <w:vAlign w:val="bottom"/>
            <w:tcBorders>
              <w:top w:val="single" w:sz="8" w:color="auto"/>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0" w:type="dxa"/>
            <w:vAlign w:val="bottom"/>
          </w:tcPr>
          <w:p>
            <w:pPr>
              <w:spacing w:after="0"/>
              <w:rPr>
                <w:sz w:val="1"/>
                <w:szCs w:val="1"/>
                <w:color w:val="auto"/>
              </w:rPr>
            </w:pPr>
          </w:p>
        </w:tc>
      </w:tr>
      <w:tr>
        <w:trPr>
          <w:trHeight w:val="22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217,078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2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Residual financing obligations and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49,617</w:t>
            </w: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8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obligations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20" w:firstLine="891"/>
        <w:spacing w:after="0" w:line="282" w:lineRule="auto"/>
        <w:rPr>
          <w:sz w:val="20"/>
          <w:szCs w:val="20"/>
          <w:color w:val="auto"/>
        </w:rPr>
      </w:pPr>
      <w:r>
        <w:rPr>
          <w:rFonts w:ascii="Times New Roman" w:cs="Times New Roman" w:eastAsia="Times New Roman" w:hAnsi="Times New Roman"/>
          <w:sz w:val="18"/>
          <w:szCs w:val="18"/>
          <w:color w:val="auto"/>
        </w:rPr>
        <w:t>A portion of the associated lease payments are recognized as interest expense and the remainder reduces the financing obligations. The weighted-average discount rate for the Company's financing obligations as of April 30, 2025 was 5.7%.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The Company has not accrued any material liabilities related to such obligations in the accompanying unaudited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320" w:firstLine="891"/>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legal proceedings or is subject to claims arising in the ordinary course of business. In the opinion of management of the Company, however, there are no proceedings or claims pending against the Company that we believe are likely to have a material adverse effect on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jc w:val="both"/>
        <w:ind w:right="380" w:firstLine="891"/>
        <w:spacing w:after="0" w:line="266" w:lineRule="auto"/>
        <w:rPr>
          <w:sz w:val="20"/>
          <w:szCs w:val="20"/>
          <w:color w:val="auto"/>
        </w:rPr>
      </w:pPr>
      <w:r>
        <w:rPr>
          <w:rFonts w:ascii="Times New Roman" w:cs="Times New Roman" w:eastAsia="Times New Roman" w:hAnsi="Times New Roman"/>
          <w:sz w:val="18"/>
          <w:szCs w:val="18"/>
          <w:color w:val="auto"/>
        </w:rPr>
        <w:t>The Company may be subject to audits related to its non-income taxes by tax authorities in jurisdictions where it conducts business. These audits may result in assessments of additional taxes that are subsequently resolved with the authorities or potentially through the courts. The Company accrues for any assessments if deemed probable and estimable.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Related-Party Transactions</w:t>
      </w:r>
    </w:p>
    <w:p>
      <w:pPr>
        <w:spacing w:after="0" w:line="229"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On November 1, 2022, the Company's wholly-owned subsidiary, nCino OpCo, acquired preferred shares of ZestFinance, Inc. (d/b/a ZEST AI) ("Zest AI"), a private company, and is included in investments on the Company's unaudited condensed consolidated balance sheets for $2.5 million and $0.0 million as of January 31, 2025 and April 30, 2025, respectively. The investment was considered a related party transaction as entities affiliated with Insight Partners, a beneficial owner of the Company, owned greater than ten percent of Zest AI.</w:t>
      </w:r>
    </w:p>
    <w:p>
      <w:pPr>
        <w:spacing w:after="0" w:line="180"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year 2026, we sold all our shares in Zest AI and recorded a realized gain of $1.2 million. At the time of this transaction, Zest AI was no longer considered a related party.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Basic and Diluted Net Income (Loss) per Share</w:t>
      </w:r>
    </w:p>
    <w:p>
      <w:pPr>
        <w:spacing w:after="0" w:line="229" w:lineRule="exact"/>
        <w:rPr>
          <w:sz w:val="20"/>
          <w:szCs w:val="20"/>
          <w:color w:val="auto"/>
        </w:rPr>
      </w:pPr>
    </w:p>
    <w:p>
      <w:pPr>
        <w:jc w:val="both"/>
        <w:ind w:right="380" w:firstLine="891"/>
        <w:spacing w:after="0" w:line="261" w:lineRule="auto"/>
        <w:rPr>
          <w:sz w:val="20"/>
          <w:szCs w:val="20"/>
          <w:color w:val="auto"/>
        </w:rPr>
      </w:pPr>
      <w:r>
        <w:rPr>
          <w:rFonts w:ascii="Times New Roman" w:cs="Times New Roman" w:eastAsia="Times New Roman" w:hAnsi="Times New Roman"/>
          <w:sz w:val="18"/>
          <w:szCs w:val="18"/>
          <w:color w:val="auto"/>
        </w:rPr>
        <w:t>Basic net income (loss) per share is computed by dividing net income (loss) attributable to nCino, Inc. by the weighted-average number of common shares outstanding for the fiscal period, net of treasury stock. Diluted net income (loss) per share is computed by giving effect to all potential weighted average dilutive common stock, including stock options issued and outstanding, nonvested RSUs issued and outstanding, and shares issuable pursuant to the ESPP. The dilutive effect of outstanding awards is reflected in diluted earnings per share by application of the treasury stock method.</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components of basic and diluted net income (loss) per share for periods presented are as follows (in thousands, except share and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nCino, Inc.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114,197,068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114,781,654</w:t>
            </w:r>
          </w:p>
        </w:tc>
      </w:tr>
      <w:tr>
        <w:trPr>
          <w:trHeight w:val="234"/>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net income (loss) per share attributable to nCino, Inc.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96"/>
        </w:trPr>
        <w:tc>
          <w:tcPr>
            <w:tcW w:w="8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nCino, Inc.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114,197,068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114,781,654</w:t>
            </w:r>
          </w:p>
        </w:tc>
      </w:tr>
      <w:tr>
        <w:trPr>
          <w:trHeight w:val="230"/>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Effect of diluted stock options, unvested RSUs, and shares of common stock issuable under the ESPP</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1,797,194</w:t>
            </w:r>
          </w:p>
        </w:tc>
      </w:tr>
      <w:tr>
        <w:trPr>
          <w:trHeight w:val="223"/>
        </w:trPr>
        <w:tc>
          <w:tcPr>
            <w:tcW w:w="828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Weighted-average commons shares outstanding, diluted</w:t>
            </w: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114,197,068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116,578,848</w:t>
            </w:r>
          </w:p>
        </w:tc>
      </w:tr>
      <w:tr>
        <w:trPr>
          <w:trHeight w:val="234"/>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net income (loss) per share attributable to nCino, Inc.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bl>
    <w:p>
      <w:pPr>
        <w:spacing w:after="0" w:line="274"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The following potential outstanding common stock were excluded from the diluted net income (loss) per share computation because the effect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960" w:type="dxa"/>
            <w:vAlign w:val="bottom"/>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1,012,404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RSUs issued and outstanding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7,054,446</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2,408,572</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Information</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("CODM") is the Company's Chief Executive Officer, who reviews financial information on a consolidated basis. The Company brings together people and data to enable financial institutions to enhance strategic decision-making, risk management, and customer satisfaction through the selection of intelligent solutions provided by the nCino Platform as a SaaS company. As such, the Company has one operating and reportable segment. The CODM uses consolidated net income (loss) in deciding how to make operating decisions, allocate resources, and assess performance.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that is provided to our CODM:</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144,137</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cost of revenues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49,120</w:t>
            </w:r>
          </w:p>
        </w:tc>
      </w:tr>
      <w:tr>
        <w:trPr>
          <w:trHeight w:val="229"/>
        </w:trPr>
        <w:tc>
          <w:tcPr>
            <w:tcW w:w="8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sales and marketing expense</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25,676</w:t>
            </w:r>
          </w:p>
        </w:tc>
      </w:tr>
      <w:tr>
        <w:trPr>
          <w:trHeight w:val="230"/>
        </w:trPr>
        <w:tc>
          <w:tcPr>
            <w:tcW w:w="8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research and development expense</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29,136</w:t>
            </w:r>
          </w:p>
        </w:tc>
      </w:tr>
      <w:tr>
        <w:trPr>
          <w:trHeight w:val="229"/>
        </w:trPr>
        <w:tc>
          <w:tcPr>
            <w:tcW w:w="8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general and administrative expense</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15,375</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r>
      <w:tr>
        <w:trPr>
          <w:trHeight w:val="229"/>
        </w:trPr>
        <w:tc>
          <w:tcPr>
            <w:tcW w:w="8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r>
      <w:tr>
        <w:trPr>
          <w:trHeight w:val="230"/>
        </w:trPr>
        <w:tc>
          <w:tcPr>
            <w:tcW w:w="8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6,017</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firstLine="8"/>
        <w:spacing w:after="0" w:line="279" w:lineRule="auto"/>
        <w:tabs>
          <w:tab w:leader="none" w:pos="165"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Cost of revenue, sales and marketing expense, research and development expense, and general and administrative expense in the consolidated statements of operations, adjusted to exclude amortization of intangible assets, stock-based compensation expense, acquisition-related expenses, certain litigation expenses, and restructuring and related charges, if any.</w:t>
      </w:r>
    </w:p>
    <w:p>
      <w:pPr>
        <w:spacing w:after="0" w:line="168" w:lineRule="exact"/>
        <w:rPr>
          <w:rFonts w:ascii="Times New Roman" w:cs="Times New Roman" w:eastAsia="Times New Roman" w:hAnsi="Times New Roman"/>
          <w:sz w:val="20"/>
          <w:szCs w:val="20"/>
          <w:color w:val="auto"/>
          <w:vertAlign w:val="superscript"/>
        </w:rPr>
      </w:pPr>
    </w:p>
    <w:p>
      <w:pPr>
        <w:ind w:right="60" w:firstLine="8"/>
        <w:spacing w:after="0" w:line="279" w:lineRule="auto"/>
        <w:tabs>
          <w:tab w:leader="none" w:pos="165"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Beginning in the first quarter of fiscal 2026, other (income) expense, net in the consolidated statements of operations, adjusted to exclude intercompany foreign currency exchange gains or losses from the remeasurement of intercompany loans and transaction that are denominated in currencies other than the underlying functional currency of the applicable entity. Prior period amounts recast to conform to the current presentation.</w:t>
      </w:r>
    </w:p>
    <w:p>
      <w:pPr>
        <w:spacing w:after="0" w:line="150" w:lineRule="exact"/>
        <w:rPr>
          <w:rFonts w:ascii="Times New Roman" w:cs="Times New Roman" w:eastAsia="Times New Roman" w:hAnsi="Times New Roman"/>
          <w:sz w:val="20"/>
          <w:szCs w:val="20"/>
          <w:color w:val="auto"/>
          <w:vertAlign w:val="superscript"/>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items are the adjustments described in the notes above.</w:t>
      </w: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Revenues by geographic region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112,550</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17,923</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w:t>
            </w:r>
          </w:p>
        </w:tc>
      </w:tr>
      <w:tr>
        <w:trPr>
          <w:trHeight w:val="223"/>
        </w:trPr>
        <w:tc>
          <w:tcPr>
            <w:tcW w:w="82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128,087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144,137</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80" w:firstLine="891"/>
        <w:spacing w:after="0" w:line="282" w:lineRule="auto"/>
        <w:rPr>
          <w:sz w:val="20"/>
          <w:szCs w:val="20"/>
          <w:color w:val="auto"/>
        </w:rPr>
      </w:pPr>
      <w:r>
        <w:rPr>
          <w:rFonts w:ascii="Times New Roman" w:cs="Times New Roman" w:eastAsia="Times New Roman" w:hAnsi="Times New Roman"/>
          <w:sz w:val="18"/>
          <w:szCs w:val="18"/>
          <w:color w:val="auto"/>
        </w:rPr>
        <w:t>Revenues by geography are determined based on the region of the Company’s contracting entity, which may be different than the region of the customer. For the three months ended April 30, 2025, no other country represented 10% or more of total revenues for the periods presented.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Long-lived assets, which consist of property and equipment, net and operating ROU assets, net by geographic region were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20" w:type="dxa"/>
            <w:vAlign w:val="bottom"/>
          </w:tcPr>
          <w:p>
            <w:pPr>
              <w:spacing w:after="0"/>
              <w:rPr>
                <w:sz w:val="13"/>
                <w:szCs w:val="13"/>
                <w:color w:val="auto"/>
              </w:rPr>
            </w:pPr>
          </w:p>
        </w:tc>
        <w:tc>
          <w:tcPr>
            <w:tcW w:w="132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As of April 30, 2025</w:t>
            </w:r>
          </w:p>
        </w:tc>
        <w:tc>
          <w:tcPr>
            <w:tcW w:w="0" w:type="dxa"/>
            <w:vAlign w:val="bottom"/>
          </w:tcPr>
          <w:p>
            <w:pPr>
              <w:spacing w:after="0"/>
              <w:rPr>
                <w:sz w:val="1"/>
                <w:szCs w:val="1"/>
                <w:color w:val="auto"/>
              </w:rPr>
            </w:pPr>
          </w:p>
        </w:tc>
      </w:tr>
      <w:tr>
        <w:trPr>
          <w:trHeight w:val="195"/>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77,464</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90,979</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92,853</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Issuance</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May 1, 2025, the Company granted 2,644,929 RSUs to the Company's employees, including executive officers as part of its ordinary course annual compensation process. The Company expects to recognize stock-based compensation expense of $60.5 million related to the RSUs over a weighted average period of 4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27, 2025, the Company announced a workforce reduction of approximately seven percent (7%) and office space reductions in certain markets (collectively, the “Plan”) in furtherance of its efforts to improve operational efficiencies. Communications to impacted employees and actions associated with the office space reductions will be substantially completed by the end of the second quarter of the Company’s fiscal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expects to incur charges in the second quarter of fiscal 2026 of approximately $7.5 to $9.0 million, inclusive of $1.0 million of estimated non-cash charges, primarily for asset disposals in connection with the Plan. Cash payments consisting of severance and related benefit costs for terminated employees as well as lease exit fees are expected to be substantially complete in the second quarter of fiscal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estimates of the charges and expenditures that the Company expects to incur in connection with the Plan, and the timing thereof, are subject to a number of assumptions, including local law requirements in various jurisdictions, and actual amounts may differ materially from estimates. In addition, the Company may incur other charges or cash expenditures not currently contemplated in connection with the implementation of the Plan.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80" w:firstLine="891"/>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unaudited condensed consolidated financial statements and related notes and other financial information included in this Quarterly Report on Form 10-Q and our Annual Report on Form 10-K for the fiscal year ended January 31, 2025 filed with the SEC on April 1, 2025.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Quarterly Report on Form 10-Q and in our Annual Report on Form 10-K, particularly in the section titled “Risk Factors.” Our historical results are not necessarily indicative of the results that may be expected for any period in the future. Our fiscal year ends on January 31 of each year and references in this Quarterly Report on Form 10-Q to a fiscal year mean the year in which that fiscal year ends. For example, references in this Quarterly Report on Form 10-Q to "fiscal 2026" refer to the fiscal year ended January 31,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120" w:firstLine="891"/>
        <w:spacing w:after="0" w:line="266" w:lineRule="auto"/>
        <w:rPr>
          <w:sz w:val="20"/>
          <w:szCs w:val="20"/>
          <w:color w:val="auto"/>
        </w:rPr>
      </w:pPr>
      <w:r>
        <w:rPr>
          <w:rFonts w:ascii="Times New Roman" w:cs="Times New Roman" w:eastAsia="Times New Roman" w:hAnsi="Times New Roman"/>
          <w:sz w:val="18"/>
          <w:szCs w:val="18"/>
          <w:color w:val="auto"/>
        </w:rPr>
        <w:t>As employees at financial institutions do their daily work and serve their clients, they often face inefficiencies from disparate systems, broken workflows, manual processes, and the inability to harness and utilize data effectively. This negatively impacts risk management, decision making, and the experiences of bankers and their clients.</w:t>
      </w:r>
    </w:p>
    <w:p>
      <w:pPr>
        <w:spacing w:after="0" w:line="176"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To solve the problem, FIs need technology that helps them reengineer every experience, intelligently and with agility as market needs shift, and a partner with the experience to help advise on best practices.</w:t>
      </w:r>
    </w:p>
    <w:p>
      <w:pPr>
        <w:spacing w:after="0" w:line="162" w:lineRule="exact"/>
        <w:rPr>
          <w:sz w:val="20"/>
          <w:szCs w:val="20"/>
          <w:color w:val="auto"/>
        </w:rPr>
      </w:pPr>
    </w:p>
    <w:p>
      <w:pPr>
        <w:ind w:right="20" w:firstLine="891"/>
        <w:spacing w:after="0" w:line="282" w:lineRule="auto"/>
        <w:rPr>
          <w:sz w:val="20"/>
          <w:szCs w:val="20"/>
          <w:color w:val="auto"/>
        </w:rPr>
      </w:pPr>
      <w:r>
        <w:rPr>
          <w:rFonts w:ascii="Times New Roman" w:cs="Times New Roman" w:eastAsia="Times New Roman" w:hAnsi="Times New Roman"/>
          <w:sz w:val="18"/>
          <w:szCs w:val="18"/>
          <w:color w:val="auto"/>
        </w:rPr>
        <w:t>nCino's trusted platform enables FIs to consolidate vendors while optimizing operations by integrating AI and actionable insights to cohesively bring together people and data and thereby enhance strategic decision-making, risk management, and customer satisfaction.</w:t>
      </w:r>
    </w:p>
    <w:p>
      <w:pPr>
        <w:spacing w:after="0" w:line="162" w:lineRule="exact"/>
        <w:rPr>
          <w:sz w:val="20"/>
          <w:szCs w:val="20"/>
          <w:color w:val="auto"/>
        </w:rPr>
      </w:pPr>
    </w:p>
    <w:p>
      <w:pPr>
        <w:ind w:right="480" w:firstLine="891"/>
        <w:spacing w:after="0" w:line="282" w:lineRule="auto"/>
        <w:rPr>
          <w:sz w:val="20"/>
          <w:szCs w:val="20"/>
          <w:color w:val="auto"/>
        </w:rPr>
      </w:pPr>
      <w:r>
        <w:rPr>
          <w:rFonts w:ascii="Times New Roman" w:cs="Times New Roman" w:eastAsia="Times New Roman" w:hAnsi="Times New Roman"/>
          <w:sz w:val="18"/>
          <w:szCs w:val="18"/>
          <w:color w:val="auto"/>
        </w:rPr>
        <w:t>From managing complex credit portfolios to streamlining account onboarding and originating loans, nCino helps FIs of all sizes globally deliver faster, intelligent, and more connected experiences. With the nCino Platform, FIs can:</w:t>
      </w:r>
    </w:p>
    <w:p>
      <w:pPr>
        <w:spacing w:after="0" w:line="162"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embrace the power of intelligent automation and uncover data-drive insights,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efficiency,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elevate employee and customer experience,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 and help ensure compliance more effectively.</w:t>
      </w:r>
    </w:p>
    <w:p>
      <w:pPr>
        <w:spacing w:after="0" w:line="225" w:lineRule="exact"/>
        <w:rPr>
          <w:sz w:val="20"/>
          <w:szCs w:val="20"/>
          <w:color w:val="auto"/>
        </w:rPr>
      </w:pPr>
    </w:p>
    <w:p>
      <w:pPr>
        <w:ind w:right="220" w:firstLine="891"/>
        <w:spacing w:after="0" w:line="261" w:lineRule="auto"/>
        <w:rPr>
          <w:sz w:val="20"/>
          <w:szCs w:val="20"/>
          <w:color w:val="auto"/>
        </w:rPr>
      </w:pPr>
      <w:r>
        <w:rPr>
          <w:rFonts w:ascii="Times New Roman" w:cs="Times New Roman" w:eastAsia="Times New Roman" w:hAnsi="Times New Roman"/>
          <w:sz w:val="18"/>
          <w:szCs w:val="18"/>
          <w:color w:val="auto"/>
        </w:rPr>
        <w:t>nCino was originally founded in a bank to improve that institution’s operations and client service. After realizing that virtually all banks and credit unions are dealing with the same problems—cumbersome legacy technology, fragmented data, disconnected business functions, and a disengaged workforce that made it difficult to maintain relevancy in their clients' lives— nCino was spun out as a separate company in late 2011 to help more institutions solve these challenges using cloud-based technology.</w:t>
      </w:r>
    </w:p>
    <w:p>
      <w:pPr>
        <w:spacing w:after="0" w:line="180"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We initially focused on developing the nCino Platform to transform commercial and small business lending for community and regional banks in the U.S. We scaled the platform to enterprise banks in the U.S. in 2014, and then internationally in 2017. We have subsequently expanded across North America, Europe, the Middle East, Japan and Asia-Pacific ("APAC").</w:t>
      </w:r>
    </w:p>
    <w:p>
      <w:pPr>
        <w:spacing w:after="0" w:line="176"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nCino's approach to market expansion includes strategically building products and acquiring technology to continue to fulfill a platform vision. Over the years, we built and enhanced products internally to ensure innovation and seamless integration across key solution lines of commercial, small business, and consumer banking. Through the strategic acquisitions of SimpleNexus, DocFox, FullCircl, ILT, Visible Equity, FinSuite and most recently, Sandbox Banking, we significantly augmented nCino's Platform capabilities for mortgage lending, onboarding, account opening, indirect auto lending, and advanced analytics and AI. This approach has allowed us to create a unified platform of best-in-class intelligent solutions, enabling FIs to replace multiple legacy systems, connect their operations, and streamline workflows and processes across various business lines to achieve desired impact and process improvement.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We generally offer the nCino Platform on a subscription basis pursuant to non-cancellable multi-year contracts that are typically three to five years in duration. nCino has evolved from being a single product workflow solution to offering a platform of best-in-class, intelligent solutions. Our new Intelligent Solution Framework pricing model helps ensure the value-based positioning and pricing of our products and creates an opportunity to embed intelligence into all our solutions. Starting in fiscal 2025, by moving away from a seat-based pricing model to pricing directly correlated to the FI's assets, transaction or processing volumes, we began to more directly align our revenues to the usefulness the nCino Platform provides as nCino creates efficiencies for our customers.</w:t>
      </w:r>
    </w:p>
    <w:p>
      <w:pPr>
        <w:spacing w:after="0" w:line="187" w:lineRule="exact"/>
        <w:rPr>
          <w:sz w:val="20"/>
          <w:szCs w:val="20"/>
          <w:color w:val="auto"/>
        </w:rPr>
      </w:pPr>
    </w:p>
    <w:p>
      <w:pPr>
        <w:jc w:val="both"/>
        <w:ind w:right="340" w:firstLine="891"/>
        <w:spacing w:after="0" w:line="289" w:lineRule="auto"/>
        <w:rPr>
          <w:sz w:val="20"/>
          <w:szCs w:val="20"/>
          <w:color w:val="auto"/>
        </w:rPr>
      </w:pPr>
      <w:r>
        <w:rPr>
          <w:rFonts w:ascii="Times New Roman" w:cs="Times New Roman" w:eastAsia="Times New Roman" w:hAnsi="Times New Roman"/>
          <w:sz w:val="17"/>
          <w:szCs w:val="17"/>
          <w:color w:val="auto"/>
        </w:rPr>
        <w:t>We sell our solutions directly through our business development managers, account executives, field sales engineers, and customer success managers. Our sales efforts in the U.S. are organized around FIs based on size, whereas internationally, we focus our sales efforts by geography. As of April 30, 2025, we had 191 sales and sales support personnel in the U.S. and 123 sales and support personnel in offices outside the U.S.</w:t>
      </w:r>
    </w:p>
    <w:p>
      <w:pPr>
        <w:spacing w:after="0" w:line="158"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To help customers go live with our solutions, we offer professional services including configuration and implementation, training, and advisory services. For enterprise FIs, we generally work with system integration ("SI") partners such as Accenture, Deloitte, and PwC for the delivery of professional services for the nCino Platform. For regional FIs, we work with SIs such as West Monroe Partners, and for community banks, we work with SIs or perform configuration and implementation ourselves. We expect enterprise FIs to make up a greater proportion of our nCino Platform sales.</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Current Events</w:t>
      </w:r>
    </w:p>
    <w:p>
      <w:pPr>
        <w:spacing w:after="0" w:line="229" w:lineRule="exact"/>
        <w:rPr>
          <w:sz w:val="20"/>
          <w:szCs w:val="20"/>
          <w:color w:val="auto"/>
        </w:rPr>
      </w:pPr>
    </w:p>
    <w:p>
      <w:pPr>
        <w:jc w:val="both"/>
        <w:ind w:right="20" w:firstLine="891"/>
        <w:spacing w:after="0" w:line="266" w:lineRule="auto"/>
        <w:rPr>
          <w:sz w:val="20"/>
          <w:szCs w:val="20"/>
          <w:color w:val="auto"/>
        </w:rPr>
      </w:pPr>
      <w:r>
        <w:rPr>
          <w:rFonts w:ascii="Times New Roman" w:cs="Times New Roman" w:eastAsia="Times New Roman" w:hAnsi="Times New Roman"/>
          <w:sz w:val="18"/>
          <w:szCs w:val="18"/>
          <w:color w:val="auto"/>
        </w:rPr>
        <w:t>Effective February 1, 2025, Pierre Naudé retired as the Company's Chairman and Chief Executive Officer and Sean Desmond was appointed to succeed Mr. Naudé as the Company's new President and Chief Executive Officer and as a member of the Company's Board of Directors. On the same date, Mr. Naudé was appointed Executive Chairman of the Board</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ind w:right="80" w:firstLine="891"/>
        <w:spacing w:after="0" w:line="256" w:lineRule="auto"/>
        <w:rPr>
          <w:sz w:val="20"/>
          <w:szCs w:val="20"/>
          <w:color w:val="auto"/>
        </w:rPr>
      </w:pPr>
      <w:r>
        <w:rPr>
          <w:rFonts w:ascii="Times New Roman" w:cs="Times New Roman" w:eastAsia="Times New Roman" w:hAnsi="Times New Roman"/>
          <w:sz w:val="18"/>
          <w:szCs w:val="18"/>
          <w:color w:val="auto"/>
        </w:rPr>
        <w:t>On February 7, 2025, (the "Sandbox Acquisition Date) we acquired Alphapack, Co. dba Sandbox Banking ("Sandbox Banking"), a digital transformation leader serving the financial services industry, for an aggregate purchase price of $62.9 million, inclusive of an additional earn-out opportunity of up to $10.0 million. This acquisition strengthens our ability to enhance data connectivity and streamline operations for banks and credit unions through an industry-leading Integration Platform as a Service (iPaaS) solution for a more intelligent and harmonious technology platform. See Note 6 "Business Combinations" of the notes to our unaudited condensed consolidated financial statements included in Part I, Item I of this Quarterly Report on Form 10-Q for additional information.</w:t>
      </w:r>
    </w:p>
    <w:p>
      <w:pPr>
        <w:spacing w:after="0" w:line="187"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In March 2025, our Board of Directors authorized a stock repurchase program of up to $100.0 million of our outstanding common stock. During the three months ended April 30, we repurchased 1.8 million shares of our outstanding common stock for $40.6 million, excluding transaction costs and excise tax associated with the repurchases, if any. As of April 30, 2025, $59.4 million remained available for future repurchases under the share repurchase program. See Note 8 "Stockholders' Equity" of the notes to our unaudited condensed consolidated financial statements included in Part I, Item I of this Quarterly Report on Form 10-Q for more information.</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funded the purchase of Sandbox Banking and our share repurchases primarily through borrowings under our credit facility.</w:t>
      </w:r>
    </w:p>
    <w:p>
      <w:pPr>
        <w:spacing w:after="0" w:line="225"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For the three months ended April 30, 2024 and 2025, our total revenues were $128.1 million and $144.1 million, respectively, representing a 12.5% increase. For the three months ended April 30, 2024 and 2025, our subscription revenues were $110.4 million and $125.6 million, respectively, representing a 13.8% increase. Our total subscriptions revenues include an aggregate of $7.4 million from DocFox, ILT, FullCircl and Sandbox Banking for the three months ended April 30, 2025. We recorded net income attributable to nCino, Inc. of $5.6 million for the three months ended April 30, 2025, compared to a net (loss) attributable to nCino, Inc. of $(3.0) million for the three months ended April 30, 2024. We have included the financial results of Sandbox Banking in the unaudited condensed consolidated financial statements from the Sandbox Acquisition Date. For fiscal 2026, our financial results also include the operating results of our fiscal 2025 acquisitions of DocFox, ILT, and FullCircl from their acquisition dates of March 20, 2024, April 1, 2024, and November 5, 2024, respectively.</w:t>
      </w:r>
    </w:p>
    <w:p>
      <w:pPr>
        <w:spacing w:after="0" w:line="192"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On May 27, 2025, the Company announced a workforce reduction of approximately seven percent (7%) and office space reductions in certain markets. See Note 15 "Subsequent Events" of the notes to our unaudited condensed consolidated financial statements included in Part I, Item I of this Quarterly Report on Form 10-Q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Operating Results</w:t>
      </w:r>
    </w:p>
    <w:p>
      <w:pPr>
        <w:spacing w:after="0" w:line="225" w:lineRule="exact"/>
        <w:rPr>
          <w:sz w:val="20"/>
          <w:szCs w:val="20"/>
          <w:color w:val="auto"/>
        </w:rPr>
      </w:pPr>
    </w:p>
    <w:p>
      <w:pPr>
        <w:ind w:right="120" w:firstLine="89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Market Adoption of Our Solution</w:t>
      </w:r>
      <w:r>
        <w:rPr>
          <w:rFonts w:ascii="Times New Roman" w:cs="Times New Roman" w:eastAsia="Times New Roman" w:hAnsi="Times New Roman"/>
          <w:sz w:val="18"/>
          <w:szCs w:val="18"/>
          <w:color w:val="auto"/>
        </w:rPr>
        <w:t>. Our future growth depends on our ability to expand our reach to new FI customers and increase adoption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existing customers as they broaden their use of our solutions within and across lines of business. Our success in growing our customer base and expanding adoption of our solutions by existing customers requires a focused direct sales engagement and the ability to convince key decision makers at FIs to replace legacy third-party point solutions or internally developed software with our solutions. Our ability to successfully implement our new asset-based pricing model that formally started in fiscal 2025 will also be a key driver. In addition, growing our customer base will require us to increasingly penetrate markets outside the U.S., which accounted for 21.9% of total revenues for the three months ended April 30, 2025. For new customers, our sales cycles are typically lengthy, generally ranging from 6 to 9 months for smaller FIs to 12 to 18 months or more for larger FIs.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our common stock.</w:t>
      </w:r>
    </w:p>
    <w:p>
      <w:pPr>
        <w:spacing w:after="0" w:line="185" w:lineRule="exact"/>
        <w:rPr>
          <w:sz w:val="20"/>
          <w:szCs w:val="20"/>
          <w:color w:val="auto"/>
        </w:rPr>
      </w:pPr>
    </w:p>
    <w:p>
      <w:pPr>
        <w:ind w:right="40" w:firstLine="89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Mix of Subscription and Professional Services Revenues. </w:t>
      </w:r>
      <w:r>
        <w:rPr>
          <w:rFonts w:ascii="Times New Roman" w:cs="Times New Roman" w:eastAsia="Times New Roman" w:hAnsi="Times New Roman"/>
          <w:sz w:val="18"/>
          <w:szCs w:val="18"/>
          <w:color w:val="auto"/>
        </w:rPr>
        <w:t>The initial deployment of our solutions by our customers requires a period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implementation and configuration services that typically average less than six months, but may extend beyond twelve months, depending on scope. As a result, during the initial go-live period for a customer on the nCino Platform,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we expect subscription revenues will continue to make up an increasing proportion of our total revenues.</w:t>
      </w:r>
    </w:p>
    <w:p>
      <w:pPr>
        <w:spacing w:after="0" w:line="182" w:lineRule="exact"/>
        <w:rPr>
          <w:sz w:val="20"/>
          <w:szCs w:val="20"/>
          <w:color w:val="auto"/>
        </w:rPr>
      </w:pPr>
    </w:p>
    <w:p>
      <w:pPr>
        <w:jc w:val="both"/>
        <w:ind w:right="640" w:firstLine="89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Macroeconomic Environment. </w:t>
      </w:r>
      <w:r>
        <w:rPr>
          <w:rFonts w:ascii="Times New Roman" w:cs="Times New Roman" w:eastAsia="Times New Roman" w:hAnsi="Times New Roman"/>
          <w:sz w:val="18"/>
          <w:szCs w:val="18"/>
          <w:color w:val="auto"/>
        </w:rPr>
        <w:t>We are currently operating in a fluctuating interest rate environment with inflationary pressures.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fluctuations have had an impact on the real estate market in the U.S. and specifically, the demand for mortgages and mortgage-related products and services, which has had a negative impact on our U.S. Mortgage business.</w:t>
      </w:r>
    </w:p>
    <w:p>
      <w:pPr>
        <w:spacing w:after="0" w:line="1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will continue to monitor the impact the macroeconomic environment may have on our business.</w:t>
      </w:r>
    </w:p>
    <w:p>
      <w:pPr>
        <w:spacing w:after="0" w:line="221" w:lineRule="exact"/>
        <w:rPr>
          <w:sz w:val="20"/>
          <w:szCs w:val="20"/>
          <w:color w:val="auto"/>
        </w:rPr>
      </w:pPr>
    </w:p>
    <w:p>
      <w:pPr>
        <w:ind w:right="60" w:firstLine="89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Continued Investment in Innovation and Growth</w:t>
      </w:r>
      <w:r>
        <w:rPr>
          <w:rFonts w:ascii="Times New Roman" w:cs="Times New Roman" w:eastAsia="Times New Roman" w:hAnsi="Times New Roman"/>
          <w:sz w:val="18"/>
          <w:szCs w:val="18"/>
          <w:color w:val="auto"/>
        </w:rPr>
        <w:t>. We have made substantial investments in product development, sales and marketing,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in sales and marketing both in the U.S. and internationally to further grow our business. To capitalize on the market opportunity we see ahead of us, we expect to continue to optimize our operating plans for revenue growth and profitability.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derive our revenues from subscription and professional services and other revenues.</w:t>
      </w:r>
    </w:p>
    <w:p>
      <w:pPr>
        <w:spacing w:after="0" w:line="223" w:lineRule="exact"/>
        <w:rPr>
          <w:sz w:val="20"/>
          <w:szCs w:val="20"/>
          <w:color w:val="auto"/>
        </w:rPr>
      </w:pPr>
    </w:p>
    <w:p>
      <w:pPr>
        <w:jc w:val="both"/>
        <w:ind w:right="100" w:firstLine="891"/>
        <w:spacing w:after="0" w:line="315" w:lineRule="auto"/>
        <w:rPr>
          <w:sz w:val="20"/>
          <w:szCs w:val="20"/>
          <w:color w:val="auto"/>
        </w:rPr>
      </w:pPr>
      <w:r>
        <w:rPr>
          <w:rFonts w:ascii="Times New Roman" w:cs="Times New Roman" w:eastAsia="Times New Roman" w:hAnsi="Times New Roman"/>
          <w:sz w:val="17"/>
          <w:szCs w:val="17"/>
          <w:i w:val="1"/>
          <w:iCs w:val="1"/>
          <w:color w:val="auto"/>
        </w:rPr>
        <w:t>Subscription Revenues</w:t>
      </w:r>
      <w:r>
        <w:rPr>
          <w:rFonts w:ascii="Times New Roman" w:cs="Times New Roman" w:eastAsia="Times New Roman" w:hAnsi="Times New Roman"/>
          <w:sz w:val="17"/>
          <w:szCs w:val="17"/>
          <w:color w:val="auto"/>
        </w:rPr>
        <w:t>. Our subscription revenues consist principally of fees from customers for accessing our solutions and maintenance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support services that we generally offer under non-cancellable multi-year contracts, which are typically three to five years in length. Specifically, we offer:</w:t>
      </w:r>
    </w:p>
    <w:p>
      <w:pPr>
        <w:spacing w:after="0" w:line="137" w:lineRule="exact"/>
        <w:rPr>
          <w:sz w:val="20"/>
          <w:szCs w:val="20"/>
          <w:color w:val="auto"/>
        </w:rPr>
      </w:pPr>
    </w:p>
    <w:p>
      <w:pPr>
        <w:ind w:left="1300" w:right="60" w:hanging="320"/>
        <w:spacing w:after="0" w:line="261"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onboarding, loan origination, and deposit account opening solutions targeted at a FI’s commercial, small business, and retail lines of business, as well as Banking Advisor and other ancillary products, for which we generally charge on a per seat basis or based upon the asset size of the customer. As we continue to implement our new pricing model, we expect the number of customers we charge based on asset size will increase considerably.</w:t>
      </w:r>
    </w:p>
    <w:p>
      <w:pPr>
        <w:spacing w:after="0" w:line="179"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U.S. mortgage business, a digital homeownership solution uniting people, systems, and stages of the mortgage process into a seamless end-to-end journey for which we generally charge on a per seat or anticipated lending volume basis.</w:t>
      </w:r>
    </w:p>
    <w:p>
      <w:pPr>
        <w:spacing w:after="0" w:line="161" w:lineRule="exact"/>
        <w:rPr>
          <w:rFonts w:ascii="Times New Roman" w:cs="Times New Roman" w:eastAsia="Times New Roman" w:hAnsi="Times New Roman"/>
          <w:sz w:val="18"/>
          <w:szCs w:val="18"/>
          <w:color w:val="auto"/>
        </w:rPr>
      </w:pPr>
    </w:p>
    <w:p>
      <w:pPr>
        <w:ind w:left="1300" w:right="68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support services as well as internal-use or “sandbox” development licenses, for which we generally charge as a percentage of the related subscription fees.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Our subscription revenues are generally recognized ratably over the term of the contract beginning upon activation. For new customers, we typically activate all seats at inception of the agreement with stated price increases. In these arrangements, the aggregate license fees over the contract term are recognized as revenue in equal amounts annually over the term. We may also activate a portion of seats at inception of the agreement, with the balance of seats activated at contractually specified points in time thereafter. Both approaches pattern our invoicing after the customer’s expected rate of implementation and adoption. Where seats are activated in stages, we charge subscription fees from the date of activation through the anniversary of the initial activation date, and annually thereafter. Subscription fees are generally billed annually in advance while subscription fees for U.S. mortgage are generally billed monthly.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Platform. When we resell such access, we charge a higher subscription price and remit a higher subscription fee to Salesforce for these subscriptions.</w:t>
      </w:r>
    </w:p>
    <w:p>
      <w:pPr>
        <w:spacing w:after="0" w:line="192"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i w:val="1"/>
          <w:iCs w:val="1"/>
          <w:color w:val="auto"/>
        </w:rPr>
        <w:t>Professional Services and Other Revenues</w:t>
      </w:r>
      <w:r>
        <w:rPr>
          <w:rFonts w:ascii="Times New Roman" w:cs="Times New Roman" w:eastAsia="Times New Roman" w:hAnsi="Times New Roman"/>
          <w:sz w:val="18"/>
          <w:szCs w:val="18"/>
          <w:color w:val="auto"/>
        </w:rPr>
        <w:t>. Professional services and other revenues consist of fees for implementation and configuration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training, and advisory services. For enterprise and larger regional FIs, we generally work with SI partners to provide the majority of implementation services for the nCino Platform, for which these SI partners bill our customers directly. We have historically delivered professional services ourselves for community banks, smaller credit unions, and our U.S. mortgage business. Revenues for implementation, training, and advisory services are generally recognized on a proportional performance basis, based on labor hours incurred relative to total budgeted hours. To date, our losses on professional services contracts have not been material. During the initial go-live period for a customer on the nCino Platform,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27" w:lineRule="exact"/>
        <w:rPr>
          <w:sz w:val="20"/>
          <w:szCs w:val="20"/>
          <w:color w:val="auto"/>
        </w:rPr>
      </w:pPr>
    </w:p>
    <w:p>
      <w:pPr>
        <w:ind w:right="60" w:firstLine="891"/>
        <w:spacing w:after="0" w:line="256" w:lineRule="auto"/>
        <w:rPr>
          <w:sz w:val="20"/>
          <w:szCs w:val="20"/>
          <w:color w:val="auto"/>
        </w:rPr>
      </w:pPr>
      <w:r>
        <w:rPr>
          <w:rFonts w:ascii="Times New Roman" w:cs="Times New Roman" w:eastAsia="Times New Roman" w:hAnsi="Times New Roman"/>
          <w:sz w:val="18"/>
          <w:szCs w:val="18"/>
          <w:i w:val="1"/>
          <w:iCs w:val="1"/>
          <w:color w:val="auto"/>
        </w:rPr>
        <w:t>Cost of Subscription Revenues</w:t>
      </w:r>
      <w:r>
        <w:rPr>
          <w:rFonts w:ascii="Times New Roman" w:cs="Times New Roman" w:eastAsia="Times New Roman" w:hAnsi="Times New Roman"/>
          <w:sz w:val="18"/>
          <w:szCs w:val="18"/>
          <w:color w:val="auto"/>
        </w:rPr>
        <w:t>. Cost of subscription revenues consists of fees paid to Salesforce for access to the Salesforce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Salesforce’s hosting infrastructure and data center operations, along with certain integration fees paid to other third parties. When we resell access to Salesforce’s CRM solution, cost of subscription revenues also includes the subscription fees we remit to Salesforce for providing such access. We also incur costs associated with access to other platforms.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83" w:lineRule="exact"/>
        <w:rPr>
          <w:sz w:val="20"/>
          <w:szCs w:val="20"/>
          <w:color w:val="auto"/>
        </w:rPr>
      </w:pPr>
    </w:p>
    <w:p>
      <w:pPr>
        <w:ind w:right="20"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Cost of Professional Services and Other Revenues</w:t>
      </w:r>
      <w:r>
        <w:rPr>
          <w:rFonts w:ascii="Times New Roman" w:cs="Times New Roman" w:eastAsia="Times New Roman" w:hAnsi="Times New Roman"/>
          <w:sz w:val="18"/>
          <w:szCs w:val="18"/>
          <w:color w:val="auto"/>
        </w:rPr>
        <w:t>. Cost of professional services and other revenues consists primarily of personnel-related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associated with 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and other gross margin on a period-to-period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personnel costs of our sales and marketing employees,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sales commissions and incentives, benefits and stock-based compensation expense, travel and related costs. We capitalize incremental costs incurred to obtain contracts, primarily consisting of sales commissions, and subsequently amortize these costs over the expected period of benefit, which we have determined to be approximately four years. Sales and marketing expenses also include outside consulting fees, marketing programs, including lead generation, costs of our annual user conference, advertising, trade shows, other event expenses, amortization of intangible assets, and allocated overhead. We expect sales and marketing expenses to increase as a percentage of revenues as we expand more into credit unions in the U.S. and on the European continent.</w:t>
      </w:r>
    </w:p>
    <w:p>
      <w:pPr>
        <w:spacing w:after="0" w:line="183" w:lineRule="exact"/>
        <w:rPr>
          <w:sz w:val="20"/>
          <w:szCs w:val="20"/>
          <w:color w:val="auto"/>
        </w:rPr>
      </w:pPr>
    </w:p>
    <w:p>
      <w:pPr>
        <w:ind w:right="70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consist primarily of salaries, benefits and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engineering, product and quality assurance personnel, as well as allocated overhead.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also include the cost of third-party contractors. Research and development costs are expensed as incurred. We expect research and development costs will decrease as a percentage of revenues as we leverage the investments we have made to date.</w:t>
      </w:r>
    </w:p>
    <w:p>
      <w:pPr>
        <w:spacing w:after="0" w:line="160" w:lineRule="exact"/>
        <w:rPr>
          <w:sz w:val="20"/>
          <w:szCs w:val="20"/>
          <w:color w:val="auto"/>
        </w:rPr>
      </w:pPr>
    </w:p>
    <w:p>
      <w:pPr>
        <w:ind w:right="120" w:firstLine="89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salaries, benefits and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changes in fair value of contingent consideration, and allocated overhead, as well as acquisition-related expenses, such as legal and other professional services fees. We expect general and administrative expenses will decrease as a percentage of revenues as we leverage the investments we have made to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primarily of interest earned on our cash and cash equivalents.</w:t>
      </w:r>
    </w:p>
    <w:p>
      <w:pPr>
        <w:spacing w:after="0" w:line="225" w:lineRule="exact"/>
        <w:rPr>
          <w:sz w:val="20"/>
          <w:szCs w:val="20"/>
          <w:color w:val="auto"/>
        </w:rPr>
      </w:pPr>
    </w:p>
    <w:p>
      <w:pPr>
        <w:ind w:right="4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interest related to our financing obligations along with interest expense on borrowings,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fees, and amortization of debt issuance costs associated with our secured revolving credit facility.</w:t>
      </w:r>
    </w:p>
    <w:p>
      <w:pPr>
        <w:spacing w:after="0" w:line="158" w:lineRule="exact"/>
        <w:rPr>
          <w:sz w:val="20"/>
          <w:szCs w:val="20"/>
          <w:color w:val="auto"/>
        </w:rPr>
      </w:pPr>
    </w:p>
    <w:p>
      <w:pPr>
        <w:ind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consists primarily of foreign currency gains and losses, the majority of which is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remeasurement of intercompany loans that are denominated in currencies other than the underlying functional currency of the applicable entity.</w:t>
      </w:r>
    </w:p>
    <w:p>
      <w:pPr>
        <w:spacing w:after="0" w:line="158" w:lineRule="exact"/>
        <w:rPr>
          <w:sz w:val="20"/>
          <w:szCs w:val="20"/>
          <w:color w:val="auto"/>
        </w:rPr>
      </w:pPr>
    </w:p>
    <w:p>
      <w:pPr>
        <w:ind w:right="46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Provision (Benefit). </w:t>
      </w:r>
      <w:r>
        <w:rPr>
          <w:rFonts w:ascii="Times New Roman" w:cs="Times New Roman" w:eastAsia="Times New Roman" w:hAnsi="Times New Roman"/>
          <w:sz w:val="18"/>
          <w:szCs w:val="18"/>
          <w:color w:val="auto"/>
        </w:rPr>
        <w:t>Income tax provision (benefit) consists of federal and state income taxes in the U.S. and income taxes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jurisdictions.</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financial statements and notes included elsewhere in this Quarterly Report on Form 10-Q. The following tables present our selected unaudited condensed consolidated statements of operations data for three months ended April 30, 2024 and 2025 in both dollars and as a percentage of total revenues, except as noted.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8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1"/>
              <w:spacing w:after="0" w:line="196" w:lineRule="exact"/>
              <w:rPr>
                <w:sz w:val="20"/>
                <w:szCs w:val="20"/>
                <w:color w:val="auto"/>
              </w:rPr>
            </w:pPr>
            <w:r>
              <w:rPr>
                <w:rFonts w:ascii="Times New Roman" w:cs="Times New Roman" w:eastAsia="Times New Roman" w:hAnsi="Times New Roman"/>
                <w:sz w:val="14"/>
                <w:szCs w:val="14"/>
                <w:b w:val="1"/>
                <w:bCs w:val="1"/>
                <w:color w:val="auto"/>
              </w:rPr>
              <w:t>2025</w:t>
            </w:r>
            <w:r>
              <w:rPr>
                <w:rFonts w:ascii="Times New Roman" w:cs="Times New Roman" w:eastAsia="Times New Roman" w:hAnsi="Times New Roman"/>
                <w:sz w:val="18"/>
                <w:szCs w:val="18"/>
                <w:b w:val="1"/>
                <w:bCs w:val="1"/>
                <w:color w:val="auto"/>
                <w:vertAlign w:val="superscript"/>
              </w:rPr>
              <w:t>1</w:t>
            </w:r>
          </w:p>
        </w:tc>
      </w:tr>
      <w:tr>
        <w:trPr>
          <w:trHeight w:val="176"/>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125,588</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 revenues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w:t>
            </w:r>
          </w:p>
        </w:tc>
      </w:tr>
      <w:tr>
        <w:trPr>
          <w:trHeight w:val="223"/>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144,137</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36,125</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21,570</w:t>
            </w:r>
          </w:p>
        </w:tc>
      </w:tr>
      <w:tr>
        <w:trPr>
          <w:trHeight w:val="223"/>
        </w:trPr>
        <w:tc>
          <w:tcPr>
            <w:tcW w:w="8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57,695</w:t>
            </w:r>
          </w:p>
        </w:tc>
      </w:tr>
      <w:tr>
        <w:trPr>
          <w:trHeight w:val="223"/>
        </w:trPr>
        <w:tc>
          <w:tcPr>
            <w:tcW w:w="82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86,442</w:t>
            </w: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32,971</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33,341</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21,643</w:t>
            </w:r>
          </w:p>
        </w:tc>
      </w:tr>
      <w:tr>
        <w:trPr>
          <w:trHeight w:val="223"/>
        </w:trPr>
        <w:tc>
          <w:tcPr>
            <w:tcW w:w="8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80,570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87,955</w:t>
            </w:r>
          </w:p>
        </w:tc>
      </w:tr>
      <w:tr>
        <w:trPr>
          <w:trHeight w:val="223"/>
        </w:trPr>
        <w:tc>
          <w:tcPr>
            <w:tcW w:w="82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16,097</w:t>
            </w:r>
          </w:p>
        </w:tc>
      </w:tr>
      <w:tr>
        <w:trPr>
          <w:trHeight w:val="223"/>
        </w:trPr>
        <w:tc>
          <w:tcPr>
            <w:tcW w:w="82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r>
      <w:tr>
        <w:trPr>
          <w:trHeight w:val="223"/>
        </w:trPr>
        <w:tc>
          <w:tcPr>
            <w:tcW w:w="82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redeemable non-controlling interest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 attributable to redeemable non-controlling interest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48"/>
        </w:trPr>
        <w:tc>
          <w:tcPr>
            <w:tcW w:w="828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income (loss) attributable to nCino,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the operating results of DocFox, ILT, FullCircl and Sandbox Banking from the DocFox Acquisition Date, the ILT Acquisition Date, FullCircl Acquisition Date and the Sandbox Acquisition Date, respectively, see Note 6 "Business Combinations" of the notes to our consolidated financial statements included in Part I, Item 1 of this Quarterly Report on Form 10-Q for additional information.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stock-based compensation expense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15,814</w:t>
            </w:r>
          </w:p>
        </w:tc>
        <w:tc>
          <w:tcPr>
            <w:tcW w:w="0" w:type="dxa"/>
            <w:vAlign w:val="bottom"/>
          </w:tcPr>
          <w:p>
            <w:pPr>
              <w:spacing w:after="0"/>
              <w:rPr>
                <w:sz w:val="1"/>
                <w:szCs w:val="1"/>
                <w:color w:val="auto"/>
              </w:rPr>
            </w:pPr>
          </w:p>
        </w:tc>
      </w:tr>
      <w:tr>
        <w:trPr>
          <w:trHeight w:val="21"/>
        </w:trPr>
        <w:tc>
          <w:tcPr>
            <w:tcW w:w="828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The Company recognized amortization expense for intangible assets as follows: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87.1 %</w:t>
            </w:r>
          </w:p>
        </w:tc>
        <w:tc>
          <w:tcPr>
            <w:tcW w:w="0" w:type="dxa"/>
            <w:vAlign w:val="bottom"/>
          </w:tcPr>
          <w:p>
            <w:pPr>
              <w:spacing w:after="0"/>
              <w:rPr>
                <w:sz w:val="1"/>
                <w:szCs w:val="1"/>
                <w:color w:val="auto"/>
              </w:rPr>
            </w:pPr>
          </w:p>
        </w:tc>
      </w:tr>
      <w:tr>
        <w:trPr>
          <w:trHeight w:val="230"/>
        </w:trPr>
        <w:tc>
          <w:tcPr>
            <w:tcW w:w="8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 revenues</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100.0</w:t>
            </w:r>
          </w:p>
        </w:tc>
        <w:tc>
          <w:tcPr>
            <w:tcW w:w="80" w:type="dxa"/>
            <w:vAlign w:val="bottom"/>
          </w:tcPr>
          <w:p>
            <w:pPr>
              <w:spacing w:after="0"/>
              <w:rPr>
                <w:sz w:val="19"/>
                <w:szCs w:val="19"/>
                <w:color w:val="auto"/>
              </w:rPr>
            </w:pPr>
          </w:p>
        </w:tc>
        <w:tc>
          <w:tcPr>
            <w:tcW w:w="15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 (percentage shown in comparison to related revenues):</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8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109.7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9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30"/>
        </w:trPr>
        <w:tc>
          <w:tcPr>
            <w:tcW w:w="8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0"/>
        </w:trPr>
        <w:tc>
          <w:tcPr>
            <w:tcW w:w="8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Loss from operations</w:t>
            </w: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8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8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80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9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5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89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Net income (loss)</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36</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80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April 30, 2024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7"/>
          </w:tcPr>
          <w:p>
            <w:pPr>
              <w:jc w:val="right"/>
              <w:ind w:right="103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7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110,406</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86.2 %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125,588</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87.1 %</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 revenues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17,681</w:t>
            </w:r>
          </w:p>
        </w:tc>
        <w:tc>
          <w:tcPr>
            <w:tcW w:w="118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11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3"/>
        </w:trPr>
        <w:tc>
          <w:tcPr>
            <w:tcW w:w="7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128,087</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144,137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Subscription Revenues</w:t>
      </w:r>
    </w:p>
    <w:p>
      <w:pPr>
        <w:spacing w:after="0" w:line="227" w:lineRule="exact"/>
        <w:rPr>
          <w:sz w:val="20"/>
          <w:szCs w:val="20"/>
          <w:color w:val="auto"/>
        </w:rPr>
      </w:pPr>
    </w:p>
    <w:p>
      <w:pPr>
        <w:ind w:right="120" w:firstLine="891"/>
        <w:spacing w:after="0" w:line="256" w:lineRule="auto"/>
        <w:rPr>
          <w:sz w:val="20"/>
          <w:szCs w:val="20"/>
          <w:color w:val="auto"/>
        </w:rPr>
      </w:pPr>
      <w:r>
        <w:rPr>
          <w:rFonts w:ascii="Times New Roman" w:cs="Times New Roman" w:eastAsia="Times New Roman" w:hAnsi="Times New Roman"/>
          <w:sz w:val="18"/>
          <w:szCs w:val="18"/>
          <w:color w:val="auto"/>
        </w:rPr>
        <w:t>Subscription revenues increased $15.2 million for the three months ended April 30, 2025 compared to the three months ended April 30, 2024, due to initial revenues from customers who did not contribute to subscription revenues during the prior period, and growth from existing customers within and across lines of business. Of the increase, 53.0% was attributable to initial revenues from customers who did not contribute to subscription revenues during the three months ended April 30, 2024 and 47.0% was attributable to increased revenues from existing customers as customers expanded their use and adoption of our solutions. Subscription revenues were 87.1% of total revenues for the three months ended April 30, 2025 compared to 86.2% of total revenues for the three months ended April 30, 2024, primarily due to growth in our installed base.</w:t>
      </w:r>
    </w:p>
    <w:p>
      <w:pPr>
        <w:spacing w:after="0" w:line="18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Professional Services and Other Revenues</w:t>
      </w:r>
    </w:p>
    <w:p>
      <w:pPr>
        <w:spacing w:after="0" w:line="227"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Professional services and other revenues increased $0.9 million for the three months ended April 30, 2025 compared to the three months ended April 30, 2024, primarily due to the addition of new customers as well as expanded adoption by existing customers within and across lines of business where implementation, configuration, and training services were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20" w:type="dxa"/>
            <w:vAlign w:val="bottom"/>
            <w:gridSpan w:val="6"/>
          </w:tcPr>
          <w:p>
            <w:pPr>
              <w:jc w:val="right"/>
              <w:ind w:right="103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7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 (percentage shown in comparison to related revenues):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60" w:type="dxa"/>
            <w:vAlign w:val="bottom"/>
            <w:tcBorders>
              <w:bottom w:val="single" w:sz="8" w:color="auto"/>
            </w:tcBorders>
            <w:shd w:val="clear" w:color="auto" w:fill="CCEEFF"/>
          </w:tcPr>
          <w:p>
            <w:pPr>
              <w:spacing w:after="0"/>
              <w:rPr>
                <w:sz w:val="19"/>
                <w:szCs w:val="19"/>
                <w:color w:val="auto"/>
              </w:rPr>
            </w:pP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21,570</w:t>
            </w:r>
          </w:p>
        </w:tc>
        <w:tc>
          <w:tcPr>
            <w:tcW w:w="60" w:type="dxa"/>
            <w:vAlign w:val="bottom"/>
            <w:tcBorders>
              <w:bottom w:val="single" w:sz="8" w:color="auto"/>
            </w:tcBorders>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23"/>
        </w:trPr>
        <w:tc>
          <w:tcPr>
            <w:tcW w:w="7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51,180</w:t>
            </w: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57,695</w:t>
            </w: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1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 of Subscription Revenues</w:t>
      </w:r>
    </w:p>
    <w:p>
      <w:pPr>
        <w:spacing w:after="0" w:line="227"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Cost of subscription revenues increased $4.3 million for the three months ended April 30, 2025 compared to the three months ended April 30, 2024, generating a gross margin for subscription revenues of 71.2% for the three months ended April 30, 2024 and 2025. The increase was driven primarily by a $3.1 million increase in other data costs, as well as a $0.9 million increase in amortization expense related to acquired intangible assets. We expect the cost of subscription revenues will continue to increase in absolute dollars as the number of users of the nCino Platform grows.</w:t>
      </w:r>
    </w:p>
    <w:p>
      <w:pPr>
        <w:spacing w:after="0" w:line="1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 of Professional Services and Other Revenues</w:t>
      </w:r>
    </w:p>
    <w:p>
      <w:pPr>
        <w:spacing w:after="0" w:line="227" w:lineRule="exact"/>
        <w:rPr>
          <w:sz w:val="20"/>
          <w:szCs w:val="20"/>
          <w:color w:val="auto"/>
        </w:rPr>
      </w:pPr>
    </w:p>
    <w:p>
      <w:pPr>
        <w:ind w:right="120" w:firstLine="891"/>
        <w:spacing w:after="0" w:line="261" w:lineRule="auto"/>
        <w:rPr>
          <w:sz w:val="20"/>
          <w:szCs w:val="20"/>
          <w:color w:val="auto"/>
        </w:rPr>
      </w:pPr>
      <w:r>
        <w:rPr>
          <w:rFonts w:ascii="Times New Roman" w:cs="Times New Roman" w:eastAsia="Times New Roman" w:hAnsi="Times New Roman"/>
          <w:sz w:val="18"/>
          <w:szCs w:val="18"/>
          <w:color w:val="auto"/>
        </w:rPr>
        <w:t>Cost of professional services and other revenues increased $2.2 million for the three months ended April 30, 2025 compared to the three months ended April 30, 2024, generating a gross margin for professional services and other revenues of (16.3)% compared to a gross margin of (9.7)% for the three months ended April 30, 2024. For the three months ended April 30, 2025, personnel costs increased $1.6 million for professional services compared to the three months ended April 30,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mainly from an increase in headcount, primarily due to acquisitions. The increase in cost of professional services and other revenues also included a $0.4 million increase for third-party costs of professional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28,045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21.9 %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32,971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29,981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33,341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9"/>
        </w:trPr>
        <w:tc>
          <w:tcPr>
            <w:tcW w:w="7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22,544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21,643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80,570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87,955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23"/>
        </w:trPr>
        <w:tc>
          <w:tcPr>
            <w:tcW w:w="7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(3,663)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8"/>
              </w:rPr>
              <w:t>(1,513)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$4.9 million for the three months ended April 30, 2025 compared to the three months ended April 30, 2024, primarily attributable to an increase of $2.2 million in personnel costs driven by an increase in headcount, offset by a decrease of $1.0 million in stock-based compensation expense. The increase in sales and marketing also included an increase of $1.7 million in allocated overhead, mostly attributable to a $1.6 million increase in amortization expenses for acquired intangible assets. The increase in sales and marketing expenses also included an increase of $1.0 million in marketing costs.</w:t>
      </w:r>
    </w:p>
    <w:p>
      <w:pPr>
        <w:spacing w:after="0" w:line="183" w:lineRule="exact"/>
        <w:rPr>
          <w:sz w:val="20"/>
          <w:szCs w:val="20"/>
          <w:color w:val="auto"/>
        </w:rPr>
      </w:pPr>
    </w:p>
    <w:p>
      <w:pPr>
        <w:ind w:right="160" w:firstLine="891"/>
        <w:spacing w:after="0" w:line="282" w:lineRule="auto"/>
        <w:rPr>
          <w:sz w:val="20"/>
          <w:szCs w:val="20"/>
          <w:color w:val="auto"/>
        </w:rPr>
      </w:pPr>
      <w:r>
        <w:rPr>
          <w:rFonts w:ascii="Times New Roman" w:cs="Times New Roman" w:eastAsia="Times New Roman" w:hAnsi="Times New Roman"/>
          <w:sz w:val="18"/>
          <w:szCs w:val="18"/>
          <w:color w:val="auto"/>
        </w:rPr>
        <w:t>Our sales and marketing headcount increased by 37 from April 30, 2024 to April 30, 2025, primarily due to acquisitions. We expect sales and marketing expenses will increase as a percentage of revenues as we expand more into credit unions in the U.S. and on the European continent.</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320" w:firstLine="891"/>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$3.4 million for the three months ended April 30, 2025 compared to the three months ended April 30, 2024, primarily due to an increase of $2.7 million in personnel costs, mainly from an increase in headcount.</w:t>
      </w:r>
    </w:p>
    <w:p>
      <w:pPr>
        <w:spacing w:after="0" w:line="162" w:lineRule="exact"/>
        <w:rPr>
          <w:sz w:val="20"/>
          <w:szCs w:val="20"/>
          <w:color w:val="auto"/>
        </w:rPr>
      </w:pPr>
    </w:p>
    <w:p>
      <w:pPr>
        <w:ind w:right="400" w:firstLine="891"/>
        <w:spacing w:after="0" w:line="282" w:lineRule="auto"/>
        <w:rPr>
          <w:sz w:val="20"/>
          <w:szCs w:val="20"/>
          <w:color w:val="auto"/>
        </w:rPr>
      </w:pPr>
      <w:r>
        <w:rPr>
          <w:rFonts w:ascii="Times New Roman" w:cs="Times New Roman" w:eastAsia="Times New Roman" w:hAnsi="Times New Roman"/>
          <w:sz w:val="18"/>
          <w:szCs w:val="18"/>
          <w:color w:val="auto"/>
        </w:rPr>
        <w:t>Our research and development headcount increased by 52 from April 30, 2024 to April 30, 2025, primarily due to acquisitions. We expect research and development expenses will decrease as a percentage of revenues as we leverage the investments we have made to date.</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$0.9 million for the three months ended April 30, 2025 compared to the three months ended April 30, 2024, primarily due to a decrease of $3.1 million in third-party professional fees, mostly attributable to a decrease in acquisition-related expenses and a decrease in other professional fees. The decrease in general and administrative spend was partially offset by an increase of $1.5 million in personnel costs, mostly attributable to a $0.7 million increase in stock-based compensation expense and headcount. The decrease in general and administrative expenses was also partially offset by an increase of $0.6 million in allocated overhead and other general and administrative costs.</w:t>
      </w:r>
    </w:p>
    <w:p>
      <w:pPr>
        <w:spacing w:after="0" w:line="183" w:lineRule="exact"/>
        <w:rPr>
          <w:sz w:val="20"/>
          <w:szCs w:val="20"/>
          <w:color w:val="auto"/>
        </w:rPr>
      </w:pPr>
    </w:p>
    <w:p>
      <w:pPr>
        <w:ind w:right="460" w:firstLine="891"/>
        <w:spacing w:after="0" w:line="282" w:lineRule="auto"/>
        <w:rPr>
          <w:sz w:val="20"/>
          <w:szCs w:val="20"/>
          <w:color w:val="auto"/>
        </w:rPr>
      </w:pPr>
      <w:r>
        <w:rPr>
          <w:rFonts w:ascii="Times New Roman" w:cs="Times New Roman" w:eastAsia="Times New Roman" w:hAnsi="Times New Roman"/>
          <w:sz w:val="18"/>
          <w:szCs w:val="18"/>
          <w:color w:val="auto"/>
        </w:rPr>
        <w:t>Our general and administrative headcount increased by 9 from April 30, 2024 to April 30, 2025, primarily due to acquisitions. We expect general and administrative expenses will decrease as a percentage of revenues as we leverage the investments we have made to date.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80" w:type="dxa"/>
            <w:vAlign w:val="bottom"/>
            <w:gridSpan w:val="5"/>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1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16,097</w:t>
            </w: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20" w:firstLine="891"/>
        <w:spacing w:after="0" w:line="258" w:lineRule="auto"/>
        <w:rPr>
          <w:sz w:val="20"/>
          <w:szCs w:val="20"/>
          <w:color w:val="auto"/>
        </w:rPr>
      </w:pPr>
      <w:r>
        <w:rPr>
          <w:rFonts w:ascii="Times New Roman" w:cs="Times New Roman" w:eastAsia="Times New Roman" w:hAnsi="Times New Roman"/>
          <w:sz w:val="18"/>
          <w:szCs w:val="18"/>
          <w:color w:val="auto"/>
        </w:rPr>
        <w:t>Interest income decreased $0.2 million for the three months ended April 30, 2025 compared to the three months ended April 30, 2024, due to balance and rate fluctuations of our accounts earning interest. Interest expense increased $3.0 million for the three months ended April 30, 2025 compared to the three months ended April 30, 2024, primarily due to borrowings on our revolving credit facility. The increase of $16.8 million in other income (expense), net for the three months ended April 30, 2025 compared to the three months ended April 30, 2024, was primarily driven by remeasurement of intercompany loans and transactions that are denominated in currencies other than the underlying functional currency of the applicable entity.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160" w:type="dxa"/>
            <w:vAlign w:val="bottom"/>
            <w:gridSpan w:val="5"/>
          </w:tcPr>
          <w:p>
            <w:pPr>
              <w:jc w:val="right"/>
              <w:ind w:right="1059"/>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80" w:type="dxa"/>
            <w:vAlign w:val="bottom"/>
            <w:tcBorders>
              <w:bottom w:val="single" w:sz="8" w:color="CCEEFF"/>
            </w:tcBorders>
            <w:vMerge w:val="continue"/>
          </w:tcPr>
          <w:p>
            <w:pPr>
              <w:spacing w:after="0"/>
              <w:rPr>
                <w:sz w:val="16"/>
                <w:szCs w:val="16"/>
                <w:color w:val="auto"/>
              </w:rPr>
            </w:pPr>
          </w:p>
        </w:tc>
        <w:tc>
          <w:tcPr>
            <w:tcW w:w="2040" w:type="dxa"/>
            <w:vAlign w:val="bottom"/>
            <w:tcBorders>
              <w:bottom w:val="single" w:sz="8" w:color="auto"/>
            </w:tcBorders>
            <w:gridSpan w:val="2"/>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   (2,982)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Income tax benefit was $3.0 million for the three months ended April 30, 2024 compared to a provision for $4.5 million for the three months ended April 30, 2025, and resulted in an effective tax rate of 56.5% and 43.0%, respectively. The change in the effective tax rate for the three months ended April 30, 2025 compared to the effective tax rate for the three months ended April 30, 2024 was primarily due to a reduction of our valuation allowance and profitable foreign jurisdictions.</w:t>
      </w:r>
    </w:p>
    <w:p>
      <w:pPr>
        <w:spacing w:after="0" w:line="180" w:lineRule="exact"/>
        <w:rPr>
          <w:sz w:val="20"/>
          <w:szCs w:val="20"/>
          <w:color w:val="auto"/>
        </w:rPr>
      </w:pPr>
    </w:p>
    <w:p>
      <w:pPr>
        <w:ind w:right="120" w:firstLine="891"/>
        <w:spacing w:after="0" w:line="258" w:lineRule="auto"/>
        <w:rPr>
          <w:sz w:val="20"/>
          <w:szCs w:val="20"/>
          <w:color w:val="auto"/>
        </w:rPr>
      </w:pPr>
      <w:r>
        <w:rPr>
          <w:rFonts w:ascii="Times New Roman" w:cs="Times New Roman" w:eastAsia="Times New Roman" w:hAnsi="Times New Roman"/>
          <w:sz w:val="18"/>
          <w:szCs w:val="18"/>
          <w:color w:val="auto"/>
        </w:rPr>
        <w:t>We continue to maintain a valuation allowance against our deferred tax assets in several jurisdictions, including the U.S. It is determined by management when a valuation allowance should be recorded, utilizing significant judgement and the use of estimates. Through acquisitions, the Company recorded a net U.S. deferred tax liability mostly related to identifiable intangible assets. The deferred tax liability recognized provides additional positive evidence that a portion of the Company's U.S. deferred tax are realizable. As a result, the Company reduced the historical valuation allowance in the U.S. by $2.0 million during the three months ended April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9" w:lineRule="exact"/>
        <w:rPr>
          <w:sz w:val="20"/>
          <w:szCs w:val="20"/>
          <w:color w:val="auto"/>
        </w:rPr>
      </w:pPr>
    </w:p>
    <w:p>
      <w:pPr>
        <w:ind w:right="280" w:firstLine="891"/>
        <w:spacing w:after="0" w:line="256" w:lineRule="auto"/>
        <w:rPr>
          <w:sz w:val="20"/>
          <w:szCs w:val="20"/>
          <w:color w:val="auto"/>
        </w:rPr>
      </w:pPr>
      <w:r>
        <w:rPr>
          <w:rFonts w:ascii="Times New Roman" w:cs="Times New Roman" w:eastAsia="Times New Roman" w:hAnsi="Times New Roman"/>
          <w:sz w:val="18"/>
          <w:szCs w:val="18"/>
          <w:color w:val="auto"/>
        </w:rPr>
        <w:t>In addition to providing financial measurements based on GAAP, we provide non-GAAP operating income as an additional financial metric that is not prepared in accordance with GAAP (non-GAAP). Our calculation of non-GAAP operating income is described below.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87" w:lineRule="exact"/>
        <w:rPr>
          <w:sz w:val="20"/>
          <w:szCs w:val="20"/>
          <w:color w:val="auto"/>
        </w:rPr>
      </w:pPr>
    </w:p>
    <w:p>
      <w:pPr>
        <w:ind w:right="300" w:firstLine="891"/>
        <w:spacing w:after="0" w:line="258" w:lineRule="auto"/>
        <w:rPr>
          <w:sz w:val="20"/>
          <w:szCs w:val="20"/>
          <w:color w:val="auto"/>
        </w:rPr>
      </w:pPr>
      <w:r>
        <w:rPr>
          <w:rFonts w:ascii="Times New Roman" w:cs="Times New Roman" w:eastAsia="Times New Roman" w:hAnsi="Times New Roman"/>
          <w:sz w:val="18"/>
          <w:szCs w:val="18"/>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w:t>
      </w:r>
    </w:p>
    <w:p>
      <w:pPr>
        <w:spacing w:after="0" w:line="181" w:lineRule="exact"/>
        <w:rPr>
          <w:sz w:val="20"/>
          <w:szCs w:val="20"/>
          <w:color w:val="auto"/>
        </w:rPr>
      </w:pPr>
    </w:p>
    <w:p>
      <w:pPr>
        <w:ind w:right="64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Non-GAAP operating income. </w:t>
      </w:r>
      <w:r>
        <w:rPr>
          <w:rFonts w:ascii="Times New Roman" w:cs="Times New Roman" w:eastAsia="Times New Roman" w:hAnsi="Times New Roman"/>
          <w:sz w:val="18"/>
          <w:szCs w:val="18"/>
          <w:color w:val="auto"/>
        </w:rPr>
        <w:t>Non-GAAP operating income is defined as loss from operations as reported in our unaudited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operations excluding the following items:</w:t>
      </w:r>
    </w:p>
    <w:p>
      <w:pPr>
        <w:spacing w:after="0" w:line="158" w:lineRule="exact"/>
        <w:rPr>
          <w:sz w:val="20"/>
          <w:szCs w:val="20"/>
          <w:color w:val="auto"/>
        </w:rPr>
      </w:pPr>
    </w:p>
    <w:p>
      <w:pPr>
        <w:ind w:right="16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Amortization of Purchased Intangibles. </w:t>
      </w:r>
      <w:r>
        <w:rPr>
          <w:rFonts w:ascii="Times New Roman" w:cs="Times New Roman" w:eastAsia="Times New Roman" w:hAnsi="Times New Roman"/>
          <w:sz w:val="18"/>
          <w:szCs w:val="18"/>
          <w:color w:val="auto"/>
        </w:rPr>
        <w:t>nCino incurs amortization expense for purchased intangible assets in connection with certain mergers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acquisitions. Because these costs have already been incurred, cannot be recovered, are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non-cash, and are affected by the inherent subjective nature of purchase price allocations, nCino excludes these expenses for our internal management reporting processes. nCino’s management also finds it useful to exclude these charges when assessing the appropriate level of various operating expenses and resource allocations when budgeting, planning and forecasting future periods. Although nCino excludes amortization expense for purchased intangibles from these non-GAAP measures, management believes it is important for investors to understand that such intangible assets were recorded as part of purchase accounting and contribute to revenue generation.</w:t>
      </w:r>
    </w:p>
    <w:p>
      <w:pPr>
        <w:spacing w:after="0" w:line="181" w:lineRule="exact"/>
        <w:rPr>
          <w:sz w:val="20"/>
          <w:szCs w:val="20"/>
          <w:color w:val="auto"/>
        </w:rPr>
      </w:pPr>
    </w:p>
    <w:p>
      <w:pPr>
        <w:ind w:right="20"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 </w:t>
      </w:r>
      <w:r>
        <w:rPr>
          <w:rFonts w:ascii="Times New Roman" w:cs="Times New Roman" w:eastAsia="Times New Roman" w:hAnsi="Times New Roman"/>
          <w:sz w:val="18"/>
          <w:szCs w:val="18"/>
          <w:color w:val="auto"/>
        </w:rPr>
        <w:t>nCino excludes stock-based compensation expenses primarily because they are non-cash expenses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nCino excludes from our internal management reporting processes. nCino’s management also finds it useful to exclude these expenses when they assess the appropriate level of various operating expenses and resource allocations when budgeting, planning and forecasting future periods. Moreover, because of varying available valuation methodologies, subjective assumptions and the variety of award types that companies can use, nCino believes excluding stock-based compensation expenses allows investors to make meaningful comparisons between our recurring core business operating results and those of other companies.</w:t>
      </w:r>
    </w:p>
    <w:p>
      <w:pPr>
        <w:spacing w:after="0" w:line="182"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 Related Expenses. </w:t>
      </w:r>
      <w:r>
        <w:rPr>
          <w:rFonts w:ascii="Times New Roman" w:cs="Times New Roman" w:eastAsia="Times New Roman" w:hAnsi="Times New Roman"/>
          <w:sz w:val="18"/>
          <w:szCs w:val="18"/>
          <w:color w:val="auto"/>
        </w:rPr>
        <w:t>nCino excludes expenses related to acquisitions as they limit comparability of operating results with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Acquisition-related expenses, include but are not limited to, costs incurred from third-party professional services firms in connection with business combination, change in fair value of contingent consideration, and one-time integration activities. We believe these costs are non-recurring in nature and outside the ordinary course of business.</w:t>
      </w:r>
    </w:p>
    <w:p>
      <w:pPr>
        <w:spacing w:after="0" w:line="180" w:lineRule="exact"/>
        <w:rPr>
          <w:sz w:val="20"/>
          <w:szCs w:val="20"/>
          <w:color w:val="auto"/>
        </w:rPr>
      </w:pPr>
    </w:p>
    <w:p>
      <w:pPr>
        <w:ind w:right="100" w:firstLine="891"/>
        <w:spacing w:after="0" w:line="267" w:lineRule="auto"/>
        <w:rPr>
          <w:sz w:val="20"/>
          <w:szCs w:val="20"/>
          <w:color w:val="auto"/>
        </w:rPr>
      </w:pPr>
      <w:r>
        <w:rPr>
          <w:rFonts w:ascii="Times New Roman" w:cs="Times New Roman" w:eastAsia="Times New Roman" w:hAnsi="Times New Roman"/>
          <w:sz w:val="18"/>
          <w:szCs w:val="18"/>
          <w:i w:val="1"/>
          <w:iCs w:val="1"/>
          <w:color w:val="auto"/>
        </w:rPr>
        <w:t>Litigation Expenses</w:t>
      </w:r>
      <w:r>
        <w:rPr>
          <w:rFonts w:ascii="Times New Roman" w:cs="Times New Roman" w:eastAsia="Times New Roman" w:hAnsi="Times New Roman"/>
          <w:sz w:val="18"/>
          <w:szCs w:val="18"/>
          <w:color w:val="auto"/>
        </w:rPr>
        <w:t>. nCino excludes fees and expenses related to certain litigation expenses incurred from legal matters outside the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course of our business as we believe their exclusion from non-GAAP operating expenses will facilitate a more meaningful explanation of operating results and comparisons with prior period results.</w:t>
      </w:r>
    </w:p>
    <w:p>
      <w:pPr>
        <w:spacing w:after="0" w:line="173" w:lineRule="exact"/>
        <w:rPr>
          <w:sz w:val="20"/>
          <w:szCs w:val="20"/>
          <w:color w:val="auto"/>
        </w:rPr>
      </w:pPr>
    </w:p>
    <w:p>
      <w:pPr>
        <w:ind w:right="840" w:firstLine="89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Costs. </w:t>
      </w:r>
      <w:r>
        <w:rPr>
          <w:rFonts w:ascii="Times New Roman" w:cs="Times New Roman" w:eastAsia="Times New Roman" w:hAnsi="Times New Roman"/>
          <w:sz w:val="18"/>
          <w:szCs w:val="18"/>
          <w:color w:val="auto"/>
        </w:rPr>
        <w:t>nCino excludes costs incurred related to bespoke restructuring plans and other one-time costs, if any,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fundamentally different in strategic nature and frequency from ongoing initiatives. We believe excluding these costs facilitates a more consistent comparison of operating performance over time.</w:t>
      </w:r>
    </w:p>
    <w:p>
      <w:pPr>
        <w:spacing w:after="0" w:line="175"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183" w:lineRule="exact"/>
        <w:rPr>
          <w:sz w:val="20"/>
          <w:szCs w:val="20"/>
          <w:color w:val="auto"/>
        </w:rPr>
      </w:pPr>
    </w:p>
    <w:p>
      <w:pPr>
        <w:ind w:right="740" w:firstLine="891"/>
        <w:spacing w:after="0" w:line="282" w:lineRule="auto"/>
        <w:rPr>
          <w:sz w:val="20"/>
          <w:szCs w:val="20"/>
          <w:color w:val="auto"/>
        </w:rPr>
      </w:pPr>
      <w:r>
        <w:rPr>
          <w:rFonts w:ascii="Times New Roman" w:cs="Times New Roman" w:eastAsia="Times New Roman" w:hAnsi="Times New Roman"/>
          <w:sz w:val="18"/>
          <w:szCs w:val="18"/>
          <w:color w:val="auto"/>
        </w:rPr>
        <w:t>The following table reconciles non-GAAP operating income to loss from operations, the most directly comparable financial measure, calculated and presented in accordance with GAAP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loss from operations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0" w:type="dxa"/>
            <w:vAlign w:val="bottom"/>
          </w:tcPr>
          <w:p>
            <w:pPr>
              <w:spacing w:after="0"/>
              <w:rPr>
                <w:sz w:val="1"/>
                <w:szCs w:val="1"/>
                <w:color w:val="auto"/>
              </w:rPr>
            </w:pPr>
          </w:p>
        </w:tc>
      </w:tr>
      <w:tr>
        <w:trPr>
          <w:trHeight w:val="230"/>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Litigation expenses</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26,343</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24,830</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400"/>
        <w:spacing w:after="0" w:line="230"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Represents legal expenses related to a closed government antitrust investigation and related settled civil action and a dismissed shareholder derivative lawsuit.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60" w:firstLine="891"/>
        <w:spacing w:after="0" w:line="266" w:lineRule="auto"/>
        <w:rPr>
          <w:sz w:val="20"/>
          <w:szCs w:val="20"/>
          <w:color w:val="auto"/>
        </w:rPr>
      </w:pPr>
      <w:r>
        <w:rPr>
          <w:rFonts w:ascii="Times New Roman" w:cs="Times New Roman" w:eastAsia="Times New Roman" w:hAnsi="Times New Roman"/>
          <w:sz w:val="18"/>
          <w:szCs w:val="18"/>
          <w:color w:val="auto"/>
        </w:rPr>
        <w:t>As of April 30, 2025, we had $133.2 million in cash and cash equivalents and an accumulated deficit of $379.4 million. Our net losses have been driven by our investments in developing the nCino Platform and scaling our sales and marketing organization and finance and administrative functions to support our rapid growth.</w:t>
      </w:r>
    </w:p>
    <w:p>
      <w:pPr>
        <w:spacing w:after="0" w:line="176"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To date, we have funded our capital needs through issuances of common stock including our initial public offering in July 2020, operating cash flows, and our revolving line of credit.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w:t>
      </w:r>
    </w:p>
    <w:p>
      <w:pPr>
        <w:spacing w:after="0" w:line="180"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As of April 30, 2025, the Company had $208.5 million outstanding and no letters of credit issued under the credit facility, was in compliance with all covenants, and had borrowing availability of $41.5 million. During the three months ended April 30, 2025, the Company had net borrowings of $42.5 million to fund the Sandbox Banking acquisition and repurchase shares of the Company's common stock. As of April 30, 2025, the applicable interest rate was 6.32%. See Note 10 "Revolving Credit Facility" of the notes to our unaudited condensed consolidated financial statements included in Part I, Item I of this Quarterly Report on Form 10-Q for more information.</w:t>
      </w:r>
    </w:p>
    <w:p>
      <w:pPr>
        <w:spacing w:after="0" w:line="183"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color w:val="auto"/>
        </w:rPr>
        <w:t>We believe that current cash and cash equivalents as well as borrowings available under the Credit Facility will be sufficient to fund our operations, capital requirements, and share repurchases for at least the next 12 months. Our future capital requirements will depend on many factors, including our growth rate, the timing and extent of spending to support research and development efforts to enhance the nCino Platform and introduce new solutions, market acceptance of our solutions, the continued expansion of our sales and marketing activities, capital expenditure requirements, and any potential future acquisitions. We expect to incur capital expenditures for planned office build-outs to accommodate our growth, primarily for an international office, which we estimate to spend approximately $3.9 million in the remainder of fiscal 2026.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In March 2025, our Board of Directors authorized a stock repurchase program of up to $100.0 million of our outstanding common stock. The volume, price, timing, and manner of any repurchases will be determined at the Company's discretion, subject to general market conditions, as well as the Company's management of capital, general business conditions, other investment opportunities regulatory requirements and other factors. The repurchase program does not obligate the Company to repurchase any specific amount of common stock, has no time limit, and may be modified, suspended, or discontinued at any time without notice at the discretion of our Board of Directors. During the three months ended April 30, 2025, we repurchased 1.8 million shares of our outstanding common stock for $40.6 million, excluding transaction costs and excise tax associated with the repurchases, if any. As of April 30, 2025, $59.4 million remained available for future repurchases under the share repurchase program. See Note 8 "Stockholders' Equity" of the notes to our unaudited condensed consolidated financial statements included in Part I, Item I of this Quarterly Report on Form 10-Q for more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nCino K.K.</w:t>
      </w:r>
    </w:p>
    <w:p>
      <w:pPr>
        <w:spacing w:after="0" w:line="229" w:lineRule="exact"/>
        <w:rPr>
          <w:sz w:val="20"/>
          <w:szCs w:val="20"/>
          <w:color w:val="auto"/>
        </w:rPr>
      </w:pPr>
    </w:p>
    <w:p>
      <w:pPr>
        <w:ind w:firstLine="891"/>
        <w:spacing w:after="0" w:line="273" w:lineRule="auto"/>
        <w:rPr>
          <w:sz w:val="20"/>
          <w:szCs w:val="20"/>
          <w:color w:val="auto"/>
        </w:rPr>
      </w:pPr>
      <w:r>
        <w:rPr>
          <w:rFonts w:ascii="Times New Roman" w:cs="Times New Roman" w:eastAsia="Times New Roman" w:hAnsi="Times New Roman"/>
          <w:sz w:val="17"/>
          <w:szCs w:val="17"/>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2025 and April 30, 2025, the redeemable non-controlling interest was $8.3 million and $8.7 million, respectively.</w:t>
      </w:r>
    </w:p>
    <w:p>
      <w:pPr>
        <w:spacing w:after="0" w:line="171" w:lineRule="exact"/>
        <w:rPr>
          <w:sz w:val="20"/>
          <w:szCs w:val="20"/>
          <w:color w:val="auto"/>
        </w:rPr>
      </w:pPr>
    </w:p>
    <w:p>
      <w:pPr>
        <w:ind w:right="80" w:firstLine="891"/>
        <w:spacing w:after="0" w:line="282" w:lineRule="auto"/>
        <w:rPr>
          <w:sz w:val="20"/>
          <w:szCs w:val="20"/>
          <w:color w:val="auto"/>
        </w:rPr>
      </w:pPr>
      <w:r>
        <w:rPr>
          <w:rFonts w:ascii="Times New Roman" w:cs="Times New Roman" w:eastAsia="Times New Roman" w:hAnsi="Times New Roman"/>
          <w:sz w:val="18"/>
          <w:szCs w:val="18"/>
          <w:color w:val="auto"/>
        </w:rPr>
        <w:t>As part of our joint venture obligations, we made an additional cash capital contribution of $1.0 million to nCino K.K. during the third quarter of fiscal 2024.</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Summary Cash Flow information for the three months ended April 30, 2024 and 2025 are set forth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rPr>
              <w:t>54,442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54,320</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120" w:type="dxa"/>
            <w:vAlign w:val="bottom"/>
          </w:tcPr>
          <w:p>
            <w:pPr>
              <w:jc w:val="center"/>
              <w:ind w:left="357"/>
              <w:spacing w:after="0"/>
              <w:rPr>
                <w:sz w:val="20"/>
                <w:szCs w:val="20"/>
                <w:color w:val="auto"/>
              </w:rPr>
            </w:pPr>
            <w:r>
              <w:rPr>
                <w:rFonts w:ascii="Times New Roman" w:cs="Times New Roman" w:eastAsia="Times New Roman" w:hAnsi="Times New Roman"/>
                <w:sz w:val="18"/>
                <w:szCs w:val="18"/>
                <w:color w:val="auto"/>
                <w:w w:val="97"/>
              </w:rPr>
              <w:t>(91,229)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rPr>
              <w:t>55,980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ind w:right="40" w:firstLine="891"/>
        <w:spacing w:after="0" w:line="253" w:lineRule="auto"/>
        <w:rPr>
          <w:sz w:val="20"/>
          <w:szCs w:val="20"/>
          <w:color w:val="auto"/>
        </w:rPr>
      </w:pPr>
      <w:r>
        <w:rPr>
          <w:rFonts w:ascii="Times New Roman" w:cs="Times New Roman" w:eastAsia="Times New Roman" w:hAnsi="Times New Roman"/>
          <w:sz w:val="18"/>
          <w:szCs w:val="18"/>
          <w:color w:val="auto"/>
        </w:rPr>
        <w:t>The $54.3 million provided by operating activities in the three months ended April 30, 2025 reflects our net income of $6.0 million, $19.1 million in net non-cash charges and $29.2 million generated by changes in working capital accounts. Non-cash charges primarily consisted of stock-based compensation, depreciation and amortization, amortization of costs capitalized to obtain revenue contracts, deferred income taxes, non-cash operating lease costs, provision for bad debt, and change in fair value of contingent consideration, partially offset by deferred income taxes and foreign currency gains related to remeasurement of intercompany loans and transactions and gains on investments. Cash generated by working capital accounts was principally a function of a $45.7 million decrease in accounts receivable due to the timing of billings and collections from customers, $5.2 million increase in deferred revenue due to the timing of billings and revenue recognition, and a $0.5 million increase in accounts payable. The cash generated by working capital accounts was partially offset by a $15.8 million decrease in accrued expenses and other liabilities primarily due to the payout of bonuses and commission, an increase of $3.2 million of capitalized costs to obtain revenue contracts, which consisted primarily of sales commissions, and a $1.5 million increase in prepaid expenses and other assets and a $1.3 million decrease in operating lease liabilities.</w:t>
      </w:r>
    </w:p>
    <w:p>
      <w:pPr>
        <w:spacing w:after="0" w:line="194"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The $54.4 million provided by operating activities in the three months ended April 30, 2024 reflects our net loss of $2.3 million, offset by $30.7 million generated by changes in working capital accounts and $26.0 million in non-cash charges. Non-cash charges primarily consisted of stock-based compensation, depreciation and amortization, deferred income taxes, non-cash operating lease costs, amortization of costs capitalized to obtain revenue contracts, foreign currency losses related to remeasurement of intercompany loans and transactions, and recovery of bad debt. Cash generated by working capital accounts was principally a function of a $37.5 million decrease in accounts receivable due to timing of billings and collections from customers, a $6.2 million increase in deferred revenue, due to the timing of billings and revenue recognition and a $3.8 million increase in accounts payable which includes acquisition related expenses. The cash generated by working capital accounts was partially offset by a $8.2 million decrease in accrued expenses and other current liabilities primarily due to the payout of bonuses and commissions, $5.1 million of capitalized costs to obtain revenue contracts, which consisted primarily of sales commissions, a $2.1 million increase in prepaid expenses and other assets, and a $1.4 million decrease in operating lease liabilities.</w:t>
      </w:r>
    </w:p>
    <w:p>
      <w:pPr>
        <w:spacing w:after="0" w:line="1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The $48.3 million used in investing activities in the three months ended April 30, 2025 was comprised of $50.3 million used for the acquisition of Sandbox, $1.7 million for the purchase of property and equipment and leasehold improvements to support the expansion of our business. The cash used in investing activities was partially offset by proceeds from the sale of an investment of $3.7 million. The $91.2 million used in investing activities in the three months ended April 30, 2024 was comprised of $90.7 million used for the acquisition of DocFox and ILT, $0.3 million for the purchase of property and equipment and leasehold improvements to support the expansion of our business, and $0.2 million for an asset acquisition.</w:t>
      </w:r>
    </w:p>
    <w:p>
      <w:pPr>
        <w:spacing w:after="0" w:line="18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The $2.3 million provided by financing activities in the three months ended April 30, 2025 was comprised principally of $102.5 million proceeds from borrowings on our credit facility, to fund the acquisition of Sandbox Banking and to make repurchases of our common stock under the stock repurchase program, and $0.7 million of proceeds from the exercise of stock options. The cash provided by financing activities was offset by payments of $60.0 million on our credit facility, repurchases of our common stock of $40.6 million, and principal payments of $0.4 million on financing obligations. The $56.0 million provided by financing activities in the three months ended April 30, 2024 was comprised principally of payments of $75.0 million proceeds from borrowings on our credit facility to fund the acquisition of DocFox and $1.6 million of proceeds from the exercise of stock options. The cash provided by financing activities was partially offset by payments of $20.0 million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credit facility, principal payments of $0.4 million on financing obligations, and payments of debt issuance costs of $0.3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18"/>
          <w:szCs w:val="18"/>
          <w:color w:val="auto"/>
        </w:rPr>
        <w:t>Our estimated future obligations principally consist of leases related to our facilities, purchase obligations related primarily to licenses and hosting services, financing obligations for leases for which we are considered the owners for accounting purposes, acquisition liabilities, and the Credit Facility. See Note 6 "Business Combinations," "Note 9 "Leases," Note 10 "Revolving Credit Facility," and Note 11 "Commitments and Contingencies" of the notes to our unaudited condensed consolidated financial statements included in Part I, Item 1 of this Quarterly Report on Form 10-Q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spacing w:after="0" w:line="187" w:lineRule="exact"/>
        <w:rPr>
          <w:sz w:val="20"/>
          <w:szCs w:val="20"/>
          <w:color w:val="auto"/>
        </w:rPr>
      </w:pPr>
    </w:p>
    <w:p>
      <w:pPr>
        <w:ind w:right="180" w:firstLine="891"/>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or estimates as compared to those disclosed in the Annual Report on Form 10-K for the fiscal year ended January 31, 2025 filed with the SEC on April 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540" w:firstLine="891"/>
        <w:spacing w:after="0" w:line="266" w:lineRule="auto"/>
        <w:rPr>
          <w:sz w:val="20"/>
          <w:szCs w:val="20"/>
          <w:color w:val="auto"/>
        </w:rPr>
      </w:pPr>
      <w:r>
        <w:rPr>
          <w:rFonts w:ascii="Times New Roman" w:cs="Times New Roman" w:eastAsia="Times New Roman" w:hAnsi="Times New Roman"/>
          <w:sz w:val="18"/>
          <w:szCs w:val="18"/>
          <w:color w:val="auto"/>
        </w:rPr>
        <w:t>See Note 1 "Summary of Business and Significant Accounting Policies" of the notes to our unaudited condensed consolidated financial statements included in Part I, Item 1 of this Quarterly Report on Form 10-Q for recently adopted accounting pronouncements and recently issued accounting pronouncements not yet adopted, if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60" w:firstLine="891"/>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At April 30, 2025, we had cash, cash equivalents and restricted cash of $133.6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Quarterly Report on Form 10-Q. We do not enter into investments for trading or speculative purposes and have not used any derivative financial instruments to manage our interest rate risk exposure.</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Our 2024 Credit Facility is a senior secured revolving credit facility of up to $250.0 million. Borrowings bear interest, at the Borrower’s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 at: (i) a base rate equal to the greatest of (a) the Agent’s “prime rate”, (b) the federal funds rate plus 0.50%, and (c) the Term SOFR rate plus 1.00%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base rate shall not be less than 0.00%), plus a margin of 1.00%; or (ii) the Term SOFR rate (provided that the Term SOFR shall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0.00%), plus a margin of 2.00%, in each case with such margin subject to step ups based on certain leverage ratios. As a result, we are exposed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interest rate risk as we make draws. At April 30, 2025, we had $208.5 million outstanding under the 2024 Credit Facility. A hypothetical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point change in interest rates would not have had a material impact on our financial results included in this Quarterly Report on Form 10-Q. See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"Revolving Credit Facility" of the notes to our unaudited condensed consolidated financial statements included in Part I, Item 1 of this Quarterly Report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Form 10-Q for additional information.</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unaudited condensed consolidated statements of operations. Furthermore, our customers outside of the U.S.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88" w:lineRule="exact"/>
        <w:rPr>
          <w:sz w:val="20"/>
          <w:szCs w:val="20"/>
          <w:color w:val="auto"/>
        </w:rPr>
      </w:pPr>
    </w:p>
    <w:p>
      <w:pPr>
        <w:jc w:val="both"/>
        <w:ind w:right="240" w:firstLine="891"/>
        <w:spacing w:after="0" w:line="266" w:lineRule="auto"/>
        <w:rPr>
          <w:sz w:val="20"/>
          <w:szCs w:val="20"/>
          <w:color w:val="auto"/>
        </w:rPr>
      </w:pPr>
      <w:r>
        <w:rPr>
          <w:rFonts w:ascii="Times New Roman" w:cs="Times New Roman" w:eastAsia="Times New Roman" w:hAnsi="Times New Roman"/>
          <w:sz w:val="18"/>
          <w:szCs w:val="18"/>
          <w:color w:val="auto"/>
        </w:rPr>
        <w:t>At April 30, 2025, based on the balances of our cash, cash equivalents, and restricted cash denominated in foreign currencies, a hypothetical 10% increase or decrease in foreign currency exchange rates would have had an impact of approximately $7.2 million on our cash, cash equivalents and restricted cash at April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80" w:firstLine="891"/>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Chief Executive Officer and Chief Financial Officer, evaluated the effectiveness of our disclosure controls and procedures at April 30, 2025, the last day of the period covered by this Quarterly Report on Form 10-Q. Based on this evaluation, our Chief Executive Officer and Chief Financial Officer have concluded that, at April 30, 2025, our disclosure controls and procedures were effective at the reasonable assurance level.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60" w:firstLine="891"/>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the Effectiveness of Controls</w:t>
      </w:r>
    </w:p>
    <w:p>
      <w:pPr>
        <w:spacing w:after="0" w:line="229"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litigation matters and be subject to claims that arise in the ordinary course of business. For information regarding legal proceedings, see Note 11 "Commitments and Contingencies" of the notes to our unaudited condensed consolidated financial statements included in Part I, Item 1 of this Quarterly Report on Form 10-Q, which is incorporated by reference into this Part II, Item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60" w:firstLine="881"/>
        <w:spacing w:after="0" w:line="255" w:lineRule="auto"/>
        <w:rPr>
          <w:sz w:val="20"/>
          <w:szCs w:val="20"/>
          <w:color w:val="auto"/>
        </w:rPr>
      </w:pPr>
      <w:r>
        <w:rPr>
          <w:rFonts w:ascii="Times New Roman" w:cs="Times New Roman" w:eastAsia="Times New Roman" w:hAnsi="Times New Roman"/>
          <w:sz w:val="18"/>
          <w:szCs w:val="18"/>
          <w:color w:val="auto"/>
        </w:rPr>
        <w:t>There are no material changes to the risk factors in the Company's Annual Report on Form 10-K for the fiscal year ended January 31, 2025 filed with the SEC on April 1, 2025 under the heading "Risk Factors." You should consider and read carefully these risks, as well as other information included in this Quarterly Report on Form 10-Q, including the section titled "Management's Discussion and Analysis of Financial Condition and Results of Operations" and our unaudited condensed consolidated financial statements and related notes before making an investment decision with respect to our common stock. Those risks are not the only ones we face. The occurrence of any of those risks or additional risks and uncertainties not presently known to us or that we currently believe to be immaterial could materially and adversely affect our business, financial condition, and results of operation. In such case, the trading price of our common stock could decline, and you may lose all or part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share repurchase activity for the three months ended April 30, 2025 (in thousands, except share and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89"/>
        </w:trPr>
        <w:tc>
          <w:tcPr>
            <w:tcW w:w="3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60" w:type="dxa"/>
            <w:vAlign w:val="bottom"/>
          </w:tcPr>
          <w:p>
            <w:pPr>
              <w:spacing w:after="0"/>
              <w:rPr>
                <w:sz w:val="15"/>
                <w:szCs w:val="15"/>
                <w:color w:val="auto"/>
              </w:rPr>
            </w:pPr>
          </w:p>
        </w:tc>
        <w:tc>
          <w:tcPr>
            <w:tcW w:w="17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00" w:type="dxa"/>
            <w:vAlign w:val="bottom"/>
          </w:tcPr>
          <w:p>
            <w:pPr>
              <w:spacing w:after="0"/>
              <w:rPr>
                <w:sz w:val="15"/>
                <w:szCs w:val="15"/>
                <w:color w:val="auto"/>
              </w:rPr>
            </w:pPr>
          </w:p>
        </w:tc>
        <w:tc>
          <w:tcPr>
            <w:tcW w:w="17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Value that May Yet Be</w:t>
            </w:r>
          </w:p>
        </w:tc>
        <w:tc>
          <w:tcPr>
            <w:tcW w:w="0" w:type="dxa"/>
            <w:vAlign w:val="bottom"/>
          </w:tcPr>
          <w:p>
            <w:pPr>
              <w:spacing w:after="0"/>
              <w:rPr>
                <w:sz w:val="1"/>
                <w:szCs w:val="1"/>
                <w:color w:val="auto"/>
              </w:rPr>
            </w:pPr>
          </w:p>
        </w:tc>
      </w:tr>
      <w:tr>
        <w:trPr>
          <w:trHeight w:val="189"/>
        </w:trPr>
        <w:tc>
          <w:tcPr>
            <w:tcW w:w="396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7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00" w:type="dxa"/>
            <w:vAlign w:val="bottom"/>
          </w:tcPr>
          <w:p>
            <w:pPr>
              <w:spacing w:after="0"/>
              <w:rPr>
                <w:sz w:val="16"/>
                <w:szCs w:val="16"/>
                <w:color w:val="auto"/>
              </w:rPr>
            </w:pPr>
          </w:p>
        </w:tc>
        <w:tc>
          <w:tcPr>
            <w:tcW w:w="17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19"/>
                <w:szCs w:val="19"/>
                <w:color w:val="auto"/>
              </w:rPr>
            </w:pPr>
          </w:p>
        </w:tc>
        <w:tc>
          <w:tcPr>
            <w:tcW w:w="1740" w:type="dxa"/>
            <w:vAlign w:val="bottom"/>
          </w:tcPr>
          <w:p>
            <w:pPr>
              <w:jc w:val="right"/>
              <w:ind w:right="1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Shares Purchased </w:t>
            </w:r>
            <w:r>
              <w:rPr>
                <w:rFonts w:ascii="Times New Roman" w:cs="Times New Roman" w:eastAsia="Times New Roman" w:hAnsi="Times New Roman"/>
                <w:sz w:val="23"/>
                <w:szCs w:val="23"/>
                <w:b w:val="1"/>
                <w:bCs w:val="1"/>
                <w:color w:val="auto"/>
                <w:vertAlign w:val="subscript"/>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220"/>
              <w:spacing w:after="0" w:line="230" w:lineRule="exact"/>
              <w:rPr>
                <w:sz w:val="20"/>
                <w:szCs w:val="20"/>
                <w:color w:val="auto"/>
              </w:rPr>
            </w:pPr>
            <w:r>
              <w:rPr>
                <w:rFonts w:ascii="Times New Roman" w:cs="Times New Roman" w:eastAsia="Times New Roman" w:hAnsi="Times New Roman"/>
                <w:sz w:val="18"/>
                <w:szCs w:val="18"/>
                <w:b w:val="1"/>
                <w:bCs w:val="1"/>
                <w:color w:val="auto"/>
                <w:w w:val="95"/>
              </w:rPr>
              <w:t xml:space="preserve">per Share </w:t>
            </w:r>
            <w:r>
              <w:rPr>
                <w:rFonts w:ascii="Times New Roman" w:cs="Times New Roman" w:eastAsia="Times New Roman" w:hAnsi="Times New Roman"/>
                <w:sz w:val="23"/>
                <w:szCs w:val="23"/>
                <w:b w:val="1"/>
                <w:bCs w:val="1"/>
                <w:color w:val="auto"/>
                <w:w w:val="95"/>
                <w:vertAlign w:val="subscript"/>
              </w:rPr>
              <w:t>(2)</w:t>
            </w:r>
          </w:p>
        </w:tc>
        <w:tc>
          <w:tcPr>
            <w:tcW w:w="174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5"/>
              </w:rPr>
              <w:t xml:space="preserve">Programs </w:t>
            </w:r>
            <w:r>
              <w:rPr>
                <w:rFonts w:ascii="Times New Roman" w:cs="Times New Roman" w:eastAsia="Times New Roman" w:hAnsi="Times New Roman"/>
                <w:sz w:val="23"/>
                <w:szCs w:val="23"/>
                <w:b w:val="1"/>
                <w:bCs w:val="1"/>
                <w:color w:val="auto"/>
                <w:w w:val="95"/>
                <w:vertAlign w:val="subscript"/>
              </w:rPr>
              <w:t>(1)</w:t>
            </w:r>
          </w:p>
        </w:tc>
        <w:tc>
          <w:tcPr>
            <w:tcW w:w="100" w:type="dxa"/>
            <w:vAlign w:val="bottom"/>
          </w:tcPr>
          <w:p>
            <w:pPr>
              <w:spacing w:after="0"/>
              <w:rPr>
                <w:sz w:val="19"/>
                <w:szCs w:val="19"/>
                <w:color w:val="auto"/>
              </w:rPr>
            </w:pPr>
          </w:p>
        </w:tc>
        <w:tc>
          <w:tcPr>
            <w:tcW w:w="1760" w:type="dxa"/>
            <w:vAlign w:val="bottom"/>
            <w:gridSpan w:val="2"/>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 xml:space="preserve">Plans or Programs </w:t>
            </w:r>
            <w:r>
              <w:rPr>
                <w:rFonts w:ascii="Times New Roman" w:cs="Times New Roman" w:eastAsia="Times New Roman" w:hAnsi="Times New Roman"/>
                <w:sz w:val="23"/>
                <w:szCs w:val="23"/>
                <w:b w:val="1"/>
                <w:bCs w:val="1"/>
                <w:color w:val="auto"/>
                <w:w w:val="97"/>
                <w:vertAlign w:val="subscript"/>
              </w:rPr>
              <w:t>(1)</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2025 to February 28, 2025</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2025 to March 31, 2025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to April 30, 2025</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1,829,113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1,829,113</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59,449</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1,829,113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1,829,113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 w:firstLine="8"/>
        <w:spacing w:after="0" w:line="326" w:lineRule="auto"/>
        <w:tabs>
          <w:tab w:leader="none" w:pos="165"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 March 2025, our Board of Directors authorized, and on April 1, 2025, the Company publicly announced, a stock repurchase program of up to $100.0 million of our outstanding common stock. The Company may make repurchases, from time to time, through open market purchases, block trades, in privately negotiated transactions, accelerated stock repurchase transaction, or by other means. Open market repurchases will be structured to occur in accordance with applicable federal securities laws. The Company may also, from time to time, enter into Rule 10b5-1 plans to facilitate repurchases under this authorization. The volume, price, timing, and manner of any repurchases will be determined at the Company's discretion, subject to general market conditions, as well as the Company's management of capital, general business conditions, other investment opportunities regulatory requirements and other factors. The repurchase program does not obligate the Company to repurchase any specific amount of common stock, has no time limit, and may be modified, suspended, or discontinued at any time without notice at the discretion of our Board of Directors.</w:t>
      </w:r>
    </w:p>
    <w:p>
      <w:pPr>
        <w:spacing w:after="0" w:line="113" w:lineRule="exact"/>
        <w:rPr>
          <w:rFonts w:ascii="Times New Roman" w:cs="Times New Roman" w:eastAsia="Times New Roman" w:hAnsi="Times New Roman"/>
          <w:sz w:val="20"/>
          <w:szCs w:val="20"/>
          <w:color w:val="auto"/>
          <w:vertAlign w:val="superscript"/>
        </w:rPr>
      </w:pPr>
    </w:p>
    <w:p>
      <w:pPr>
        <w:ind w:left="180" w:hanging="172"/>
        <w:spacing w:after="0"/>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average price per share excludes transaction costs and excise tax associated with the repurchases, if 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229" w:lineRule="exact"/>
        <w:rPr>
          <w:sz w:val="20"/>
          <w:szCs w:val="20"/>
          <w:color w:val="auto"/>
        </w:rPr>
      </w:pPr>
    </w:p>
    <w:p>
      <w:pPr>
        <w:ind w:right="400" w:firstLine="891"/>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2025, the following Section 16 officers adopted, modified, or terminated a “Rule 10b5-1 trading arrangement” as defined in Item 408 of Regulation S-K, as follows: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On April 2, 2025, Sean Desmond, President and Chief Executive Officer, terminated a Rule 10b5-1 trading arrangement providing for the sale</w:t>
      </w:r>
    </w:p>
    <w:p>
      <w:pPr>
        <w:spacing w:after="0" w:line="5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from time to time of an aggregate of up to 153,123 shares of our common stock. The trading arrangement was intended to satisfy the affirmative defense in Rule 10b5-1(c). The duration of the trading arrangement was until December 31, 2025, or earlier if all transactions under the trading arrangement are completed.</w:t>
      </w:r>
    </w:p>
    <w:p>
      <w:pPr>
        <w:spacing w:after="0" w:line="176" w:lineRule="exact"/>
        <w:rPr>
          <w:sz w:val="20"/>
          <w:szCs w:val="20"/>
          <w:color w:val="auto"/>
        </w:rPr>
      </w:pPr>
    </w:p>
    <w:p>
      <w:pPr>
        <w:jc w:val="both"/>
        <w:ind w:firstLine="891"/>
        <w:spacing w:after="0" w:line="266" w:lineRule="auto"/>
        <w:rPr>
          <w:sz w:val="20"/>
          <w:szCs w:val="20"/>
          <w:color w:val="auto"/>
        </w:rPr>
      </w:pPr>
      <w:r>
        <w:rPr>
          <w:rFonts w:ascii="Times New Roman" w:cs="Times New Roman" w:eastAsia="Times New Roman" w:hAnsi="Times New Roman"/>
          <w:sz w:val="18"/>
          <w:szCs w:val="18"/>
          <w:color w:val="auto"/>
        </w:rPr>
        <w:t>On April 11, 2025, William Ruh, Director, adopted a Rule 10b5-1 trading arrangement providing for the sale from time to time of an aggregate of up to 185,000 shares of our common stock. The trading arrangement is intended to satisfy the affirmative defense in Rule 10b5-1(c). The duration of the trading arrangement is until April 15, 2026, or earlier if all transactions under the trading arrangement are completed.</w:t>
      </w:r>
    </w:p>
    <w:p>
      <w:pPr>
        <w:spacing w:after="0" w:line="176" w:lineRule="exact"/>
        <w:rPr>
          <w:sz w:val="20"/>
          <w:szCs w:val="20"/>
          <w:color w:val="auto"/>
        </w:rPr>
      </w:pPr>
    </w:p>
    <w:p>
      <w:pPr>
        <w:ind w:right="200" w:firstLine="891"/>
        <w:spacing w:after="0" w:line="282" w:lineRule="auto"/>
        <w:rPr>
          <w:sz w:val="20"/>
          <w:szCs w:val="20"/>
          <w:color w:val="auto"/>
        </w:rPr>
      </w:pPr>
      <w:r>
        <w:rPr>
          <w:rFonts w:ascii="Times New Roman" w:cs="Times New Roman" w:eastAsia="Times New Roman" w:hAnsi="Times New Roman"/>
          <w:sz w:val="18"/>
          <w:szCs w:val="18"/>
          <w:color w:val="auto"/>
        </w:rPr>
        <w:t>No other officers or directors, as defined in Rule 16a-1(f), adopted, modified, or terminated a “Rule 10b5-1 trading arrangement” or a “non-Rule 10b5-1 trading arrangement,” as defined in Regulation S-K Item 408, during the fiscal quarter.</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98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00" w:type="dxa"/>
            <w:vAlign w:val="bottom"/>
            <w:gridSpan w:val="1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5"/>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13"/>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4280" w:type="dxa"/>
            <w:vAlign w:val="bottom"/>
            <w:gridSpan w:val="15"/>
          </w:tcPr>
          <w:p>
            <w:pPr>
              <w:spacing w:after="0" w:line="188"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Second Amended and Restated Certificate of</w:t>
              </w:r>
            </w:hyperlink>
          </w:p>
        </w:tc>
        <w:tc>
          <w:tcPr>
            <w:tcW w:w="8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001-41211</w:t>
            </w:r>
          </w:p>
        </w:tc>
        <w:tc>
          <w:tcPr>
            <w:tcW w:w="8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3.1</w:t>
            </w:r>
          </w:p>
        </w:tc>
        <w:tc>
          <w:tcPr>
            <w:tcW w:w="18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June 24, 2024</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24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Incorporation</w:t>
              </w:r>
            </w:hyperlink>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2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Amended and Restated Bylaws</w:t>
              </w:r>
            </w:hyperlink>
          </w:p>
        </w:tc>
        <w:tc>
          <w:tcPr>
            <w:tcW w:w="2020" w:type="dxa"/>
            <w:vAlign w:val="bottom"/>
            <w:gridSpan w:val="12"/>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001-41211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2022</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4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Amended and Restated Employment Agreement with</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86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April Rieger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4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Rules 13a-14(a) and 15d-14(a) under the Securities</w:t>
            </w:r>
          </w:p>
        </w:tc>
        <w:tc>
          <w:tcPr>
            <w:tcW w:w="280" w:type="dxa"/>
            <w:vAlign w:val="bottom"/>
            <w:tcBorders>
              <w:top w:val="single" w:sz="8" w:color="0000FF"/>
            </w:tcBorders>
            <w:gridSpan w:val="4"/>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280" w:type="dxa"/>
            <w:vAlign w:val="bottom"/>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080" w:type="dxa"/>
            <w:vAlign w:val="bottom"/>
            <w:tcBorders>
              <w:top w:val="single" w:sz="8" w:color="0000FF"/>
            </w:tcBorders>
            <w:gridSpan w:val="5"/>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4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Rules 13a-14(a) and 15d-14(a) under the Securities</w:t>
            </w:r>
          </w:p>
        </w:tc>
        <w:tc>
          <w:tcPr>
            <w:tcW w:w="240" w:type="dxa"/>
            <w:vAlign w:val="bottom"/>
            <w:tcBorders>
              <w:top w:val="single" w:sz="8" w:color="0000FF"/>
            </w:tcBorders>
            <w:gridSpan w:val="2"/>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280" w:type="dxa"/>
            <w:vAlign w:val="bottom"/>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080" w:type="dxa"/>
            <w:vAlign w:val="bottom"/>
            <w:tcBorders>
              <w:top w:val="single" w:sz="8" w:color="0000FF"/>
            </w:tcBorders>
            <w:gridSpan w:val="5"/>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4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22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U.S.C. Section 1350, as Adopted Pursuant to Section 906</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4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4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16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12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4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40" w:type="dxa"/>
            <w:vAlign w:val="bottom"/>
            <w:gridSpan w:val="3"/>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25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720" w:type="dxa"/>
            <w:vAlign w:val="bottom"/>
            <w:gridSpan w:val="11"/>
          </w:tcPr>
          <w:p>
            <w:pPr>
              <w:spacing w:after="0"/>
              <w:rPr>
                <w:sz w:val="21"/>
                <w:szCs w:val="21"/>
                <w:color w:val="auto"/>
              </w:rPr>
            </w:pPr>
          </w:p>
        </w:tc>
        <w:tc>
          <w:tcPr>
            <w:tcW w:w="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42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4280" w:type="dxa"/>
            <w:vAlign w:val="bottom"/>
            <w:gridSpan w:val="15"/>
          </w:tcPr>
          <w:p>
            <w:pPr>
              <w:spacing w:after="0" w:line="181" w:lineRule="exact"/>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8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4280" w:type="dxa"/>
            <w:vAlign w:val="bottom"/>
            <w:gridSpan w:val="15"/>
          </w:tcPr>
          <w:p>
            <w:pPr>
              <w:spacing w:after="0" w:line="184" w:lineRule="exact"/>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42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101.PRE</w:t>
            </w:r>
          </w:p>
        </w:tc>
        <w:tc>
          <w:tcPr>
            <w:tcW w:w="4280" w:type="dxa"/>
            <w:vAlign w:val="bottom"/>
            <w:gridSpan w:val="15"/>
          </w:tcPr>
          <w:p>
            <w:pPr>
              <w:spacing w:after="0" w:line="181" w:lineRule="exact"/>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4280" w:type="dxa"/>
            <w:vAlign w:val="bottom"/>
            <w:gridSpan w:val="15"/>
          </w:tcPr>
          <w:p>
            <w:pPr>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(embedded within the</w:t>
            </w: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980" w:hanging="95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w:t>
      </w:r>
    </w:p>
    <w:p>
      <w:pPr>
        <w:spacing w:after="0" w:line="27" w:lineRule="exact"/>
        <w:rPr>
          <w:sz w:val="20"/>
          <w:szCs w:val="20"/>
          <w:color w:val="auto"/>
        </w:rPr>
      </w:pPr>
    </w:p>
    <w:p>
      <w:pPr>
        <w:ind w:left="980" w:right="300" w:hanging="954"/>
        <w:spacing w:after="0" w:line="229"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32.2 hereto are deemed to accompany this Quarterly Report on Form 10-Q and will not be deemed "filed" for purpose of Section 18 of the Securities Exchange Act of 1934, as amended, except to the extent that the registrant specifically incorporates by reference.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20"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40" w:type="dxa"/>
            <w:vAlign w:val="bottom"/>
            <w:gridSpan w:val="2"/>
          </w:tcPr>
          <w:p>
            <w:pPr>
              <w:ind w:left="2840"/>
              <w:spacing w:after="0"/>
              <w:rPr>
                <w:sz w:val="20"/>
                <w:szCs w:val="20"/>
                <w:color w:val="auto"/>
              </w:rPr>
            </w:pPr>
            <w:r>
              <w:rPr>
                <w:rFonts w:ascii="Times New Roman" w:cs="Times New Roman" w:eastAsia="Times New Roman" w:hAnsi="Times New Roman"/>
                <w:sz w:val="18"/>
                <w:szCs w:val="18"/>
                <w:b w:val="1"/>
                <w:bCs w:val="1"/>
                <w:color w:val="auto"/>
              </w:rPr>
              <w:t>nCino, Inc.</w:t>
            </w:r>
          </w:p>
        </w:tc>
      </w:tr>
      <w:tr>
        <w:trPr>
          <w:trHeight w:val="39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2025</w:t>
            </w:r>
          </w:p>
        </w:tc>
        <w:tc>
          <w:tcPr>
            <w:tcW w:w="336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Desmond</w:t>
            </w:r>
          </w:p>
        </w:tc>
      </w:tr>
      <w:tr>
        <w:trPr>
          <w:trHeight w:val="218"/>
        </w:trPr>
        <w:tc>
          <w:tcPr>
            <w:tcW w:w="34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Desmond</w:t>
            </w:r>
          </w:p>
        </w:tc>
      </w:tr>
      <w:tr>
        <w:trPr>
          <w:trHeight w:val="230"/>
        </w:trPr>
        <w:tc>
          <w:tcPr>
            <w:tcW w:w="34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2025</w:t>
            </w:r>
          </w:p>
        </w:tc>
        <w:tc>
          <w:tcPr>
            <w:tcW w:w="336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D. Orenstein</w:t>
            </w:r>
          </w:p>
        </w:tc>
      </w:tr>
      <w:tr>
        <w:trPr>
          <w:trHeight w:val="218"/>
        </w:trPr>
        <w:tc>
          <w:tcPr>
            <w:tcW w:w="34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D. Orenstein</w:t>
            </w:r>
          </w:p>
        </w:tc>
      </w:tr>
      <w:tr>
        <w:trPr>
          <w:trHeight w:val="229"/>
        </w:trPr>
        <w:tc>
          <w:tcPr>
            <w:tcW w:w="34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234"/>
        </w:trPr>
        <w:tc>
          <w:tcPr>
            <w:tcW w:w="34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04"/>
        </w:trPr>
        <w:tc>
          <w:tcPr>
            <w:tcW w:w="3480" w:type="dxa"/>
            <w:vAlign w:val="bottom"/>
          </w:tcPr>
          <w:p>
            <w:pPr>
              <w:spacing w:after="0"/>
              <w:rPr>
                <w:sz w:val="24"/>
                <w:szCs w:val="24"/>
                <w:color w:val="auto"/>
              </w:rPr>
            </w:pPr>
          </w:p>
        </w:tc>
        <w:tc>
          <w:tcPr>
            <w:tcW w:w="33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48</w:t>
            </w:r>
          </w:p>
        </w:tc>
        <w:tc>
          <w:tcPr>
            <w:tcW w:w="43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3"/>
          <w:szCs w:val="23"/>
          <w:u w:val="single" w:color="auto"/>
          <w:color w:val="auto"/>
        </w:rPr>
        <w:t>EMPLOYMENT AGREEMENT</w:t>
      </w:r>
    </w:p>
    <w:p>
      <w:pPr>
        <w:spacing w:after="0" w:line="253" w:lineRule="exact"/>
        <w:rPr>
          <w:sz w:val="20"/>
          <w:szCs w:val="20"/>
          <w:color w:val="auto"/>
        </w:rPr>
      </w:pPr>
    </w:p>
    <w:p>
      <w:pPr>
        <w:ind w:left="640"/>
        <w:spacing w:after="0"/>
        <w:tabs>
          <w:tab w:leader="none" w:pos="1320" w:val="left"/>
          <w:tab w:leader="none" w:pos="2600" w:val="left"/>
          <w:tab w:leader="none" w:pos="3280" w:val="left"/>
          <w:tab w:leader="none" w:pos="4560" w:val="left"/>
          <w:tab w:leader="none" w:pos="6260" w:val="left"/>
          <w:tab w:leader="none" w:pos="7800" w:val="left"/>
        </w:tabs>
        <w:rPr>
          <w:sz w:val="20"/>
          <w:szCs w:val="20"/>
          <w:color w:val="auto"/>
        </w:rPr>
      </w:pPr>
      <w:r>
        <w:rPr>
          <w:rFonts w:ascii="Times New Roman" w:cs="Times New Roman" w:eastAsia="Times New Roman" w:hAnsi="Times New Roman"/>
          <w:sz w:val="22"/>
          <w:szCs w:val="22"/>
          <w:color w:val="auto"/>
        </w:rPr>
        <w:t>THIS</w:t>
        <w:tab/>
        <w:t>AMENDED</w:t>
        <w:tab/>
        <w:t>AND</w:t>
        <w:tab/>
        <w:t>RESTATED</w:t>
        <w:tab/>
        <w:t>EMPLOYMENT</w:t>
        <w:tab/>
        <w:t>AGREEMENT</w:t>
      </w:r>
      <w:r>
        <w:rPr>
          <w:sz w:val="20"/>
          <w:szCs w:val="20"/>
          <w:color w:val="auto"/>
        </w:rPr>
        <w:tab/>
      </w:r>
      <w:r>
        <w:rPr>
          <w:rFonts w:ascii="Times New Roman" w:cs="Times New Roman" w:eastAsia="Times New Roman" w:hAnsi="Times New Roman"/>
          <w:sz w:val="21"/>
          <w:szCs w:val="21"/>
          <w:color w:val="auto"/>
        </w:rPr>
        <w:t>(the</w:t>
      </w:r>
    </w:p>
    <w:p>
      <w:pPr>
        <w:spacing w:after="0" w:line="29"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between nCino OpCo,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April Rieger ("</w:t>
      </w:r>
      <w:r>
        <w:rPr>
          <w:rFonts w:ascii="Times New Roman" w:cs="Times New Roman" w:eastAsia="Times New Roman" w:hAnsi="Times New Roman"/>
          <w:sz w:val="22"/>
          <w:szCs w:val="22"/>
          <w:u w:val="single" w:color="auto"/>
          <w:color w:val="auto"/>
        </w:rPr>
        <w:t>You</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Your</w:t>
      </w:r>
      <w:r>
        <w:rPr>
          <w:rFonts w:ascii="Times New Roman" w:cs="Times New Roman" w:eastAsia="Times New Roman" w:hAnsi="Times New Roman"/>
          <w:sz w:val="22"/>
          <w:szCs w:val="22"/>
          <w:color w:val="auto"/>
        </w:rPr>
        <w:t>") (each, a "Party" and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is entered into and effective as of December 19, 2024 (the "</w:t>
      </w:r>
      <w:r>
        <w:rPr>
          <w:rFonts w:ascii="Times New Roman" w:cs="Times New Roman" w:eastAsia="Times New Roman" w:hAnsi="Times New Roman"/>
          <w:sz w:val="22"/>
          <w:szCs w:val="22"/>
          <w:u w:val="single" w:color="auto"/>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WHEREAS, You are an employee of the Company; and</w:t>
      </w:r>
    </w:p>
    <w:p>
      <w:pPr>
        <w:spacing w:after="0" w:line="220" w:lineRule="exact"/>
        <w:rPr>
          <w:sz w:val="20"/>
          <w:szCs w:val="20"/>
          <w:color w:val="auto"/>
        </w:rPr>
      </w:pPr>
    </w:p>
    <w:p>
      <w:pPr>
        <w:jc w:val="both"/>
        <w:ind w:right="120" w:firstLine="658"/>
        <w:spacing w:after="0" w:line="270" w:lineRule="auto"/>
        <w:rPr>
          <w:sz w:val="20"/>
          <w:szCs w:val="20"/>
          <w:color w:val="auto"/>
        </w:rPr>
      </w:pPr>
      <w:r>
        <w:rPr>
          <w:rFonts w:ascii="Times New Roman" w:cs="Times New Roman" w:eastAsia="Times New Roman" w:hAnsi="Times New Roman"/>
          <w:sz w:val="22"/>
          <w:szCs w:val="22"/>
          <w:color w:val="auto"/>
        </w:rPr>
        <w:t>WHEREAS, the Parties desire to enter into this Agreement, as an amendment and restatement to the Employment Agreement, effective as of September 1, 2021, between the Company and You (the "</w:t>
      </w:r>
      <w:r>
        <w:rPr>
          <w:rFonts w:ascii="Times New Roman" w:cs="Times New Roman" w:eastAsia="Times New Roman" w:hAnsi="Times New Roman"/>
          <w:sz w:val="22"/>
          <w:szCs w:val="22"/>
          <w:u w:val="single" w:color="auto"/>
          <w:color w:val="auto"/>
        </w:rPr>
        <w:t>Prior Agreement</w:t>
      </w:r>
      <w:r>
        <w:rPr>
          <w:rFonts w:ascii="Times New Roman" w:cs="Times New Roman" w:eastAsia="Times New Roman" w:hAnsi="Times New Roman"/>
          <w:sz w:val="22"/>
          <w:szCs w:val="22"/>
          <w:color w:val="auto"/>
        </w:rPr>
        <w:t>"), to express the terms and conditions of Your continued employment with the Company (or any of its affiliates) as described herein.</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NOW, THEREFORE, in consideration of the mutual agreements in this Agreement, the Parties agree as follows:</w:t>
      </w:r>
    </w:p>
    <w:p>
      <w:pPr>
        <w:spacing w:after="0" w:line="220" w:lineRule="exact"/>
        <w:rPr>
          <w:sz w:val="20"/>
          <w:szCs w:val="20"/>
          <w:color w:val="auto"/>
        </w:rPr>
      </w:pPr>
    </w:p>
    <w:p>
      <w:pPr>
        <w:jc w:val="both"/>
        <w:ind w:right="120" w:firstLine="648"/>
        <w:spacing w:after="0" w:line="266" w:lineRule="auto"/>
        <w:tabs>
          <w:tab w:leader="none" w:pos="118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This Agreement does not create a contract for employment for a definite period or a contract for any particular benefits. Your employment with the Company shall be and remain at all times an at-will relationship. This means that at either Your option or the Company's option, Your employment may be terminated at any time, with or without Cause, and with or without notice. The period from the Effective Date through the date of the termination of Your employment hereunder is referred to herein as the "Term."</w:t>
      </w:r>
    </w:p>
    <w:p>
      <w:pPr>
        <w:spacing w:after="0" w:line="164" w:lineRule="exact"/>
        <w:rPr>
          <w:rFonts w:ascii="Times New Roman" w:cs="Times New Roman" w:eastAsia="Times New Roman" w:hAnsi="Times New Roman"/>
          <w:sz w:val="22"/>
          <w:szCs w:val="22"/>
          <w:color w:val="auto"/>
        </w:rPr>
      </w:pPr>
    </w:p>
    <w:p>
      <w:pPr>
        <w:jc w:val="both"/>
        <w:ind w:right="120" w:firstLine="648"/>
        <w:spacing w:after="0" w:line="262" w:lineRule="auto"/>
        <w:tabs>
          <w:tab w:leader="none" w:pos="118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Positions and Authority</w:t>
      </w:r>
      <w:r>
        <w:rPr>
          <w:rFonts w:ascii="Times New Roman" w:cs="Times New Roman" w:eastAsia="Times New Roman" w:hAnsi="Times New Roman"/>
          <w:sz w:val="22"/>
          <w:szCs w:val="22"/>
          <w:color w:val="auto"/>
        </w:rPr>
        <w:t>. You shall serve in the position of Chief Legal &amp; Compliance Officer, Corporate Secretary, or in such other positions as the Parties may agree, reporting to the Company's Chief Executive Officer. You agree to serve in the officer position referred to in this Section 2, and to perform diligently and to the best of Your abilities the duties and services pertaining to such offices as set forth in the Bylaws of the Company, as well as such additional duties and services appropriate to such offices that the Parties may agree upon from time to time. Upon the Effective Date, Your principal place of work shall be located in Wilmington, North Carolina, subject to business travel as reasonably necessary in the performance of Your duties for the Company.</w:t>
      </w:r>
    </w:p>
    <w:p>
      <w:pPr>
        <w:spacing w:after="0" w:line="173" w:lineRule="exact"/>
        <w:rPr>
          <w:sz w:val="20"/>
          <w:szCs w:val="20"/>
          <w:color w:val="auto"/>
        </w:rPr>
      </w:pPr>
    </w:p>
    <w:p>
      <w:pPr>
        <w:jc w:val="both"/>
        <w:ind w:right="120" w:firstLine="658"/>
        <w:spacing w:after="0" w:line="263" w:lineRule="auto"/>
        <w:rPr>
          <w:sz w:val="20"/>
          <w:szCs w:val="20"/>
          <w:color w:val="auto"/>
        </w:rPr>
      </w:pPr>
      <w:r>
        <w:rPr>
          <w:rFonts w:ascii="Times New Roman" w:cs="Times New Roman" w:eastAsia="Times New Roman" w:hAnsi="Times New Roman"/>
          <w:sz w:val="22"/>
          <w:szCs w:val="22"/>
          <w:color w:val="auto"/>
        </w:rPr>
        <w:t>During the Term, You shall devote Your full business time and efforts to the business and affairs of the Company and its subsidiaries, provided that You shall be entitled to serve on civic, charitable, educational, religious, public interest or public service boards, and to manage Your personal and family investments, in each case, to the extent such activities do not materially interfere with the performance of Your duties and responsibilities hereunder. You shall not become a director of any for profit entity without first receiving the approval of the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20"/>
          </w:cols>
          <w:pgMar w:left="440" w:top="72"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60" w:hanging="611"/>
        <w:spacing w:after="0"/>
        <w:tabs>
          <w:tab w:leader="none" w:pos="12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right="140" w:firstLine="1295"/>
        <w:spacing w:after="0" w:line="261" w:lineRule="auto"/>
        <w:tabs>
          <w:tab w:leader="none" w:pos="1841"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As compensation for Your performance of Your duties hereunder, the Company shall pay to You an initial Base Salary of $338,000.00 per year, payable in accordance with the normal payroll practices of the Company. The Base Salary shall be reviewed for increases but not decreases by the Compensation Committee of the Board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in good faith, based upon the Company's and Your performance and the Company's pay philosophy, not less often than annually. The term "Base Salary" shall refer to the Base Salary as may be in effect from time to time.</w:t>
      </w:r>
    </w:p>
    <w:p>
      <w:pPr>
        <w:spacing w:after="0" w:line="171" w:lineRule="exact"/>
        <w:rPr>
          <w:rFonts w:ascii="Times New Roman" w:cs="Times New Roman" w:eastAsia="Times New Roman" w:hAnsi="Times New Roman"/>
          <w:sz w:val="22"/>
          <w:szCs w:val="22"/>
          <w:color w:val="auto"/>
        </w:rPr>
      </w:pPr>
    </w:p>
    <w:p>
      <w:pPr>
        <w:jc w:val="both"/>
        <w:ind w:right="120" w:firstLine="1295"/>
        <w:spacing w:after="0" w:line="275" w:lineRule="auto"/>
        <w:tabs>
          <w:tab w:leader="none" w:pos="1839"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Incentive Compensation</w:t>
      </w:r>
      <w:r>
        <w:rPr>
          <w:rFonts w:ascii="Times New Roman" w:cs="Times New Roman" w:eastAsia="Times New Roman" w:hAnsi="Times New Roman"/>
          <w:sz w:val="21"/>
          <w:szCs w:val="21"/>
          <w:color w:val="auto"/>
        </w:rPr>
        <w:t>. During the Term, You shall be eligible to participate in the annual cash bonus program maintained for senior executive officers of the Company (the "</w:t>
      </w:r>
      <w:r>
        <w:rPr>
          <w:rFonts w:ascii="Times New Roman" w:cs="Times New Roman" w:eastAsia="Times New Roman" w:hAnsi="Times New Roman"/>
          <w:sz w:val="21"/>
          <w:szCs w:val="21"/>
          <w:u w:val="single" w:color="auto"/>
          <w:color w:val="auto"/>
        </w:rPr>
        <w:t>Annual Incentive Program</w:t>
      </w:r>
      <w:r>
        <w:rPr>
          <w:rFonts w:ascii="Times New Roman" w:cs="Times New Roman" w:eastAsia="Times New Roman" w:hAnsi="Times New Roman"/>
          <w:sz w:val="21"/>
          <w:szCs w:val="21"/>
          <w:color w:val="auto"/>
        </w:rPr>
        <w:t>"), with a target annual bonus opportunity equal to 55% of Base Salary. The annual bonus shall be reviewed for increases but not decreases by the Compensation Committee. The actual amount of the annual bonus earned by and payable to You for any year or portion of a year, as applicable, shall be determined upon the satisfaction of goals and objectives established by the Compensation Committee, and shall be subject to such other terms and conditions of the Annual Incentive Program as in effect from time to time. Each bonus paid under the Annual Incentive Program shall be paid to You no later than two and a half months following the fiscal year in which the bonus is earned. Except as provided in Section 4, Your right to a bonus under the Annual Incentive Program is subject to Your continued employment with the Company through the applicable payment date of the bonus.</w:t>
      </w:r>
    </w:p>
    <w:p>
      <w:pPr>
        <w:spacing w:after="0" w:line="142" w:lineRule="exact"/>
        <w:rPr>
          <w:rFonts w:ascii="Times New Roman" w:cs="Times New Roman" w:eastAsia="Times New Roman" w:hAnsi="Times New Roman"/>
          <w:sz w:val="21"/>
          <w:szCs w:val="21"/>
          <w:color w:val="auto"/>
        </w:rPr>
      </w:pPr>
    </w:p>
    <w:p>
      <w:pPr>
        <w:jc w:val="both"/>
        <w:ind w:right="120" w:firstLine="1295"/>
        <w:spacing w:after="0" w:line="269" w:lineRule="auto"/>
        <w:tabs>
          <w:tab w:leader="none" w:pos="1841"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Incentive Program</w:t>
      </w:r>
      <w:r>
        <w:rPr>
          <w:rFonts w:ascii="Times New Roman" w:cs="Times New Roman" w:eastAsia="Times New Roman" w:hAnsi="Times New Roman"/>
          <w:sz w:val="22"/>
          <w:szCs w:val="22"/>
          <w:color w:val="auto"/>
        </w:rPr>
        <w:t>. During the Term, You shall be eligible to participate in the equity incentive program maintained for senior executive officers of the Company (the "</w:t>
      </w:r>
      <w:r>
        <w:rPr>
          <w:rFonts w:ascii="Times New Roman" w:cs="Times New Roman" w:eastAsia="Times New Roman" w:hAnsi="Times New Roman"/>
          <w:sz w:val="22"/>
          <w:szCs w:val="22"/>
          <w:u w:val="single" w:color="auto"/>
          <w:color w:val="auto"/>
        </w:rPr>
        <w:t>Equity Incentive Program</w:t>
      </w:r>
      <w:r>
        <w:rPr>
          <w:rFonts w:ascii="Times New Roman" w:cs="Times New Roman" w:eastAsia="Times New Roman" w:hAnsi="Times New Roman"/>
          <w:sz w:val="22"/>
          <w:szCs w:val="22"/>
          <w:color w:val="auto"/>
        </w:rPr>
        <w:t>"), with an Equity Incentive Program target opportunity and equity vehicles determined by the Compensation Committee for each year of participation thereunder.</w:t>
      </w:r>
    </w:p>
    <w:p>
      <w:pPr>
        <w:spacing w:after="0" w:line="148" w:lineRule="exact"/>
        <w:rPr>
          <w:rFonts w:ascii="Times New Roman" w:cs="Times New Roman" w:eastAsia="Times New Roman" w:hAnsi="Times New Roman"/>
          <w:sz w:val="22"/>
          <w:szCs w:val="22"/>
          <w:color w:val="auto"/>
        </w:rPr>
      </w:pPr>
    </w:p>
    <w:p>
      <w:pPr>
        <w:jc w:val="both"/>
        <w:ind w:right="120" w:firstLine="1295"/>
        <w:spacing w:after="0" w:line="269" w:lineRule="auto"/>
        <w:tabs>
          <w:tab w:leader="none" w:pos="1839"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 and Perquisites</w:t>
      </w:r>
      <w:r>
        <w:rPr>
          <w:rFonts w:ascii="Times New Roman" w:cs="Times New Roman" w:eastAsia="Times New Roman" w:hAnsi="Times New Roman"/>
          <w:sz w:val="22"/>
          <w:szCs w:val="22"/>
          <w:color w:val="auto"/>
        </w:rPr>
        <w:t>. During the Term, You shall be entitled to receive all benefits and perquisites of employment generally available to other members of the Company's senior executive management, upon Your satisfaction of the eligibility or participation criteria therefor. The Company reserves the right to modify or terminate employee benefits and perquisites at its discretion.</w:t>
      </w:r>
    </w:p>
    <w:p>
      <w:pPr>
        <w:spacing w:after="0" w:line="148" w:lineRule="exact"/>
        <w:rPr>
          <w:rFonts w:ascii="Times New Roman" w:cs="Times New Roman" w:eastAsia="Times New Roman" w:hAnsi="Times New Roman"/>
          <w:sz w:val="22"/>
          <w:szCs w:val="22"/>
          <w:color w:val="auto"/>
        </w:rPr>
      </w:pPr>
    </w:p>
    <w:p>
      <w:pPr>
        <w:jc w:val="both"/>
        <w:ind w:right="120" w:firstLine="1295"/>
        <w:spacing w:after="0" w:line="276" w:lineRule="auto"/>
        <w:tabs>
          <w:tab w:leader="none" w:pos="1841"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Subject to Section 23, You shall be reimbursed for reasonable travel and other expenses incurred in the performance of Your duties on behalf of the Company in a manner consistent with the Company' s policies regarding such reimbursements, as may be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20"/>
          </w:cols>
          <w:pgMar w:left="440" w:top="72"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80" w:hanging="532"/>
        <w:spacing w:after="0"/>
        <w:tabs>
          <w:tab w:leader="none" w:pos="11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Upon Termination</w:t>
      </w:r>
      <w:r>
        <w:rPr>
          <w:rFonts w:ascii="Times New Roman" w:cs="Times New Roman" w:eastAsia="Times New Roman" w:hAnsi="Times New Roman"/>
          <w:sz w:val="22"/>
          <w:szCs w:val="22"/>
          <w:color w:val="auto"/>
        </w:rPr>
        <w:t>. Subject to the terms and conditions of this Agreement:</w:t>
      </w:r>
    </w:p>
    <w:p>
      <w:pPr>
        <w:spacing w:after="0" w:line="219" w:lineRule="exact"/>
        <w:rPr>
          <w:rFonts w:ascii="Times New Roman" w:cs="Times New Roman" w:eastAsia="Times New Roman" w:hAnsi="Times New Roman"/>
          <w:sz w:val="22"/>
          <w:szCs w:val="22"/>
          <w:color w:val="auto"/>
        </w:rPr>
      </w:pPr>
    </w:p>
    <w:p>
      <w:pPr>
        <w:jc w:val="both"/>
        <w:ind w:right="120" w:firstLine="1295"/>
        <w:spacing w:after="0" w:line="262" w:lineRule="auto"/>
        <w:tabs>
          <w:tab w:leader="none" w:pos="1841"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If Your employment with the Company (or any of its affiliates) is terminated as a result of Your death, the Company shall pay Your estate, or as may be directed by the legal representatives of Your estate, (i) Your Base Salary due through the date of termination, and (ii) a pro rata portion of Your annual cash bonus for the fiscal year of termination, with such bonus based on actual performance results for the fiscal year of termination and pro-rated for the portion of the year during which You were employed by the Company and such bonus payable at the same time bonuses are paid to executive officers of the Company (but in any event no later than two and a half months following the fiscal year in which the bonus is earned).</w:t>
      </w:r>
    </w:p>
    <w:p>
      <w:pPr>
        <w:spacing w:after="0" w:line="159" w:lineRule="exact"/>
        <w:rPr>
          <w:rFonts w:ascii="Times New Roman" w:cs="Times New Roman" w:eastAsia="Times New Roman" w:hAnsi="Times New Roman"/>
          <w:sz w:val="22"/>
          <w:szCs w:val="22"/>
          <w:color w:val="auto"/>
        </w:rPr>
      </w:pPr>
    </w:p>
    <w:p>
      <w:pPr>
        <w:jc w:val="both"/>
        <w:ind w:right="120" w:firstLine="1295"/>
        <w:spacing w:after="0" w:line="259" w:lineRule="auto"/>
        <w:tabs>
          <w:tab w:leader="none" w:pos="1839"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If Your employment with the Company (or any of its affiliates) is terminated by the Company as a result of You being substantially unable to perform the essential functions of Your then-current position with the Company (or any of its affiliates) by reason of illness, physical or mental disability or other similar incapacity, which inability shall continue for three (3) consecutive months (provided that until such termination, You shall continue to receive Your then-current compensation and benefits, reduced by any benefits payable to You under any disability insurance policy or plan applicable You), the Company shall pay You (i) Your Base Salary due through the date of termination, and (ii) a pro rata portion of Your annual cash bonus for the fiscal year of termination, with such bonus based on actual performance results for the fiscal year of termination and pro-rated for the portion of the year during which You were employed by the Company and such bonus payable at the same time bonuses are paid to executive officers of the Company (but in any event no later than two and a half months following the fiscal year in which the bonus is earned); provided, that payments so made to You with respect to any period that You are substantially unable to perform the essential functions of Your then-current position with the Company (or any of its affiliates) by reason of illness, physical or mental illness or other similar incapacity shall be reduced by the sum of the amounts, if any, payable to You by reason of such disability, at or prior to the time of any such payment, under any disability insurance policy or benefit plan and which amounts have not previously been applied to reduce any such payment.</w:t>
      </w:r>
    </w:p>
    <w:p>
      <w:pPr>
        <w:spacing w:after="0" w:line="170" w:lineRule="exact"/>
        <w:rPr>
          <w:rFonts w:ascii="Times New Roman" w:cs="Times New Roman" w:eastAsia="Times New Roman" w:hAnsi="Times New Roman"/>
          <w:sz w:val="22"/>
          <w:szCs w:val="22"/>
          <w:color w:val="auto"/>
        </w:rPr>
      </w:pPr>
    </w:p>
    <w:p>
      <w:pPr>
        <w:jc w:val="both"/>
        <w:ind w:right="120" w:firstLine="1295"/>
        <w:spacing w:after="0" w:line="276" w:lineRule="auto"/>
        <w:tabs>
          <w:tab w:leader="none" w:pos="1841"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for Cause or by You without Good Reason</w:t>
      </w:r>
      <w:r>
        <w:rPr>
          <w:rFonts w:ascii="Times New Roman" w:cs="Times New Roman" w:eastAsia="Times New Roman" w:hAnsi="Times New Roman"/>
          <w:sz w:val="22"/>
          <w:szCs w:val="22"/>
          <w:color w:val="auto"/>
        </w:rPr>
        <w:t>. If the Company (or any of its affiliates) terminates Your employment for Cause or You terminate Your employment without Good Reason, the Company shall pay You Your Base Salary due through the date of termination and shall have no further obligations to You.</w:t>
      </w:r>
    </w:p>
    <w:p>
      <w:pPr>
        <w:spacing w:after="0" w:line="139" w:lineRule="exact"/>
        <w:rPr>
          <w:rFonts w:ascii="Times New Roman" w:cs="Times New Roman" w:eastAsia="Times New Roman" w:hAnsi="Times New Roman"/>
          <w:sz w:val="22"/>
          <w:szCs w:val="22"/>
          <w:color w:val="auto"/>
        </w:rPr>
      </w:pPr>
    </w:p>
    <w:p>
      <w:pPr>
        <w:jc w:val="both"/>
        <w:ind w:right="120" w:firstLine="1295"/>
        <w:spacing w:after="0" w:line="269" w:lineRule="auto"/>
        <w:tabs>
          <w:tab w:leader="none" w:pos="1839"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 or by You with Good Reason Prior to a Change in Control or More Than Eighteen Months Following a Change in Control</w:t>
      </w:r>
      <w:r>
        <w:rPr>
          <w:rFonts w:ascii="Times New Roman" w:cs="Times New Roman" w:eastAsia="Times New Roman" w:hAnsi="Times New Roman"/>
          <w:sz w:val="22"/>
          <w:szCs w:val="22"/>
          <w:color w:val="auto"/>
        </w:rPr>
        <w:t>. If (i) the Company (or any of its affiliates) terminates Your employment without Cause, or (ii) You terminate Your employment for Good Reason, in either case, prior to a Change in Control or more than eighteen months following a Change in Control, then the Company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20"/>
          </w:cols>
          <w:pgMar w:left="440" w:top="72"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569" w:hanging="610"/>
        <w:spacing w:after="0"/>
        <w:tabs>
          <w:tab w:leader="none" w:pos="2569"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You (i) Your Base Salary due through the date of termination,</w:t>
      </w:r>
    </w:p>
    <w:p>
      <w:pPr>
        <w:spacing w:after="0" w:line="30" w:lineRule="exact"/>
        <w:rPr>
          <w:rFonts w:ascii="Times New Roman" w:cs="Times New Roman" w:eastAsia="Times New Roman" w:hAnsi="Times New Roman"/>
          <w:sz w:val="22"/>
          <w:szCs w:val="22"/>
          <w:color w:val="auto"/>
        </w:rPr>
      </w:pPr>
    </w:p>
    <w:p>
      <w:pPr>
        <w:jc w:val="both"/>
        <w:ind w:left="9" w:right="120" w:hanging="9"/>
        <w:spacing w:after="0" w:line="261" w:lineRule="auto"/>
        <w:tabs>
          <w:tab w:leader="none" w:pos="54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one (1) times Your then-current annual Base Salary, such amount paid in substantially equal installments as of the last day of each month during the twelve (12) month period commencing on Your date of termination (the "</w:t>
      </w:r>
      <w:r>
        <w:rPr>
          <w:rFonts w:ascii="Times New Roman" w:cs="Times New Roman" w:eastAsia="Times New Roman" w:hAnsi="Times New Roman"/>
          <w:sz w:val="22"/>
          <w:szCs w:val="22"/>
          <w:u w:val="single" w:color="auto"/>
          <w:color w:val="auto"/>
        </w:rPr>
        <w:t>Severance Period</w:t>
      </w:r>
      <w:r>
        <w:rPr>
          <w:rFonts w:ascii="Times New Roman" w:cs="Times New Roman" w:eastAsia="Times New Roman" w:hAnsi="Times New Roman"/>
          <w:sz w:val="22"/>
          <w:szCs w:val="22"/>
          <w:color w:val="auto"/>
        </w:rPr>
        <w:t>"), with the first installment paid within sixty (60) days following Your termination of employment and such first installment including such amounts as would have otherwise been paid during the period beginning on the date of Your termination of employment and ending on such payment date, and</w:t>
      </w:r>
    </w:p>
    <w:p>
      <w:pPr>
        <w:jc w:val="both"/>
        <w:ind w:left="9" w:right="120" w:hanging="9"/>
        <w:spacing w:after="0" w:line="272" w:lineRule="auto"/>
        <w:tabs>
          <w:tab w:leader="none" w:pos="549"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amount equal to one (1) times Your target annual cash bonus for the fiscal year of termination (provided, that if Your termination occurs prior to the date on which Your target annual bonus is determined for the fiscal year of termination, Your target annual bonus shall be based on the target annual bonus established for the fiscal year preceding the fiscal year of termination), such amount paid in substantially equal installments as of the last day of each month during the Severance Period, with the first installment paid within sixty (60) days following Your termination of employment and such first installment including such amounts as would have otherwise been paid during the period beginning on the date of Your termination of employment and ending on such payment date; provided, however, that if the conditions of Section 5 have not been met upon the date(s) that any payment is or payments are due pursuant to clauses (ii) and (iii) under this Section 4(d)(A), such payment(s) will not be made upon the date specified above, and such withheld payment(s) will instead be made, subject to Section 23, on the first payroll date following the effective date of the Separation &amp; Release Agreement (but in any event no later than two and a half months following Your termination of employment, subject to Your compliance with Section 5).</w:t>
      </w:r>
    </w:p>
    <w:p>
      <w:pPr>
        <w:spacing w:after="0" w:line="149" w:lineRule="exact"/>
        <w:rPr>
          <w:rFonts w:ascii="Times New Roman" w:cs="Times New Roman" w:eastAsia="Times New Roman" w:hAnsi="Times New Roman"/>
          <w:sz w:val="21"/>
          <w:szCs w:val="21"/>
          <w:color w:val="auto"/>
        </w:rPr>
      </w:pPr>
    </w:p>
    <w:p>
      <w:pPr>
        <w:jc w:val="both"/>
        <w:ind w:left="9" w:right="120" w:firstLine="1949"/>
        <w:spacing w:after="0" w:line="273" w:lineRule="auto"/>
        <w:tabs>
          <w:tab w:leader="none" w:pos="2499"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reimburse You, on a monthly basis, for any COBRA premiums You pay for You and any of Your dependents during the Severance Period (less the amount of any premium amount that would have been payable by You for such coverage, if any, if You had been actively employed by the Company), if and to the extent You and/or Your eligible dependents are entitled to and elect COBRA continuation coverage under the Company's major medical group plan in which You and/or Your dependents participated immediately prior to the date of termination, provided, however, that (i) notwithstanding anything in this subsection to the contrary, all other terms and provisions of the Company major medical group plan governing Your rights and Your dependent's rights under COBRA shall apply, (ii) payments pursuant to this Section 4(d)(B) shall cease earlier than the expiration of the Severance Period if You become eligible to receive health benefits pursuant to a plan maintained by a subsequent employer, including through a spouse's employer, during such period, and You shall promptly notify the Company of Your becoming eligible for such coverage, (iii) amounts paid by the Company will be taxable to the extent required to avoid adverse consequences to You or the Company under either Code §105(h) or the Patient Protection and Affordable Care Act of 2010 and (iv) if the conditions of Section 5 have not been met upon the date(s) that any reimbursement is or reimbursements are due pursuant to this Section 4(d)(B), such reimbursement(s) will not be made until the conditions of Section 5 have been met, and any such withheld reimbursement(s)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29"/>
          </w:cols>
          <w:pgMar w:left="431" w:top="72"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120"/>
        <w:spacing w:after="0" w:line="276" w:lineRule="auto"/>
        <w:rPr>
          <w:sz w:val="20"/>
          <w:szCs w:val="20"/>
          <w:color w:val="auto"/>
        </w:rPr>
      </w:pPr>
      <w:r>
        <w:rPr>
          <w:rFonts w:ascii="Times New Roman" w:cs="Times New Roman" w:eastAsia="Times New Roman" w:hAnsi="Times New Roman"/>
          <w:sz w:val="22"/>
          <w:szCs w:val="22"/>
          <w:color w:val="auto"/>
        </w:rPr>
        <w:t>instead be made, subject to Section 23, on the first payroll date following the effective date of the Separation &amp; Release Agreement (but in any event no later than two and a half months following Your termination of employment, subject to Your compliance with Section 5); and</w:t>
      </w:r>
    </w:p>
    <w:p>
      <w:pPr>
        <w:spacing w:after="0" w:line="140" w:lineRule="exact"/>
        <w:rPr>
          <w:sz w:val="20"/>
          <w:szCs w:val="20"/>
          <w:color w:val="auto"/>
        </w:rPr>
      </w:pPr>
    </w:p>
    <w:p>
      <w:pPr>
        <w:jc w:val="both"/>
        <w:ind w:right="120" w:firstLine="1949"/>
        <w:spacing w:after="0" w:line="261" w:lineRule="auto"/>
        <w:tabs>
          <w:tab w:leader="none" w:pos="2489"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cause any then-outstanding equity awards with respect to the Company, including but not limited to, options to purchase common stock of the Company and restricted stock units, if any, then held by You to vest as of such date of termination to the extent that the normal vesting date for such awards would have occurred on or prior to the 12-month anniversary of such termination of employment; provided, however,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f Your termination occurs before a Change in Control has occurred, any equity awards that do not vest pursuant to the foregoing, shall remain outstanding and be forfeited without consideration on the six (6) month anniversary of such termination unless a Change in Control occurs within such six (6) month period, in which case, such outstanding awards will be fully vested and exercisable immediately prior to such Change in Control (with You having ninety (90) days following such Change in Control to exercise such vested stock options if such options remain outstanding following such Change in Control).</w:t>
      </w:r>
    </w:p>
    <w:p>
      <w:pPr>
        <w:spacing w:after="0" w:line="142" w:lineRule="exact"/>
        <w:rPr>
          <w:rFonts w:ascii="Times New Roman" w:cs="Times New Roman" w:eastAsia="Times New Roman" w:hAnsi="Times New Roman"/>
          <w:sz w:val="22"/>
          <w:szCs w:val="22"/>
          <w:color w:val="auto"/>
        </w:rPr>
      </w:pPr>
    </w:p>
    <w:p>
      <w:pPr>
        <w:jc w:val="both"/>
        <w:ind w:right="120" w:firstLine="1938"/>
        <w:spacing w:after="0" w:line="266" w:lineRule="auto"/>
        <w:tabs>
          <w:tab w:leader="none" w:pos="248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 or by You with Good Reason On or within Eighteen Months following a Change in Control</w:t>
      </w:r>
      <w:r>
        <w:rPr>
          <w:rFonts w:ascii="Times New Roman" w:cs="Times New Roman" w:eastAsia="Times New Roman" w:hAnsi="Times New Roman"/>
          <w:sz w:val="22"/>
          <w:szCs w:val="22"/>
          <w:color w:val="auto"/>
        </w:rPr>
        <w:t>. If (i) the Company (or any of its affiliates) terminates Your employment without Cause, or (ii) You terminate Your employment for Good Reason, in each case, on or prior to the eighteen month anniversary of a Change in Control (a "</w:t>
      </w:r>
      <w:r>
        <w:rPr>
          <w:rFonts w:ascii="Times New Roman" w:cs="Times New Roman" w:eastAsia="Times New Roman" w:hAnsi="Times New Roman"/>
          <w:sz w:val="22"/>
          <w:szCs w:val="22"/>
          <w:u w:val="single" w:color="auto"/>
          <w:color w:val="auto"/>
        </w:rPr>
        <w:t>CIC Qualifying Termination</w:t>
      </w:r>
      <w:r>
        <w:rPr>
          <w:rFonts w:ascii="Times New Roman" w:cs="Times New Roman" w:eastAsia="Times New Roman" w:hAnsi="Times New Roman"/>
          <w:sz w:val="22"/>
          <w:szCs w:val="22"/>
          <w:color w:val="auto"/>
        </w:rPr>
        <w:t>"), then, in lieu of the benefits set forth in Section 4(d), the Company shall:</w:t>
      </w:r>
    </w:p>
    <w:p>
      <w:pPr>
        <w:spacing w:after="0" w:line="123" w:lineRule="exact"/>
        <w:rPr>
          <w:rFonts w:ascii="Times New Roman" w:cs="Times New Roman" w:eastAsia="Times New Roman" w:hAnsi="Times New Roman"/>
          <w:sz w:val="22"/>
          <w:szCs w:val="22"/>
          <w:color w:val="auto"/>
        </w:rPr>
      </w:pPr>
    </w:p>
    <w:p>
      <w:pPr>
        <w:jc w:val="both"/>
        <w:ind w:left="1620" w:right="120" w:firstLine="1983"/>
        <w:spacing w:after="0" w:line="273" w:lineRule="auto"/>
        <w:tabs>
          <w:tab w:leader="none" w:pos="4423" w:val="left"/>
        </w:tabs>
        <w:numPr>
          <w:ilvl w:val="2"/>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 You (i) Your Base Salary due through the date of termination, and (ii) an aggregate amount equal to one and a half (1.5) times the sum of (x) Your then-current annual Base Salary and (y) Your target annual cash bonus for the fiscal year of termination (provided, that if Your termination occurs prior to the date on which target annual bonuses are determined for the fiscal year of termination, Your target annual bonus shall be based on the target annual bonus established for the fiscal year preceding the fiscal year of termination), in a lump sum within sixty (60) days of Your date of termination; provided, however, (1) if the Change in Control is not a “change in control event” within the meaning of Section 409A or (2) a lump sum payment would otherwise not comply with or be exempt from Section 409A, then the amounts set forth in clause (ii) shall be paid to You in substantially equal installments as of the last day of each month during the Severance Period, with the first installment paid within sixty (60) days following Your termination of employment and such first installment including such amounts as would have otherwise been paid during the period beginning on the date of Your termination of employment and ending on such payment date; provided, however, that if the conditions of Section 5 have not been met upon the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20"/>
          </w:cols>
          <w:pgMar w:left="440" w:top="72"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1620" w:right="140"/>
        <w:spacing w:after="0" w:line="266" w:lineRule="auto"/>
        <w:rPr>
          <w:sz w:val="20"/>
          <w:szCs w:val="20"/>
          <w:color w:val="auto"/>
        </w:rPr>
      </w:pPr>
      <w:r>
        <w:rPr>
          <w:rFonts w:ascii="Times New Roman" w:cs="Times New Roman" w:eastAsia="Times New Roman" w:hAnsi="Times New Roman"/>
          <w:sz w:val="22"/>
          <w:szCs w:val="22"/>
          <w:color w:val="auto"/>
        </w:rPr>
        <w:t>that any payment is or payments are due pursuant to clause (ii) under this Section 4(e)(A), such payment(s) will not be made upon the date specified above, and such withheld payment(s) will instead be made, subject to Section 23, on the first payroll date following the effective date of the Separation &amp; Release Agreement (but in any event no later than two and a half months following Your termination of employment, subject to Your compliance with Section 5); and</w:t>
      </w:r>
    </w:p>
    <w:p>
      <w:pPr>
        <w:spacing w:after="0" w:line="151" w:lineRule="exact"/>
        <w:rPr>
          <w:sz w:val="20"/>
          <w:szCs w:val="20"/>
          <w:color w:val="auto"/>
        </w:rPr>
      </w:pPr>
    </w:p>
    <w:p>
      <w:pPr>
        <w:jc w:val="both"/>
        <w:ind w:left="1620" w:right="120" w:firstLine="1983"/>
        <w:spacing w:after="0" w:line="272" w:lineRule="auto"/>
        <w:tabs>
          <w:tab w:leader="none" w:pos="4424"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reimburse You, on a monthly basis, for any COBRA premiums You pay for You and any of Your dependents during the Severance Period (less the amount of any premium amount that would have been payable by You for such coverage, if any, if You had been actively employed by the Company), if and to the extent You and/or Your eligible dependents are entitled to and elect COBRA continuation coverage under the Company's major medical group plan in which You and/or Your dependents participated immediately prior to the date of termination, provided, however, that (i) notwithstanding anything in this subsection to the contrary, all other terms and provisions of the Company major medical group plan governing Your rights and Your dependent's rights under COBRA shall apply, (ii) payments pursuant to this Section 4(e)(B) shall cease earlier than the expiration of the Severance Period if You become eligible to receive health benefits pursuant to a plan maintained by a subsequent employer, including through a spouse's employer, during such period, and You shall promptly notify the Company of Your becoming eligible for such coverage, (iii) amounts paid by the Company will be taxable to the extent required to avoid adverse consequences to You or the Company under either Code </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105(h) or the Patient Protection and Affordable Care Act of 2010 and (iv) if the conditions of Section5 have not been met upon the date(s) that any reimbursement is or reimbursements are due pursuant to this Section 4(e)(B), such reimbursement(s) will not be made until the conditions of Section 5 have been met, and any such withheld reimbursement(s) will instead be made, subject to Section 23, on the first payroll date following the effective date of the Separation &amp; Release Agreement (but in any event no later than two and a half months following Your termination of employment, subject to Your compliance with Section 5).</w:t>
      </w:r>
    </w:p>
    <w:p>
      <w:pPr>
        <w:spacing w:after="0" w:line="186" w:lineRule="exact"/>
        <w:rPr>
          <w:rFonts w:ascii="Times New Roman" w:cs="Times New Roman" w:eastAsia="Times New Roman" w:hAnsi="Times New Roman"/>
          <w:sz w:val="21"/>
          <w:szCs w:val="21"/>
          <w:color w:val="auto"/>
        </w:rPr>
      </w:pPr>
    </w:p>
    <w:p>
      <w:pPr>
        <w:jc w:val="both"/>
        <w:ind w:right="120" w:firstLine="648"/>
        <w:spacing w:after="0" w:line="269" w:lineRule="auto"/>
        <w:tabs>
          <w:tab w:leader="none" w:pos="118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Obligations; No Other Severance</w:t>
      </w:r>
      <w:r>
        <w:rPr>
          <w:rFonts w:ascii="Times New Roman" w:cs="Times New Roman" w:eastAsia="Times New Roman" w:hAnsi="Times New Roman"/>
          <w:sz w:val="22"/>
          <w:szCs w:val="22"/>
          <w:color w:val="auto"/>
        </w:rPr>
        <w:t>. The Company's obligation to pay You the separation payments set forth in Section 4(d) and Section 4(e) (excluding, in either case, Your Base Salary due through the date of termination) shall be conditioned upon Your execution and non-revocation, within the timeframe specified by the Company (but no later than fifty two (52) days following Your date of termination), and compliance with, a valid and binding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120"/>
          </w:cols>
          <w:pgMar w:left="440" w:top="72"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22"/>
          <w:szCs w:val="22"/>
          <w:color w:val="auto"/>
        </w:rPr>
        <w:t>and release agreement (the "</w:t>
      </w:r>
      <w:r>
        <w:rPr>
          <w:rFonts w:ascii="Times New Roman" w:cs="Times New Roman" w:eastAsia="Times New Roman" w:hAnsi="Times New Roman"/>
          <w:sz w:val="22"/>
          <w:szCs w:val="22"/>
          <w:u w:val="single" w:color="auto"/>
          <w:color w:val="auto"/>
        </w:rPr>
        <w:t>Separation &amp; Release Agreement</w:t>
      </w:r>
      <w:r>
        <w:rPr>
          <w:rFonts w:ascii="Times New Roman" w:cs="Times New Roman" w:eastAsia="Times New Roman" w:hAnsi="Times New Roman"/>
          <w:sz w:val="22"/>
          <w:szCs w:val="22"/>
          <w:color w:val="auto"/>
        </w:rPr>
        <w:t>") in the Company's customary form. You hereby acknowledge and agree that, other than the severance payments and benefits described in this Agreement, upon the effective date of the termination of Your employment, You shall not be entitled to any other severance payments or benefits of any kind under any Company benefit plan, severance policy generally available to the Company's employees or otherwise and all of Your other rights to compensation shall end as of such date, except as set forth in this Agreement.</w:t>
      </w:r>
    </w:p>
    <w:p>
      <w:pPr>
        <w:spacing w:after="0" w:line="151" w:lineRule="exact"/>
        <w:rPr>
          <w:sz w:val="20"/>
          <w:szCs w:val="20"/>
          <w:color w:val="auto"/>
        </w:rPr>
      </w:pPr>
    </w:p>
    <w:p>
      <w:pPr>
        <w:jc w:val="both"/>
        <w:ind w:right="120" w:firstLine="648"/>
        <w:spacing w:after="0" w:line="269" w:lineRule="auto"/>
        <w:tabs>
          <w:tab w:leader="none" w:pos="118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 Vesting</w:t>
      </w:r>
      <w:r>
        <w:rPr>
          <w:rFonts w:ascii="Times New Roman" w:cs="Times New Roman" w:eastAsia="Times New Roman" w:hAnsi="Times New Roman"/>
          <w:sz w:val="22"/>
          <w:szCs w:val="22"/>
          <w:color w:val="auto"/>
        </w:rPr>
        <w:t>. Unless otherwise expressly provided for in an equity award agreement, any equity awards, including but not limited to, options to purchase common stock of the Company, shares of restricted stock, and restricted stock units, if any, then held by You will be fully vested and exercisable in full in the event of Your CIC Qualifying Termination.</w:t>
      </w:r>
    </w:p>
    <w:p>
      <w:pPr>
        <w:spacing w:after="0" w:line="175" w:lineRule="exact"/>
        <w:rPr>
          <w:rFonts w:ascii="Times New Roman" w:cs="Times New Roman" w:eastAsia="Times New Roman" w:hAnsi="Times New Roman"/>
          <w:sz w:val="22"/>
          <w:szCs w:val="22"/>
          <w:color w:val="auto"/>
        </w:rPr>
      </w:pPr>
    </w:p>
    <w:p>
      <w:pPr>
        <w:jc w:val="both"/>
        <w:ind w:right="120" w:firstLine="648"/>
        <w:spacing w:after="0" w:line="259" w:lineRule="auto"/>
        <w:tabs>
          <w:tab w:leader="none" w:pos="118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280G</w:t>
      </w:r>
      <w:r>
        <w:rPr>
          <w:rFonts w:ascii="Times New Roman" w:cs="Times New Roman" w:eastAsia="Times New Roman" w:hAnsi="Times New Roman"/>
          <w:sz w:val="22"/>
          <w:szCs w:val="22"/>
          <w:color w:val="auto"/>
        </w:rPr>
        <w:t>. Notwithstanding anything to the contrary in this Agreement, You expressly agree that if the payments and benefits provided for in this Agreement or any other payments and benefits which You have the right to receive from the Company and its affiliates (collectively, the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would constitute a "parachute payment" (as defined in Section 280G(b)(2) of the Code), then the Payments shall be either (i) reduced (but not below zero) so that the present value of the Payments will be one dollar ($1.00) less than three times Your "base amount" (as defined in Section 280G(b)(3) of the Code) and so that no portion of the Payments received by You shall be subject to the excise tax imposed by Section 4999 of the Code or (ii) paid in full, whichever produces the better net after-tax result to You. The reduction of Payments, if any, shall be made by reducing first any Payments that are exempt from Section 409A and then reducing any Payments subject to Section 409A in the reverse order in which such Payments would be paid or provided (beginning with such payment or benefit that would be made last in time and continuing, to the extent necessary, through to such payment or benefit that would be made first in time). The determination as to whether any such reduction in the Payments is necessary shall be made by the Compensation Committee or its designee in good faith, which determination will be conclusive and binding upon You and the Company for all purposes. In making such determination, the Compensation Committee or its designee may engage the services of accountants or other professional advisors, and may make reasonable assumptions and approximations concerning applicable taxes and may rely on reasonable, good faith interpretations concerning the application of the Code (including but not limited to Sections 280G and 4999). If a reduced Payment is made or provided and, through error or otherwise, that Payment, when aggregated with other payments and benefits from Company (or its affiliates) used in determining if a "parachute payment" exists, exceeds one dollar ($1.00) less than three times Your base amount, then You shall immediately repay such excess to the Company.</w:t>
      </w:r>
    </w:p>
    <w:p>
      <w:pPr>
        <w:spacing w:after="0" w:line="172" w:lineRule="exact"/>
        <w:rPr>
          <w:rFonts w:ascii="Times New Roman" w:cs="Times New Roman" w:eastAsia="Times New Roman" w:hAnsi="Times New Roman"/>
          <w:sz w:val="22"/>
          <w:szCs w:val="22"/>
          <w:color w:val="auto"/>
        </w:rPr>
      </w:pPr>
    </w:p>
    <w:p>
      <w:pPr>
        <w:jc w:val="both"/>
        <w:ind w:right="140" w:firstLine="648"/>
        <w:spacing w:after="0" w:line="270" w:lineRule="auto"/>
        <w:tabs>
          <w:tab w:leader="none" w:pos="118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payments made pursuant to this Agreement will be subject to applicable withholdings, including such federal, state, and local income and payroll taxes as the Company determines are required to be withheld pursuant to applicable law.</w:t>
      </w:r>
    </w:p>
    <w:p>
      <w:pPr>
        <w:spacing w:after="0" w:line="226" w:lineRule="exact"/>
        <w:rPr>
          <w:rFonts w:ascii="Times New Roman" w:cs="Times New Roman" w:eastAsia="Times New Roman" w:hAnsi="Times New Roman"/>
          <w:sz w:val="22"/>
          <w:szCs w:val="22"/>
          <w:color w:val="auto"/>
        </w:rPr>
      </w:pPr>
    </w:p>
    <w:p>
      <w:pPr>
        <w:ind w:left="1260" w:hanging="611"/>
        <w:spacing w:after="0"/>
        <w:tabs>
          <w:tab w:leader="none" w:pos="12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20"/>
          </w:cols>
          <w:pgMar w:left="440" w:top="72"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9" w:right="120" w:firstLine="1295"/>
        <w:spacing w:after="0" w:line="262" w:lineRule="auto"/>
        <w:tabs>
          <w:tab w:leader="none" w:pos="185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(i) the indictment or conviction of, or plea of "guilty" or "no contest" to, a felony or a crime involving moral turpitude (excluding a traffic violation not involving any period of incarceration) or the commission of any other act or omission involving dishonesty or fraud by You or at Your direction with respect to, and materially adversely affecting the business affairs of, the Company or any of its affiliates or any of their customers or suppliers,</w:t>
      </w:r>
    </w:p>
    <w:p>
      <w:pPr>
        <w:spacing w:after="0" w:line="1" w:lineRule="exact"/>
        <w:rPr>
          <w:rFonts w:ascii="Times New Roman" w:cs="Times New Roman" w:eastAsia="Times New Roman" w:hAnsi="Times New Roman"/>
          <w:sz w:val="22"/>
          <w:szCs w:val="22"/>
          <w:color w:val="auto"/>
        </w:rPr>
      </w:pPr>
    </w:p>
    <w:p>
      <w:pPr>
        <w:jc w:val="both"/>
        <w:ind w:left="9" w:right="120" w:hanging="9"/>
        <w:spacing w:after="0" w:line="259" w:lineRule="auto"/>
        <w:tabs>
          <w:tab w:leader="none" w:pos="34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tending to bring the Company or any of its affiliates into substantial public disgrace or disrepute that causes (or could reasonably be expected to cause) substantial injury to the business, reputation and/or operations of the Company or such affiliates, (iii) substantial and repeated failure or refusal to perform duties of the office held by You as reasonably directed by the Company (other than any such failure resulting from Your incapacity due to injury or illness), and such failure is not cured within thirty (30) days after You receive written notice thereof from the Company that specifically identifies the manner in which the Company believes You have not substantially performed Your duties, (iv) gross negligence or willful misconduct with respect to the Company or any of its affiliates that causes (or could reasonably be expected to cause) substantial injury to the business, reputation and/or operations of the Company or such affiliate, or (v) any material breach of the policies of the Company (as set forth in the manuals or statements of policy of the Company), this Agreement or the Covenants Agreement (defined below). For purposes of this provision, no act or failure to act on Your part shall be considered "willful" unless it is done, or omitted to be done, by You in bad faith or without reasonable belief that Your action or omission was in the best interests of the Company. Any act or failure to act based upon authority given pursuant to a resolution duly adopted by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or based upon advice of counsel for the Company shall be conclusively presumed to be done, or omitted to be done, by You in good faith and in the best interests of the Company. If, within thirty (30) days subsequent to Your termination for any reason, it is discovered that Your employment could have been terminated for Cause, as determined by the Board in its good faith, Your employment will be deemed to have been terminated for Cause for all purposes under this Agreement, You will be required to disgorge to the Company all amounts received by You pursuant to this Agreement on account of such termination that would not have been payable to You had such termination been by the Company for Cause, and the Company will be released from any further obligation to provide You with any separation payments or benefits of any kind.</w:t>
      </w:r>
    </w:p>
    <w:p>
      <w:pPr>
        <w:spacing w:after="0" w:line="143" w:lineRule="exact"/>
        <w:rPr>
          <w:rFonts w:ascii="Times New Roman" w:cs="Times New Roman" w:eastAsia="Times New Roman" w:hAnsi="Times New Roman"/>
          <w:sz w:val="22"/>
          <w:szCs w:val="22"/>
          <w:color w:val="auto"/>
        </w:rPr>
      </w:pPr>
    </w:p>
    <w:p>
      <w:pPr>
        <w:jc w:val="both"/>
        <w:ind w:left="9" w:right="120" w:firstLine="1295"/>
        <w:spacing w:after="0" w:line="269" w:lineRule="auto"/>
        <w:tabs>
          <w:tab w:leader="none" w:pos="184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have the same meaning as set forth in the nCino, Inc. 2019 Equity Incentive Plan, as amended and restated effective immediately prior to the completion of the Company's initial public offering or, solely with respect to equity awards outstanding as of the Effective Date, the equity plan and related award agreements pursuant to which such awards were granted.</w:t>
      </w:r>
    </w:p>
    <w:p>
      <w:pPr>
        <w:spacing w:after="0" w:line="148" w:lineRule="exact"/>
        <w:rPr>
          <w:rFonts w:ascii="Times New Roman" w:cs="Times New Roman" w:eastAsia="Times New Roman" w:hAnsi="Times New Roman"/>
          <w:sz w:val="22"/>
          <w:szCs w:val="22"/>
          <w:color w:val="auto"/>
        </w:rPr>
      </w:pPr>
    </w:p>
    <w:p>
      <w:pPr>
        <w:ind w:left="1929" w:hanging="624"/>
        <w:spacing w:after="0"/>
        <w:tabs>
          <w:tab w:leader="none" w:pos="192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33" w:lineRule="exact"/>
        <w:rPr>
          <w:rFonts w:ascii="Times New Roman" w:cs="Times New Roman" w:eastAsia="Times New Roman" w:hAnsi="Times New Roman"/>
          <w:sz w:val="22"/>
          <w:szCs w:val="22"/>
          <w:color w:val="auto"/>
        </w:rPr>
      </w:pPr>
    </w:p>
    <w:p>
      <w:pPr>
        <w:ind w:left="1929" w:hanging="624"/>
        <w:spacing w:after="0"/>
        <w:tabs>
          <w:tab w:leader="none" w:pos="192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exist if (i) the Company, without Your written consent</w:t>
      </w:r>
    </w:p>
    <w:p>
      <w:pPr>
        <w:spacing w:after="0" w:line="29" w:lineRule="exact"/>
        <w:rPr>
          <w:sz w:val="20"/>
          <w:szCs w:val="20"/>
          <w:color w:val="auto"/>
        </w:rPr>
      </w:pPr>
    </w:p>
    <w:p>
      <w:pPr>
        <w:ind w:left="9" w:right="140" w:hanging="9"/>
        <w:spacing w:after="0" w:line="285" w:lineRule="auto"/>
        <w:tabs>
          <w:tab w:leader="none" w:pos="35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materially reduces Your authority, duties, or responsibilities from those applicable to You as of the Effective Date (including, following a Change in Control, any failure of the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129"/>
          </w:cols>
          <w:pgMar w:left="431" w:top="72"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9" w:right="120"/>
        <w:spacing w:after="0" w:line="271" w:lineRule="auto"/>
        <w:rPr>
          <w:sz w:val="20"/>
          <w:szCs w:val="20"/>
          <w:color w:val="auto"/>
        </w:rPr>
      </w:pPr>
      <w:r>
        <w:rPr>
          <w:rFonts w:ascii="Times New Roman" w:cs="Times New Roman" w:eastAsia="Times New Roman" w:hAnsi="Times New Roman"/>
          <w:sz w:val="21"/>
          <w:szCs w:val="21"/>
          <w:color w:val="auto"/>
        </w:rPr>
        <w:t>corporation of any controlled group of corporations that includes the Company, if the Company is not such parent corporation, to offer You a position with such parent corporation or a subsidiary thereof involving the same or substantially equivalent duties as Your then-current position with the Company), (b) materially reduces Your Base Salary or target annual cash bonus (excluding any reduction as part of an across-the-board reduction in base salaries and target annual bonuses of all Company executive officers so long as the percentage reduction in Your Base Salary and target annual cash bonus is not greater than the percentage reduction applicable to other executive officers, for the same period as the reduction in other executive officer's reduction in salary and target annual cash bonus and, in the event such reduction is later mitigated for other executive officers, Your Base Salary and target annual cash bonus is then increased by the same percentage applicable to other executive officers), or (c) requires You to relocate to a place more than 50 miles from Wilmington, North Carolina to perform Your duties; (ii) You provide written notice to the Company of such action within ninety (90) days of the occurrence thereof and provide the Company with thirty (30) days to remedy such action from the notice date (the "Cure Period");</w:t>
      </w:r>
    </w:p>
    <w:p>
      <w:pPr>
        <w:spacing w:after="0" w:line="10" w:lineRule="exact"/>
        <w:rPr>
          <w:sz w:val="20"/>
          <w:szCs w:val="20"/>
          <w:color w:val="auto"/>
        </w:rPr>
      </w:pPr>
    </w:p>
    <w:p>
      <w:pPr>
        <w:ind w:left="9" w:right="140" w:hanging="9"/>
        <w:spacing w:after="0" w:line="272" w:lineRule="auto"/>
        <w:tabs>
          <w:tab w:leader="none" w:pos="39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fails to remedy such action within the Cure Period; and (iv) You elect to resign within thirty (30) days of the expiration of the Cure Period.</w:t>
      </w:r>
    </w:p>
    <w:p>
      <w:pPr>
        <w:spacing w:after="0" w:line="143" w:lineRule="exact"/>
        <w:rPr>
          <w:rFonts w:ascii="Times New Roman" w:cs="Times New Roman" w:eastAsia="Times New Roman" w:hAnsi="Times New Roman"/>
          <w:sz w:val="22"/>
          <w:szCs w:val="22"/>
          <w:color w:val="auto"/>
        </w:rPr>
      </w:pPr>
    </w:p>
    <w:p>
      <w:pPr>
        <w:ind w:left="9" w:right="280" w:firstLine="1295"/>
        <w:spacing w:after="0" w:line="284" w:lineRule="auto"/>
        <w:tabs>
          <w:tab w:leader="none" w:pos="1850"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Section 409A of the Code and the regulations and other guidance thereunder and any state law of similar effect.</w:t>
      </w:r>
    </w:p>
    <w:p>
      <w:pPr>
        <w:spacing w:after="0" w:line="143" w:lineRule="exact"/>
        <w:rPr>
          <w:rFonts w:ascii="Times New Roman" w:cs="Times New Roman" w:eastAsia="Times New Roman" w:hAnsi="Times New Roman"/>
          <w:sz w:val="22"/>
          <w:szCs w:val="22"/>
          <w:color w:val="auto"/>
        </w:rPr>
      </w:pPr>
    </w:p>
    <w:p>
      <w:pPr>
        <w:jc w:val="both"/>
        <w:ind w:left="9" w:right="120" w:firstLine="648"/>
        <w:spacing w:after="0" w:line="266" w:lineRule="auto"/>
        <w:tabs>
          <w:tab w:leader="none" w:pos="1194"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between the Parties concerning the subject matter of this Agreement and supersedes any prior communications, agreements or understandings, whether oral or written, between You and the Company (including, without limitation, the Prior Agreement) relating to the subject matter of this Agreement. Other than the terms of this Agreement, no other representation, promise or agreement has been made with You to cause You to sign this Agreement.</w:t>
      </w:r>
    </w:p>
    <w:p>
      <w:pPr>
        <w:spacing w:after="0" w:line="150" w:lineRule="exact"/>
        <w:rPr>
          <w:rFonts w:ascii="Times New Roman" w:cs="Times New Roman" w:eastAsia="Times New Roman" w:hAnsi="Times New Roman"/>
          <w:sz w:val="22"/>
          <w:szCs w:val="22"/>
          <w:color w:val="auto"/>
        </w:rPr>
      </w:pPr>
    </w:p>
    <w:p>
      <w:pPr>
        <w:jc w:val="both"/>
        <w:ind w:left="9" w:right="120" w:firstLine="648"/>
        <w:spacing w:after="0" w:line="261" w:lineRule="auto"/>
        <w:tabs>
          <w:tab w:leader="none" w:pos="118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Agreement</w:t>
      </w:r>
      <w:r>
        <w:rPr>
          <w:rFonts w:ascii="Times New Roman" w:cs="Times New Roman" w:eastAsia="Times New Roman" w:hAnsi="Times New Roman"/>
          <w:sz w:val="22"/>
          <w:szCs w:val="22"/>
          <w:color w:val="auto"/>
        </w:rPr>
        <w:t>. By execution of this Agreement, the Parties acknowledge the validity and effectiveness of the (i) Amended and Restated Non-Disclosure, Restrictive Covenants and Assignment of Inventions Agreement, and (ii) Acknowledgement and Agreement (collectively, the "</w:t>
      </w:r>
      <w:r>
        <w:rPr>
          <w:rFonts w:ascii="Times New Roman" w:cs="Times New Roman" w:eastAsia="Times New Roman" w:hAnsi="Times New Roman"/>
          <w:sz w:val="22"/>
          <w:szCs w:val="22"/>
          <w:u w:val="single" w:color="auto"/>
          <w:color w:val="auto"/>
        </w:rPr>
        <w:t>Covenants Agreement</w:t>
      </w:r>
      <w:r>
        <w:rPr>
          <w:rFonts w:ascii="Times New Roman" w:cs="Times New Roman" w:eastAsia="Times New Roman" w:hAnsi="Times New Roman"/>
          <w:sz w:val="22"/>
          <w:szCs w:val="22"/>
          <w:color w:val="auto"/>
        </w:rPr>
        <w:t>") entered into by You with the Company. Notwithstanding anything in this Agreement or any other agreement to the contrary, You understand that nothing contained in this Agreement or any other agreement limits Your ability to report possible violations of law or regulation to or file a charge or complaint with the Securities and Exchange Commission, the Equal Employment Opportunity Commission, the National Labor Relations Board, the Occupational Safety and Health Administration, the Department of Justice, the Congress, any Inspector General, or any other federal, state or local governmental agency or commission or regulatory authority (collectively, "Government Agencies"). You further understand that neither this Agreement nor any other Agreement limits Your ability to communicate with any Government Agencies or otherwise participate in any investigation or proceeding that may be conducted by any Government Agency, including providing documents or other information, without notice to the Company. Furthermore (i) You shall not be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29"/>
          </w:cols>
          <w:pgMar w:left="431" w:top="72"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22"/>
          <w:szCs w:val="22"/>
          <w:color w:val="auto"/>
        </w:rPr>
        <w:t>criminally or civilly liable under any federal or state trade secret law for the disclosure of a trade secret that: (A) is made (x) in confidence to a federal, state, or local government official, either directly or indirectly, or to an attorney; and (y) solely for the purpose of reporting or investigating a suspected violation of law; or (B) is made in a complaint or other document filed in a lawsuit or other proceeding, if such filing is made under seal, and (ii) if You file a lawsuit for retaliation by the Company for reporting a suspected violation of law, You may disclose a trade secret to Your attorney and use the trade secret information in the court proceeding, if You file any document containing the trade secret under seal and do not disclose the trade secret except pursuant to court order.</w:t>
      </w:r>
    </w:p>
    <w:p>
      <w:pPr>
        <w:spacing w:after="0" w:line="159" w:lineRule="exact"/>
        <w:rPr>
          <w:sz w:val="20"/>
          <w:szCs w:val="20"/>
          <w:color w:val="auto"/>
        </w:rPr>
      </w:pPr>
    </w:p>
    <w:p>
      <w:pPr>
        <w:jc w:val="both"/>
        <w:ind w:right="140" w:firstLine="648"/>
        <w:spacing w:after="0" w:line="264" w:lineRule="auto"/>
        <w:tabs>
          <w:tab w:leader="none" w:pos="118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 and Venue</w:t>
      </w:r>
      <w:r>
        <w:rPr>
          <w:rFonts w:ascii="Times New Roman" w:cs="Times New Roman" w:eastAsia="Times New Roman" w:hAnsi="Times New Roman"/>
          <w:sz w:val="22"/>
          <w:szCs w:val="22"/>
          <w:color w:val="auto"/>
        </w:rPr>
        <w:t>. The laws of the State of North Carolina will govern this Agreement. If North Carolina's conflict of law rules would apply another state's laws, the Parties agree that North Carolina law will still govern. You agree that any claim arising out of or relating to this Agreement will be brought exclusively in a state or federal court of competent jurisdiction in North Carolina. You consent to the personal jurisdiction of the state and/or federal courts located in North Carolina. You waive (i) any objection to jurisdiction or venue, or (ii) any defense claiming lack of jurisdiction or improper venue, in any action brought in such courts.</w:t>
      </w:r>
    </w:p>
    <w:p>
      <w:pPr>
        <w:spacing w:after="0" w:line="166" w:lineRule="exact"/>
        <w:rPr>
          <w:rFonts w:ascii="Times New Roman" w:cs="Times New Roman" w:eastAsia="Times New Roman" w:hAnsi="Times New Roman"/>
          <w:sz w:val="22"/>
          <w:szCs w:val="22"/>
          <w:color w:val="auto"/>
        </w:rPr>
      </w:pPr>
    </w:p>
    <w:p>
      <w:pPr>
        <w:ind w:right="140" w:firstLine="648"/>
        <w:spacing w:after="0" w:line="284" w:lineRule="auto"/>
        <w:tabs>
          <w:tab w:leader="none" w:pos="118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Company's failure to enforce any provision of this Agreement will not act as a waiver of that or any other provision. The Company's waiver of any breach of this Agreement will not act as a waiver of any other breach.</w:t>
      </w:r>
    </w:p>
    <w:p>
      <w:pPr>
        <w:spacing w:after="0" w:line="130" w:lineRule="exact"/>
        <w:rPr>
          <w:rFonts w:ascii="Times New Roman" w:cs="Times New Roman" w:eastAsia="Times New Roman" w:hAnsi="Times New Roman"/>
          <w:sz w:val="22"/>
          <w:szCs w:val="22"/>
          <w:color w:val="auto"/>
        </w:rPr>
      </w:pPr>
    </w:p>
    <w:p>
      <w:pPr>
        <w:jc w:val="both"/>
        <w:ind w:right="120" w:firstLine="648"/>
        <w:spacing w:after="0" w:line="276" w:lineRule="auto"/>
        <w:tabs>
          <w:tab w:leader="none" w:pos="118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If any provision is determined to be invalid, illegal, or unenforceable, in whole or in part, the remaining provisions and any partially enforceable provisions will remain in full force and effect.</w:t>
      </w:r>
    </w:p>
    <w:p>
      <w:pPr>
        <w:spacing w:after="0" w:line="139" w:lineRule="exact"/>
        <w:rPr>
          <w:rFonts w:ascii="Times New Roman" w:cs="Times New Roman" w:eastAsia="Times New Roman" w:hAnsi="Times New Roman"/>
          <w:sz w:val="22"/>
          <w:szCs w:val="22"/>
          <w:color w:val="auto"/>
        </w:rPr>
      </w:pPr>
    </w:p>
    <w:p>
      <w:pPr>
        <w:ind w:left="1180" w:hanging="532"/>
        <w:spacing w:after="0"/>
        <w:tabs>
          <w:tab w:leader="none" w:pos="11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This Agreement may not be amended or modified except in writing signed by both Parties.</w:t>
      </w:r>
    </w:p>
    <w:p>
      <w:pPr>
        <w:spacing w:after="0" w:line="219" w:lineRule="exact"/>
        <w:rPr>
          <w:rFonts w:ascii="Times New Roman" w:cs="Times New Roman" w:eastAsia="Times New Roman" w:hAnsi="Times New Roman"/>
          <w:sz w:val="22"/>
          <w:szCs w:val="22"/>
          <w:color w:val="auto"/>
        </w:rPr>
      </w:pPr>
    </w:p>
    <w:p>
      <w:pPr>
        <w:jc w:val="both"/>
        <w:ind w:right="120" w:firstLine="648"/>
        <w:spacing w:after="0" w:line="266" w:lineRule="auto"/>
        <w:tabs>
          <w:tab w:leader="none" w:pos="118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will be assignable to, and will inure to the benefit of, the Company's successors and assigns, including, without limitation, successors through merger, name change, consolidation, or sale of a majority of the Company's stock or assets, and will be binding upon You and Your heirs and assigns. You may not assign, delegate or otherwise transfer any of Your rights, interests or obligations in this Agreement without the prior written approval of the Company.</w:t>
      </w:r>
    </w:p>
    <w:p>
      <w:pPr>
        <w:spacing w:after="0" w:line="150" w:lineRule="exact"/>
        <w:rPr>
          <w:rFonts w:ascii="Times New Roman" w:cs="Times New Roman" w:eastAsia="Times New Roman" w:hAnsi="Times New Roman"/>
          <w:sz w:val="22"/>
          <w:szCs w:val="22"/>
          <w:color w:val="auto"/>
        </w:rPr>
      </w:pPr>
    </w:p>
    <w:p>
      <w:pPr>
        <w:ind w:right="140" w:firstLine="648"/>
        <w:spacing w:after="0" w:line="284" w:lineRule="auto"/>
        <w:tabs>
          <w:tab w:leader="none" w:pos="118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Sections 4, 5, and 7 through 23, and such other provisions hereof as may so indicate shall survive and continue in full force and effect in accordance with their respective terms, notwithstanding any termination of the Term.</w:t>
      </w:r>
    </w:p>
    <w:p>
      <w:pPr>
        <w:spacing w:after="0" w:line="143" w:lineRule="exact"/>
        <w:rPr>
          <w:rFonts w:ascii="Times New Roman" w:cs="Times New Roman" w:eastAsia="Times New Roman" w:hAnsi="Times New Roman"/>
          <w:sz w:val="22"/>
          <w:szCs w:val="22"/>
          <w:color w:val="auto"/>
        </w:rPr>
      </w:pPr>
    </w:p>
    <w:p>
      <w:pPr>
        <w:ind w:right="140" w:firstLine="648"/>
        <w:spacing w:after="0" w:line="284" w:lineRule="auto"/>
        <w:tabs>
          <w:tab w:leader="none" w:pos="118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provided for in this Agreement must be in writing and will be deemed validly given (i) on the date it is actually delivered by personal delivery of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20"/>
          </w:cols>
          <w:pgMar w:left="440" w:top="72"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9" w:right="120" w:hanging="9"/>
        <w:spacing w:after="0" w:line="273" w:lineRule="auto"/>
        <w:tabs>
          <w:tab w:leader="none" w:pos="371"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(1) business day after its deposit in the custody of Federal Express or other reputable courier service regularly providing evidence of delivery (with next business day delivery charges paid by the Party sending the notice), (iii) three (3) business days after its deposit in the custody of the U.S. mail, certified or registered postage prepaid, return receipt requested, or (iv) one (1) business day after transmission by facsimile or a PDF or similar attachment to an email, provided that such facsimile or email attachment shall be followed within one (1) business day by delivery of such notice pursuant to clause (i),</w:t>
      </w:r>
    </w:p>
    <w:p>
      <w:pPr>
        <w:spacing w:after="0" w:line="2" w:lineRule="exact"/>
        <w:rPr>
          <w:rFonts w:ascii="Times New Roman" w:cs="Times New Roman" w:eastAsia="Times New Roman" w:hAnsi="Times New Roman"/>
          <w:sz w:val="21"/>
          <w:szCs w:val="21"/>
          <w:color w:val="auto"/>
        </w:rPr>
      </w:pPr>
    </w:p>
    <w:p>
      <w:pPr>
        <w:ind w:left="9" w:right="140" w:hanging="9"/>
        <w:spacing w:after="0" w:line="272" w:lineRule="auto"/>
        <w:tabs>
          <w:tab w:leader="none" w:pos="33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(iii) above. Any such notice to a Party shall be addressed at the address set forth below (subject to the right of a Party to designate a different address for itself by notice similarly given):</w:t>
      </w:r>
    </w:p>
    <w:p>
      <w:pPr>
        <w:spacing w:after="0" w:line="143" w:lineRule="exact"/>
        <w:rPr>
          <w:sz w:val="20"/>
          <w:szCs w:val="20"/>
          <w:color w:val="auto"/>
        </w:rPr>
      </w:pPr>
    </w:p>
    <w:p>
      <w:pPr>
        <w:ind w:left="649"/>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33" w:lineRule="exact"/>
        <w:rPr>
          <w:sz w:val="20"/>
          <w:szCs w:val="20"/>
          <w:color w:val="auto"/>
        </w:rPr>
      </w:pPr>
    </w:p>
    <w:p>
      <w:pPr>
        <w:ind w:left="649"/>
        <w:spacing w:after="0"/>
        <w:rPr>
          <w:sz w:val="20"/>
          <w:szCs w:val="20"/>
          <w:color w:val="auto"/>
        </w:rPr>
      </w:pPr>
      <w:r>
        <w:rPr>
          <w:rFonts w:ascii="Times New Roman" w:cs="Times New Roman" w:eastAsia="Times New Roman" w:hAnsi="Times New Roman"/>
          <w:sz w:val="22"/>
          <w:szCs w:val="22"/>
          <w:color w:val="auto"/>
        </w:rPr>
        <w:t>nCino OpCo, Inc.</w:t>
      </w:r>
    </w:p>
    <w:p>
      <w:pPr>
        <w:spacing w:after="0" w:line="31" w:lineRule="exact"/>
        <w:rPr>
          <w:sz w:val="20"/>
          <w:szCs w:val="20"/>
          <w:color w:val="auto"/>
        </w:rPr>
      </w:pPr>
    </w:p>
    <w:p>
      <w:pPr>
        <w:ind w:left="649"/>
        <w:spacing w:after="0"/>
        <w:rPr>
          <w:sz w:val="20"/>
          <w:szCs w:val="20"/>
          <w:color w:val="auto"/>
        </w:rPr>
      </w:pPr>
      <w:r>
        <w:rPr>
          <w:rFonts w:ascii="Times New Roman" w:cs="Times New Roman" w:eastAsia="Times New Roman" w:hAnsi="Times New Roman"/>
          <w:sz w:val="22"/>
          <w:szCs w:val="22"/>
          <w:color w:val="auto"/>
        </w:rPr>
        <w:t>6770 Parker Farm Drive, Suite 300</w:t>
      </w:r>
    </w:p>
    <w:p>
      <w:pPr>
        <w:spacing w:after="0" w:line="31" w:lineRule="exact"/>
        <w:rPr>
          <w:sz w:val="20"/>
          <w:szCs w:val="20"/>
          <w:color w:val="auto"/>
        </w:rPr>
      </w:pPr>
    </w:p>
    <w:p>
      <w:pPr>
        <w:ind w:left="649"/>
        <w:spacing w:after="0"/>
        <w:rPr>
          <w:sz w:val="20"/>
          <w:szCs w:val="20"/>
          <w:color w:val="auto"/>
        </w:rPr>
      </w:pPr>
      <w:r>
        <w:rPr>
          <w:rFonts w:ascii="Times New Roman" w:cs="Times New Roman" w:eastAsia="Times New Roman" w:hAnsi="Times New Roman"/>
          <w:sz w:val="22"/>
          <w:szCs w:val="22"/>
          <w:color w:val="auto"/>
        </w:rPr>
        <w:t>Wilmington, NC 28405</w:t>
      </w:r>
    </w:p>
    <w:p>
      <w:pPr>
        <w:spacing w:after="0" w:line="125" w:lineRule="exact"/>
        <w:rPr>
          <w:sz w:val="20"/>
          <w:szCs w:val="20"/>
          <w:color w:val="auto"/>
        </w:rPr>
      </w:pPr>
    </w:p>
    <w:p>
      <w:pPr>
        <w:ind w:left="649"/>
        <w:spacing w:after="0"/>
        <w:rPr>
          <w:sz w:val="20"/>
          <w:szCs w:val="20"/>
          <w:color w:val="auto"/>
        </w:rPr>
      </w:pPr>
      <w:r>
        <w:rPr>
          <w:rFonts w:ascii="Times New Roman" w:cs="Times New Roman" w:eastAsia="Times New Roman" w:hAnsi="Times New Roman"/>
          <w:sz w:val="22"/>
          <w:szCs w:val="22"/>
          <w:color w:val="auto"/>
        </w:rPr>
        <w:t>Attention: Chair of the Compensation Committee If to You:</w:t>
      </w:r>
    </w:p>
    <w:p>
      <w:pPr>
        <w:spacing w:after="0" w:line="125" w:lineRule="exact"/>
        <w:rPr>
          <w:sz w:val="20"/>
          <w:szCs w:val="20"/>
          <w:color w:val="auto"/>
        </w:rPr>
      </w:pPr>
    </w:p>
    <w:p>
      <w:pPr>
        <w:ind w:left="649"/>
        <w:spacing w:after="0"/>
        <w:rPr>
          <w:sz w:val="20"/>
          <w:szCs w:val="20"/>
          <w:color w:val="auto"/>
        </w:rPr>
      </w:pPr>
      <w:r>
        <w:rPr>
          <w:rFonts w:ascii="Times New Roman" w:cs="Times New Roman" w:eastAsia="Times New Roman" w:hAnsi="Times New Roman"/>
          <w:sz w:val="22"/>
          <w:szCs w:val="22"/>
          <w:color w:val="auto"/>
        </w:rPr>
        <w:t>At the most recent address on file with the Company</w:t>
      </w:r>
    </w:p>
    <w:p>
      <w:pPr>
        <w:spacing w:after="0" w:line="220" w:lineRule="exact"/>
        <w:rPr>
          <w:sz w:val="20"/>
          <w:szCs w:val="20"/>
          <w:color w:val="auto"/>
        </w:rPr>
      </w:pPr>
    </w:p>
    <w:p>
      <w:pPr>
        <w:jc w:val="both"/>
        <w:ind w:left="9" w:right="120" w:firstLine="648"/>
        <w:spacing w:after="0" w:line="270" w:lineRule="auto"/>
        <w:tabs>
          <w:tab w:leader="none" w:pos="119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While serving as an executive officer of the Company, the Company agrees that it shall indemnify You and provide You with Directors &amp; Officers liability insurance coverage to the same extent that it indemnifies and/or provides such insurance coverage to Board members and other most senior executive officers of the Company.</w:t>
      </w:r>
    </w:p>
    <w:p>
      <w:pPr>
        <w:spacing w:after="0" w:line="172" w:lineRule="exact"/>
        <w:rPr>
          <w:rFonts w:ascii="Times New Roman" w:cs="Times New Roman" w:eastAsia="Times New Roman" w:hAnsi="Times New Roman"/>
          <w:sz w:val="22"/>
          <w:szCs w:val="22"/>
          <w:color w:val="auto"/>
        </w:rPr>
      </w:pPr>
    </w:p>
    <w:p>
      <w:pPr>
        <w:jc w:val="both"/>
        <w:ind w:left="9" w:right="120" w:firstLine="648"/>
        <w:spacing w:after="0" w:line="266" w:lineRule="auto"/>
        <w:tabs>
          <w:tab w:leader="none" w:pos="119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w:t>
      </w:r>
      <w:r>
        <w:rPr>
          <w:rFonts w:ascii="Times New Roman" w:cs="Times New Roman" w:eastAsia="Times New Roman" w:hAnsi="Times New Roman"/>
          <w:sz w:val="22"/>
          <w:szCs w:val="22"/>
          <w:color w:val="auto"/>
        </w:rPr>
        <w:t>. You represent and warrant that You are not bound by any employment contract, restrictive covenant, or other restriction preventing You from carrying out Your responsibilities for the Company, or which is in any way inconsistent with the terms of this Agreement. You further represent and warrant that You shall not disclose to the Company or induce the Company to use any confidential or proprietary information or material belonging to any previous employer or others.</w:t>
      </w:r>
    </w:p>
    <w:p>
      <w:pPr>
        <w:spacing w:after="0" w:line="150" w:lineRule="exact"/>
        <w:rPr>
          <w:rFonts w:ascii="Times New Roman" w:cs="Times New Roman" w:eastAsia="Times New Roman" w:hAnsi="Times New Roman"/>
          <w:sz w:val="22"/>
          <w:szCs w:val="22"/>
          <w:color w:val="auto"/>
        </w:rPr>
      </w:pPr>
    </w:p>
    <w:p>
      <w:pPr>
        <w:jc w:val="both"/>
        <w:ind w:left="9" w:right="120" w:firstLine="648"/>
        <w:spacing w:after="0" w:line="266" w:lineRule="auto"/>
        <w:tabs>
          <w:tab w:leader="none" w:pos="119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Clawbacks</w:t>
      </w:r>
      <w:r>
        <w:rPr>
          <w:rFonts w:ascii="Times New Roman" w:cs="Times New Roman" w:eastAsia="Times New Roman" w:hAnsi="Times New Roman"/>
          <w:sz w:val="22"/>
          <w:szCs w:val="22"/>
          <w:color w:val="auto"/>
        </w:rPr>
        <w:t>. The payments to You pursuant to this Agreement are subject to forfeiture or recovery by the Company or other action pursuant to any clawback or recoupment policy which the Company may adopt from time to time, including without limitation the nCino, Inc. Policy on Recoupment of Incentive Compensation and any such policy or provision that the Company has included in any of its existing compensation programs or plans or that it may be required to adopt under applicable law.</w:t>
      </w:r>
    </w:p>
    <w:p>
      <w:pPr>
        <w:spacing w:after="0" w:line="164" w:lineRule="exact"/>
        <w:rPr>
          <w:rFonts w:ascii="Times New Roman" w:cs="Times New Roman" w:eastAsia="Times New Roman" w:hAnsi="Times New Roman"/>
          <w:sz w:val="22"/>
          <w:szCs w:val="22"/>
          <w:color w:val="auto"/>
        </w:rPr>
      </w:pPr>
    </w:p>
    <w:p>
      <w:pPr>
        <w:ind w:left="9" w:right="140" w:firstLine="648"/>
        <w:spacing w:after="0" w:line="284" w:lineRule="auto"/>
        <w:tabs>
          <w:tab w:leader="none" w:pos="119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Policies</w:t>
      </w:r>
      <w:r>
        <w:rPr>
          <w:rFonts w:ascii="Times New Roman" w:cs="Times New Roman" w:eastAsia="Times New Roman" w:hAnsi="Times New Roman"/>
          <w:sz w:val="22"/>
          <w:szCs w:val="22"/>
          <w:color w:val="auto"/>
        </w:rPr>
        <w:t>. You shall be subject to additional Company policies as they may exist from time-to-time, including policies regarding trading of securities and the Company’s stock ownership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129"/>
          </w:cols>
          <w:pgMar w:left="431" w:top="72"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120" w:firstLine="648"/>
        <w:spacing w:after="0" w:line="269" w:lineRule="auto"/>
        <w:tabs>
          <w:tab w:leader="none" w:pos="118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xml:space="preserve">. The Parties intend that this Agreement and the payments made hereunder will be exempt from, or if not so exempt, comply with, the requirements of Section 409A, and shall be interpreted and construed consistently with such intent. Without limiting the foregoing, the separation payments and benefits to You pursuant to Section 4(d) and Section 4(e) this Agreement are intended to be exempt from Section 409A to the maximum extent possible, as short-term deferrals pursuant to Treasury Regulation </w:t>
      </w:r>
      <w:r>
        <w:rPr>
          <w:rFonts w:ascii="Times New Roman" w:cs="Times New Roman" w:eastAsia="Times New Roman" w:hAnsi="Times New Roman"/>
          <w:sz w:val="20"/>
          <w:szCs w:val="20"/>
          <w:color w:val="auto"/>
        </w:rPr>
        <w:t>§1.409A-l(b)(4).</w:t>
      </w:r>
      <w:r>
        <w:rPr>
          <w:rFonts w:ascii="Times New Roman" w:cs="Times New Roman" w:eastAsia="Times New Roman" w:hAnsi="Times New Roman"/>
          <w:sz w:val="22"/>
          <w:szCs w:val="22"/>
          <w:color w:val="auto"/>
        </w:rPr>
        <w:t xml:space="preserve"> or payments made pursuant to a separation pay plan pursuant to Treasury Regulation </w:t>
      </w:r>
      <w:r>
        <w:rPr>
          <w:rFonts w:ascii="Times New Roman" w:cs="Times New Roman" w:eastAsia="Times New Roman" w:hAnsi="Times New Roman"/>
          <w:sz w:val="20"/>
          <w:szCs w:val="20"/>
          <w:color w:val="auto"/>
        </w:rPr>
        <w:t xml:space="preserve">§1.409A-l(b)(9). </w:t>
      </w:r>
      <w:r>
        <w:rPr>
          <w:rFonts w:ascii="Times New Roman" w:cs="Times New Roman" w:eastAsia="Times New Roman" w:hAnsi="Times New Roman"/>
          <w:sz w:val="21"/>
          <w:szCs w:val="21"/>
          <w:color w:val="auto"/>
        </w:rPr>
        <w:t>Each amount to be paid or benefit to be provided under this Agreement shall be construed as a separate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distinct payment for purposes of Section 409A. To the extent any amounts under this Agreement are payable by reference to Your "termination of employment," such term and similar terms shall be deemed to refer to Your "separation from service," within the meaning of Section 409A (after giving effect to the presumptions contained therein) with respect to any payments that are subject to Section 409A. Notwithstanding any other provision in this Agreement, to the extent any payments made or contemplated hereunder constitute nonqualified deferred compensation, within the meaning of Section 409A, then (i) each such payment which is conditioned upon Your execution of a release and which is to be paid or provided during a designated period that begins in one taxable year and ends in a second taxable year, shall be paid or provided in the later of the two taxable years and (ii) if You are a specified employee (within the meaning of Section 409A) as of the date of Your separation from service, each such payment that is payable upon Your separation from service and would have been paid prior to the six month anniversary of Your separation from service, shall be delayed until the earlier to occur of (A) the first day of the seventh month following Your separation from service or (B) the date of Your death. You hereby agree to be bound by the Company's determination of its "specified employees" (as such term is defined in Section 409A) provided such determination is in accordance with any of the methods permitted under the regulations issued under Section 409A. Any reimbursement payable to You pursuant to this Agreement shall be conditioned on the submission by You of all expense reports reasonably required by the Company under any applicable expense reimbursement policy, and shall be paid to You within 30 days following receipt of such expense reports, but in no event later than the last day of the calendar year following the calendar year in which You incurred the reimbursable expense.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Agreement shall not be subject to liquidation or exchange for any other benefit. To the extent that any amount payable hereunder is deemed to be a substitute for a payment provided under another agreement with You, then the amount payable hereunder shall be paid at the same time and in the same form as such substituted payment to the extent required to comply with Section 409A. In the event the terms of this Agreement would subject You to taxes or penalties under Section 409A ("</w:t>
      </w:r>
      <w:r>
        <w:rPr>
          <w:rFonts w:ascii="Times New Roman" w:cs="Times New Roman" w:eastAsia="Times New Roman" w:hAnsi="Times New Roman"/>
          <w:sz w:val="21"/>
          <w:szCs w:val="21"/>
          <w:u w:val="single" w:color="auto"/>
          <w:color w:val="auto"/>
        </w:rPr>
        <w:t>409A Penalties</w:t>
      </w:r>
      <w:r>
        <w:rPr>
          <w:rFonts w:ascii="Times New Roman" w:cs="Times New Roman" w:eastAsia="Times New Roman" w:hAnsi="Times New Roman"/>
          <w:sz w:val="21"/>
          <w:szCs w:val="21"/>
          <w:color w:val="auto"/>
        </w:rPr>
        <w:t>"), the Company and You shall cooperate diligently to amend the terms of the Agreement to avoid such 409A Penalties, to the extent possible, but in no event will the Company be liable for any additional tax, interest or penalties that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20"/>
          </w:cols>
          <w:pgMar w:left="440" w:top="72" w:right="339" w:bottom="1440" w:gutter="0" w:footer="0" w:header="0"/>
        </w:sectPr>
      </w:pPr>
    </w:p>
    <w:bookmarkStart w:id="63" w:name="page64"/>
    <w:bookmarkEnd w:id="63"/>
    <w:p>
      <w:pPr>
        <w:ind w:left="10060"/>
        <w:spacing w:after="0"/>
        <w:rPr>
          <w:sz w:val="20"/>
          <w:szCs w:val="20"/>
          <w:color w:val="auto"/>
        </w:rPr>
      </w:pPr>
      <w:r>
        <w:rPr>
          <w:rFonts w:ascii="Times New Roman" w:cs="Times New Roman" w:eastAsia="Times New Roman" w:hAnsi="Times New Roman"/>
          <w:sz w:val="21"/>
          <w:szCs w:val="2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imposed on You under Section 409A or any damages because a payment pursuant to this Agreement was determined to not be in compliance with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20"/>
          </w:cols>
          <w:pgMar w:left="440" w:top="72"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Effective Date.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EMPLOYEE:</w:t>
            </w:r>
          </w:p>
        </w:tc>
        <w:tc>
          <w:tcPr>
            <w:tcW w:w="6380" w:type="dxa"/>
            <w:vAlign w:val="bottom"/>
            <w:gridSpan w:val="4"/>
          </w:tcPr>
          <w:p>
            <w:pPr>
              <w:ind w:left="4000"/>
              <w:spacing w:after="0"/>
              <w:rPr>
                <w:sz w:val="20"/>
                <w:szCs w:val="20"/>
                <w:color w:val="auto"/>
              </w:rPr>
            </w:pPr>
            <w:r>
              <w:rPr>
                <w:rFonts w:ascii="Times New Roman" w:cs="Times New Roman" w:eastAsia="Times New Roman" w:hAnsi="Times New Roman"/>
                <w:sz w:val="22"/>
                <w:szCs w:val="22"/>
                <w:color w:val="auto"/>
              </w:rPr>
              <w:t>nCino, OpCo, Inc.</w:t>
            </w:r>
          </w:p>
        </w:tc>
      </w:tr>
      <w:tr>
        <w:trPr>
          <w:trHeight w:val="540"/>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380" w:type="dxa"/>
            <w:vAlign w:val="bottom"/>
            <w:gridSpan w:val="4"/>
          </w:tcPr>
          <w:p>
            <w:pPr>
              <w:ind w:left="4000"/>
              <w:spacing w:after="0"/>
              <w:rPr>
                <w:sz w:val="20"/>
                <w:szCs w:val="20"/>
                <w:color w:val="auto"/>
              </w:rPr>
            </w:pPr>
            <w:r>
              <w:rPr>
                <w:rFonts w:ascii="Times New Roman" w:cs="Times New Roman" w:eastAsia="Times New Roman" w:hAnsi="Times New Roman"/>
                <w:sz w:val="22"/>
                <w:szCs w:val="22"/>
                <w:color w:val="auto"/>
              </w:rPr>
              <w:t>By:</w:t>
            </w:r>
          </w:p>
        </w:tc>
      </w:tr>
      <w:tr>
        <w:trPr>
          <w:trHeight w:val="231"/>
        </w:trPr>
        <w:tc>
          <w:tcPr>
            <w:tcW w:w="20" w:type="dxa"/>
            <w:vAlign w:val="bottom"/>
          </w:tcPr>
          <w:p>
            <w:pPr>
              <w:spacing w:after="0"/>
              <w:rPr>
                <w:sz w:val="20"/>
                <w:szCs w:val="20"/>
                <w:color w:val="auto"/>
              </w:rPr>
            </w:pPr>
          </w:p>
        </w:tc>
        <w:tc>
          <w:tcPr>
            <w:tcW w:w="1360" w:type="dxa"/>
            <w:vAlign w:val="bottom"/>
            <w:tcBorders>
              <w:bottom w:val="single" w:sz="8" w:color="auto"/>
            </w:tcBorders>
          </w:tcPr>
          <w:p>
            <w:pPr>
              <w:spacing w:after="0" w:line="231" w:lineRule="exact"/>
              <w:rPr>
                <w:sz w:val="20"/>
                <w:szCs w:val="20"/>
                <w:color w:val="auto"/>
              </w:rPr>
            </w:pPr>
            <w:r>
              <w:rPr>
                <w:rFonts w:ascii="Times New Roman" w:cs="Times New Roman" w:eastAsia="Times New Roman" w:hAnsi="Times New Roman"/>
                <w:sz w:val="22"/>
                <w:szCs w:val="22"/>
                <w:color w:val="auto"/>
                <w:w w:val="97"/>
              </w:rPr>
              <w:t>/s/ April Rieger</w:t>
            </w:r>
          </w:p>
        </w:tc>
        <w:tc>
          <w:tcPr>
            <w:tcW w:w="10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bottom w:val="single" w:sz="8" w:color="auto"/>
            </w:tcBorders>
          </w:tcPr>
          <w:p>
            <w:pPr>
              <w:spacing w:after="0" w:line="231" w:lineRule="exact"/>
              <w:rPr>
                <w:sz w:val="20"/>
                <w:szCs w:val="20"/>
                <w:color w:val="auto"/>
              </w:rPr>
            </w:pPr>
            <w:r>
              <w:rPr>
                <w:rFonts w:ascii="Times New Roman" w:cs="Times New Roman" w:eastAsia="Times New Roman" w:hAnsi="Times New Roman"/>
                <w:sz w:val="22"/>
                <w:szCs w:val="22"/>
                <w:color w:val="auto"/>
                <w:w w:val="97"/>
              </w:rPr>
              <w:t>/s/ Pierre Naudé</w:t>
            </w:r>
          </w:p>
        </w:tc>
        <w:tc>
          <w:tcPr>
            <w:tcW w:w="960" w:type="dxa"/>
            <w:vAlign w:val="bottom"/>
          </w:tcPr>
          <w:p>
            <w:pPr>
              <w:spacing w:after="0"/>
              <w:rPr>
                <w:sz w:val="20"/>
                <w:szCs w:val="20"/>
                <w:color w:val="auto"/>
              </w:rPr>
            </w:pPr>
          </w:p>
        </w:tc>
      </w:tr>
      <w:tr>
        <w:trPr>
          <w:trHeight w:val="303"/>
        </w:trPr>
        <w:tc>
          <w:tcPr>
            <w:tcW w:w="2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(SEAL)</w:t>
            </w:r>
          </w:p>
        </w:tc>
        <w:tc>
          <w:tcPr>
            <w:tcW w:w="6380" w:type="dxa"/>
            <w:vAlign w:val="bottom"/>
            <w:gridSpan w:val="4"/>
          </w:tcPr>
          <w:p>
            <w:pPr>
              <w:ind w:left="4000"/>
              <w:spacing w:after="0"/>
              <w:rPr>
                <w:sz w:val="20"/>
                <w:szCs w:val="20"/>
                <w:color w:val="auto"/>
              </w:rPr>
            </w:pPr>
            <w:r>
              <w:rPr>
                <w:rFonts w:ascii="Times New Roman" w:cs="Times New Roman" w:eastAsia="Times New Roman" w:hAnsi="Times New Roman"/>
                <w:sz w:val="22"/>
                <w:szCs w:val="22"/>
                <w:color w:val="auto"/>
              </w:rPr>
              <w:t>(SEAL)</w:t>
            </w:r>
          </w:p>
        </w:tc>
      </w:tr>
      <w:tr>
        <w:trPr>
          <w:trHeight w:val="553"/>
        </w:trPr>
        <w:tc>
          <w:tcPr>
            <w:tcW w:w="2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April Rieger</w:t>
            </w:r>
          </w:p>
        </w:tc>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Pierre Naudé</w:t>
            </w:r>
          </w:p>
        </w:tc>
      </w:tr>
      <w:tr>
        <w:trPr>
          <w:trHeight w:val="540"/>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380" w:type="dxa"/>
            <w:vAlign w:val="bottom"/>
            <w:gridSpan w:val="4"/>
          </w:tcPr>
          <w:p>
            <w:pPr>
              <w:ind w:left="4000"/>
              <w:spacing w:after="0"/>
              <w:rPr>
                <w:sz w:val="20"/>
                <w:szCs w:val="20"/>
                <w:color w:val="auto"/>
              </w:rPr>
            </w:pPr>
            <w:r>
              <w:rPr>
                <w:rFonts w:ascii="Times New Roman" w:cs="Times New Roman" w:eastAsia="Times New Roman" w:hAnsi="Times New Roman"/>
                <w:sz w:val="22"/>
                <w:szCs w:val="22"/>
                <w:color w:val="auto"/>
              </w:rPr>
              <w:t>Chief Executive Officer</w:t>
            </w:r>
          </w:p>
        </w:tc>
      </w:tr>
      <w:tr>
        <w:trPr>
          <w:trHeight w:val="771"/>
        </w:trPr>
        <w:tc>
          <w:tcPr>
            <w:tcW w:w="20" w:type="dxa"/>
            <w:vAlign w:val="bottom"/>
          </w:tcPr>
          <w:p>
            <w:pPr>
              <w:spacing w:after="0"/>
              <w:rPr>
                <w:sz w:val="24"/>
                <w:szCs w:val="24"/>
                <w:color w:val="auto"/>
              </w:rPr>
            </w:pPr>
          </w:p>
        </w:tc>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7"/>
              </w:rPr>
              <w:t>DATE: December 18, 2024</w:t>
            </w:r>
          </w:p>
        </w:tc>
        <w:tc>
          <w:tcPr>
            <w:tcW w:w="4000" w:type="dxa"/>
            <w:vAlign w:val="bottom"/>
          </w:tcPr>
          <w:p>
            <w:pPr>
              <w:spacing w:after="0"/>
              <w:rPr>
                <w:sz w:val="24"/>
                <w:szCs w:val="24"/>
                <w:color w:val="auto"/>
              </w:rPr>
            </w:pPr>
          </w:p>
        </w:tc>
        <w:tc>
          <w:tcPr>
            <w:tcW w:w="2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w w:val="97"/>
              </w:rPr>
              <w:t>DATE: December 18,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120"/>
          </w:cols>
          <w:pgMar w:left="440" w:top="72"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Sean Desmond, certify that:</w:t>
      </w:r>
    </w:p>
    <w:p>
      <w:pPr>
        <w:spacing w:after="0" w:line="256"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nCino, Inc.;</w:t>
      </w:r>
    </w:p>
    <w:p>
      <w:pPr>
        <w:spacing w:after="0" w:line="256" w:lineRule="exact"/>
        <w:rPr>
          <w:rFonts w:ascii="Times New Roman" w:cs="Times New Roman" w:eastAsia="Times New Roman" w:hAnsi="Times New Roman"/>
          <w:sz w:val="20"/>
          <w:szCs w:val="20"/>
          <w:color w:val="auto"/>
        </w:rPr>
      </w:pPr>
    </w:p>
    <w:p>
      <w:pPr>
        <w:ind w:left="660" w:right="40" w:hanging="652"/>
        <w:spacing w:after="0" w:line="261" w:lineRule="auto"/>
        <w:tabs>
          <w:tab w:leader="none" w:pos="6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Times New Roman" w:cs="Times New Roman" w:eastAsia="Times New Roman" w:hAnsi="Times New Roman"/>
          <w:sz w:val="20"/>
          <w:szCs w:val="20"/>
          <w:color w:val="auto"/>
        </w:rPr>
      </w:pPr>
    </w:p>
    <w:p>
      <w:pPr>
        <w:ind w:left="660" w:right="20" w:hanging="652"/>
        <w:spacing w:after="0" w:line="268" w:lineRule="auto"/>
        <w:tabs>
          <w:tab w:leader="none" w:pos="6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20"/>
          <w:szCs w:val="20"/>
          <w:color w:val="auto"/>
        </w:rPr>
      </w:pPr>
    </w:p>
    <w:p>
      <w:pPr>
        <w:ind w:left="660" w:right="220" w:hanging="652"/>
        <w:spacing w:after="0" w:line="261" w:lineRule="auto"/>
        <w:tabs>
          <w:tab w:leader="none" w:pos="6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Times New Roman" w:cs="Times New Roman" w:eastAsia="Times New Roman" w:hAnsi="Times New Roman"/>
          <w:sz w:val="20"/>
          <w:szCs w:val="20"/>
          <w:color w:val="auto"/>
        </w:rPr>
      </w:pPr>
    </w:p>
    <w:p>
      <w:pPr>
        <w:ind w:left="1300" w:right="100" w:hanging="644"/>
        <w:spacing w:after="0" w:line="261" w:lineRule="auto"/>
        <w:tabs>
          <w:tab w:leader="none" w:pos="129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ind w:left="1300" w:right="560" w:hanging="644"/>
        <w:spacing w:after="0" w:line="281" w:lineRule="auto"/>
        <w:tabs>
          <w:tab w:leader="none" w:pos="1288"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9"/>
          <w:szCs w:val="19"/>
          <w:color w:val="auto"/>
        </w:rPr>
      </w:pPr>
    </w:p>
    <w:p>
      <w:pPr>
        <w:jc w:val="both"/>
        <w:ind w:left="1300" w:right="80" w:hanging="644"/>
        <w:spacing w:after="0" w:line="261" w:lineRule="auto"/>
        <w:tabs>
          <w:tab w:leader="none" w:pos="129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Times New Roman" w:cs="Times New Roman" w:eastAsia="Times New Roman" w:hAnsi="Times New Roman"/>
          <w:sz w:val="20"/>
          <w:szCs w:val="20"/>
          <w:color w:val="auto"/>
        </w:rPr>
      </w:pPr>
    </w:p>
    <w:p>
      <w:pPr>
        <w:ind w:left="1300" w:right="120" w:hanging="644"/>
        <w:spacing w:after="0" w:line="281" w:lineRule="auto"/>
        <w:tabs>
          <w:tab w:leader="none" w:pos="1288"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09" w:right="339" w:bottom="1440" w:gutter="0" w:footer="0" w:header="0"/>
        </w:sectPr>
      </w:pPr>
    </w:p>
    <w:bookmarkStart w:id="66" w:name="page67"/>
    <w:bookmarkEnd w:id="66"/>
    <w:p>
      <w:pPr>
        <w:ind w:left="652" w:hanging="652"/>
        <w:spacing w:after="0" w:line="261" w:lineRule="auto"/>
        <w:tabs>
          <w:tab w:leader="none" w:pos="65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ind w:left="1292" w:right="260" w:hanging="644"/>
        <w:spacing w:after="0" w:line="261" w:lineRule="auto"/>
        <w:tabs>
          <w:tab w:leader="none" w:pos="1282"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5" w:lineRule="exact"/>
        <w:rPr>
          <w:rFonts w:ascii="Times New Roman" w:cs="Times New Roman" w:eastAsia="Times New Roman" w:hAnsi="Times New Roman"/>
          <w:sz w:val="20"/>
          <w:szCs w:val="20"/>
          <w:color w:val="auto"/>
        </w:rPr>
      </w:pPr>
    </w:p>
    <w:p>
      <w:pPr>
        <w:ind w:left="1292" w:right="680" w:hanging="644"/>
        <w:spacing w:after="0" w:line="245" w:lineRule="auto"/>
        <w:tabs>
          <w:tab w:leader="none" w:pos="1287"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9" w:lineRule="exact"/>
        <w:rPr>
          <w:sz w:val="20"/>
          <w:szCs w:val="20"/>
          <w:color w:val="auto"/>
        </w:rPr>
      </w:pPr>
    </w:p>
    <w:p>
      <w:pPr>
        <w:ind w:left="12"/>
        <w:spacing w:after="0"/>
        <w:tabs>
          <w:tab w:leader="none" w:pos="5312" w:val="left"/>
          <w:tab w:leader="none" w:pos="7692" w:val="left"/>
        </w:tabs>
        <w:rPr>
          <w:sz w:val="20"/>
          <w:szCs w:val="20"/>
          <w:color w:val="auto"/>
        </w:rPr>
      </w:pPr>
      <w:r>
        <w:rPr>
          <w:rFonts w:ascii="Times New Roman" w:cs="Times New Roman" w:eastAsia="Times New Roman" w:hAnsi="Times New Roman"/>
          <w:sz w:val="20"/>
          <w:szCs w:val="20"/>
          <w:color w:val="auto"/>
        </w:rPr>
        <w:t>Date: May 28, 2025</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1"/>
          <w:szCs w:val="21"/>
          <w:color w:val="auto"/>
        </w:rPr>
        <w:t>/s/ Sean Desmond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41275</wp:posOffset>
            </wp:positionV>
            <wp:extent cx="33261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1"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22"/>
          <w:szCs w:val="22"/>
          <w:color w:val="auto"/>
        </w:rPr>
        <w:t>Sean Desmond</w:t>
      </w:r>
    </w:p>
    <w:p>
      <w:pPr>
        <w:spacing w:after="0" w:line="58"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ectPr>
          <w:pgSz w:w="11900" w:h="16838" w:orient="portrait"/>
          <w:cols w:equalWidth="0" w:num="1">
            <w:col w:w="11152"/>
          </w:cols>
          <w:pgMar w:left="328" w:top="1413" w:right="41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Gregory D. Orenstein, certify that:</w:t>
      </w:r>
    </w:p>
    <w:p>
      <w:pPr>
        <w:spacing w:after="0" w:line="256"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nCino, Inc.;</w:t>
      </w:r>
    </w:p>
    <w:p>
      <w:pPr>
        <w:spacing w:after="0" w:line="256" w:lineRule="exact"/>
        <w:rPr>
          <w:rFonts w:ascii="Times New Roman" w:cs="Times New Roman" w:eastAsia="Times New Roman" w:hAnsi="Times New Roman"/>
          <w:sz w:val="20"/>
          <w:szCs w:val="20"/>
          <w:color w:val="auto"/>
        </w:rPr>
      </w:pPr>
    </w:p>
    <w:p>
      <w:pPr>
        <w:ind w:left="660" w:right="40" w:hanging="652"/>
        <w:spacing w:after="0" w:line="261" w:lineRule="auto"/>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Times New Roman" w:cs="Times New Roman" w:eastAsia="Times New Roman" w:hAnsi="Times New Roman"/>
          <w:sz w:val="20"/>
          <w:szCs w:val="20"/>
          <w:color w:val="auto"/>
        </w:rPr>
      </w:pPr>
    </w:p>
    <w:p>
      <w:pPr>
        <w:ind w:left="660" w:right="20" w:hanging="652"/>
        <w:spacing w:after="0" w:line="268" w:lineRule="auto"/>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20"/>
          <w:szCs w:val="20"/>
          <w:color w:val="auto"/>
        </w:rPr>
      </w:pPr>
    </w:p>
    <w:p>
      <w:pPr>
        <w:ind w:left="660" w:right="220" w:hanging="652"/>
        <w:spacing w:after="0" w:line="261" w:lineRule="auto"/>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Times New Roman" w:cs="Times New Roman" w:eastAsia="Times New Roman" w:hAnsi="Times New Roman"/>
          <w:sz w:val="20"/>
          <w:szCs w:val="20"/>
          <w:color w:val="auto"/>
        </w:rPr>
      </w:pPr>
    </w:p>
    <w:p>
      <w:pPr>
        <w:ind w:left="1300" w:right="100" w:hanging="644"/>
        <w:spacing w:after="0" w:line="261" w:lineRule="auto"/>
        <w:tabs>
          <w:tab w:leader="none" w:pos="129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ind w:left="1300" w:right="560" w:hanging="644"/>
        <w:spacing w:after="0" w:line="281" w:lineRule="auto"/>
        <w:tabs>
          <w:tab w:leader="none" w:pos="1288"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9"/>
          <w:szCs w:val="19"/>
          <w:color w:val="auto"/>
        </w:rPr>
      </w:pPr>
    </w:p>
    <w:p>
      <w:pPr>
        <w:jc w:val="both"/>
        <w:ind w:left="1300" w:right="80" w:hanging="644"/>
        <w:spacing w:after="0" w:line="268" w:lineRule="auto"/>
        <w:tabs>
          <w:tab w:leader="none" w:pos="129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ind w:left="1300" w:right="120" w:hanging="644"/>
        <w:spacing w:after="0" w:line="281" w:lineRule="auto"/>
        <w:tabs>
          <w:tab w:leader="none" w:pos="1288"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09" w:right="339" w:bottom="1440" w:gutter="0" w:footer="0" w:header="0"/>
        </w:sectPr>
      </w:pPr>
    </w:p>
    <w:bookmarkStart w:id="68" w:name="page69"/>
    <w:bookmarkEnd w:id="68"/>
    <w:p>
      <w:pPr>
        <w:ind w:left="652" w:right="80" w:hanging="652"/>
        <w:spacing w:after="0" w:line="261" w:lineRule="auto"/>
        <w:tabs>
          <w:tab w:leader="none" w:pos="65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ind w:left="1292" w:right="340" w:hanging="644"/>
        <w:spacing w:after="0" w:line="261" w:lineRule="auto"/>
        <w:tabs>
          <w:tab w:leader="none" w:pos="1282"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20"/>
          <w:szCs w:val="20"/>
          <w:color w:val="auto"/>
        </w:rPr>
      </w:pPr>
    </w:p>
    <w:p>
      <w:pPr>
        <w:ind w:left="1292" w:right="760" w:hanging="644"/>
        <w:spacing w:after="0" w:line="269" w:lineRule="auto"/>
        <w:tabs>
          <w:tab w:leader="none" w:pos="128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2" w:type="dxa"/>
        <w:tblCellMar>
          <w:top w:w="0" w:type="dxa"/>
          <w:left w:w="0" w:type="dxa"/>
          <w:bottom w:w="0" w:type="dxa"/>
          <w:right w:w="0" w:type="dxa"/>
        </w:tblCellMar>
      </w:tblPr>
      <w:tr>
        <w:trPr>
          <w:trHeight w:val="262"/>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Date: May 28, 2025</w:t>
            </w:r>
          </w:p>
        </w:tc>
        <w:tc>
          <w:tcPr>
            <w:tcW w:w="2420" w:type="dxa"/>
            <w:vAlign w:val="bottom"/>
          </w:tcPr>
          <w:p>
            <w:pPr>
              <w:ind w:left="1860"/>
              <w:spacing w:after="0"/>
              <w:rPr>
                <w:sz w:val="20"/>
                <w:szCs w:val="20"/>
                <w:color w:val="auto"/>
              </w:rPr>
            </w:pPr>
            <w:r>
              <w:rPr>
                <w:rFonts w:ascii="Times New Roman" w:cs="Times New Roman" w:eastAsia="Times New Roman" w:hAnsi="Times New Roman"/>
                <w:sz w:val="20"/>
                <w:szCs w:val="20"/>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Gregory D. Orenstein</w:t>
            </w:r>
          </w:p>
        </w:tc>
      </w:tr>
      <w:tr>
        <w:trPr>
          <w:trHeight w:val="244"/>
        </w:trPr>
        <w:tc>
          <w:tcPr>
            <w:tcW w:w="34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Gregory D. Orenstein</w:t>
            </w:r>
          </w:p>
        </w:tc>
      </w:tr>
      <w:tr>
        <w:trPr>
          <w:trHeight w:val="258"/>
        </w:trPr>
        <w:tc>
          <w:tcPr>
            <w:tcW w:w="34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 &amp; Treasurer</w:t>
            </w:r>
          </w:p>
        </w:tc>
      </w:tr>
    </w:tbl>
    <w:p>
      <w:pPr>
        <w:sectPr>
          <w:pgSz w:w="11900" w:h="16838" w:orient="portrait"/>
          <w:cols w:equalWidth="0" w:num="1">
            <w:col w:w="11232"/>
          </w:cols>
          <w:pgMar w:left="328" w:top="1413"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100" w:firstLine="516"/>
        <w:spacing w:after="0" w:line="261" w:lineRule="auto"/>
        <w:rPr>
          <w:sz w:val="20"/>
          <w:szCs w:val="20"/>
          <w:color w:val="auto"/>
        </w:rPr>
      </w:pPr>
      <w:r>
        <w:rPr>
          <w:rFonts w:ascii="Times New Roman" w:cs="Times New Roman" w:eastAsia="Times New Roman" w:hAnsi="Times New Roman"/>
          <w:sz w:val="20"/>
          <w:szCs w:val="20"/>
          <w:color w:val="auto"/>
        </w:rPr>
        <w:t>In connection with the Quarterly Report of nCino, Inc. (the “Company”) on Form 10-Q for the period ending April 30, 2025 as filed with the Securities and Exchange Commission on the date hereof (the “Report”), I certify, pursuant to 18 U.S.C. § 1350, as adopted pursuant to § 906 of the Sarbanes-Oxley Act of 2002, that, to my knowledge:</w:t>
      </w:r>
    </w:p>
    <w:p>
      <w:pPr>
        <w:spacing w:after="0" w:line="181" w:lineRule="exact"/>
        <w:rPr>
          <w:sz w:val="20"/>
          <w:szCs w:val="20"/>
          <w:color w:val="auto"/>
        </w:rPr>
      </w:pPr>
    </w:p>
    <w:p>
      <w:pPr>
        <w:ind w:left="1300" w:hanging="776"/>
        <w:spacing w:after="0"/>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1300" w:right="700" w:hanging="776"/>
        <w:spacing w:after="0" w:line="283" w:lineRule="auto"/>
        <w:tabs>
          <w:tab w:leader="none" w:pos="129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Date: May 28, 2025</w:t>
            </w:r>
          </w:p>
        </w:tc>
        <w:tc>
          <w:tcPr>
            <w:tcW w:w="2400" w:type="dxa"/>
            <w:vAlign w:val="bottom"/>
          </w:tcPr>
          <w:p>
            <w:pPr>
              <w:ind w:left="1860"/>
              <w:spacing w:after="0"/>
              <w:rPr>
                <w:sz w:val="20"/>
                <w:szCs w:val="20"/>
                <w:color w:val="auto"/>
              </w:rPr>
            </w:pPr>
            <w:r>
              <w:rPr>
                <w:rFonts w:ascii="Times New Roman" w:cs="Times New Roman" w:eastAsia="Times New Roman" w:hAnsi="Times New Roman"/>
                <w:sz w:val="20"/>
                <w:szCs w:val="20"/>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Sean Desmond</w:t>
            </w:r>
          </w:p>
        </w:tc>
      </w:tr>
      <w:tr>
        <w:trPr>
          <w:trHeight w:val="244"/>
        </w:trPr>
        <w:tc>
          <w:tcPr>
            <w:tcW w:w="34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Sean Desmond</w:t>
            </w:r>
          </w:p>
        </w:tc>
      </w:tr>
      <w:tr>
        <w:trPr>
          <w:trHeight w:val="258"/>
        </w:trPr>
        <w:tc>
          <w:tcPr>
            <w:tcW w:w="346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President and Chief Executive Officer</w:t>
            </w:r>
          </w:p>
        </w:tc>
      </w:tr>
    </w:tbl>
    <w:p>
      <w:pPr>
        <w:sectPr>
          <w:pgSz w:w="11900" w:h="16838" w:orient="portrait"/>
          <w:cols w:equalWidth="0" w:num="1">
            <w:col w:w="11240"/>
          </w:cols>
          <w:pgMar w:left="320" w:top="141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100" w:firstLine="516"/>
        <w:spacing w:after="0" w:line="261" w:lineRule="auto"/>
        <w:rPr>
          <w:sz w:val="20"/>
          <w:szCs w:val="20"/>
          <w:color w:val="auto"/>
        </w:rPr>
      </w:pPr>
      <w:r>
        <w:rPr>
          <w:rFonts w:ascii="Times New Roman" w:cs="Times New Roman" w:eastAsia="Times New Roman" w:hAnsi="Times New Roman"/>
          <w:sz w:val="20"/>
          <w:szCs w:val="20"/>
          <w:color w:val="auto"/>
        </w:rPr>
        <w:t>In connection with the Quarterly Report of nCino, Inc. (the “Company”) on Form 10-Q for the period ending April 30, 2025 as filed with the Securities and Exchange Commission on the date hereof (the “Report”), I certify, pursuant to 18 U.S.C. § 1350, as adopted pursuant to § 906 of the Sarbanes-Oxley Act of 2002, that, to my knowledge:</w:t>
      </w:r>
    </w:p>
    <w:p>
      <w:pPr>
        <w:spacing w:after="0" w:line="181" w:lineRule="exact"/>
        <w:rPr>
          <w:sz w:val="20"/>
          <w:szCs w:val="20"/>
          <w:color w:val="auto"/>
        </w:rPr>
      </w:pPr>
    </w:p>
    <w:p>
      <w:pPr>
        <w:ind w:left="1300" w:hanging="776"/>
        <w:spacing w:after="0"/>
        <w:tabs>
          <w:tab w:leader="none" w:pos="1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1300" w:right="700" w:hanging="776"/>
        <w:spacing w:after="0" w:line="283" w:lineRule="auto"/>
        <w:tabs>
          <w:tab w:leader="none" w:pos="129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Date: May 28, 2025</w:t>
            </w:r>
          </w:p>
        </w:tc>
        <w:tc>
          <w:tcPr>
            <w:tcW w:w="2420" w:type="dxa"/>
            <w:vAlign w:val="bottom"/>
          </w:tcPr>
          <w:p>
            <w:pPr>
              <w:ind w:left="1860"/>
              <w:spacing w:after="0"/>
              <w:rPr>
                <w:sz w:val="20"/>
                <w:szCs w:val="20"/>
                <w:color w:val="auto"/>
              </w:rPr>
            </w:pPr>
            <w:r>
              <w:rPr>
                <w:rFonts w:ascii="Times New Roman" w:cs="Times New Roman" w:eastAsia="Times New Roman" w:hAnsi="Times New Roman"/>
                <w:sz w:val="20"/>
                <w:szCs w:val="20"/>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Gregory D. Orenstein</w:t>
            </w:r>
          </w:p>
        </w:tc>
      </w:tr>
      <w:tr>
        <w:trPr>
          <w:trHeight w:val="244"/>
        </w:trPr>
        <w:tc>
          <w:tcPr>
            <w:tcW w:w="34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Gregory D. Orenstein</w:t>
            </w:r>
          </w:p>
        </w:tc>
      </w:tr>
      <w:tr>
        <w:trPr>
          <w:trHeight w:val="258"/>
        </w:trPr>
        <w:tc>
          <w:tcPr>
            <w:tcW w:w="34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 &amp; Treasurer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3"/>
    </w:lvl>
    <w:lvl w:ilvl="1">
      <w:lvlJc w:val="left"/>
      <w:lvlText w:val="(%2)"/>
      <w:numFmt w:val="lowerLetter"/>
      <w:start w:val="1"/>
    </w:lvl>
  </w:abstractNum>
  <w:abstractNum w:abstractNumId="13">
    <w:nsid w:val="79838CB2"/>
    <w:multiLevelType w:val="hybridMultilevel"/>
    <w:lvl w:ilvl="0">
      <w:lvlJc w:val="left"/>
      <w:lvlText w:val="%1."/>
      <w:numFmt w:val="decimal"/>
      <w:start w:val="4"/>
    </w:lvl>
    <w:lvl w:ilvl="1">
      <w:lvlJc w:val="left"/>
      <w:lvlText w:val="(%2)"/>
      <w:numFmt w:val="lowerLetter"/>
      <w:start w:val="1"/>
    </w:lvl>
  </w:abstractNum>
  <w:abstractNum w:abstractNumId="14">
    <w:nsid w:val="4353D0CD"/>
    <w:multiLevelType w:val="hybridMultilevel"/>
    <w:lvl w:ilvl="0">
      <w:lvlJc w:val="left"/>
      <w:lvlText w:val="%1"/>
      <w:numFmt w:val="lowerRoman"/>
      <w:start w:val="1"/>
    </w:lvl>
    <w:lvl w:ilvl="1">
      <w:lvlJc w:val="left"/>
      <w:lvlText w:val="(%2)"/>
      <w:numFmt w:val="upperLetter"/>
      <w:start w:val="1"/>
    </w:lvl>
  </w:abstractNum>
  <w:abstractNum w:abstractNumId="15">
    <w:nsid w:val="B03E0C6"/>
    <w:multiLevelType w:val="hybridMultilevel"/>
    <w:lvl w:ilvl="0">
      <w:lvlJc w:val="left"/>
      <w:lvlText w:val="(%1)"/>
      <w:numFmt w:val="lowerRoman"/>
      <w:start w:val="2"/>
    </w:lvl>
    <w:lvl w:ilvl="1">
      <w:lvlJc w:val="left"/>
      <w:lvlText w:val="(%2)"/>
      <w:numFmt w:val="upperLetter"/>
      <w:start w:val="2"/>
    </w:lvl>
  </w:abstractNum>
  <w:abstractNum w:abstractNumId="16">
    <w:nsid w:val="189A769B"/>
    <w:multiLevelType w:val="hybridMultilevel"/>
    <w:lvl w:ilvl="0">
      <w:lvlJc w:val="left"/>
      <w:lvlText w:val="%1"/>
      <w:numFmt w:val="lowerLetter"/>
      <w:start w:val="1"/>
    </w:lvl>
    <w:lvl w:ilvl="1">
      <w:lvlJc w:val="left"/>
      <w:lvlText w:val="(%2)"/>
      <w:numFmt w:val="upperLetter"/>
      <w:start w:val="3"/>
    </w:lvl>
    <w:lvl w:ilvl="2">
      <w:lvlJc w:val="left"/>
      <w:lvlText w:val="%3"/>
      <w:numFmt w:val="upperLetter"/>
      <w:start w:val="1"/>
    </w:lvl>
  </w:abstractNum>
  <w:abstractNum w:abstractNumId="17">
    <w:nsid w:val="54E49EB4"/>
    <w:multiLevelType w:val="hybridMultilevel"/>
    <w:lvl w:ilvl="0">
      <w:lvlJc w:val="left"/>
      <w:lvlText w:val="(%1)"/>
      <w:numFmt w:val="lowerLetter"/>
      <w:start w:val="5"/>
    </w:lvl>
    <w:lvl w:ilvl="1">
      <w:lvlJc w:val="left"/>
      <w:lvlText w:val="%2"/>
      <w:numFmt w:val="upperLetter"/>
      <w:start w:val="1"/>
    </w:lvl>
    <w:lvl w:ilvl="2">
      <w:lvlJc w:val="left"/>
      <w:lvlText w:val="(%3)"/>
      <w:numFmt w:val="upperLetter"/>
      <w:start w:val="1"/>
    </w:lvl>
  </w:abstractNum>
  <w:abstractNum w:abstractNumId="18">
    <w:nsid w:val="71F32454"/>
    <w:multiLevelType w:val="hybridMultilevel"/>
    <w:lvl w:ilvl="0">
      <w:lvlJc w:val="left"/>
      <w:lvlText w:val="%1"/>
      <w:numFmt w:val="decimal"/>
      <w:start w:val="1"/>
    </w:lvl>
    <w:lvl w:ilvl="1">
      <w:lvlJc w:val="left"/>
      <w:lvlText w:val="(%2)"/>
      <w:numFmt w:val="upperLetter"/>
      <w:start w:val="2"/>
    </w:lvl>
  </w:abstractNum>
  <w:abstractNum w:abstractNumId="19">
    <w:nsid w:val="2CA88611"/>
    <w:multiLevelType w:val="hybridMultilevel"/>
    <w:lvl w:ilvl="0">
      <w:lvlJc w:val="left"/>
      <w:lvlText w:val="%1."/>
      <w:numFmt w:val="decimal"/>
      <w:start w:val="5"/>
    </w:lvl>
    <w:lvl w:ilvl="1">
      <w:lvlJc w:val="left"/>
      <w:lvlText w:val="%2"/>
      <w:numFmt w:val="upperLetter"/>
      <w:start w:val="1"/>
    </w:lvl>
  </w:abstractNum>
  <w:abstractNum w:abstractNumId="20">
    <w:nsid w:val="836C40E"/>
    <w:multiLevelType w:val="hybridMultilevel"/>
    <w:lvl w:ilvl="0">
      <w:lvlJc w:val="left"/>
      <w:lvlText w:val="%1."/>
      <w:numFmt w:val="decimal"/>
      <w:start w:val="6"/>
    </w:lvl>
  </w:abstractNum>
  <w:abstractNum w:abstractNumId="21">
    <w:nsid w:val="2901D82"/>
    <w:multiLevelType w:val="hybridMultilevel"/>
    <w:lvl w:ilvl="0">
      <w:lvlJc w:val="left"/>
      <w:lvlText w:val="%1"/>
      <w:numFmt w:val="lowerLetter"/>
      <w:start w:val="1"/>
    </w:lvl>
    <w:lvl w:ilvl="1">
      <w:lvlJc w:val="left"/>
      <w:lvlText w:val="(%2)"/>
      <w:numFmt w:val="lowerLetter"/>
      <w:start w:val="1"/>
    </w:lvl>
  </w:abstractNum>
  <w:abstractNum w:abstractNumId="22">
    <w:nsid w:val="3A95F874"/>
    <w:multiLevelType w:val="hybridMultilevel"/>
    <w:lvl w:ilvl="0">
      <w:lvlJc w:val="left"/>
      <w:lvlText w:val="(%1)"/>
      <w:numFmt w:val="lowerLetter"/>
      <w:start w:val="35"/>
    </w:lvl>
    <w:lvl w:ilvl="1">
      <w:lvlJc w:val="left"/>
      <w:lvlText w:val="(%2)"/>
      <w:numFmt w:val="lowerLetter"/>
      <w:start w:val="2"/>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lowerLetter"/>
      <w:start w:val="61"/>
    </w:lvl>
    <w:lvl w:ilvl="1">
      <w:lvlJc w:val="left"/>
      <w:lvlText w:val="%2."/>
      <w:numFmt w:val="decimal"/>
      <w:start w:val="9"/>
    </w:lvl>
    <w:lvl w:ilvl="2">
      <w:lvlJc w:val="left"/>
      <w:lvlText w:val="(%3)"/>
      <w:numFmt w:val="lowerLetter"/>
      <w:start w:val="5"/>
    </w:lvl>
  </w:abstractNum>
  <w:abstractNum w:abstractNumId="25">
    <w:nsid w:val="7C3DBD3D"/>
    <w:multiLevelType w:val="hybridMultilevel"/>
    <w:lvl w:ilvl="0">
      <w:lvlJc w:val="left"/>
      <w:lvlText w:val="%1."/>
      <w:numFmt w:val="decimal"/>
      <w:start w:val="12"/>
    </w:lvl>
  </w:abstractNum>
  <w:abstractNum w:abstractNumId="26">
    <w:nsid w:val="737B8DDC"/>
    <w:multiLevelType w:val="hybridMultilevel"/>
    <w:lvl w:ilvl="0">
      <w:lvlJc w:val="left"/>
      <w:lvlText w:val="(%1)"/>
      <w:numFmt w:val="lowerRoman"/>
      <w:start w:val="2"/>
    </w:lvl>
  </w:abstractNum>
  <w:abstractNum w:abstractNumId="27">
    <w:nsid w:val="6CEAF087"/>
    <w:multiLevelType w:val="hybridMultilevel"/>
    <w:lvl w:ilvl="0">
      <w:lvlJc w:val="left"/>
      <w:lvlText w:val="(%1)"/>
      <w:numFmt w:val="lowerRoman"/>
      <w:start w:val="2"/>
    </w:lvl>
  </w:abstractNum>
  <w:abstractNum w:abstractNumId="28">
    <w:nsid w:val="22221A70"/>
    <w:multiLevelType w:val="hybridMultilevel"/>
    <w:lvl w:ilvl="0">
      <w:lvlJc w:val="left"/>
      <w:lvlText w:val="%1."/>
      <w:numFmt w:val="decimal"/>
      <w:start w:val="19"/>
    </w:lvl>
  </w:abstractNum>
  <w:abstractNum w:abstractNumId="29">
    <w:nsid w:val="4516DDE9"/>
    <w:multiLevelType w:val="hybridMultilevel"/>
    <w:lvl w:ilvl="0">
      <w:lvlJc w:val="left"/>
      <w:lvlText w:val="%1."/>
      <w:numFmt w:val="decimal"/>
      <w:start w:val="23"/>
    </w:lvl>
  </w:abstractNum>
  <w:abstractNum w:abstractNumId="30">
    <w:nsid w:val="3006C83E"/>
    <w:multiLevelType w:val="hybridMultilevel"/>
    <w:lvl w:ilvl="0">
      <w:lvlJc w:val="left"/>
      <w:lvlText w:val="%1."/>
      <w:numFmt w:val="decimal"/>
      <w:start w:val="1"/>
    </w:lvl>
    <w:lvl w:ilvl="1">
      <w:lvlJc w:val="left"/>
      <w:lvlText w:val="(%2)"/>
      <w:numFmt w:val="lowerLetter"/>
      <w:start w:val="1"/>
    </w:lvl>
  </w:abstractNum>
  <w:abstractNum w:abstractNumId="31">
    <w:nsid w:val="614FD4A1"/>
    <w:multiLevelType w:val="hybridMultilevel"/>
    <w:lvl w:ilvl="0">
      <w:lvlJc w:val="left"/>
      <w:lvlText w:val="%1."/>
      <w:numFmt w:val="decimal"/>
      <w:start w:val="5"/>
    </w:lvl>
    <w:lvl w:ilvl="1">
      <w:lvlJc w:val="left"/>
      <w:lvlText w:val="(%2)"/>
      <w:numFmt w:val="lowerLetter"/>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5"/>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68" Type="http://schemas.openxmlformats.org/officeDocument/2006/relationships/hyperlink" Target="https://www.sec.gov/Archives/edgar/data/1902733/000190273324000139/secondamendedandrestatedce.htm" TargetMode="External"/><Relationship Id="rId69" Type="http://schemas.openxmlformats.org/officeDocument/2006/relationships/hyperlink" Target="https://www.sec.gov/Archives/edgar/data/1902733/000190273322000031/amendedandrestated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2025-05-28T15:26:16Z</dcterms:created>
  <dcterms:modified xsi:type="dcterms:W3CDTF">2025-05-28T15:26:16Z</dcterms:modified>
</cp:coreProperties>
</file>