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Senvest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5,490,968.00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5,490,968.00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5,490,968.00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Richard Mashaal</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CANADA (FEDERAL LEVEL)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5,490,968.00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5,490,968.00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5,490,968.00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18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nCino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6770 Parker Farm Drive, Suite 200, Wilmington, NC 28405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This statement is filed by Senvest Management, LLC and Richard Mashaal, with respect to the common stock, par value $0.0005 per share ("Common Stock"), of nCino Inc., a company incorporated under the laws of the State of Delaware (the "Company"). The reported securities are held in the account of Senvest Master Fund, LP and Senvest</w:t>
      </w:r>
    </w:p>
    <w:p>
      <w:pPr>
        <w:spacing w:after="0" w:line="1" w:lineRule="exact"/>
        <w:rPr>
          <w:sz w:val="20"/>
          <w:szCs w:val="20"/>
          <w:color w:val="auto"/>
        </w:rPr>
      </w:pPr>
    </w:p>
    <w:p>
      <w:pPr>
        <w:ind w:left="920" w:right="200" w:hanging="912"/>
        <w:spacing w:after="0" w:line="232"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Technology Partners Master Fund, LP (collectively, the "Investment Vehicles"). Senvest Management, LLC may be deemed to beneficially own the securities held by the Investment Vehicles by virtue of Senvest Management, LLC's position as investment manager of the Investment Vehicles. Mr. Mashaal may be deemed to beneficially own the securities held by the Investment Vehicles by virtue of Mr. Mashaal's status as the managing member of Senvest Management, LLC. None of the foregoing should be construed in and of itself as an admission by any Reporting Person as to beneficial ownership of the securities reported herein.</w:t>
      </w:r>
    </w:p>
    <w:p>
      <w:pPr>
        <w:sectPr>
          <w:pgSz w:w="11900" w:h="16838" w:orient="portrait"/>
          <w:cols w:equalWidth="0" w:num="1">
            <w:col w:w="11120"/>
          </w:cols>
          <w:pgMar w:left="360" w:top="111"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Senvest Management, LLC 540 Madison Avenue, 32nd Floor New York, New York 10022 Richard Mashaal c/o Senvest Management, LLC 540 Madison Avenue, 32nd Floor New York, New York 10022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460"/>
        <w:spacing w:after="0" w:line="309" w:lineRule="auto"/>
        <w:rPr>
          <w:sz w:val="20"/>
          <w:szCs w:val="20"/>
          <w:color w:val="auto"/>
        </w:rPr>
      </w:pPr>
      <w:r>
        <w:rPr>
          <w:rFonts w:ascii="Times New Roman" w:cs="Times New Roman" w:eastAsia="Times New Roman" w:hAnsi="Times New Roman"/>
          <w:sz w:val="22"/>
          <w:szCs w:val="22"/>
          <w:color w:val="auto"/>
        </w:rPr>
        <w:t>Senvest Management, LLC - Delaware Richard Mashaal - Canada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$0.0005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200"/>
          </w:cols>
          <w:pgMar w:left="360" w:top="111" w:right="419" w:bottom="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jc w:val="both"/>
        <w:ind w:left="920"/>
        <w:spacing w:after="0" w:line="28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information required by Item 4(a) is set forth in Row 9 of the cover page for each of the Reporting Persons and is incorporated herein by reference. The percentage set forth in this Schedule 13G is calculated based upon an aggregate</w:t>
      </w:r>
    </w:p>
    <w:p>
      <w:pPr>
        <w:sectPr>
          <w:pgSz w:w="11900" w:h="16838" w:orient="portrait"/>
          <w:cols w:equalWidth="0" w:num="1">
            <w:col w:w="11120"/>
          </w:cols>
          <w:pgMar w:left="360" w:top="111" w:right="419" w:bottom="0" w:gutter="0" w:footer="0" w:header="0"/>
          <w:type w:val="continuous"/>
        </w:sectPr>
      </w:pPr>
    </w:p>
    <w:bookmarkStart w:id="3" w:name="page4"/>
    <w:bookmarkEnd w:id="3"/>
    <w:p>
      <w:pPr>
        <w:ind w:left="920" w:right="120"/>
        <w:spacing w:after="0" w:line="268" w:lineRule="auto"/>
        <w:rPr>
          <w:sz w:val="20"/>
          <w:szCs w:val="20"/>
          <w:color w:val="auto"/>
        </w:rPr>
      </w:pPr>
      <w:r>
        <w:rPr>
          <w:rFonts w:ascii="Times New Roman" w:cs="Times New Roman" w:eastAsia="Times New Roman" w:hAnsi="Times New Roman"/>
          <w:sz w:val="21"/>
          <w:szCs w:val="21"/>
          <w:color w:val="auto"/>
        </w:rPr>
        <w:t>of 108,794,598 shares of Common Stock outstanding as of April 20, 2026, as reported in the Company's Preliminary Proxy Statement on Schedule PRE 14A, filed with the Securities and Exchange Commission on April 28, 2026.</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0"/>
        <w:spacing w:after="0" w:line="256" w:lineRule="auto"/>
        <w:rPr>
          <w:sz w:val="20"/>
          <w:szCs w:val="20"/>
          <w:color w:val="auto"/>
        </w:rPr>
      </w:pPr>
      <w:r>
        <w:rPr>
          <w:rFonts w:ascii="Times New Roman" w:cs="Times New Roman" w:eastAsia="Times New Roman" w:hAnsi="Times New Roman"/>
          <w:sz w:val="22"/>
          <w:szCs w:val="22"/>
          <w:color w:val="auto"/>
        </w:rPr>
        <w:t>The Investment Vehicles have the right to receive and the power to direct the receipt of dividends from, and the proceeds from the sale of, more than 5% of the shares of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Senvest Management, LLC</w:t>
      </w:r>
    </w:p>
    <w:p>
      <w:pPr>
        <w:spacing w:after="0" w:line="152"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Bobby Trahanas</w:t>
      </w:r>
    </w:p>
    <w:p>
      <w:pPr>
        <w:spacing w:after="0" w:line="44"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color w:val="auto"/>
        </w:rPr>
        <w:t>Name/Title: Bobby Trahanas, Chief Compliance Officer</w:t>
      </w:r>
    </w:p>
    <w:p>
      <w:pPr>
        <w:spacing w:after="0" w:line="44" w:lineRule="exact"/>
        <w:rPr>
          <w:sz w:val="20"/>
          <w:szCs w:val="20"/>
          <w:color w:val="auto"/>
        </w:rPr>
      </w:pPr>
    </w:p>
    <w:p>
      <w:pPr>
        <w:ind w:left="506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52"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Richard Mashaal</w:t>
      </w:r>
    </w:p>
    <w:p>
      <w:pPr>
        <w:sectPr>
          <w:pgSz w:w="11900" w:h="16838" w:orient="portrait"/>
          <w:cols w:equalWidth="0" w:num="1">
            <w:col w:w="11140"/>
          </w:cols>
          <w:pgMar w:left="360" w:top="112" w:right="399" w:bottom="0" w:gutter="0" w:footer="0" w:header="0"/>
          <w:type w:val="continuous"/>
        </w:sectPr>
      </w:pPr>
    </w:p>
    <w:bookmarkStart w:id="4" w:name="page5"/>
    <w:bookmarkEnd w:id="4"/>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Richard Mashaal</w:t>
      </w:r>
    </w:p>
    <w:p>
      <w:pPr>
        <w:spacing w:after="0" w:line="4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color w:val="auto"/>
        </w:rPr>
        <w:t>Name/Title: Richard Mashaal, Individually</w:t>
      </w:r>
    </w:p>
    <w:p>
      <w:pPr>
        <w:spacing w:after="0" w:line="56" w:lineRule="exact"/>
        <w:rPr>
          <w:sz w:val="20"/>
          <w:szCs w:val="20"/>
          <w:color w:val="auto"/>
        </w:rPr>
      </w:pPr>
    </w:p>
    <w:p>
      <w:pPr>
        <w:ind w:left="3920"/>
        <w:spacing w:after="0"/>
        <w:tabs>
          <w:tab w:leader="none" w:pos="5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05/06/2026</w:t>
      </w:r>
    </w:p>
    <w:p>
      <w:pPr>
        <w:spacing w:after="0" w:line="108" w:lineRule="exact"/>
        <w:rPr>
          <w:sz w:val="20"/>
          <w:szCs w:val="20"/>
          <w:color w:val="auto"/>
        </w:rPr>
      </w:pPr>
    </w:p>
    <w:p>
      <w:pPr>
        <w:jc w:val="center"/>
        <w:ind w:right="695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0099"/>
          </w:cols>
          <w:pgMar w:left="360" w:top="207"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JOINT ACQUISITION STATEMENT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May 6, 2026</w:t>
      </w:r>
    </w:p>
    <w:p>
      <w:pPr>
        <w:spacing w:after="0" w:line="22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SENVEST MANAGEMENT, LLC</w:t>
      </w:r>
    </w:p>
    <w:p>
      <w:pPr>
        <w:spacing w:after="0" w:line="229" w:lineRule="exact"/>
        <w:rPr>
          <w:sz w:val="20"/>
          <w:szCs w:val="20"/>
          <w:color w:val="auto"/>
        </w:rPr>
      </w:pP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Bobby Trahanas</w:t>
      </w:r>
    </w:p>
    <w:p>
      <w:pPr>
        <w:spacing w:after="0" w:line="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Name: Bobby Trahanas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-144780</wp:posOffset>
            </wp:positionV>
            <wp:extent cx="170561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ind w:left="5500"/>
        <w:spacing w:after="0"/>
        <w:tabs>
          <w:tab w:leader="none" w:pos="610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/s/ Richard Mashaal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13970</wp:posOffset>
            </wp:positionV>
            <wp:extent cx="3703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0"/>
          <w:szCs w:val="20"/>
          <w:color w:val="auto"/>
        </w:rPr>
        <w:t>RICHARD MASHAAL</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2026-05-06T16:43:13Z</dcterms:created>
  <dcterms:modified xsi:type="dcterms:W3CDTF">2026-05-06T16:43:13Z</dcterms:modified>
</cp:coreProperties>
</file>