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As filed with the Securities and Exchange Commission on June 22, 2020</w:t>
      </w:r>
    </w:p>
    <w:p>
      <w:pPr>
        <w:spacing w:after="0" w:line="30" w:lineRule="exact"/>
        <w:rPr>
          <w:sz w:val="24"/>
          <w:szCs w:val="24"/>
          <w:color w:val="auto"/>
        </w:rPr>
      </w:pPr>
    </w:p>
    <w:p>
      <w:pPr>
        <w:ind w:left="9280"/>
        <w:spacing w:after="0"/>
        <w:rPr>
          <w:sz w:val="20"/>
          <w:szCs w:val="20"/>
          <w:color w:val="auto"/>
        </w:rPr>
      </w:pPr>
      <w:r>
        <w:rPr>
          <w:rFonts w:ascii="Arial" w:cs="Arial" w:eastAsia="Arial" w:hAnsi="Arial"/>
          <w:sz w:val="15"/>
          <w:szCs w:val="15"/>
          <w:b w:val="1"/>
          <w:bCs w:val="1"/>
          <w:color w:val="auto"/>
        </w:rPr>
        <w:t>Registration No. 333-</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UNITED STATES</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line="237" w:lineRule="auto"/>
        <w:rPr>
          <w:sz w:val="20"/>
          <w:szCs w:val="20"/>
          <w:color w:val="auto"/>
        </w:rPr>
      </w:pPr>
      <w:r>
        <w:rPr>
          <w:rFonts w:ascii="Arial" w:cs="Arial" w:eastAsia="Arial" w:hAnsi="Arial"/>
          <w:sz w:val="19"/>
          <w:szCs w:val="19"/>
          <w:b w:val="1"/>
          <w:bCs w:val="1"/>
          <w:color w:val="auto"/>
        </w:rPr>
        <w:t>Washington, D.C. 20549</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S-1</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SECURITIES ACT OF 1933</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nCino, Inc.</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1"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2900" w:type="dxa"/>
            <w:vAlign w:val="bottom"/>
          </w:tcPr>
          <w:p>
            <w:pPr>
              <w:jc w:val="center"/>
              <w:ind w:right="799"/>
              <w:spacing w:after="0"/>
              <w:rPr>
                <w:sz w:val="20"/>
                <w:szCs w:val="20"/>
                <w:color w:val="auto"/>
              </w:rPr>
            </w:pPr>
            <w:r>
              <w:rPr>
                <w:rFonts w:ascii="Arial" w:cs="Arial" w:eastAsia="Arial" w:hAnsi="Arial"/>
                <w:sz w:val="16"/>
                <w:szCs w:val="16"/>
                <w:b w:val="1"/>
                <w:bCs w:val="1"/>
                <w:color w:val="auto"/>
                <w:w w:val="93"/>
              </w:rPr>
              <w:t>Delaware</w:t>
            </w:r>
          </w:p>
        </w:tc>
        <w:tc>
          <w:tcPr>
            <w:tcW w:w="378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460" w:type="dxa"/>
            <w:vAlign w:val="bottom"/>
          </w:tcPr>
          <w:p>
            <w:pPr>
              <w:jc w:val="center"/>
              <w:ind w:left="879"/>
              <w:spacing w:after="0"/>
              <w:rPr>
                <w:sz w:val="20"/>
                <w:szCs w:val="20"/>
                <w:color w:val="auto"/>
              </w:rPr>
            </w:pPr>
            <w:r>
              <w:rPr>
                <w:rFonts w:ascii="Arial" w:cs="Arial" w:eastAsia="Arial" w:hAnsi="Arial"/>
                <w:sz w:val="16"/>
                <w:szCs w:val="16"/>
                <w:b w:val="1"/>
                <w:bCs w:val="1"/>
                <w:color w:val="auto"/>
                <w:w w:val="91"/>
              </w:rPr>
              <w:t>46-4353148</w:t>
            </w:r>
          </w:p>
        </w:tc>
      </w:tr>
      <w:tr>
        <w:trPr>
          <w:trHeight w:val="203"/>
        </w:trPr>
        <w:tc>
          <w:tcPr>
            <w:tcW w:w="2900" w:type="dxa"/>
            <w:vAlign w:val="bottom"/>
          </w:tcPr>
          <w:p>
            <w:pPr>
              <w:jc w:val="center"/>
              <w:ind w:right="799"/>
              <w:spacing w:after="0"/>
              <w:rPr>
                <w:sz w:val="20"/>
                <w:szCs w:val="20"/>
                <w:color w:val="auto"/>
              </w:rPr>
            </w:pPr>
            <w:r>
              <w:rPr>
                <w:rFonts w:ascii="Arial" w:cs="Arial" w:eastAsia="Arial" w:hAnsi="Arial"/>
                <w:sz w:val="16"/>
                <w:szCs w:val="16"/>
                <w:i w:val="1"/>
                <w:iCs w:val="1"/>
                <w:color w:val="auto"/>
                <w:w w:val="94"/>
              </w:rPr>
              <w:t>(State or other jurisdiction of</w:t>
            </w:r>
          </w:p>
        </w:tc>
        <w:tc>
          <w:tcPr>
            <w:tcW w:w="3780" w:type="dxa"/>
            <w:vAlign w:val="bottom"/>
          </w:tcPr>
          <w:p>
            <w:pPr>
              <w:jc w:val="center"/>
              <w:spacing w:after="0"/>
              <w:rPr>
                <w:sz w:val="20"/>
                <w:szCs w:val="20"/>
                <w:color w:val="auto"/>
              </w:rPr>
            </w:pPr>
            <w:r>
              <w:rPr>
                <w:rFonts w:ascii="Arial" w:cs="Arial" w:eastAsia="Arial" w:hAnsi="Arial"/>
                <w:sz w:val="16"/>
                <w:szCs w:val="16"/>
                <w:i w:val="1"/>
                <w:iCs w:val="1"/>
                <w:color w:val="auto"/>
                <w:w w:val="95"/>
              </w:rPr>
              <w:t>(Primary Standard Industrial</w:t>
            </w:r>
          </w:p>
        </w:tc>
        <w:tc>
          <w:tcPr>
            <w:tcW w:w="2460" w:type="dxa"/>
            <w:vAlign w:val="bottom"/>
          </w:tcPr>
          <w:p>
            <w:pPr>
              <w:jc w:val="center"/>
              <w:ind w:left="899"/>
              <w:spacing w:after="0"/>
              <w:rPr>
                <w:sz w:val="20"/>
                <w:szCs w:val="20"/>
                <w:color w:val="auto"/>
              </w:rPr>
            </w:pPr>
            <w:r>
              <w:rPr>
                <w:rFonts w:ascii="Arial" w:cs="Arial" w:eastAsia="Arial" w:hAnsi="Arial"/>
                <w:sz w:val="16"/>
                <w:szCs w:val="16"/>
                <w:i w:val="1"/>
                <w:iCs w:val="1"/>
                <w:color w:val="auto"/>
                <w:w w:val="91"/>
              </w:rPr>
              <w:t>(I.R.S. Employer</w:t>
            </w:r>
          </w:p>
        </w:tc>
      </w:tr>
      <w:tr>
        <w:trPr>
          <w:trHeight w:val="206"/>
        </w:trPr>
        <w:tc>
          <w:tcPr>
            <w:tcW w:w="2900" w:type="dxa"/>
            <w:vAlign w:val="bottom"/>
          </w:tcPr>
          <w:p>
            <w:pPr>
              <w:jc w:val="center"/>
              <w:ind w:right="819"/>
              <w:spacing w:after="0"/>
              <w:rPr>
                <w:sz w:val="20"/>
                <w:szCs w:val="20"/>
                <w:color w:val="auto"/>
              </w:rPr>
            </w:pPr>
            <w:r>
              <w:rPr>
                <w:rFonts w:ascii="Arial" w:cs="Arial" w:eastAsia="Arial" w:hAnsi="Arial"/>
                <w:sz w:val="16"/>
                <w:szCs w:val="16"/>
                <w:i w:val="1"/>
                <w:i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6"/>
                <w:szCs w:val="16"/>
                <w:i w:val="1"/>
                <w:iCs w:val="1"/>
                <w:color w:val="auto"/>
                <w:w w:val="93"/>
              </w:rPr>
              <w:t>Classification Code Number)</w:t>
            </w:r>
          </w:p>
        </w:tc>
        <w:tc>
          <w:tcPr>
            <w:tcW w:w="2460" w:type="dxa"/>
            <w:vAlign w:val="bottom"/>
          </w:tcPr>
          <w:p>
            <w:pPr>
              <w:jc w:val="center"/>
              <w:ind w:left="879"/>
              <w:spacing w:after="0"/>
              <w:rPr>
                <w:sz w:val="20"/>
                <w:szCs w:val="20"/>
                <w:color w:val="auto"/>
              </w:rPr>
            </w:pPr>
            <w:r>
              <w:rPr>
                <w:rFonts w:ascii="Arial" w:cs="Arial" w:eastAsia="Arial" w:hAnsi="Arial"/>
                <w:sz w:val="16"/>
                <w:szCs w:val="16"/>
                <w:i w:val="1"/>
                <w:iCs w:val="1"/>
                <w:color w:val="auto"/>
                <w:w w:val="95"/>
              </w:rPr>
              <w:t>Identification Number)</w:t>
            </w:r>
          </w:p>
        </w:tc>
      </w:tr>
    </w:tbl>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6770 Parker Farm Drive</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Wilmington, North Carolina 28405</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(888) 676-2466</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Pierre Naudé</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nCino, Inc.</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6770 Parker Farm Drive</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Wilmington, North Carolina 28405</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(888) 676-2466</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16" w:lineRule="exact"/>
        <w:rPr>
          <w:sz w:val="24"/>
          <w:szCs w:val="24"/>
          <w:color w:val="auto"/>
        </w:rPr>
      </w:pPr>
    </w:p>
    <w:tbl>
      <w:tblPr>
        <w:tblLayout w:type="fixed"/>
        <w:tblInd w:w="104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3920" w:type="dxa"/>
            <w:vAlign w:val="bottom"/>
          </w:tcPr>
          <w:p>
            <w:pPr>
              <w:ind w:left="1580"/>
              <w:spacing w:after="0"/>
              <w:rPr>
                <w:sz w:val="20"/>
                <w:szCs w:val="20"/>
                <w:color w:val="auto"/>
              </w:rPr>
            </w:pPr>
            <w:r>
              <w:rPr>
                <w:rFonts w:ascii="Arial" w:cs="Arial" w:eastAsia="Arial" w:hAnsi="Arial"/>
                <w:sz w:val="14"/>
                <w:szCs w:val="14"/>
                <w:b w:val="1"/>
                <w:bCs w:val="1"/>
                <w:i w:val="1"/>
                <w:iCs w:val="1"/>
                <w:color w:val="auto"/>
              </w:rPr>
              <w:t>Copies to:</w:t>
            </w:r>
          </w:p>
        </w:tc>
        <w:tc>
          <w:tcPr>
            <w:tcW w:w="2700" w:type="dxa"/>
            <w:vAlign w:val="bottom"/>
          </w:tcPr>
          <w:p>
            <w:pPr>
              <w:spacing w:after="0"/>
              <w:rPr>
                <w:sz w:val="15"/>
                <w:szCs w:val="15"/>
                <w:color w:val="auto"/>
              </w:rPr>
            </w:pPr>
          </w:p>
        </w:tc>
      </w:tr>
      <w:tr>
        <w:trPr>
          <w:trHeight w:val="214"/>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96"/>
              </w:rPr>
              <w:t>Martin A. Wellington</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2"/>
              </w:rPr>
              <w:t>Gregory D. Orenstein</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94"/>
              </w:rPr>
              <w:t>Paul D. Tropp</w:t>
            </w:r>
          </w:p>
        </w:tc>
      </w:tr>
      <w:tr>
        <w:trPr>
          <w:trHeight w:val="203"/>
        </w:trPr>
        <w:tc>
          <w:tcPr>
            <w:tcW w:w="2700" w:type="dxa"/>
            <w:vAlign w:val="bottom"/>
          </w:tcPr>
          <w:p>
            <w:pPr>
              <w:jc w:val="center"/>
              <w:ind w:right="739"/>
              <w:spacing w:after="0"/>
              <w:rPr>
                <w:sz w:val="20"/>
                <w:szCs w:val="20"/>
                <w:color w:val="auto"/>
              </w:rPr>
            </w:pPr>
            <w:r>
              <w:rPr>
                <w:rFonts w:ascii="Arial" w:cs="Arial" w:eastAsia="Arial" w:hAnsi="Arial"/>
                <w:sz w:val="16"/>
                <w:szCs w:val="16"/>
                <w:b w:val="1"/>
                <w:bCs w:val="1"/>
                <w:color w:val="auto"/>
                <w:w w:val="93"/>
              </w:rPr>
              <w:t>Robert A. Ryan</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4"/>
              </w:rPr>
              <w:t>Chief Corporate Development &amp;</w:t>
            </w:r>
          </w:p>
        </w:tc>
        <w:tc>
          <w:tcPr>
            <w:tcW w:w="2700" w:type="dxa"/>
            <w:vAlign w:val="bottom"/>
          </w:tcPr>
          <w:p>
            <w:pPr>
              <w:jc w:val="center"/>
              <w:ind w:left="659"/>
              <w:spacing w:after="0"/>
              <w:rPr>
                <w:sz w:val="20"/>
                <w:szCs w:val="20"/>
                <w:color w:val="auto"/>
              </w:rPr>
            </w:pPr>
            <w:r>
              <w:rPr>
                <w:rFonts w:ascii="Arial" w:cs="Arial" w:eastAsia="Arial" w:hAnsi="Arial"/>
                <w:sz w:val="16"/>
                <w:szCs w:val="16"/>
                <w:b w:val="1"/>
                <w:bCs w:val="1"/>
                <w:color w:val="auto"/>
                <w:w w:val="92"/>
              </w:rPr>
              <w:t>Michael S. Pilo</w:t>
            </w:r>
          </w:p>
        </w:tc>
      </w:tr>
      <w:tr>
        <w:trPr>
          <w:trHeight w:val="203"/>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92"/>
              </w:rPr>
              <w:t>Sidley Austin LLP</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2"/>
              </w:rPr>
              <w:t>Legal Officer and Secretary</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95"/>
              </w:rPr>
              <w:t>Ropes &amp; Gray LLP</w:t>
            </w:r>
          </w:p>
        </w:tc>
      </w:tr>
      <w:tr>
        <w:trPr>
          <w:trHeight w:val="203"/>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88"/>
              </w:rPr>
              <w:t>787 Seventh Avenue</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2"/>
              </w:rPr>
              <w:t>nCino, Inc.</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89"/>
              </w:rPr>
              <w:t>1211 Avenue of the Americas</w:t>
            </w:r>
          </w:p>
        </w:tc>
      </w:tr>
      <w:tr>
        <w:trPr>
          <w:trHeight w:val="203"/>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93"/>
              </w:rPr>
              <w:t>New York, New York 10019</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5"/>
              </w:rPr>
              <w:t>6770 Parker Farm Drive</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93"/>
              </w:rPr>
              <w:t>New York, New York 10036</w:t>
            </w:r>
          </w:p>
        </w:tc>
      </w:tr>
      <w:tr>
        <w:trPr>
          <w:trHeight w:val="203"/>
        </w:trPr>
        <w:tc>
          <w:tcPr>
            <w:tcW w:w="2700" w:type="dxa"/>
            <w:vAlign w:val="bottom"/>
          </w:tcPr>
          <w:p>
            <w:pPr>
              <w:jc w:val="center"/>
              <w:ind w:right="719"/>
              <w:spacing w:after="0"/>
              <w:rPr>
                <w:sz w:val="20"/>
                <w:szCs w:val="20"/>
                <w:color w:val="auto"/>
              </w:rPr>
            </w:pPr>
            <w:r>
              <w:rPr>
                <w:rFonts w:ascii="Arial" w:cs="Arial" w:eastAsia="Arial" w:hAnsi="Arial"/>
                <w:sz w:val="16"/>
                <w:szCs w:val="16"/>
                <w:b w:val="1"/>
                <w:bCs w:val="1"/>
                <w:color w:val="auto"/>
                <w:w w:val="93"/>
              </w:rPr>
              <w:t>(212) 839-5300</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3"/>
              </w:rPr>
              <w:t>Wilmington, North Carolina 28405</w:t>
            </w:r>
          </w:p>
        </w:tc>
        <w:tc>
          <w:tcPr>
            <w:tcW w:w="2700" w:type="dxa"/>
            <w:vAlign w:val="bottom"/>
          </w:tcPr>
          <w:p>
            <w:pPr>
              <w:jc w:val="center"/>
              <w:ind w:left="639"/>
              <w:spacing w:after="0"/>
              <w:rPr>
                <w:sz w:val="20"/>
                <w:szCs w:val="20"/>
                <w:color w:val="auto"/>
              </w:rPr>
            </w:pPr>
            <w:r>
              <w:rPr>
                <w:rFonts w:ascii="Arial" w:cs="Arial" w:eastAsia="Arial" w:hAnsi="Arial"/>
                <w:sz w:val="16"/>
                <w:szCs w:val="16"/>
                <w:b w:val="1"/>
                <w:bCs w:val="1"/>
                <w:color w:val="auto"/>
                <w:w w:val="93"/>
              </w:rPr>
              <w:t>(212) 596-9000</w:t>
            </w:r>
          </w:p>
        </w:tc>
      </w:tr>
      <w:tr>
        <w:trPr>
          <w:trHeight w:val="210"/>
        </w:trPr>
        <w:tc>
          <w:tcPr>
            <w:tcW w:w="27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1"/>
              </w:rPr>
              <w:t>(888) 676-2466</w:t>
            </w:r>
          </w:p>
        </w:tc>
        <w:tc>
          <w:tcPr>
            <w:tcW w:w="2700" w:type="dxa"/>
            <w:vAlign w:val="bottom"/>
          </w:tcPr>
          <w:p>
            <w:pPr>
              <w:spacing w:after="0"/>
              <w:rPr>
                <w:sz w:val="18"/>
                <w:szCs w:val="18"/>
                <w:color w:val="auto"/>
              </w:rPr>
            </w:pPr>
          </w:p>
        </w:tc>
      </w:tr>
    </w:tbl>
    <w:p>
      <w:pPr>
        <w:spacing w:after="0" w:line="37"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25" w:lineRule="exact"/>
        <w:rPr>
          <w:sz w:val="24"/>
          <w:szCs w:val="24"/>
          <w:color w:val="auto"/>
        </w:rPr>
      </w:pPr>
    </w:p>
    <w:p>
      <w:pPr>
        <w:ind w:left="120" w:right="480" w:firstLine="881"/>
        <w:spacing w:after="0" w:line="177"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40" w:firstLine="88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20" w:firstLine="88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00" w:firstLine="88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400" w:firstLine="881"/>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74"/>
        </w:trPr>
        <w:tc>
          <w:tcPr>
            <w:tcW w:w="2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4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340" w:type="dxa"/>
            <w:vAlign w:val="bottom"/>
          </w:tcPr>
          <w:p>
            <w:pPr>
              <w:spacing w:after="0"/>
              <w:rPr>
                <w:sz w:val="20"/>
                <w:szCs w:val="20"/>
                <w:color w:val="auto"/>
              </w:rPr>
            </w:pPr>
            <w:r>
              <w:rPr>
                <w:rFonts w:ascii="Arial" w:cs="Arial" w:eastAsia="Arial" w:hAnsi="Arial"/>
                <w:sz w:val="14"/>
                <w:szCs w:val="14"/>
                <w:color w:val="auto"/>
              </w:rPr>
              <w:t>Non-accelerated filer</w:t>
            </w:r>
          </w:p>
        </w:tc>
        <w:tc>
          <w:tcPr>
            <w:tcW w:w="324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3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4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ind w:left="120" w:right="140" w:firstLine="88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CALCULATION OF REGISTRATION FEE</w:t>
      </w:r>
    </w:p>
    <w:p>
      <w:pPr>
        <w:spacing w:after="0" w:line="2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812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3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812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 Offering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4"/>
              </w:rPr>
              <w:t>Price</w:t>
            </w:r>
            <w:r>
              <w:rPr>
                <w:rFonts w:ascii="Arial" w:cs="Arial" w:eastAsia="Arial" w:hAnsi="Arial"/>
                <w:sz w:val="12"/>
                <w:szCs w:val="12"/>
                <w:b w:val="1"/>
                <w:bCs w:val="1"/>
                <w:color w:val="auto"/>
                <w:w w:val="94"/>
              </w:rPr>
              <w:t>(1)(2)</w:t>
            </w:r>
          </w:p>
        </w:tc>
        <w:tc>
          <w:tcPr>
            <w:tcW w:w="13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81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$0.0005 per share</w:t>
            </w:r>
          </w:p>
        </w:tc>
        <w:tc>
          <w:tcPr>
            <w:tcW w:w="15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$100,000,000</w:t>
            </w:r>
          </w:p>
        </w:tc>
        <w:tc>
          <w:tcPr>
            <w:tcW w:w="13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0"/>
              </w:rPr>
              <w:t>$12,980</w:t>
            </w:r>
          </w:p>
        </w:tc>
        <w:tc>
          <w:tcPr>
            <w:tcW w:w="0" w:type="dxa"/>
            <w:vAlign w:val="bottom"/>
          </w:tcPr>
          <w:p>
            <w:pPr>
              <w:spacing w:after="0"/>
              <w:rPr>
                <w:sz w:val="1"/>
                <w:szCs w:val="1"/>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ind w:left="540" w:hanging="424"/>
        <w:spacing w:after="0"/>
        <w:tabs>
          <w:tab w:leader="none" w:pos="540" w:val="left"/>
        </w:tabs>
        <w:numPr>
          <w:ilvl w:val="0"/>
          <w:numId w:val="1"/>
        </w:numPr>
        <w:rPr>
          <w:rFonts w:ascii="Arial" w:cs="Arial" w:eastAsia="Arial" w:hAnsi="Arial"/>
          <w:sz w:val="12"/>
          <w:szCs w:val="12"/>
          <w:color w:val="auto"/>
        </w:rPr>
      </w:pPr>
      <w:r>
        <w:rPr>
          <w:rFonts w:ascii="Arial" w:cs="Arial" w:eastAsia="Arial" w:hAnsi="Arial"/>
          <w:sz w:val="14"/>
          <w:szCs w:val="14"/>
          <w:color w:val="auto"/>
        </w:rPr>
        <w:t>Includes the aggregate offering price of any additional common stock that the underwriters have the option to purchase, if any.</w:t>
      </w:r>
    </w:p>
    <w:p>
      <w:pPr>
        <w:spacing w:after="0" w:line="12" w:lineRule="exact"/>
        <w:rPr>
          <w:sz w:val="24"/>
          <w:szCs w:val="24"/>
          <w:color w:val="auto"/>
        </w:rPr>
      </w:pPr>
    </w:p>
    <w:p>
      <w:pPr>
        <w:ind w:left="120" w:right="20" w:firstLine="881"/>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220345</wp:posOffset>
            </wp:positionV>
            <wp:extent cx="6711950" cy="915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19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220345</wp:posOffset>
            </wp:positionV>
            <wp:extent cx="6711950" cy="915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19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64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vMerge w:val="restart"/>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Market, Industry and Other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Selected Consolidated Financial and Other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Material U.S. Federal Income Tax Consequences to Non-U.S. Holders of Our Common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Where You Can Find Additional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30"/>
        </w:trPr>
        <w:tc>
          <w:tcPr>
            <w:tcW w:w="1064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Index to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firstLine="881"/>
        <w:spacing w:after="0" w:line="294" w:lineRule="auto"/>
        <w:rPr>
          <w:sz w:val="20"/>
          <w:szCs w:val="20"/>
          <w:color w:val="auto"/>
        </w:rPr>
      </w:pPr>
      <w:r>
        <w:rPr>
          <w:rFonts w:ascii="Arial" w:cs="Arial" w:eastAsia="Arial" w:hAnsi="Arial"/>
          <w:sz w:val="16"/>
          <w:szCs w:val="16"/>
          <w:b w:val="1"/>
          <w:bCs w:val="1"/>
          <w:color w:val="auto"/>
        </w:rPr>
        <w:t>You should rely only on the information contained in this document or to which we have referred you. Neither we nor any of the underwriters has authorized anyone to provide you with information that is different. This document may only be used in jurisdictions where it is legal to sell these securities. The information in this document may only be accurate as of the date of this document or such other date set forth in this document,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Our fiscal year ends on January 31 of each year and references in this prospectus to a fiscal year mean the year in which that fiscal year ends. Accordingly, references in this prospectus to “fiscal 2018,” “fiscal 2019,” and “fiscal 2020” refer to the fiscal year ended January 31, 2018, January 31, 2019 and January 31, 2020, respectively.</w:t>
      </w:r>
    </w:p>
    <w:p>
      <w:pPr>
        <w:spacing w:after="0" w:line="184" w:lineRule="exact"/>
        <w:rPr>
          <w:sz w:val="20"/>
          <w:szCs w:val="20"/>
          <w:color w:val="auto"/>
        </w:rPr>
      </w:pPr>
    </w:p>
    <w:p>
      <w:pPr>
        <w:ind w:left="120" w:right="320" w:firstLine="881"/>
        <w:spacing w:after="0" w:line="308" w:lineRule="auto"/>
        <w:rPr>
          <w:sz w:val="20"/>
          <w:szCs w:val="20"/>
          <w:color w:val="auto"/>
        </w:rPr>
      </w:pPr>
      <w:r>
        <w:rPr>
          <w:rFonts w:ascii="Arial" w:cs="Arial" w:eastAsia="Arial" w:hAnsi="Arial"/>
          <w:sz w:val="17"/>
          <w:szCs w:val="17"/>
          <w:color w:val="auto"/>
        </w:rPr>
        <w:t>In this prospectus, when we refer to “Annual Contract Value” or “ACV” for any customer for any given period, we mean the annualized subscription fees from fully-activated subscription contracts in effect for such customers at the end of the applicable period.</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5"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you should consider before buying shares in this offering. Therefore,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deciding whether to purchase our common stock. Unless the context requires otherwise, the words “we,” “us,” “our,” and “the Company” refer to nCino, Inc. and its subsidiaries.</w:t>
      </w:r>
    </w:p>
    <w:p>
      <w:pPr>
        <w:spacing w:after="0" w:line="1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40" w:firstLine="852"/>
        <w:spacing w:after="0" w:line="270"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81" w:lineRule="exact"/>
        <w:rPr>
          <w:sz w:val="20"/>
          <w:szCs w:val="20"/>
          <w:color w:val="auto"/>
        </w:rPr>
      </w:pPr>
    </w:p>
    <w:p>
      <w:pPr>
        <w:ind w:left="300" w:right="60" w:firstLine="852"/>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300" w:right="40" w:firstLine="852"/>
        <w:spacing w:after="0" w:line="275"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internationally in 2017, and have subsequently expanded across North America, Europe and Asia-Pacific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systems integrators (“SIs”) to help implement our solution, which has increased our capacity to deliver and deploy the nCino Bank Operating System and enabled us to scale more quickly.</w:t>
      </w:r>
    </w:p>
    <w:p>
      <w:pPr>
        <w:spacing w:after="0" w:line="188"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 connects the front, middle and back office employees of a financial institution with clients and third parties across lines of business. We deliver data analytics and AI/ML capabilities through our nCino IQ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85" w:lineRule="exact"/>
        <w:rPr>
          <w:sz w:val="20"/>
          <w:szCs w:val="20"/>
          <w:color w:val="auto"/>
        </w:rPr>
      </w:pPr>
    </w:p>
    <w:p>
      <w:pPr>
        <w:ind w:left="300" w:firstLine="852"/>
        <w:spacing w:after="0" w:line="254"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5" w:lineRule="exact"/>
        <w:rPr>
          <w:sz w:val="20"/>
          <w:szCs w:val="20"/>
          <w:color w:val="auto"/>
        </w:rPr>
      </w:pPr>
    </w:p>
    <w:p>
      <w:pPr>
        <w:ind w:left="300" w:right="100" w:firstLine="852"/>
        <w:spacing w:after="0" w:line="257" w:lineRule="auto"/>
        <w:rPr>
          <w:sz w:val="20"/>
          <w:szCs w:val="20"/>
          <w:color w:val="auto"/>
        </w:rPr>
      </w:pPr>
      <w:r>
        <w:rPr>
          <w:rFonts w:ascii="Arial" w:cs="Arial" w:eastAsia="Arial" w:hAnsi="Arial"/>
          <w:sz w:val="18"/>
          <w:szCs w:val="18"/>
          <w:color w:val="auto"/>
        </w:rPr>
        <w:t>The nCino Bank Operating System serves a large addressable market opportunity globally as financial institutions make significant investments in information technology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88" w:lineRule="exact"/>
        <w:rPr>
          <w:sz w:val="20"/>
          <w:szCs w:val="20"/>
          <w:color w:val="auto"/>
        </w:rPr>
      </w:pPr>
    </w:p>
    <w:p>
      <w:pPr>
        <w:ind w:left="300" w:right="20" w:firstLine="852"/>
        <w:spacing w:after="0" w:line="254"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such as ConnectOne Bank, IBERIABANK,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represents a substantial level of ACV in its respective category.</w:t>
      </w:r>
    </w:p>
    <w:p>
      <w:pPr>
        <w:spacing w:after="0" w:line="195" w:lineRule="exact"/>
        <w:rPr>
          <w:sz w:val="20"/>
          <w:szCs w:val="20"/>
          <w:color w:val="auto"/>
        </w:rPr>
      </w:pPr>
    </w:p>
    <w:p>
      <w:pPr>
        <w:jc w:val="both"/>
        <w:ind w:left="300" w:right="220" w:firstLine="852"/>
        <w:spacing w:after="0" w:line="301" w:lineRule="auto"/>
        <w:rPr>
          <w:sz w:val="20"/>
          <w:szCs w:val="20"/>
          <w:color w:val="auto"/>
        </w:rPr>
      </w:pPr>
      <w:r>
        <w:rPr>
          <w:rFonts w:ascii="Arial" w:cs="Arial" w:eastAsia="Arial" w:hAnsi="Arial"/>
          <w:sz w:val="16"/>
          <w:szCs w:val="16"/>
          <w:color w:val="auto"/>
        </w:rPr>
        <w:t>We ended fiscal 2020 with over 290 financial institutions that utilized the nCino Bank Operating System for client onboarding, loan origination and/or deposit account opening, of which 161 each generated more than $100,000 in annual subscription revenues in fiscal 2020. In addition, we have over 890 financial institutions that use the portfolio analytics solution we acquired with the Visible Equity acquisition in fiscal 2020, which is now part of nIQ. In total, we had over 1,180 financial institution customers as of January 31, 2020. For fiscal 2020, we had a</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380"/>
        <w:spacing w:after="0" w:line="263" w:lineRule="auto"/>
        <w:rPr>
          <w:sz w:val="20"/>
          <w:szCs w:val="20"/>
          <w:color w:val="auto"/>
        </w:rPr>
      </w:pPr>
      <w:r>
        <w:rPr>
          <w:rFonts w:ascii="Arial" w:cs="Arial" w:eastAsia="Arial" w:hAnsi="Arial"/>
          <w:sz w:val="18"/>
          <w:szCs w:val="18"/>
          <w:color w:val="auto"/>
        </w:rPr>
        <w:t>subscription revenue retention rate of 147%. See “Management’s Discussion and Analysis of Financial Condition and Results of Operations— Factors Affecting Our Operating Results—Subscription Revenue Retention Rate” for additional information on subscription revenue retention rates.</w:t>
      </w:r>
    </w:p>
    <w:p>
      <w:pPr>
        <w:spacing w:after="0" w:line="184" w:lineRule="exact"/>
        <w:rPr>
          <w:sz w:val="20"/>
          <w:szCs w:val="20"/>
          <w:color w:val="auto"/>
        </w:rPr>
      </w:pPr>
    </w:p>
    <w:p>
      <w:pPr>
        <w:ind w:left="300" w:firstLine="852"/>
        <w:spacing w:after="0" w:line="286"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w:t>
      </w:r>
    </w:p>
    <w:p>
      <w:pPr>
        <w:spacing w:after="0" w:line="1" w:lineRule="exact"/>
        <w:rPr>
          <w:sz w:val="20"/>
          <w:szCs w:val="20"/>
          <w:color w:val="auto"/>
        </w:rPr>
      </w:pPr>
    </w:p>
    <w:p>
      <w:pPr>
        <w:ind w:left="300" w:right="100"/>
        <w:spacing w:after="0" w:line="271" w:lineRule="auto"/>
        <w:rPr>
          <w:sz w:val="20"/>
          <w:szCs w:val="20"/>
          <w:color w:val="auto"/>
        </w:rPr>
      </w:pPr>
      <w:r>
        <w:rPr>
          <w:rFonts w:ascii="Arial" w:cs="Arial" w:eastAsia="Arial" w:hAnsi="Arial"/>
          <w:sz w:val="17"/>
          <w:szCs w:val="17"/>
          <w:color w:val="auto"/>
        </w:rPr>
        <w:t>$64.5 million and $38.0 million for fiscal 2020, 2019 and 2018, respectively, representing a 64.7% compound annual growth rate. Net losses attributable to nCino for fiscal 2020, 2019 and 2018 were $27.6 million, $22.3 million and $18.6 million, respectively. For the three months ended April 30, 2020 and 2019, our total revenues were $44.7 million and $29.8 million, respectively, representing a 49.9% annual growth rate, and our subscription revenues were $34.8 million and $21.0 million, respectively, representing a 65.6% annual growth rate. We had net losses attributable to nCino of $4.8 million and $3.4 million for the three months ended April 30, 2020 and 2019, respectively.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300" w:right="60" w:firstLine="852"/>
        <w:spacing w:after="0" w:line="290" w:lineRule="auto"/>
        <w:rPr>
          <w:sz w:val="20"/>
          <w:szCs w:val="20"/>
          <w:color w:val="auto"/>
        </w:rPr>
      </w:pPr>
      <w:r>
        <w:rPr>
          <w:rFonts w:ascii="Arial" w:cs="Arial" w:eastAsia="Arial" w:hAnsi="Arial"/>
          <w:sz w:val="16"/>
          <w:szCs w:val="16"/>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jc w:val="both"/>
        <w:ind w:left="300" w:right="60" w:firstLine="852"/>
        <w:spacing w:after="0" w:line="286" w:lineRule="auto"/>
        <w:rPr>
          <w:sz w:val="20"/>
          <w:szCs w:val="20"/>
          <w:color w:val="auto"/>
        </w:rPr>
      </w:pPr>
      <w:r>
        <w:rPr>
          <w:rFonts w:ascii="Arial" w:cs="Arial" w:eastAsia="Arial" w:hAnsi="Arial"/>
          <w:sz w:val="16"/>
          <w:szCs w:val="16"/>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PricewaterhouseCoopers (“PwC”) survey, there has been a 21% increase since 2015 in consumers who use financial institutions that place more importance on experiential factors than interest rates.</w:t>
      </w:r>
    </w:p>
    <w:p>
      <w:pPr>
        <w:spacing w:after="0" w:line="1" w:lineRule="exact"/>
        <w:rPr>
          <w:sz w:val="20"/>
          <w:szCs w:val="20"/>
          <w:color w:val="auto"/>
        </w:rPr>
      </w:pPr>
    </w:p>
    <w:p>
      <w:pPr>
        <w:ind w:left="300" w:right="200"/>
        <w:spacing w:after="0" w:line="292" w:lineRule="auto"/>
        <w:rPr>
          <w:sz w:val="20"/>
          <w:szCs w:val="20"/>
          <w:color w:val="auto"/>
        </w:rPr>
      </w:pPr>
      <w:r>
        <w:rPr>
          <w:rFonts w:ascii="Arial" w:cs="Arial" w:eastAsia="Arial" w:hAnsi="Arial"/>
          <w:sz w:val="16"/>
          <w:szCs w:val="16"/>
          <w:color w:val="auto"/>
        </w:rPr>
        <w:t>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300" w:right="140" w:firstLine="852"/>
        <w:spacing w:after="0" w:line="263" w:lineRule="auto"/>
        <w:rPr>
          <w:sz w:val="20"/>
          <w:szCs w:val="20"/>
          <w:color w:val="auto"/>
        </w:rPr>
      </w:pPr>
      <w:r>
        <w:rPr>
          <w:rFonts w:ascii="Arial" w:cs="Arial" w:eastAsia="Arial" w:hAnsi="Arial"/>
          <w:sz w:val="18"/>
          <w:szCs w:val="18"/>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 to increase their technology budgets by at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3" w:lineRule="auto"/>
        <w:rPr>
          <w:sz w:val="20"/>
          <w:szCs w:val="20"/>
          <w:color w:val="auto"/>
        </w:rPr>
      </w:pPr>
      <w:r>
        <w:rPr>
          <w:rFonts w:ascii="Arial" w:cs="Arial" w:eastAsia="Arial" w:hAnsi="Arial"/>
          <w:sz w:val="17"/>
          <w:szCs w:val="17"/>
          <w:color w:val="auto"/>
        </w:rPr>
        <w:t>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5" w:lineRule="exact"/>
        <w:rPr>
          <w:sz w:val="20"/>
          <w:szCs w:val="20"/>
          <w:color w:val="auto"/>
        </w:rPr>
      </w:pPr>
    </w:p>
    <w:p>
      <w:pPr>
        <w:ind w:left="300" w:firstLine="852"/>
        <w:spacing w:after="0" w:line="271"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Current Expected Credit Loss (“CECL”) accounting standard have imposed stringent regulations pertaining to capital and leverage ratios and how financial institutions are required to estimate allowances for credit losses. Additionally, increased privacy regulations, such as the European Union’s General Data Protection Regulation (“GDPR”) and the California Consumer Privacy Act (“CCPA”), have imposed tougher data protection requirements. According to a Thomson Reuters report, compliance costs for financial institutions have increased 13% year over 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5" w:lineRule="exact"/>
        <w:rPr>
          <w:sz w:val="20"/>
          <w:szCs w:val="20"/>
          <w:color w:val="auto"/>
        </w:rPr>
      </w:pPr>
    </w:p>
    <w:p>
      <w:pPr>
        <w:ind w:left="300" w:right="700" w:firstLine="852"/>
        <w:spacing w:after="0" w:line="277"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197" w:lineRule="exact"/>
        <w:rPr>
          <w:sz w:val="20"/>
          <w:szCs w:val="20"/>
          <w:color w:val="auto"/>
        </w:rPr>
      </w:pPr>
    </w:p>
    <w:p>
      <w:pPr>
        <w:jc w:val="both"/>
        <w:ind w:left="1540" w:right="120" w:hanging="297"/>
        <w:spacing w:after="0" w:line="311"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5" w:lineRule="exact"/>
        <w:rPr>
          <w:rFonts w:ascii="Arial" w:cs="Arial" w:eastAsia="Arial" w:hAnsi="Arial"/>
          <w:sz w:val="16"/>
          <w:szCs w:val="16"/>
          <w:color w:val="auto"/>
        </w:rPr>
      </w:pPr>
    </w:p>
    <w:p>
      <w:pPr>
        <w:ind w:left="1540" w:right="620" w:hanging="297"/>
        <w:spacing w:after="0" w:line="342"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Actionable Intelligence. </w:t>
      </w:r>
      <w:r>
        <w:rPr>
          <w:rFonts w:ascii="Arial" w:cs="Arial" w:eastAsia="Arial" w:hAnsi="Arial"/>
          <w:sz w:val="16"/>
          <w:szCs w:val="16"/>
          <w:color w:val="auto"/>
        </w:rPr>
        <w:t>Actionable intelligence technology offers the ability to synthesize disparate data sets into unified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reportable information and provides a recommended course of action to make more informed real-time decisions.</w:t>
      </w:r>
    </w:p>
    <w:p>
      <w:pPr>
        <w:spacing w:after="0" w:line="150" w:lineRule="exact"/>
        <w:rPr>
          <w:rFonts w:ascii="Arial" w:cs="Arial" w:eastAsia="Arial" w:hAnsi="Arial"/>
          <w:sz w:val="16"/>
          <w:szCs w:val="16"/>
          <w:color w:val="auto"/>
        </w:rPr>
      </w:pPr>
    </w:p>
    <w:p>
      <w:pPr>
        <w:jc w:val="both"/>
        <w:ind w:left="1540" w:right="280" w:hanging="297"/>
        <w:spacing w:after="0" w:line="311"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Predictive Analytics. </w:t>
      </w:r>
      <w:r>
        <w:rPr>
          <w:rFonts w:ascii="Arial" w:cs="Arial" w:eastAsia="Arial" w:hAnsi="Arial"/>
          <w:sz w:val="16"/>
          <w:szCs w:val="16"/>
          <w:color w:val="auto"/>
        </w:rPr>
        <w:t>Predictive analytics use cases in financial services include predicting fraud, modeling risk, personalizing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predicting client lifetime value, segmenting clients, enabling recommendation engines, predicting loan defaults and improving client support. The financial and operational benefits of these use cases can be substantial.</w:t>
      </w:r>
    </w:p>
    <w:p>
      <w:pPr>
        <w:spacing w:after="0" w:line="175" w:lineRule="exact"/>
        <w:rPr>
          <w:rFonts w:ascii="Arial" w:cs="Arial" w:eastAsia="Arial" w:hAnsi="Arial"/>
          <w:sz w:val="16"/>
          <w:szCs w:val="16"/>
          <w:color w:val="auto"/>
        </w:rPr>
      </w:pPr>
    </w:p>
    <w:p>
      <w:pPr>
        <w:ind w:left="1540" w:right="40" w:hanging="297"/>
        <w:spacing w:after="0" w:line="279"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AI/ML can be used to continually improve operating results by, for example, modeling credit exposure and estimating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9" w:lineRule="exact"/>
        <w:rPr>
          <w:sz w:val="20"/>
          <w:szCs w:val="20"/>
          <w:color w:val="auto"/>
        </w:rPr>
      </w:pPr>
    </w:p>
    <w:p>
      <w:pPr>
        <w:ind w:left="300" w:right="40" w:firstLine="852"/>
        <w:spacing w:after="0" w:line="277"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86" w:lineRule="auto"/>
        <w:rPr>
          <w:sz w:val="20"/>
          <w:szCs w:val="20"/>
          <w:color w:val="auto"/>
        </w:rPr>
      </w:pPr>
      <w:r>
        <w:rPr>
          <w:rFonts w:ascii="Arial" w:cs="Arial" w:eastAsia="Arial" w:hAnsi="Arial"/>
          <w:sz w:val="17"/>
          <w:szCs w:val="17"/>
          <w:color w:val="auto"/>
        </w:rPr>
        <w:t>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192" w:lineRule="exact"/>
        <w:rPr>
          <w:sz w:val="20"/>
          <w:szCs w:val="20"/>
          <w:color w:val="auto"/>
        </w:rPr>
      </w:pPr>
    </w:p>
    <w:p>
      <w:pPr>
        <w:ind w:left="1540" w:right="60" w:hanging="297"/>
        <w:spacing w:after="0" w:line="296" w:lineRule="auto"/>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Digitally Serve Their Clients Across Commercial, Small Business and Retail Lines of Business. </w:t>
      </w:r>
      <w:r>
        <w:rPr>
          <w:rFonts w:ascii="Arial" w:cs="Arial" w:eastAsia="Arial" w:hAnsi="Arial"/>
          <w:sz w:val="16"/>
          <w:szCs w:val="16"/>
          <w:color w:val="auto"/>
        </w:rPr>
        <w:t>The nCino Bank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88" w:lineRule="exact"/>
        <w:rPr>
          <w:rFonts w:ascii="Arial" w:cs="Arial" w:eastAsia="Arial" w:hAnsi="Arial"/>
          <w:sz w:val="16"/>
          <w:szCs w:val="16"/>
          <w:color w:val="auto"/>
        </w:rPr>
      </w:pPr>
    </w:p>
    <w:p>
      <w:pPr>
        <w:ind w:left="1540" w:hanging="297"/>
        <w:spacing w:after="0" w:line="273" w:lineRule="auto"/>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 Financial Results. </w:t>
      </w:r>
      <w:r>
        <w:rPr>
          <w:rFonts w:ascii="Arial" w:cs="Arial" w:eastAsia="Arial" w:hAnsi="Arial"/>
          <w:sz w:val="17"/>
          <w:szCs w:val="17"/>
          <w:color w:val="auto"/>
        </w:rPr>
        <w:t>Our customers leverage nCino’s capabilities to drive revenue growth by digitally expanding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04" w:lineRule="exact"/>
        <w:rPr>
          <w:rFonts w:ascii="Arial" w:cs="Arial" w:eastAsia="Arial" w:hAnsi="Arial"/>
          <w:sz w:val="17"/>
          <w:szCs w:val="17"/>
          <w:color w:val="auto"/>
        </w:rPr>
      </w:pPr>
    </w:p>
    <w:p>
      <w:pPr>
        <w:ind w:left="1540" w:hanging="297"/>
        <w:spacing w:after="0" w:line="259"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Operate More Efficiently. </w:t>
      </w:r>
      <w:r>
        <w:rPr>
          <w:rFonts w:ascii="Arial" w:cs="Arial" w:eastAsia="Arial" w:hAnsi="Arial"/>
          <w:sz w:val="18"/>
          <w:szCs w:val="18"/>
          <w:color w:val="auto"/>
        </w:rPr>
        <w:t>Utilizing the nCino Bank Operating System’s automation, workflow and digitization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213" w:lineRule="exact"/>
        <w:rPr>
          <w:rFonts w:ascii="Arial" w:cs="Arial" w:eastAsia="Arial" w:hAnsi="Arial"/>
          <w:sz w:val="18"/>
          <w:szCs w:val="18"/>
          <w:color w:val="auto"/>
        </w:rPr>
      </w:pPr>
    </w:p>
    <w:p>
      <w:pPr>
        <w:ind w:left="1540" w:right="80" w:hanging="297"/>
        <w:spacing w:after="0" w:line="25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 Risk and Compliance More Effectively. </w:t>
      </w:r>
      <w:r>
        <w:rPr>
          <w:rFonts w:ascii="Arial" w:cs="Arial" w:eastAsia="Arial" w:hAnsi="Arial"/>
          <w:sz w:val="18"/>
          <w:szCs w:val="18"/>
          <w:color w:val="auto"/>
        </w:rPr>
        <w:t>The nCino Bank Operating System helps financial institutions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214" w:lineRule="exact"/>
        <w:rPr>
          <w:rFonts w:ascii="Arial" w:cs="Arial" w:eastAsia="Arial" w:hAnsi="Arial"/>
          <w:sz w:val="18"/>
          <w:szCs w:val="18"/>
          <w:color w:val="auto"/>
        </w:rPr>
      </w:pPr>
    </w:p>
    <w:p>
      <w:pPr>
        <w:ind w:left="1540" w:right="120" w:hanging="297"/>
        <w:spacing w:after="0" w:line="255"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a Data, Audit and Business Intelligence Hub</w:t>
      </w:r>
      <w:r>
        <w:rPr>
          <w:rFonts w:ascii="Arial" w:cs="Arial" w:eastAsia="Arial" w:hAnsi="Arial"/>
          <w:sz w:val="18"/>
          <w:szCs w:val="18"/>
          <w:color w:val="auto"/>
        </w:rPr>
        <w:t>. With an open application program interface (“API”)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framework and integrations with third-party 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300" w:right="140" w:firstLine="852"/>
        <w:spacing w:after="0" w:line="277"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197" w:lineRule="exact"/>
        <w:rPr>
          <w:sz w:val="20"/>
          <w:szCs w:val="20"/>
          <w:color w:val="auto"/>
        </w:rPr>
      </w:pPr>
    </w:p>
    <w:p>
      <w:pPr>
        <w:ind w:left="1540" w:right="300" w:hanging="297"/>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140"/>
        <w:spacing w:after="0" w:line="308" w:lineRule="auto"/>
        <w:rPr>
          <w:sz w:val="20"/>
          <w:szCs w:val="20"/>
          <w:color w:val="auto"/>
        </w:rPr>
      </w:pPr>
      <w:r>
        <w:rPr>
          <w:rFonts w:ascii="Arial" w:cs="Arial" w:eastAsia="Arial" w:hAnsi="Arial"/>
          <w:sz w:val="17"/>
          <w:szCs w:val="17"/>
          <w:color w:val="auto"/>
        </w:rPr>
        <w:t>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73" w:lineRule="exact"/>
        <w:rPr>
          <w:sz w:val="20"/>
          <w:szCs w:val="20"/>
          <w:color w:val="auto"/>
        </w:rPr>
      </w:pPr>
    </w:p>
    <w:p>
      <w:pPr>
        <w:ind w:left="1540" w:right="100" w:hanging="297"/>
        <w:spacing w:after="0" w:line="301"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Cloud Banking Technology Pioneer and Market Leader. </w:t>
      </w:r>
      <w:r>
        <w:rPr>
          <w:rFonts w:ascii="Arial" w:cs="Arial" w:eastAsia="Arial" w:hAnsi="Arial"/>
          <w:sz w:val="16"/>
          <w:szCs w:val="16"/>
          <w:color w:val="auto"/>
        </w:rPr>
        <w:t>The nCino Bank Operating System was developed from inception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84" w:lineRule="exact"/>
        <w:rPr>
          <w:rFonts w:ascii="Arial" w:cs="Arial" w:eastAsia="Arial" w:hAnsi="Arial"/>
          <w:sz w:val="16"/>
          <w:szCs w:val="16"/>
          <w:color w:val="auto"/>
        </w:rPr>
      </w:pPr>
    </w:p>
    <w:p>
      <w:pPr>
        <w:ind w:left="1540" w:hanging="297"/>
        <w:spacing w:after="0" w:line="259"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employees and clients and a more comprehensive view of client relationships.</w:t>
      </w:r>
    </w:p>
    <w:p>
      <w:pPr>
        <w:spacing w:after="0" w:line="213" w:lineRule="exact"/>
        <w:rPr>
          <w:rFonts w:ascii="Arial" w:cs="Arial" w:eastAsia="Arial" w:hAnsi="Arial"/>
          <w:sz w:val="18"/>
          <w:szCs w:val="18"/>
          <w:color w:val="auto"/>
        </w:rPr>
      </w:pPr>
    </w:p>
    <w:p>
      <w:pPr>
        <w:jc w:val="both"/>
        <w:ind w:left="1540" w:hanging="297"/>
        <w:spacing w:after="0" w:line="259"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Measurable Return on Investment. </w:t>
      </w:r>
      <w:r>
        <w:rPr>
          <w:rFonts w:ascii="Arial" w:cs="Arial" w:eastAsia="Arial" w:hAnsi="Arial"/>
          <w:sz w:val="18"/>
          <w:szCs w:val="18"/>
          <w:color w:val="auto"/>
        </w:rPr>
        <w:t>The nCino Bank Operating System provides quantifiable results for our customers,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client growth and retention, loan volume and efficiency and reduced loan closing times, policy exceptions and operating costs. Our solution empowers our customers with data driven, real-time insights into their business performance, enabling them to better measure and manage their operations.</w:t>
      </w:r>
    </w:p>
    <w:p>
      <w:pPr>
        <w:spacing w:after="0" w:line="213" w:lineRule="exact"/>
        <w:rPr>
          <w:rFonts w:ascii="Arial" w:cs="Arial" w:eastAsia="Arial" w:hAnsi="Arial"/>
          <w:sz w:val="18"/>
          <w:szCs w:val="18"/>
          <w:color w:val="auto"/>
        </w:rPr>
      </w:pPr>
    </w:p>
    <w:p>
      <w:pPr>
        <w:ind w:left="1540" w:hanging="297"/>
        <w:spacing w:after="0" w:line="296"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Empowering the Intelligent Enterprise. </w:t>
      </w:r>
      <w:r>
        <w:rPr>
          <w:rFonts w:ascii="Arial" w:cs="Arial" w:eastAsia="Arial" w:hAnsi="Arial"/>
          <w:sz w:val="16"/>
          <w:szCs w:val="16"/>
          <w:color w:val="auto"/>
        </w:rPr>
        <w:t>Through our nIQ applications, we leverage analytics and AI/ML to help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institutions 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188" w:lineRule="exact"/>
        <w:rPr>
          <w:rFonts w:ascii="Arial" w:cs="Arial" w:eastAsia="Arial" w:hAnsi="Arial"/>
          <w:sz w:val="16"/>
          <w:szCs w:val="16"/>
          <w:color w:val="auto"/>
        </w:rPr>
      </w:pPr>
    </w:p>
    <w:p>
      <w:pPr>
        <w:ind w:left="1540" w:right="20" w:hanging="297"/>
        <w:spacing w:after="0" w:line="254"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Award-Winning Culture. </w:t>
      </w:r>
      <w:r>
        <w:rPr>
          <w:rFonts w:ascii="Arial" w:cs="Arial" w:eastAsia="Arial" w:hAnsi="Arial"/>
          <w:sz w:val="18"/>
          <w:szCs w:val="18"/>
          <w:color w:val="auto"/>
        </w:rPr>
        <w:t>We are in the business of fundamentally changing the way financial institutions operate. To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nCino Will Grow</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52" w:lineRule="exact"/>
        <w:rPr>
          <w:sz w:val="20"/>
          <w:szCs w:val="20"/>
          <w:color w:val="auto"/>
        </w:rPr>
      </w:pPr>
    </w:p>
    <w:p>
      <w:pPr>
        <w:jc w:val="both"/>
        <w:ind w:left="1540" w:right="220" w:hanging="297"/>
        <w:spacing w:after="0" w:line="311"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Within and Across our Existing Customers. </w:t>
      </w:r>
      <w:r>
        <w:rPr>
          <w:rFonts w:ascii="Arial" w:cs="Arial" w:eastAsia="Arial" w:hAnsi="Arial"/>
          <w:sz w:val="16"/>
          <w:szCs w:val="16"/>
          <w:color w:val="auto"/>
        </w:rPr>
        <w:t>We believe there is a significant opportunity to further expand within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customer base both vertically within business lines and horizontally across business lines. As an example, we formally launched our solution in retail lending in May 2018 and we now have 33 customers contracted to use both our commercial and</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20"/>
        <w:spacing w:after="0" w:line="277" w:lineRule="auto"/>
        <w:rPr>
          <w:sz w:val="20"/>
          <w:szCs w:val="20"/>
          <w:color w:val="auto"/>
        </w:rPr>
      </w:pPr>
      <w:r>
        <w:rPr>
          <w:rFonts w:ascii="Arial" w:cs="Arial" w:eastAsia="Arial" w:hAnsi="Arial"/>
          <w:sz w:val="18"/>
          <w:szCs w:val="18"/>
          <w:color w:val="auto"/>
        </w:rPr>
        <w:t>retail loan origination applications. Our revenues from existing customers continue to grow as additional users are added, creating strong customer cohort dynamics.</w:t>
      </w:r>
    </w:p>
    <w:p>
      <w:pPr>
        <w:spacing w:after="0" w:line="197" w:lineRule="exact"/>
        <w:rPr>
          <w:sz w:val="20"/>
          <w:szCs w:val="20"/>
          <w:color w:val="auto"/>
        </w:rPr>
      </w:pPr>
    </w:p>
    <w:p>
      <w:pPr>
        <w:ind w:left="1540" w:right="40" w:hanging="297"/>
        <w:spacing w:after="0" w:line="271"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Customer Base. </w:t>
      </w:r>
      <w:r>
        <w:rPr>
          <w:rFonts w:ascii="Arial" w:cs="Arial" w:eastAsia="Arial" w:hAnsi="Arial"/>
          <w:sz w:val="17"/>
          <w:szCs w:val="17"/>
          <w:color w:val="auto"/>
        </w:rPr>
        <w:t>We believe the global market for cloud banking is large and underserved. With banks and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unions needing to replace legacy point products with more efficient technology and banking services continuing to shift to digital, we believe there is a significant opportunity to deliver our solution and expand our customer base to financial institutions of all sizes and complexities around the world. Currently deployed in 10 countries, we have made significant investments to expand our presence in Europe, the Middle East and Africa (“EMEA”) and APAC, and our solution can currently support over 120 languages and over 140 currencies. We promote sales in North America out of our offices in the United States and Canada, in APAC out of our offices in Australia and Japan, and in EMEA out of our office in the United Kingdom (“UK”). For fiscal 2020, revenues generated in countries outside the United States were 8.0% of our total revenues.</w:t>
      </w:r>
    </w:p>
    <w:p>
      <w:pPr>
        <w:spacing w:after="0" w:line="205" w:lineRule="exact"/>
        <w:rPr>
          <w:rFonts w:ascii="Arial" w:cs="Arial" w:eastAsia="Arial" w:hAnsi="Arial"/>
          <w:sz w:val="17"/>
          <w:szCs w:val="17"/>
          <w:color w:val="auto"/>
        </w:rPr>
      </w:pPr>
    </w:p>
    <w:p>
      <w:pPr>
        <w:ind w:left="1540" w:right="60" w:hanging="297"/>
        <w:spacing w:after="0" w:line="290"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Strengthening and Extending our Product Functionality. </w:t>
      </w:r>
      <w:r>
        <w:rPr>
          <w:rFonts w:ascii="Arial" w:cs="Arial" w:eastAsia="Arial" w:hAnsi="Arial"/>
          <w:sz w:val="16"/>
          <w:szCs w:val="16"/>
          <w:color w:val="auto"/>
        </w:rPr>
        <w:t>We plan to extend the depth and breadth of the nCino 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employees the ability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192" w:lineRule="exact"/>
        <w:rPr>
          <w:rFonts w:ascii="Arial" w:cs="Arial" w:eastAsia="Arial" w:hAnsi="Arial"/>
          <w:sz w:val="16"/>
          <w:szCs w:val="16"/>
          <w:color w:val="auto"/>
        </w:rPr>
      </w:pPr>
    </w:p>
    <w:p>
      <w:pPr>
        <w:ind w:left="1540" w:right="80" w:hanging="297"/>
        <w:spacing w:after="0" w:line="254"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Foster and Grow our SI and Technology Ecosystem. </w:t>
      </w:r>
      <w:r>
        <w:rPr>
          <w:rFonts w:ascii="Arial" w:cs="Arial" w:eastAsia="Arial" w:hAnsi="Arial"/>
          <w:sz w:val="18"/>
          <w:szCs w:val="18"/>
          <w:color w:val="auto"/>
        </w:rPr>
        <w:t>We have developed strong relationships with a number of leading 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21" w:lineRule="exact"/>
        <w:rPr>
          <w:rFonts w:ascii="Arial" w:cs="Arial" w:eastAsia="Arial" w:hAnsi="Arial"/>
          <w:sz w:val="18"/>
          <w:szCs w:val="18"/>
          <w:color w:val="auto"/>
        </w:rPr>
      </w:pPr>
    </w:p>
    <w:p>
      <w:pPr>
        <w:ind w:left="1540" w:right="100" w:hanging="297"/>
        <w:spacing w:after="0" w:line="275"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Transactions. </w:t>
      </w:r>
      <w:r>
        <w:rPr>
          <w:rFonts w:ascii="Arial" w:cs="Arial" w:eastAsia="Arial" w:hAnsi="Arial"/>
          <w:sz w:val="17"/>
          <w:szCs w:val="17"/>
          <w:color w:val="auto"/>
        </w:rPr>
        <w:t>In addition to developing our solution organically, we may selectively pursue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Factors Summary</w:t>
      </w:r>
    </w:p>
    <w:p>
      <w:pPr>
        <w:spacing w:after="0" w:line="229" w:lineRule="exact"/>
        <w:rPr>
          <w:sz w:val="20"/>
          <w:szCs w:val="20"/>
          <w:color w:val="auto"/>
        </w:rPr>
      </w:pPr>
    </w:p>
    <w:p>
      <w:pPr>
        <w:ind w:left="300" w:firstLine="852"/>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the following:</w:t>
      </w:r>
    </w:p>
    <w:p>
      <w:pPr>
        <w:spacing w:after="0" w:line="197" w:lineRule="exact"/>
        <w:rPr>
          <w:sz w:val="20"/>
          <w:szCs w:val="20"/>
          <w:color w:val="auto"/>
        </w:rPr>
      </w:pPr>
    </w:p>
    <w:p>
      <w:pPr>
        <w:ind w:left="1540" w:right="20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operating results, and we may not achieve our expected operating results in the future;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62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52" w:lineRule="exact"/>
        <w:rPr>
          <w:rFonts w:ascii="Arial" w:cs="Arial" w:eastAsia="Arial" w:hAnsi="Arial"/>
          <w:sz w:val="18"/>
          <w:szCs w:val="18"/>
          <w:color w:val="auto"/>
        </w:rPr>
      </w:pPr>
    </w:p>
    <w:p>
      <w:pPr>
        <w:ind w:left="1540" w:right="10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attract new customers or continue to broaden our existing customers’ use of our solution, our revenue growth will be adversely affected;</w:t>
      </w:r>
    </w:p>
    <w:p>
      <w:pPr>
        <w:spacing w:after="0" w:line="197" w:lineRule="exact"/>
        <w:rPr>
          <w:rFonts w:ascii="Arial" w:cs="Arial" w:eastAsia="Arial" w:hAnsi="Arial"/>
          <w:sz w:val="18"/>
          <w:szCs w:val="18"/>
          <w:color w:val="auto"/>
        </w:rPr>
      </w:pPr>
    </w:p>
    <w:p>
      <w:pPr>
        <w:ind w:left="1540" w:right="54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market for cloud-based banking technology develops more slowly than we expect or changes in a way that we fail to anticipate, our sales would suffer and our results of operations would be adversely affected;</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252" w:lineRule="exact"/>
        <w:rPr>
          <w:rFonts w:ascii="Arial" w:cs="Arial" w:eastAsia="Arial" w:hAnsi="Arial"/>
          <w:sz w:val="18"/>
          <w:szCs w:val="18"/>
          <w:color w:val="auto"/>
        </w:rPr>
      </w:pPr>
    </w:p>
    <w:p>
      <w:pPr>
        <w:ind w:left="1540" w:right="14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accurately predict the long-term rate of customer subscription renewals or adoption of our solution, or any resulting impact on our revenues or operating results;</w:t>
      </w:r>
    </w:p>
    <w:p>
      <w:pPr>
        <w:spacing w:after="0" w:line="197" w:lineRule="exact"/>
        <w:rPr>
          <w:rFonts w:ascii="Arial" w:cs="Arial" w:eastAsia="Arial" w:hAnsi="Arial"/>
          <w:sz w:val="18"/>
          <w:szCs w:val="18"/>
          <w:color w:val="auto"/>
        </w:rPr>
      </w:pPr>
    </w:p>
    <w:p>
      <w:pPr>
        <w:ind w:left="1540" w:hanging="297"/>
        <w:spacing w:after="0" w:line="308"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breach of our security measures or those we rely on could result in unauthorized access to customer or their clients’ data, which may materially and adversely impact our reputation, business, financial condition and results of operations;</w:t>
      </w:r>
    </w:p>
    <w:p>
      <w:pPr>
        <w:spacing w:after="0" w:line="173" w:lineRule="exact"/>
        <w:rPr>
          <w:rFonts w:ascii="Arial" w:cs="Arial" w:eastAsia="Arial" w:hAnsi="Arial"/>
          <w:sz w:val="17"/>
          <w:szCs w:val="17"/>
          <w:color w:val="auto"/>
        </w:rPr>
      </w:pPr>
    </w:p>
    <w:p>
      <w:pPr>
        <w:ind w:left="1540" w:right="24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Fundamental elements of the nCino Bank Operating System are built on the Salesforce Platform and we rely on our agreement with salesforce.com (“Salesforce”) to provide our solution to our customers;</w:t>
      </w:r>
    </w:p>
    <w:p>
      <w:pPr>
        <w:spacing w:after="0" w:line="197" w:lineRule="exact"/>
        <w:rPr>
          <w:rFonts w:ascii="Arial" w:cs="Arial" w:eastAsia="Arial" w:hAnsi="Arial"/>
          <w:sz w:val="18"/>
          <w:szCs w:val="18"/>
          <w:color w:val="auto"/>
        </w:rPr>
      </w:pPr>
    </w:p>
    <w:p>
      <w:pPr>
        <w:ind w:left="1540" w:right="100" w:hanging="297"/>
        <w:spacing w:after="0" w:line="342"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50" w:lineRule="exact"/>
        <w:rPr>
          <w:rFonts w:ascii="Arial" w:cs="Arial" w:eastAsia="Arial" w:hAnsi="Arial"/>
          <w:sz w:val="16"/>
          <w:szCs w:val="16"/>
          <w:color w:val="auto"/>
        </w:rPr>
      </w:pPr>
    </w:p>
    <w:p>
      <w:pPr>
        <w:ind w:left="1540" w:right="12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 or weakened economic conditions, including as a result of the recent novel coronavirus (“COVID-19”) outbreak, may adversely affect our industry, business and results of operations;</w:t>
      </w:r>
    </w:p>
    <w:p>
      <w:pPr>
        <w:spacing w:after="0" w:line="197" w:lineRule="exact"/>
        <w:rPr>
          <w:rFonts w:ascii="Arial" w:cs="Arial" w:eastAsia="Arial" w:hAnsi="Arial"/>
          <w:sz w:val="18"/>
          <w:szCs w:val="18"/>
          <w:color w:val="auto"/>
        </w:rPr>
      </w:pPr>
    </w:p>
    <w:p>
      <w:pPr>
        <w:ind w:left="1540" w:right="46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we recognize subscription revenues over the term of the contract, downturns or upturns in our business may not be reflected in our results of operations until future periods;</w:t>
      </w:r>
    </w:p>
    <w:p>
      <w:pPr>
        <w:spacing w:after="0" w:line="197" w:lineRule="exact"/>
        <w:rPr>
          <w:rFonts w:ascii="Arial" w:cs="Arial" w:eastAsia="Arial" w:hAnsi="Arial"/>
          <w:sz w:val="18"/>
          <w:szCs w:val="18"/>
          <w:color w:val="auto"/>
        </w:rPr>
      </w:pPr>
    </w:p>
    <w:p>
      <w:pPr>
        <w:ind w:left="1540" w:right="44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corporate culture has contributed to our success, and if we cannot maintain it as we grow, we could lose the innovation, creativity and teamwork fostered by our culture, and our business may be adversely affected;</w:t>
      </w:r>
    </w:p>
    <w:p>
      <w:pPr>
        <w:spacing w:after="0" w:line="197" w:lineRule="exact"/>
        <w:rPr>
          <w:rFonts w:ascii="Arial" w:cs="Arial" w:eastAsia="Arial" w:hAnsi="Arial"/>
          <w:sz w:val="18"/>
          <w:szCs w:val="18"/>
          <w:color w:val="auto"/>
        </w:rPr>
      </w:pPr>
    </w:p>
    <w:p>
      <w:pPr>
        <w:ind w:left="1540" w:right="42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derive all of our revenues from customers in the financial services industry, and any downturn or decrease in technology spend in the financial services industry could adversely affect our business;</w:t>
      </w:r>
    </w:p>
    <w:p>
      <w:pPr>
        <w:spacing w:after="0" w:line="197" w:lineRule="exact"/>
        <w:rPr>
          <w:rFonts w:ascii="Arial" w:cs="Arial" w:eastAsia="Arial" w:hAnsi="Arial"/>
          <w:sz w:val="18"/>
          <w:szCs w:val="18"/>
          <w:color w:val="auto"/>
        </w:rPr>
      </w:pPr>
    </w:p>
    <w:p>
      <w:pPr>
        <w:ind w:left="1540" w:right="12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markets in which we participate are intensely competitive and highly fragmented, and pricing pressure, new technologies or other competitive dynamics could adversely affect our business and results of operations; and</w:t>
      </w:r>
    </w:p>
    <w:p>
      <w:pPr>
        <w:sectPr>
          <w:pgSz w:w="11900" w:h="16838" w:orient="portrait"/>
          <w:cols w:equalWidth="0" w:num="1">
            <w:col w:w="10900"/>
          </w:cols>
          <w:pgMar w:left="320" w:top="459" w:right="679" w:bottom="1440" w:gutter="0" w:footer="0" w:header="0"/>
        </w:sectPr>
      </w:pPr>
    </w:p>
    <w:p>
      <w:pPr>
        <w:spacing w:after="0" w:line="19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Our three largest stockholders, collectively, will hold % of our total outstanding common stock in the aggregate or an aggregate of % if the underwriters exercise their option to purchase additional shares in full and as such, the influence of</w:t>
      </w:r>
    </w:p>
    <w:p>
      <w:pPr>
        <w:spacing w:after="0" w:line="1" w:lineRule="exact"/>
        <w:rPr>
          <w:sz w:val="20"/>
          <w:szCs w:val="20"/>
          <w:color w:val="auto"/>
        </w:rPr>
      </w:pPr>
    </w:p>
    <w:p>
      <w:pPr>
        <w:sectPr>
          <w:pgSz w:w="11900" w:h="16838" w:orient="portrait"/>
          <w:cols w:equalWidth="0" w:num="2">
            <w:col w:w="1300" w:space="240"/>
            <w:col w:w="9360"/>
          </w:cols>
          <w:pgMar w:left="320" w:top="459" w:right="679" w:bottom="1440" w:gutter="0" w:footer="0" w:header="0"/>
          <w:type w:val="continuous"/>
        </w:sectPr>
      </w:pPr>
    </w:p>
    <w:p>
      <w:pPr>
        <w:ind w:left="1540" w:right="500"/>
        <w:spacing w:after="0" w:line="255" w:lineRule="auto"/>
        <w:rPr>
          <w:sz w:val="20"/>
          <w:szCs w:val="20"/>
          <w:color w:val="auto"/>
        </w:rPr>
      </w:pPr>
      <w:r>
        <w:rPr>
          <w:rFonts w:ascii="Arial" w:cs="Arial" w:eastAsia="Arial" w:hAnsi="Arial"/>
          <w:sz w:val="18"/>
          <w:szCs w:val="18"/>
          <w:color w:val="auto"/>
        </w:rPr>
        <w:t>public stockholders over significant corporate actions will be limited. In addition, we rely on Salesforce, our second largest stockholder, for the Salesforce Platform upon which the nCino Bank Operating System is built and for the operation of datacenters we use.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38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4538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300" w:right="160" w:firstLine="852"/>
        <w:spacing w:after="0" w:line="279" w:lineRule="auto"/>
        <w:rPr>
          <w:sz w:val="20"/>
          <w:szCs w:val="20"/>
          <w:color w:val="auto"/>
        </w:rPr>
      </w:pPr>
      <w:r>
        <w:rPr>
          <w:rFonts w:ascii="Arial" w:cs="Arial" w:eastAsia="Arial" w:hAnsi="Arial"/>
          <w:sz w:val="17"/>
          <w:szCs w:val="17"/>
          <w:color w:val="auto"/>
        </w:rPr>
        <w:t>We were organized in the state of North Carolina in late 2011, and incorporated in Delaware in 2013. Our principal executive offices are located at 6770 Parker Farm Drive, Wilmington, North Carolina 28405, and our telephone number is (888) 676-2466. Our website address is www.ncino.com. Information contained on, or that can be accessed through, our website is not incorporated by reference into this prospectus, and you should not consider information on our website to be part of this prospectus.</w:t>
      </w:r>
    </w:p>
    <w:p>
      <w:pPr>
        <w:spacing w:after="0" w:line="171" w:lineRule="exact"/>
        <w:rPr>
          <w:sz w:val="20"/>
          <w:szCs w:val="20"/>
          <w:color w:val="auto"/>
        </w:rPr>
      </w:pPr>
    </w:p>
    <w:p>
      <w:pPr>
        <w:ind w:left="300" w:right="40" w:firstLine="852"/>
        <w:spacing w:after="0" w:line="301" w:lineRule="auto"/>
        <w:rPr>
          <w:sz w:val="20"/>
          <w:szCs w:val="20"/>
          <w:color w:val="auto"/>
        </w:rPr>
      </w:pPr>
      <w:r>
        <w:rPr>
          <w:rFonts w:ascii="Arial" w:cs="Arial" w:eastAsia="Arial" w:hAnsi="Arial"/>
          <w:sz w:val="16"/>
          <w:szCs w:val="16"/>
          <w:color w:val="auto"/>
        </w:rPr>
        <w:t xml:space="preserve">nCino and other trademarks or service marks of nCino, Inc. appearing in this prospectus are the property of nCino, Inc. This prospectus contains additional trade names, trademarks and service marks of others, which are the property of their respective owners. Solely for convenience, the trademarks, service marks, logos and trade names referred to in this prospectus are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are not intended to indicate that we will not assert our rights in these trademarks, service marks and trade names.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left="300" w:firstLine="852"/>
        <w:spacing w:after="0" w:line="291" w:lineRule="auto"/>
        <w:rPr>
          <w:sz w:val="20"/>
          <w:szCs w:val="20"/>
          <w:color w:val="auto"/>
        </w:rPr>
      </w:pPr>
      <w:r>
        <w:rPr>
          <w:rFonts w:ascii="Arial" w:cs="Arial" w:eastAsia="Arial" w:hAnsi="Arial"/>
          <w:sz w:val="16"/>
          <w:szCs w:val="16"/>
          <w:color w:val="auto"/>
        </w:rPr>
        <w:t>We are an “emerging growth company” within the meaning of the Jumpstart Our Business Startups Act of 2012 (“JOBS Act”). We may take advantage of certain exemptions from various public reporting requirements, including that our internal control over financial reporting be audited by our independent registered public accounting firm pursuant to Section 404 of the Sarbanes-Oxley Act of 2002 (the “Sarbanes-Oxley Act”).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6" w:lineRule="exact"/>
        <w:rPr>
          <w:sz w:val="20"/>
          <w:szCs w:val="20"/>
          <w:color w:val="auto"/>
        </w:rPr>
      </w:pPr>
    </w:p>
    <w:p>
      <w:pPr>
        <w:ind w:left="300" w:right="60" w:firstLine="852"/>
        <w:spacing w:after="0" w:line="275" w:lineRule="auto"/>
        <w:rPr>
          <w:sz w:val="20"/>
          <w:szCs w:val="20"/>
          <w:color w:val="auto"/>
        </w:rPr>
      </w:pPr>
      <w:r>
        <w:rPr>
          <w:rFonts w:ascii="Arial" w:cs="Arial" w:eastAsia="Arial" w:hAnsi="Arial"/>
          <w:sz w:val="17"/>
          <w:szCs w:val="17"/>
          <w:color w:val="auto"/>
        </w:rPr>
        <w:t>We intend to take advantage of the foregoing exemptions until we are no longer an emerging growth company. We will cease to be an emerging growth company upon the earliest of (1) the end of the fiscal year following the fifth anniversary of this offering; (2) the last day of the fiscal year during which our annual gross revenues are $1.07 billion or more; (3) the date on which we have, during the previous three-year period, issued more than $1.0 billion in non-convertible debt securities or (4) the end of any fiscal year in which the market value of our common stock held by non-affiliates exceeded $700.0 million as of the end of the second quarter of that fiscal year.</w:t>
      </w:r>
    </w:p>
    <w:p>
      <w:pPr>
        <w:spacing w:after="0" w:line="176" w:lineRule="exact"/>
        <w:rPr>
          <w:sz w:val="20"/>
          <w:szCs w:val="20"/>
          <w:color w:val="auto"/>
        </w:rPr>
      </w:pPr>
    </w:p>
    <w:p>
      <w:pPr>
        <w:jc w:val="both"/>
        <w:ind w:left="300" w:right="160" w:firstLine="852"/>
        <w:spacing w:after="0" w:line="286" w:lineRule="auto"/>
        <w:rPr>
          <w:sz w:val="20"/>
          <w:szCs w:val="20"/>
          <w:color w:val="auto"/>
        </w:rPr>
      </w:pPr>
      <w:r>
        <w:rPr>
          <w:rFonts w:ascii="Arial" w:cs="Arial" w:eastAsia="Arial" w:hAnsi="Arial"/>
          <w:sz w:val="17"/>
          <w:szCs w:val="17"/>
          <w:color w:val="auto"/>
        </w:rPr>
        <w:t>See the section titled “Risk Factors—Risks Relating to Our Initial Public Offering and Ownership of Our Common Stock—We are an emerging growth company, and any decision on our part to comply only with certain reduced reporting and disclosure requirements applicable to emerging growth companies could make our common stock less attractive to investors” for additional information.</w:t>
      </w: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234" w:lineRule="exact"/>
        <w:rPr>
          <w:sz w:val="20"/>
          <w:szCs w:val="20"/>
          <w:color w:val="auto"/>
        </w:rPr>
      </w:pPr>
    </w:p>
    <w:p>
      <w:pPr>
        <w:sectPr>
          <w:pgSz w:w="11900" w:h="16838" w:orient="portrait"/>
          <w:cols w:equalWidth="0" w:num="2">
            <w:col w:w="4200" w:space="720"/>
            <w:col w:w="6000"/>
          </w:cols>
          <w:pgMar w:left="320" w:top="459" w:right="65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234" w:lineRule="exact"/>
        <w:rPr>
          <w:sz w:val="20"/>
          <w:szCs w:val="20"/>
          <w:color w:val="auto"/>
        </w:rPr>
      </w:pPr>
    </w:p>
    <w:p>
      <w:pPr>
        <w:sectPr>
          <w:pgSz w:w="11900" w:h="16838" w:orient="portrait"/>
          <w:cols w:equalWidth="0" w:num="2">
            <w:col w:w="4200" w:space="720"/>
            <w:col w:w="6000"/>
          </w:cols>
          <w:pgMar w:left="320" w:top="459" w:right="65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234" w:lineRule="exact"/>
        <w:rPr>
          <w:sz w:val="20"/>
          <w:szCs w:val="20"/>
          <w:color w:val="auto"/>
        </w:rPr>
      </w:pPr>
    </w:p>
    <w:p>
      <w:pPr>
        <w:sectPr>
          <w:pgSz w:w="11900" w:h="16838" w:orient="portrait"/>
          <w:cols w:equalWidth="0" w:num="2">
            <w:col w:w="4200" w:space="720"/>
            <w:col w:w="6000"/>
          </w:cols>
          <w:pgMar w:left="320" w:top="459" w:right="659" w:bottom="1440" w:gutter="0" w:footer="0" w:header="0"/>
          <w:type w:val="continuous"/>
        </w:sectPr>
      </w:pPr>
    </w:p>
    <w:p>
      <w:pPr>
        <w:spacing w:after="0" w:line="8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Use of proceeds</w:t>
            </w: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88"/>
              </w:rPr>
              <w:t>We estimate that the net proceeds to us from the sale of the shares of common stock offered</w:t>
            </w:r>
          </w:p>
        </w:tc>
      </w:tr>
      <w:tr>
        <w:trPr>
          <w:trHeight w:val="216"/>
        </w:trPr>
        <w:tc>
          <w:tcPr>
            <w:tcW w:w="3700" w:type="dxa"/>
            <w:vAlign w:val="bottom"/>
          </w:tcPr>
          <w:p>
            <w:pPr>
              <w:spacing w:after="0"/>
              <w:rPr>
                <w:sz w:val="18"/>
                <w:szCs w:val="18"/>
                <w:color w:val="auto"/>
              </w:rPr>
            </w:pPr>
          </w:p>
        </w:tc>
        <w:tc>
          <w:tcPr>
            <w:tcW w:w="2760" w:type="dxa"/>
            <w:vAlign w:val="bottom"/>
            <w:gridSpan w:val="2"/>
          </w:tcPr>
          <w:p>
            <w:pPr>
              <w:ind w:left="340"/>
              <w:spacing w:after="0"/>
              <w:rPr>
                <w:sz w:val="20"/>
                <w:szCs w:val="20"/>
                <w:color w:val="auto"/>
              </w:rPr>
            </w:pPr>
            <w:r>
              <w:rPr>
                <w:rFonts w:ascii="Arial" w:cs="Arial" w:eastAsia="Arial" w:hAnsi="Arial"/>
                <w:sz w:val="18"/>
                <w:szCs w:val="18"/>
                <w:color w:val="auto"/>
              </w:rPr>
              <w:t>by us will be approximately $</w:t>
            </w:r>
          </w:p>
        </w:tc>
        <w:tc>
          <w:tcPr>
            <w:tcW w:w="1660" w:type="dxa"/>
            <w:vAlign w:val="bottom"/>
          </w:tcPr>
          <w:p>
            <w:pPr>
              <w:ind w:left="80"/>
              <w:spacing w:after="0"/>
              <w:rPr>
                <w:sz w:val="20"/>
                <w:szCs w:val="20"/>
                <w:color w:val="auto"/>
              </w:rPr>
            </w:pPr>
            <w:r>
              <w:rPr>
                <w:rFonts w:ascii="Arial" w:cs="Arial" w:eastAsia="Arial" w:hAnsi="Arial"/>
                <w:sz w:val="18"/>
                <w:szCs w:val="18"/>
                <w:color w:val="auto"/>
                <w:w w:val="98"/>
              </w:rPr>
              <w:t>, or approximately $</w:t>
            </w:r>
          </w:p>
        </w:tc>
        <w:tc>
          <w:tcPr>
            <w:tcW w:w="2500" w:type="dxa"/>
            <w:vAlign w:val="bottom"/>
          </w:tcPr>
          <w:p>
            <w:pPr>
              <w:ind w:left="280"/>
              <w:spacing w:after="0"/>
              <w:rPr>
                <w:sz w:val="20"/>
                <w:szCs w:val="20"/>
                <w:color w:val="auto"/>
              </w:rPr>
            </w:pPr>
            <w:r>
              <w:rPr>
                <w:rFonts w:ascii="Arial" w:cs="Arial" w:eastAsia="Arial" w:hAnsi="Arial"/>
                <w:sz w:val="18"/>
                <w:szCs w:val="18"/>
                <w:color w:val="auto"/>
                <w:w w:val="99"/>
              </w:rPr>
              <w:t>if the underwriters’ option to</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2"/>
              </w:rPr>
              <w:t>purchase additional shares is exercised in full, based on an assumed initial public offering</w:t>
            </w:r>
          </w:p>
        </w:tc>
      </w:tr>
      <w:tr>
        <w:trPr>
          <w:trHeight w:val="216"/>
        </w:trPr>
        <w:tc>
          <w:tcPr>
            <w:tcW w:w="3700" w:type="dxa"/>
            <w:vAlign w:val="bottom"/>
          </w:tcPr>
          <w:p>
            <w:pPr>
              <w:spacing w:after="0"/>
              <w:rPr>
                <w:sz w:val="18"/>
                <w:szCs w:val="18"/>
                <w:color w:val="auto"/>
              </w:rPr>
            </w:pPr>
          </w:p>
        </w:tc>
        <w:tc>
          <w:tcPr>
            <w:tcW w:w="1220" w:type="dxa"/>
            <w:vAlign w:val="bottom"/>
          </w:tcPr>
          <w:p>
            <w:pPr>
              <w:ind w:left="340"/>
              <w:spacing w:after="0"/>
              <w:rPr>
                <w:sz w:val="20"/>
                <w:szCs w:val="20"/>
                <w:color w:val="auto"/>
              </w:rPr>
            </w:pPr>
            <w:r>
              <w:rPr>
                <w:rFonts w:ascii="Arial" w:cs="Arial" w:eastAsia="Arial" w:hAnsi="Arial"/>
                <w:sz w:val="18"/>
                <w:szCs w:val="18"/>
                <w:color w:val="auto"/>
              </w:rPr>
              <w:t>price of $</w:t>
            </w: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w w:val="95"/>
              </w:rPr>
              <w:t>per share, which is the midpoint of the price range set forth on the cover</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6"/>
              </w:rPr>
              <w:t>page of this prospectus, after deducting underwriting discounts and commissions and</w:t>
            </w:r>
          </w:p>
        </w:tc>
      </w:tr>
      <w:tr>
        <w:trPr>
          <w:trHeight w:val="230"/>
        </w:trPr>
        <w:tc>
          <w:tcPr>
            <w:tcW w:w="3700" w:type="dxa"/>
            <w:vAlign w:val="bottom"/>
          </w:tcPr>
          <w:p>
            <w:pPr>
              <w:spacing w:after="0"/>
              <w:rPr>
                <w:sz w:val="20"/>
                <w:szCs w:val="20"/>
                <w:color w:val="auto"/>
              </w:rPr>
            </w:pPr>
          </w:p>
        </w:tc>
        <w:tc>
          <w:tcPr>
            <w:tcW w:w="2760" w:type="dxa"/>
            <w:vAlign w:val="bottom"/>
            <w:gridSpan w:val="2"/>
          </w:tcPr>
          <w:p>
            <w:pPr>
              <w:ind w:left="340"/>
              <w:spacing w:after="0"/>
              <w:rPr>
                <w:sz w:val="20"/>
                <w:szCs w:val="20"/>
                <w:color w:val="auto"/>
              </w:rPr>
            </w:pPr>
            <w:r>
              <w:rPr>
                <w:rFonts w:ascii="Arial" w:cs="Arial" w:eastAsia="Arial" w:hAnsi="Arial"/>
                <w:sz w:val="18"/>
                <w:szCs w:val="18"/>
                <w:color w:val="auto"/>
                <w:w w:val="91"/>
              </w:rPr>
              <w:t>offering expenses payable by us.</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45"/>
        </w:trPr>
        <w:tc>
          <w:tcPr>
            <w:tcW w:w="3700" w:type="dxa"/>
            <w:vAlign w:val="bottom"/>
          </w:tcPr>
          <w:p>
            <w:pPr>
              <w:spacing w:after="0"/>
              <w:rPr>
                <w:sz w:val="24"/>
                <w:szCs w:val="24"/>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8"/>
              </w:rPr>
              <w:t>We intend to use the net proceeds from this offering for general corporate purposes,</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3"/>
              </w:rPr>
              <w:t>including working capital and capital expenditures such as additional office facilities. We</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rPr>
              <w:t>may also use a portion of the net proceeds to acquire, invest in or obtain rights to</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9"/>
              </w:rPr>
              <w:t>complementary technologies, products, services or businesses. There are no such</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0"/>
              </w:rPr>
              <w:t>transactions (or agreements related to such transactions) at this time. See the section titled</w:t>
            </w:r>
          </w:p>
        </w:tc>
      </w:tr>
      <w:tr>
        <w:trPr>
          <w:trHeight w:val="230"/>
        </w:trPr>
        <w:tc>
          <w:tcPr>
            <w:tcW w:w="3700" w:type="dxa"/>
            <w:vAlign w:val="bottom"/>
          </w:tcPr>
          <w:p>
            <w:pPr>
              <w:spacing w:after="0"/>
              <w:rPr>
                <w:sz w:val="20"/>
                <w:szCs w:val="20"/>
                <w:color w:val="auto"/>
              </w:rPr>
            </w:pPr>
          </w:p>
        </w:tc>
        <w:tc>
          <w:tcPr>
            <w:tcW w:w="4420" w:type="dxa"/>
            <w:vAlign w:val="bottom"/>
            <w:gridSpan w:val="3"/>
          </w:tcPr>
          <w:p>
            <w:pPr>
              <w:ind w:left="340"/>
              <w:spacing w:after="0"/>
              <w:rPr>
                <w:sz w:val="20"/>
                <w:szCs w:val="20"/>
                <w:color w:val="auto"/>
              </w:rPr>
            </w:pPr>
            <w:r>
              <w:rPr>
                <w:rFonts w:ascii="Arial" w:cs="Arial" w:eastAsia="Arial" w:hAnsi="Arial"/>
                <w:sz w:val="18"/>
                <w:szCs w:val="18"/>
                <w:color w:val="auto"/>
              </w:rPr>
              <w:t>“Use of Proceeds” for additional information.</w:t>
            </w:r>
          </w:p>
        </w:tc>
        <w:tc>
          <w:tcPr>
            <w:tcW w:w="2500" w:type="dxa"/>
            <w:vAlign w:val="bottom"/>
          </w:tcPr>
          <w:p>
            <w:pPr>
              <w:spacing w:after="0"/>
              <w:rPr>
                <w:sz w:val="20"/>
                <w:szCs w:val="20"/>
                <w:color w:val="auto"/>
              </w:rPr>
            </w:pPr>
          </w:p>
        </w:tc>
      </w:tr>
      <w:tr>
        <w:trPr>
          <w:trHeight w:val="459"/>
        </w:trPr>
        <w:tc>
          <w:tcPr>
            <w:tcW w:w="4920" w:type="dxa"/>
            <w:vAlign w:val="bottom"/>
            <w:gridSpan w:val="2"/>
          </w:tcPr>
          <w:p>
            <w:pPr>
              <w:spacing w:after="0"/>
              <w:rPr>
                <w:sz w:val="20"/>
                <w:szCs w:val="20"/>
                <w:color w:val="auto"/>
              </w:rPr>
            </w:pPr>
            <w:r>
              <w:rPr>
                <w:rFonts w:ascii="Arial" w:cs="Arial" w:eastAsia="Arial" w:hAnsi="Arial"/>
                <w:sz w:val="18"/>
                <w:szCs w:val="18"/>
                <w:color w:val="auto"/>
                <w:w w:val="96"/>
              </w:rPr>
              <w:t>Proposed Nasdaq Global Select Market trading symbol “NCNO”</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58"/>
        </w:trPr>
        <w:tc>
          <w:tcPr>
            <w:tcW w:w="3700" w:type="dxa"/>
            <w:vAlign w:val="bottom"/>
          </w:tcPr>
          <w:p>
            <w:pPr>
              <w:spacing w:after="0"/>
              <w:rPr>
                <w:sz w:val="20"/>
                <w:szCs w:val="20"/>
                <w:color w:val="auto"/>
              </w:rPr>
            </w:pPr>
            <w:r>
              <w:rPr>
                <w:rFonts w:ascii="Arial" w:cs="Arial" w:eastAsia="Arial" w:hAnsi="Arial"/>
                <w:sz w:val="18"/>
                <w:szCs w:val="18"/>
                <w:color w:val="auto"/>
              </w:rPr>
              <w:t>Risk factors</w:t>
            </w: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1"/>
              </w:rPr>
              <w:t>See the section titled “Risk Factors” and other information included in this prospectus for a</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rPr>
              <w:t>discussion of factors you should carefully consider before deciding to invest in our</w:t>
            </w:r>
          </w:p>
        </w:tc>
      </w:tr>
      <w:tr>
        <w:trPr>
          <w:trHeight w:val="230"/>
        </w:trPr>
        <w:tc>
          <w:tcPr>
            <w:tcW w:w="3700" w:type="dxa"/>
            <w:vAlign w:val="bottom"/>
          </w:tcPr>
          <w:p>
            <w:pPr>
              <w:spacing w:after="0"/>
              <w:rPr>
                <w:sz w:val="20"/>
                <w:szCs w:val="20"/>
                <w:color w:val="auto"/>
              </w:rPr>
            </w:pPr>
          </w:p>
        </w:tc>
        <w:tc>
          <w:tcPr>
            <w:tcW w:w="2760" w:type="dxa"/>
            <w:vAlign w:val="bottom"/>
            <w:gridSpan w:val="2"/>
          </w:tcPr>
          <w:p>
            <w:pPr>
              <w:ind w:left="340"/>
              <w:spacing w:after="0"/>
              <w:rPr>
                <w:sz w:val="20"/>
                <w:szCs w:val="20"/>
                <w:color w:val="auto"/>
              </w:rPr>
            </w:pPr>
            <w:r>
              <w:rPr>
                <w:rFonts w:ascii="Arial" w:cs="Arial" w:eastAsia="Arial" w:hAnsi="Arial"/>
                <w:sz w:val="18"/>
                <w:szCs w:val="18"/>
                <w:color w:val="auto"/>
              </w:rPr>
              <w:t>common stock.</w:t>
            </w: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45"/>
        </w:trPr>
        <w:tc>
          <w:tcPr>
            <w:tcW w:w="3700" w:type="dxa"/>
            <w:vAlign w:val="bottom"/>
          </w:tcPr>
          <w:p>
            <w:pPr>
              <w:spacing w:after="0"/>
              <w:rPr>
                <w:sz w:val="20"/>
                <w:szCs w:val="20"/>
                <w:color w:val="auto"/>
              </w:rPr>
            </w:pPr>
            <w:r>
              <w:rPr>
                <w:rFonts w:ascii="Arial" w:cs="Arial" w:eastAsia="Arial" w:hAnsi="Arial"/>
                <w:sz w:val="18"/>
                <w:szCs w:val="18"/>
                <w:color w:val="auto"/>
              </w:rPr>
              <w:t>Reserved share program</w:t>
            </w: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rPr>
              <w:t>At our request, an affiliate of BofA Securities, Inc., a participating underwriter, has</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3"/>
              </w:rPr>
              <w:t>reserved for sale, at the initial public offering price, up to 5% of the shares offered by this</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1"/>
              </w:rPr>
              <w:t>prospectus to some of our directors, officers, employees, business associates and related</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0"/>
              </w:rPr>
              <w:t>persons. Shares purchased by our directors and officers in the reserved share program will</w:t>
            </w:r>
          </w:p>
        </w:tc>
      </w:tr>
      <w:tr>
        <w:trPr>
          <w:trHeight w:val="216"/>
        </w:trPr>
        <w:tc>
          <w:tcPr>
            <w:tcW w:w="3700" w:type="dxa"/>
            <w:vAlign w:val="bottom"/>
          </w:tcPr>
          <w:p>
            <w:pPr>
              <w:spacing w:after="0"/>
              <w:rPr>
                <w:sz w:val="18"/>
                <w:szCs w:val="18"/>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w w:val="99"/>
              </w:rPr>
              <w:t>be subject to lock-up restrictions described in this prospectus. See the section titled</w:t>
            </w:r>
          </w:p>
        </w:tc>
      </w:tr>
      <w:tr>
        <w:trPr>
          <w:trHeight w:val="230"/>
        </w:trPr>
        <w:tc>
          <w:tcPr>
            <w:tcW w:w="3700" w:type="dxa"/>
            <w:vAlign w:val="bottom"/>
          </w:tcPr>
          <w:p>
            <w:pPr>
              <w:spacing w:after="0"/>
              <w:rPr>
                <w:sz w:val="20"/>
                <w:szCs w:val="20"/>
                <w:color w:val="auto"/>
              </w:rPr>
            </w:pPr>
          </w:p>
        </w:tc>
        <w:tc>
          <w:tcPr>
            <w:tcW w:w="6920" w:type="dxa"/>
            <w:vAlign w:val="bottom"/>
            <w:gridSpan w:val="4"/>
          </w:tcPr>
          <w:p>
            <w:pPr>
              <w:ind w:left="340"/>
              <w:spacing w:after="0"/>
              <w:rPr>
                <w:sz w:val="20"/>
                <w:szCs w:val="20"/>
                <w:color w:val="auto"/>
              </w:rPr>
            </w:pPr>
            <w:r>
              <w:rPr>
                <w:rFonts w:ascii="Arial" w:cs="Arial" w:eastAsia="Arial" w:hAnsi="Arial"/>
                <w:sz w:val="18"/>
                <w:szCs w:val="18"/>
                <w:color w:val="auto"/>
              </w:rPr>
              <w:t>“Underwriting—Reserved Share Program” for additional information.</w:t>
            </w:r>
          </w:p>
        </w:tc>
      </w:tr>
      <w:tr>
        <w:trPr>
          <w:trHeight w:val="418"/>
        </w:trPr>
        <w:tc>
          <w:tcPr>
            <w:tcW w:w="8120" w:type="dxa"/>
            <w:vAlign w:val="bottom"/>
            <w:gridSpan w:val="4"/>
          </w:tcPr>
          <w:p>
            <w:pPr>
              <w:ind w:left="860"/>
              <w:spacing w:after="0"/>
              <w:rPr>
                <w:sz w:val="20"/>
                <w:szCs w:val="20"/>
                <w:color w:val="auto"/>
              </w:rPr>
            </w:pPr>
            <w:r>
              <w:rPr>
                <w:rFonts w:ascii="Arial" w:cs="Arial" w:eastAsia="Arial" w:hAnsi="Arial"/>
                <w:sz w:val="18"/>
                <w:szCs w:val="18"/>
                <w:color w:val="auto"/>
                <w:w w:val="97"/>
              </w:rPr>
              <w:t>The number of shares of common stock that will be outstanding after this offering is based on</w:t>
            </w:r>
          </w:p>
        </w:tc>
        <w:tc>
          <w:tcPr>
            <w:tcW w:w="2500" w:type="dxa"/>
            <w:vAlign w:val="bottom"/>
          </w:tcPr>
          <w:p>
            <w:pPr>
              <w:ind w:left="100"/>
              <w:spacing w:after="0"/>
              <w:rPr>
                <w:sz w:val="20"/>
                <w:szCs w:val="20"/>
                <w:color w:val="auto"/>
              </w:rPr>
            </w:pPr>
            <w:r>
              <w:rPr>
                <w:rFonts w:ascii="Arial" w:cs="Arial" w:eastAsia="Arial" w:hAnsi="Arial"/>
                <w:sz w:val="18"/>
                <w:szCs w:val="18"/>
                <w:color w:val="auto"/>
              </w:rPr>
              <w:t>shares of our common stock</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9"/>
              </w:rPr>
              <w:t>outstanding as of April 30, 2020 and excludes:</w:t>
            </w:r>
          </w:p>
        </w:tc>
        <w:tc>
          <w:tcPr>
            <w:tcW w:w="1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29" w:lineRule="exact"/>
        <w:rPr>
          <w:sz w:val="20"/>
          <w:szCs w:val="20"/>
          <w:color w:val="auto"/>
        </w:rPr>
      </w:pPr>
    </w:p>
    <w:p>
      <w:pPr>
        <w:ind w:left="1540" w:right="40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7,744,722 shares of common stock issuable upon exercise of options outstanding as of April 30, 2020, at a weighted-average exercise price of $5.39 per share under our existing equity plans;</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972,494 shares of common stock issuable upon vesting of restricted stock unit (RSU) awards as of April 30,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33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3133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20" w:hanging="297"/>
        <w:spacing w:after="0" w:line="277" w:lineRule="auto"/>
        <w:tabs>
          <w:tab w:leader="none" w:pos="21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2019 Equity Incentive Plan, as amended and restated (the “2019 Incentive Plan”); and</w:t>
      </w:r>
    </w:p>
    <w:p>
      <w:pPr>
        <w:spacing w:after="0" w:line="197" w:lineRule="exact"/>
        <w:rPr>
          <w:rFonts w:ascii="Arial" w:cs="Arial" w:eastAsia="Arial" w:hAnsi="Arial"/>
          <w:sz w:val="18"/>
          <w:szCs w:val="18"/>
          <w:color w:val="auto"/>
        </w:rPr>
      </w:pPr>
    </w:p>
    <w:p>
      <w:pPr>
        <w:ind w:left="1540" w:hanging="297"/>
        <w:spacing w:after="0" w:line="263" w:lineRule="auto"/>
        <w:tabs>
          <w:tab w:leader="none" w:pos="21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common stock reserved for issuance under our 2020 Employee Stock Purchase Plan (the “ESPP”), which will become effective on the business day immediately prior to the effectiveness of the registration statement of which this prospectus forms a part.</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52" w:lineRule="exact"/>
        <w:rPr>
          <w:sz w:val="20"/>
          <w:szCs w:val="20"/>
          <w:color w:val="auto"/>
        </w:rPr>
      </w:pPr>
    </w:p>
    <w:p>
      <w:pPr>
        <w:ind w:left="1540" w:hanging="297"/>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issuance or exercise of outstanding options after April 30, 2020;</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issuance or settlement of outstanding RSUs after April 30, 2020;</w:t>
      </w:r>
    </w:p>
    <w:p>
      <w:pPr>
        <w:spacing w:after="0" w:line="252" w:lineRule="exact"/>
        <w:rPr>
          <w:rFonts w:ascii="Arial" w:cs="Arial" w:eastAsia="Arial" w:hAnsi="Arial"/>
          <w:sz w:val="18"/>
          <w:szCs w:val="18"/>
          <w:color w:val="auto"/>
        </w:rPr>
      </w:pPr>
    </w:p>
    <w:p>
      <w:pPr>
        <w:ind w:left="1540" w:right="360" w:hanging="297"/>
        <w:spacing w:after="0" w:line="308" w:lineRule="auto"/>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in Delaware and the effectiveness of our amended and restated bylaws, which will each occur immediately prior to the completion of this offering;</w:t>
      </w:r>
    </w:p>
    <w:p>
      <w:pPr>
        <w:spacing w:after="0" w:line="173" w:lineRule="exact"/>
        <w:rPr>
          <w:sz w:val="20"/>
          <w:szCs w:val="20"/>
          <w:color w:val="auto"/>
        </w:rPr>
      </w:pPr>
    </w:p>
    <w:p>
      <w:pPr>
        <w:ind w:left="1240"/>
        <w:spacing w:after="0"/>
        <w:tabs>
          <w:tab w:leader="none" w:pos="1520" w:val="left"/>
          <w:tab w:leader="none" w:pos="7720" w:val="left"/>
        </w:tabs>
        <w:rPr>
          <w:sz w:val="20"/>
          <w:szCs w:val="20"/>
          <w:color w:val="auto"/>
        </w:rPr>
      </w:pPr>
      <w:r>
        <w:rPr>
          <w:rFonts w:ascii="Arial" w:cs="Arial" w:eastAsia="Arial" w:hAnsi="Arial"/>
          <w:sz w:val="18"/>
          <w:szCs w:val="18"/>
          <w:color w:val="auto"/>
        </w:rPr>
        <w:t>•</w:t>
        <w:tab/>
        <w:t>no exercise of the underwriters of their option to purchase up to an additional</w:t>
      </w:r>
      <w:r>
        <w:rPr>
          <w:sz w:val="20"/>
          <w:szCs w:val="20"/>
          <w:color w:val="auto"/>
        </w:rPr>
        <w:tab/>
      </w:r>
      <w:r>
        <w:rPr>
          <w:rFonts w:ascii="Arial" w:cs="Arial" w:eastAsia="Arial" w:hAnsi="Arial"/>
          <w:sz w:val="16"/>
          <w:szCs w:val="16"/>
          <w:color w:val="auto"/>
        </w:rPr>
        <w:t>shares of our common stock; and</w:t>
      </w:r>
    </w:p>
    <w:p>
      <w:pPr>
        <w:spacing w:after="0" w:line="252" w:lineRule="exact"/>
        <w:rPr>
          <w:sz w:val="20"/>
          <w:szCs w:val="20"/>
          <w:color w:val="auto"/>
        </w:rPr>
      </w:pPr>
    </w:p>
    <w:p>
      <w:pPr>
        <w:ind w:left="1540" w:right="400" w:hanging="297"/>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all of our outstanding non-voting common stock into voting common stock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320" w:top="459" w:right="7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The following tables set forth our summary consolidated financial data. The summary consolidated statement of operations data for the fiscal years ended January 31, 2018, 2019 and 2020 are each derived from our audited financial statements appearing elsewhere in this prospectus. The summary consolidated statement of operations data for the three months ended April 30, 2019 and 2020, and the summary consolidated balance sheet data as of April 30, 2020, are each derived from our unaudited financial statements appearing elsewhere in this prospectus. We have prepared the unaudited financial statements on the same basis as the audited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 You should read this summary consolidated financial and other data in conjunction with the sections titled “Selected Consolidated Financial and Other Data” and “Management’s Discussion and Analysis of Financial Condition and Results of Operations” and our consolidated financial statements, related notes and other financial information included elsewhere in this prospectus.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1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Subscription revenues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38,048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64,458</w:t>
            </w:r>
          </w:p>
        </w:tc>
        <w:tc>
          <w:tcPr>
            <w:tcW w:w="2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103,265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21,032</w:t>
            </w:r>
          </w:p>
        </w:tc>
        <w:tc>
          <w:tcPr>
            <w:tcW w:w="2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34,831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Professional services revenues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20,094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27,076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34,915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660"/>
              <w:spacing w:after="0"/>
              <w:rPr>
                <w:sz w:val="20"/>
                <w:szCs w:val="20"/>
                <w:color w:val="auto"/>
              </w:rPr>
            </w:pPr>
            <w:r>
              <w:rPr>
                <w:rFonts w:ascii="Arial" w:cs="Arial" w:eastAsia="Arial" w:hAnsi="Arial"/>
                <w:sz w:val="17"/>
                <w:szCs w:val="17"/>
                <w:color w:val="auto"/>
              </w:rPr>
              <w:t>Total revenues</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138,180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29,836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Cost of revenues  :</w:t>
            </w: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Cost of subscription revenue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12,581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19,995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31,062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6,502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10,099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professional services revenue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17,890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33,008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60"/>
              <w:spacing w:after="0"/>
              <w:rPr>
                <w:sz w:val="20"/>
                <w:szCs w:val="20"/>
                <w:color w:val="auto"/>
              </w:rPr>
            </w:pPr>
            <w:r>
              <w:rPr>
                <w:rFonts w:ascii="Arial" w:cs="Arial" w:eastAsia="Arial" w:hAnsi="Arial"/>
                <w:sz w:val="17"/>
                <w:szCs w:val="17"/>
                <w:color w:val="auto"/>
              </w:rPr>
              <w:t>Total cost of revenue</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27,671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20,954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31,278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16,559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22,230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35,304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8,933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(23,216)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(28,170)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(3,492)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(109)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(22,112)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(3,283)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(18,589)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(22,306)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(3,419)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Net loss attributable to nCino, Inc.</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nCino, Inc.:</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(0.27)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(0.30)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(0.35)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(0.05)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w w:val="94"/>
              </w:rPr>
              <w:t>Weighted average number of common shares outstanding:</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68,290,570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74,593,709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78,316,794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75,986,517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81,560,762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93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5"/>
                <w:szCs w:val="15"/>
                <w:color w:val="auto"/>
              </w:rPr>
              <w:t>(1)</w:t>
            </w: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rPr>
              <w:t>Includes stock-based compensation expense as follows:</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Fiscal Year Ended January 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Ended April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$1,357</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$1,487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$1,517</w:t>
            </w: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389</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327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940</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1,078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292</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1,070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306</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459</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122</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3,826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4,095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5,745</w:t>
            </w: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1,109</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64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As of April 30, 2020</w:t>
            </w:r>
          </w:p>
        </w:tc>
        <w:tc>
          <w:tcPr>
            <w:tcW w:w="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As</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64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96"/>
              <w:spacing w:after="0"/>
              <w:rPr>
                <w:sz w:val="20"/>
                <w:szCs w:val="20"/>
                <w:color w:val="auto"/>
              </w:rPr>
            </w:pPr>
            <w:r>
              <w:rPr>
                <w:rFonts w:ascii="Arial" w:cs="Arial" w:eastAsia="Arial" w:hAnsi="Arial"/>
                <w:sz w:val="18"/>
                <w:szCs w:val="18"/>
                <w:color w:val="auto"/>
              </w:rPr>
              <w:t>99,038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96"/>
              <w:spacing w:after="0"/>
              <w:rPr>
                <w:sz w:val="20"/>
                <w:szCs w:val="20"/>
                <w:color w:val="auto"/>
              </w:rPr>
            </w:pPr>
            <w:r>
              <w:rPr>
                <w:rFonts w:ascii="Arial" w:cs="Arial" w:eastAsia="Arial" w:hAnsi="Arial"/>
                <w:sz w:val="18"/>
                <w:szCs w:val="18"/>
                <w:color w:val="auto"/>
                <w:w w:val="95"/>
              </w:rPr>
              <w:t>261,089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96"/>
              <w:spacing w:after="0"/>
              <w:rPr>
                <w:sz w:val="20"/>
                <w:szCs w:val="20"/>
                <w:color w:val="auto"/>
              </w:rPr>
            </w:pPr>
            <w:r>
              <w:rPr>
                <w:rFonts w:ascii="Arial" w:cs="Arial" w:eastAsia="Arial" w:hAnsi="Arial"/>
                <w:sz w:val="18"/>
                <w:szCs w:val="18"/>
                <w:color w:val="auto"/>
              </w:rPr>
              <w:t>92,807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36"/>
              <w:spacing w:after="0"/>
              <w:rPr>
                <w:sz w:val="20"/>
                <w:szCs w:val="20"/>
                <w:color w:val="auto"/>
              </w:rPr>
            </w:pPr>
            <w:r>
              <w:rPr>
                <w:rFonts w:ascii="Arial" w:cs="Arial" w:eastAsia="Arial" w:hAnsi="Arial"/>
                <w:sz w:val="18"/>
                <w:szCs w:val="18"/>
                <w:color w:val="auto"/>
                <w:w w:val="88"/>
              </w:rPr>
              <w:t>(125,580)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96"/>
              <w:spacing w:after="0"/>
              <w:rPr>
                <w:sz w:val="20"/>
                <w:szCs w:val="20"/>
                <w:color w:val="auto"/>
              </w:rPr>
            </w:pPr>
            <w:r>
              <w:rPr>
                <w:rFonts w:ascii="Arial" w:cs="Arial" w:eastAsia="Arial" w:hAnsi="Arial"/>
                <w:sz w:val="18"/>
                <w:szCs w:val="18"/>
                <w:color w:val="auto"/>
                <w:w w:val="95"/>
              </w:rPr>
              <w:t>163,898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spacing w:after="0"/>
              <w:rPr>
                <w:sz w:val="11"/>
                <w:szCs w:val="11"/>
                <w:color w:val="auto"/>
              </w:rPr>
            </w:pPr>
          </w:p>
        </w:tc>
        <w:tc>
          <w:tcPr>
            <w:tcW w:w="7220" w:type="dxa"/>
            <w:vAlign w:val="bottom"/>
            <w:gridSpan w:val="6"/>
          </w:tcPr>
          <w:p>
            <w:pPr>
              <w:spacing w:after="0"/>
              <w:rPr>
                <w:sz w:val="11"/>
                <w:szCs w:val="11"/>
                <w:color w:val="auto"/>
              </w:rPr>
            </w:pPr>
          </w:p>
        </w:tc>
        <w:tc>
          <w:tcPr>
            <w:tcW w:w="226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20"/>
                <w:szCs w:val="20"/>
                <w:color w:val="auto"/>
              </w:rPr>
            </w:pPr>
            <w:r>
              <w:rPr>
                <w:rFonts w:ascii="Arial" w:cs="Arial" w:eastAsia="Arial" w:hAnsi="Arial"/>
                <w:sz w:val="15"/>
                <w:szCs w:val="15"/>
                <w:color w:val="auto"/>
              </w:rPr>
              <w:t>(1)</w:t>
            </w:r>
          </w:p>
        </w:tc>
        <w:tc>
          <w:tcPr>
            <w:tcW w:w="8080" w:type="dxa"/>
            <w:vAlign w:val="bottom"/>
            <w:gridSpan w:val="8"/>
          </w:tcPr>
          <w:p>
            <w:pPr>
              <w:ind w:left="120"/>
              <w:spacing w:after="0"/>
              <w:rPr>
                <w:sz w:val="20"/>
                <w:szCs w:val="20"/>
                <w:color w:val="auto"/>
              </w:rPr>
            </w:pPr>
            <w:r>
              <w:rPr>
                <w:rFonts w:ascii="Arial" w:cs="Arial" w:eastAsia="Arial" w:hAnsi="Arial"/>
                <w:sz w:val="18"/>
                <w:szCs w:val="18"/>
                <w:color w:val="auto"/>
                <w:w w:val="92"/>
              </w:rPr>
              <w:t>The as adjusted column in the balance sheet data table above gives effect to the sale and issuance by us of</w:t>
            </w:r>
          </w:p>
        </w:tc>
        <w:tc>
          <w:tcPr>
            <w:tcW w:w="2260" w:type="dxa"/>
            <w:vAlign w:val="bottom"/>
            <w:gridSpan w:val="11"/>
          </w:tcPr>
          <w:p>
            <w:pPr>
              <w:jc w:val="right"/>
              <w:ind w:right="380"/>
              <w:spacing w:after="0"/>
              <w:rPr>
                <w:sz w:val="20"/>
                <w:szCs w:val="20"/>
                <w:color w:val="auto"/>
              </w:rPr>
            </w:pPr>
            <w:r>
              <w:rPr>
                <w:rFonts w:ascii="Arial" w:cs="Arial" w:eastAsia="Arial" w:hAnsi="Arial"/>
                <w:sz w:val="18"/>
                <w:szCs w:val="18"/>
                <w:color w:val="auto"/>
              </w:rPr>
              <w:t>shares of our common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w w:val="97"/>
              </w:rPr>
              <w:t>stock in this offering, based upon the assumed initial public offering price of $</w:t>
            </w:r>
          </w:p>
        </w:tc>
        <w:tc>
          <w:tcPr>
            <w:tcW w:w="4240" w:type="dxa"/>
            <w:vAlign w:val="bottom"/>
            <w:gridSpan w:val="16"/>
          </w:tcPr>
          <w:p>
            <w:pPr>
              <w:jc w:val="right"/>
              <w:ind w:right="380"/>
              <w:spacing w:after="0"/>
              <w:rPr>
                <w:sz w:val="20"/>
                <w:szCs w:val="20"/>
                <w:color w:val="auto"/>
              </w:rPr>
            </w:pPr>
            <w:r>
              <w:rPr>
                <w:rFonts w:ascii="Arial" w:cs="Arial" w:eastAsia="Arial" w:hAnsi="Arial"/>
                <w:sz w:val="18"/>
                <w:szCs w:val="18"/>
                <w:color w:val="auto"/>
                <w:w w:val="93"/>
              </w:rPr>
              <w:t>per share, which is the midpoint of the offering price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340" w:type="dxa"/>
            <w:vAlign w:val="bottom"/>
            <w:gridSpan w:val="19"/>
          </w:tcPr>
          <w:p>
            <w:pPr>
              <w:ind w:left="120"/>
              <w:spacing w:after="0"/>
              <w:rPr>
                <w:sz w:val="20"/>
                <w:szCs w:val="20"/>
                <w:color w:val="auto"/>
              </w:rPr>
            </w:pPr>
            <w:r>
              <w:rPr>
                <w:rFonts w:ascii="Arial" w:cs="Arial" w:eastAsia="Arial" w:hAnsi="Arial"/>
                <w:sz w:val="18"/>
                <w:szCs w:val="18"/>
                <w:color w:val="auto"/>
                <w:w w:val="92"/>
              </w:rPr>
              <w:t>range on the cover page of this prospectus, and after deducting estimated underwriting discounts and commissions and offering expenses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340" w:type="dxa"/>
            <w:vAlign w:val="bottom"/>
            <w:gridSpan w:val="19"/>
          </w:tcPr>
          <w:p>
            <w:pPr>
              <w:ind w:left="120"/>
              <w:spacing w:after="0"/>
              <w:rPr>
                <w:sz w:val="20"/>
                <w:szCs w:val="20"/>
                <w:color w:val="auto"/>
              </w:rPr>
            </w:pPr>
            <w:r>
              <w:rPr>
                <w:rFonts w:ascii="Arial" w:cs="Arial" w:eastAsia="Arial" w:hAnsi="Arial"/>
                <w:sz w:val="18"/>
                <w:szCs w:val="18"/>
                <w:color w:val="auto"/>
                <w:w w:val="91"/>
              </w:rPr>
              <w:t>payable by us. Each $1.00 increase or decrease in the assumed initial public offering price would increase or decrease the amount of our as</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100" w:type="dxa"/>
            <w:vAlign w:val="bottom"/>
            <w:gridSpan w:val="3"/>
          </w:tcPr>
          <w:p>
            <w:pPr>
              <w:ind w:left="120"/>
              <w:spacing w:after="0"/>
              <w:rPr>
                <w:sz w:val="20"/>
                <w:szCs w:val="20"/>
                <w:color w:val="auto"/>
              </w:rPr>
            </w:pPr>
            <w:r>
              <w:rPr>
                <w:rFonts w:ascii="Arial" w:cs="Arial" w:eastAsia="Arial" w:hAnsi="Arial"/>
                <w:sz w:val="18"/>
                <w:szCs w:val="18"/>
                <w:color w:val="auto"/>
                <w:w w:val="89"/>
              </w:rPr>
              <w:t>adjusted cash and cash equivalents, total assets and total stockholders’ equity by $</w:t>
            </w:r>
          </w:p>
        </w:tc>
        <w:tc>
          <w:tcPr>
            <w:tcW w:w="280" w:type="dxa"/>
            <w:vAlign w:val="bottom"/>
          </w:tcPr>
          <w:p>
            <w:pPr>
              <w:spacing w:after="0"/>
              <w:rPr>
                <w:sz w:val="20"/>
                <w:szCs w:val="20"/>
                <w:color w:val="auto"/>
              </w:rPr>
            </w:pPr>
          </w:p>
        </w:tc>
        <w:tc>
          <w:tcPr>
            <w:tcW w:w="3960" w:type="dxa"/>
            <w:vAlign w:val="bottom"/>
            <w:gridSpan w:val="15"/>
          </w:tcPr>
          <w:p>
            <w:pPr>
              <w:jc w:val="right"/>
              <w:ind w:right="80"/>
              <w:spacing w:after="0"/>
              <w:rPr>
                <w:sz w:val="20"/>
                <w:szCs w:val="20"/>
                <w:color w:val="auto"/>
              </w:rPr>
            </w:pPr>
            <w:r>
              <w:rPr>
                <w:rFonts w:ascii="Arial" w:cs="Arial" w:eastAsia="Arial" w:hAnsi="Arial"/>
                <w:sz w:val="18"/>
                <w:szCs w:val="18"/>
                <w:color w:val="auto"/>
                <w:w w:val="88"/>
              </w:rPr>
              <w:t>, assuming that the number of shares offered by us, as</w:t>
            </w:r>
          </w:p>
        </w:tc>
        <w:tc>
          <w:tcPr>
            <w:tcW w:w="0" w:type="dxa"/>
            <w:vAlign w:val="bottom"/>
          </w:tcPr>
          <w:p>
            <w:pPr>
              <w:spacing w:after="0"/>
              <w:rPr>
                <w:sz w:val="1"/>
                <w:szCs w:val="1"/>
                <w:color w:val="auto"/>
              </w:rPr>
            </w:pPr>
          </w:p>
        </w:tc>
      </w:tr>
    </w:tbl>
    <w:p>
      <w:pPr>
        <w:ind w:left="720" w:right="160"/>
        <w:spacing w:after="0" w:line="281" w:lineRule="auto"/>
        <w:rPr>
          <w:sz w:val="20"/>
          <w:szCs w:val="20"/>
          <w:color w:val="auto"/>
        </w:rPr>
      </w:pPr>
      <w:r>
        <w:rPr>
          <w:rFonts w:ascii="Arial" w:cs="Arial" w:eastAsia="Arial" w:hAnsi="Arial"/>
          <w:sz w:val="16"/>
          <w:szCs w:val="16"/>
          <w:color w:val="auto"/>
        </w:rPr>
        <w:t>set forth on the cover page of this prospectus, remains the same, after deducting estimated underwriting discounts and commissions payable by us. An increase or decrease of 1.0 million shares in the number of shares offered by us would increase or decrease, as applicable, the</w:t>
      </w:r>
    </w:p>
    <w:p>
      <w:pPr>
        <w:spacing w:after="0" w:line="1" w:lineRule="exact"/>
        <w:rPr>
          <w:sz w:val="20"/>
          <w:szCs w:val="20"/>
          <w:color w:val="auto"/>
        </w:rPr>
      </w:pPr>
    </w:p>
    <w:p>
      <w:pPr>
        <w:ind w:left="720" w:right="80"/>
        <w:spacing w:after="0" w:line="290" w:lineRule="auto"/>
        <w:rPr>
          <w:sz w:val="20"/>
          <w:szCs w:val="20"/>
          <w:color w:val="auto"/>
        </w:rPr>
      </w:pPr>
      <w:r>
        <w:rPr>
          <w:rFonts w:ascii="Arial" w:cs="Arial" w:eastAsia="Arial" w:hAnsi="Arial"/>
          <w:sz w:val="17"/>
          <w:szCs w:val="17"/>
          <w:color w:val="auto"/>
        </w:rPr>
        <w:t>amount of our as adjusted cash and cash equivalents, total assets and total stockholders’ equity by $ assuming the assumed initial public offering price remains the same, and after deducting estimated underwriting discounts and commissions payable by us.</w:t>
      </w:r>
    </w:p>
    <w:p>
      <w:pPr>
        <w:spacing w:after="0" w:line="161" w:lineRule="exact"/>
        <w:rPr>
          <w:sz w:val="20"/>
          <w:szCs w:val="20"/>
          <w:color w:val="auto"/>
        </w:rPr>
      </w:pPr>
    </w:p>
    <w:p>
      <w:pPr>
        <w:ind w:left="300" w:right="200" w:firstLine="852"/>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880" w:type="dxa"/>
            <w:vAlign w:val="bottom"/>
            <w:gridSpan w:val="7"/>
            <w:vMerge w:val="restart"/>
          </w:tcPr>
          <w:p>
            <w:pPr>
              <w:jc w:val="center"/>
              <w:ind w:right="190"/>
              <w:spacing w:after="0"/>
              <w:rPr>
                <w:sz w:val="20"/>
                <w:szCs w:val="20"/>
                <w:color w:val="auto"/>
              </w:rPr>
            </w:pPr>
            <w:r>
              <w:rPr>
                <w:rFonts w:ascii="Arial" w:cs="Arial" w:eastAsia="Arial" w:hAnsi="Arial"/>
                <w:sz w:val="14"/>
                <w:szCs w:val="14"/>
                <w:b w:val="1"/>
                <w:bCs w:val="1"/>
                <w:color w:val="auto"/>
                <w:w w:val="93"/>
              </w:rPr>
              <w:t>Fiscal Year Ended January 31,</w:t>
            </w:r>
          </w:p>
        </w:tc>
        <w:tc>
          <w:tcPr>
            <w:tcW w:w="154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154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Ended April 30,</w:t>
            </w:r>
          </w:p>
        </w:tc>
        <w:tc>
          <w:tcPr>
            <w:tcW w:w="0" w:type="dxa"/>
            <w:vAlign w:val="bottom"/>
          </w:tcPr>
          <w:p>
            <w:pPr>
              <w:spacing w:after="0"/>
              <w:rPr>
                <w:sz w:val="1"/>
                <w:szCs w:val="1"/>
                <w:color w:val="auto"/>
              </w:rPr>
            </w:pPr>
          </w:p>
        </w:tc>
      </w:tr>
      <w:tr>
        <w:trPr>
          <w:trHeight w:val="142"/>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Non-GAAP financial measure (in thousands)</w:t>
            </w: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$(18,775</w:t>
            </w:r>
            <w:r>
              <w:rPr>
                <w:rFonts w:ascii="Arial" w:cs="Arial" w:eastAsia="Arial" w:hAnsi="Arial"/>
                <w:sz w:val="18"/>
                <w:szCs w:val="18"/>
                <w:b w:val="1"/>
                <w:bCs w:val="1"/>
                <w:color w:val="auto"/>
                <w:w w:val="93"/>
              </w:rPr>
              <w:t>)</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3"/>
              </w:rPr>
              <w:t>$(23,216</w:t>
            </w:r>
            <w:r>
              <w:rPr>
                <w:rFonts w:ascii="Arial" w:cs="Arial" w:eastAsia="Arial" w:hAnsi="Arial"/>
                <w:sz w:val="18"/>
                <w:szCs w:val="18"/>
                <w:b w:val="1"/>
                <w:bCs w:val="1"/>
                <w:color w:val="auto"/>
                <w:w w:val="93"/>
              </w:rPr>
              <w:t>)</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3"/>
              </w:rPr>
              <w:t>$(28,170)</w:t>
            </w: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2"/>
              </w:rPr>
              <w:t>$(3,492)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$(4,271)</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1,748</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3,826</w:t>
            </w:r>
          </w:p>
        </w:tc>
        <w:tc>
          <w:tcPr>
            <w:tcW w:w="28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4,095</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5,745</w:t>
            </w: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1,109</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4,095</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7,493</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1,109</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Non-GAAP Operating Loss</w:t>
            </w:r>
            <w:r>
              <w:rPr>
                <w:rFonts w:ascii="Arial" w:cs="Arial" w:eastAsia="Arial" w:hAnsi="Arial"/>
                <w:sz w:val="15"/>
                <w:szCs w:val="15"/>
                <w:b w:val="1"/>
                <w:bCs w:val="1"/>
                <w:color w:val="auto"/>
              </w:rPr>
              <w:t>(1)</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(14,949</w:t>
            </w:r>
          </w:p>
        </w:tc>
        <w:tc>
          <w:tcPr>
            <w:tcW w:w="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(19,121</w:t>
            </w:r>
          </w:p>
        </w:tc>
        <w:tc>
          <w:tcPr>
            <w:tcW w:w="3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(20,677</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(2,383</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(2,424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40" w:hanging="523"/>
        <w:spacing w:after="0"/>
        <w:tabs>
          <w:tab w:leader="none" w:pos="12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See “Selected consolidated financial data—Non-GAAP financial measure” for additional information.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7"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operating results, and we may not achieve our expected operating results in the future.</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As a result of our limited operating history,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prospectus.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began operations in late 2011 and have experienced net losses since inception. We generated a net loss attributable to nCino of $27.6 million and $4.8 million in fiscal 2020 and the three months ended April 30, 2020, respectively, and as of April 30, 2020, we had an accumulated deficit of $125.6 million. We will need to generate and sustain increased revenue levels in future periods in order to become profitable, and, even if we do, we may not be able to maintain or increase our level of profitability. We intend to continue to expend significant resources to support further growth and extend the functionality of the nCino Bank Operating System, expand our sales and product development headcount, increase our marketing activities and grow our international operations. We will also face increased costs associated with growth, the expansion of our customer base and the costs of being a public company. Our efforts to grow our business may be more costly than we expect, and we may not be able to increase our revenues enough to offset our increased operating expenses. We expect to incur losses for the foreseeable future as we continue to invest in product development, and we cannot predict whether or when we will achieve or sustain profitability. If we are unable to achieve and sustain profitability, the value of our business and common stock may significantly decrease.</w:t>
      </w:r>
    </w:p>
    <w:p>
      <w:pPr>
        <w:spacing w:after="0" w:line="1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or continue to broaden our existing customers’ use of our solution, our revenue growth will be adversely affected.</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To increase our revenues, we will need to continue to attract new customers and succeed in having our current customers expand the use of our solution across their institution. For example, our revenue growth strategy includes increased penetration of markets outside the United States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3" w:lineRule="auto"/>
        <w:rPr>
          <w:sz w:val="20"/>
          <w:szCs w:val="20"/>
          <w:color w:val="auto"/>
        </w:rPr>
      </w:pPr>
      <w:r>
        <w:rPr>
          <w:rFonts w:ascii="Arial" w:cs="Arial" w:eastAsia="Arial" w:hAnsi="Arial"/>
          <w:sz w:val="17"/>
          <w:szCs w:val="17"/>
          <w:color w:val="auto"/>
        </w:rPr>
        <w:t>expires. Our revenue growth rates may decline or fluctuate as a result of a number of factors, including customer spending levels, customer dissatisfaction with our solution,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 as its use may enable them to operate more efficiently over time. Therefore, we cannot assure you that our current customers will renew or expand their use of our solution. If we are unable to sign new customers or retain or attract new business from current customers, our business and results of operations may be materially and adversely affected.</w:t>
      </w:r>
    </w:p>
    <w:p>
      <w:pPr>
        <w:spacing w:after="0" w:line="17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If the market for cloud-based banking technology develops more slowly than we expect or changes in a way that we fail to anticipate, our sales would suffer and our results of operations would be adversely affected.</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Use of, and reliance on, cloud-based banking technology is still at an early stage and we do not know whether financial institutions will continue to adopt cloud-based banking technology such as the nCino Bank Operating System in the future, or whether the market will change in ways we do not anticipate. Many financial institutions have invested substantial personnel and financial resources in legacy software, and these institutions may be reluctant, unwilling or unable to convert from their existing systems to our solution. Furthermore, these financial institutions may be reluctant, unwilling or unable to use cloud-based banking technology due to various concerns such as the security of their data and reliability of the delivery model. These concerns or other considerations may cause financial institutions to choose not to adopt cloud-based banking technology such as ours or to adopt them more slowly than we anticipate, either of which would adversely affect us. Our future success also depends on our ability to sell additional applications and functionality, such as nIQ, to our current and prospective customers. As we create new applications and enhance our existing solution,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financial institutions are unwilling or unable to transition from their legacy systems, or if the demand for our solution does not meet our expectations, our results of operations and financial condition will be adversely affected.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2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Our revenues increased from $58.1 million for fiscal 2018 to $91.5 million for fiscal 2019 to $138.2 million for fiscal 2020, and from $29.8 million for the three months ended April 30, 2019 to $44.7 million for the three months ended April 30, 2020.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 increasing competition, decreasing growth of our overall market, the impact of COVID-19, our inability to attract and retain a sufficient number of financial institution customers, concerns over data security, our failure, for any reason, to capitalize on growth opportunities or general economic conditions. If we are unable to maintain consistent revenue growth, the price of our common stock could be volatile and it may be difficult for us to achieve and maintain profitability.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while subscriptions with our customers include multi-year non-cancellable terms, in a limited number of contracts, customers have an option to buy out of the contract for a specified termination fee.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214" w:lineRule="exact"/>
        <w:rPr>
          <w:sz w:val="20"/>
          <w:szCs w:val="20"/>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current customers or attract new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activation, delay in activation or cancelation of large blocks of users by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recognition of professional services revenues;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acquisitions of our customers, to the extent the acquirer elects not to continue using our solution or reduces subscriptions to it;</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renewal rates;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or decreases in the number of users licensed or pricing changes upon renewals of customer contracts;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industry and market conditions (particularly those affecting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variations in sales of our solution, which have historically been highest in the fourth quarter of our fiscal year;</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not accurately predict the long-term rate of customer subscription renewals or adoption of our solution, or any resulting impact on our revenues or operating results.</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Our customers have no obligation to renew their subscriptions for our solution after the expiration of the initial or current subscription term, and our customers, if they choose to renew at all, may renew for fewer users or on less favorable pricing terms. Since the average initial term of our customer agreements is three to five years, and we only began selling our solution in 2012, we have limited historical data with respect to rates of customer subscription renewals and cannot be certain of anticipated renewal rates. Our renewal rates may decline or fluctuate as a result of a number of factors, including our customers’ satisfaction with our pricing or our solution or their ability to continue their operations or spending levels. If our customers do not renew their subscriptions for our solution on similar pricing terms, our revenues may decline and our business could suffer.</w:t>
      </w:r>
    </w:p>
    <w:p>
      <w:pPr>
        <w:spacing w:after="0" w:line="164"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Additionally, as the markets for the nCino Bank Operating System develop, we may be unable to attract new customers based on the same subscription model that we have used historically. Moreover, large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influential financial institution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 breach of our security measures or those we rely on could result in unauthorized access to customer or their clients’ data, which may materially and adversely impact our reputation, business and results of operations.</w:t>
      </w:r>
    </w:p>
    <w:p>
      <w:pPr>
        <w:spacing w:after="0" w:line="170"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Certain elements of our solution,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additional functionality, we may gain greater access to PII. We maintain policies, procedures and technological safeguards designed to protect the confidentiality, integrity and availability of this information and our information technology systems. However,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the nCino Bank Operating System is a flexible and complex software solution and there is a risk that configurations of, or defects in, the solution or errors in implementation could create vulnerabilities to security breaches. There may be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w:t>
      </w:r>
    </w:p>
    <w:p>
      <w:pPr>
        <w:spacing w:after="0" w:line="184" w:lineRule="exact"/>
        <w:rPr>
          <w:sz w:val="20"/>
          <w:szCs w:val="20"/>
          <w:color w:val="auto"/>
        </w:rPr>
      </w:pPr>
    </w:p>
    <w:p>
      <w:pPr>
        <w:ind w:left="120" w:right="40" w:firstLine="881"/>
        <w:spacing w:after="0" w:line="268" w:lineRule="auto"/>
        <w:rPr>
          <w:sz w:val="20"/>
          <w:szCs w:val="20"/>
          <w:color w:val="auto"/>
        </w:rPr>
      </w:pPr>
      <w:r>
        <w:rPr>
          <w:rFonts w:ascii="Arial" w:cs="Arial" w:eastAsia="Arial" w:hAnsi="Arial"/>
          <w:sz w:val="17"/>
          <w:szCs w:val="17"/>
          <w:color w:val="auto"/>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 In the event our or our third-party providers’ protection efforts are unsuccessful and our systems or solution are compromised, we could suffer substantial harm. A security breach could result in operational disruptions, loss, compromise or corruption of customer or client data or data we rely on to provide our solution, including our analytics initiatives and offerings that impair our ability to provide our solution and meet our customers’ requirements resulting in decreased revenues and otherwise materially negatively impacting our financial results. Also, our reputation could suffer irreparable harm, causing our current and prospective customers to decline to use our solution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divert resources and the attention of our management and key personnel away from our business operations.</w:t>
      </w:r>
    </w:p>
    <w:p>
      <w:pPr>
        <w:spacing w:after="0" w:line="186"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Federal and state regulations may require us or our customers to notify individuals of data security incidents involving certain types of personal data or information technology systems.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 or subject us to third-party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lawsuits, regulatory fines or other actions or liabilities, which could materially and adversely affect our business and results of operations.</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addition, some of our customers contractually require notification of data security compromises and include representations and warranties in their contracts with us that our solution complies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7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Fundamental elements of the nCino Bank Operating System are built on the Salesforce Platform and we rely on our agreement with Salesforce to provide our solution to our customers.</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Fundamental elements of the nCino Bank Operating System, including our client onboarding, loan origination and deposit account opening applications, are built on the Salesforce Platform and we rely on our agreement with Salesforce to use the Salesforce Platform in conjunction with our solution, including for hosting infrastructure and data center operations. Any termination of our relationship with Salesforce would result in a materially adverse impact on our business model.</w:t>
      </w:r>
    </w:p>
    <w:p>
      <w:pPr>
        <w:spacing w:after="0" w:line="187" w:lineRule="exact"/>
        <w:rPr>
          <w:sz w:val="20"/>
          <w:szCs w:val="20"/>
          <w:color w:val="auto"/>
        </w:rPr>
      </w:pPr>
    </w:p>
    <w:p>
      <w:pPr>
        <w:ind w:left="120" w:right="40" w:firstLine="881"/>
        <w:spacing w:after="0" w:line="288" w:lineRule="auto"/>
        <w:rPr>
          <w:sz w:val="20"/>
          <w:szCs w:val="20"/>
          <w:color w:val="auto"/>
        </w:rPr>
      </w:pPr>
      <w:r>
        <w:rPr>
          <w:rFonts w:ascii="Arial" w:cs="Arial" w:eastAsia="Arial" w:hAnsi="Arial"/>
          <w:sz w:val="16"/>
          <w:szCs w:val="16"/>
          <w:color w:val="auto"/>
        </w:rPr>
        <w:t>Our agreement with Salesforce (the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our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spacing w:after="0" w:line="16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In addition, Salesforce has the right to terminate its agreement with us in certain circumstances, including in the event of a material breach of the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An expiration or termination of our agreement with Salesforce would cause us to incur significant time and expense to acquire rights to, or develop, a replacement solution and we may not be successful in these efforts, which could cause the nCino Bank Operating System to become obsolete. Even if we were to successfully acquire or develop a replacement solution, some customers may decide not to adopt the solution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spacing w:after="0" w:line="124"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spacing w:after="0" w:line="149"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b w:val="1"/>
          <w:bCs w:val="1"/>
          <w:i w:val="1"/>
          <w:iCs w:val="1"/>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46"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Personal privacy, information security, and data protection are significant issues in the United States, the European Union (“EU”) and a number of other jurisdictions where we offer the nCino Bank Operating System.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57"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expect that there will continue to be new proposed and adopted laws, regulations and industry standards concerning privacy, data protection and information security in the United States, the EU and other jurisdictions in which we operate. For example, California enacted the CCPA which went into effect in January 2020 and, among other things, requires companies covered by the legislation to provide new disclosures to California consumers and afford such consumers new rights of access and deletion for personal information, as well as the right to opt-out of certain sales of personal information. The CCPA was enacted in June 2018, amended in September 2018 and amended again in September 2019. Draft regulations were issued in October 2019 and it is possible that another referendum will be on the California ballot in November 2020 to further change the law for 2021. It remains unclear what, if any, modifications will be made to the CCPA or how those modifications will be interpreted or enforced. The CCPA or similar legislation may require us to modify our practices and policies and incur substantial costs and expenses in an effort to comply or respond to further changes to laws or regulations. Similarly, the European Commission adopted the GDPR, which became fully effective on May 25, 2018, and imposes similarly complex and stringent data protection requirements with regard to the processing of EU PII. Violations of the GDPR carry penalties of up to 4% of gross annual turnover. Additional GDPR interpretations and guidance have been and may continue to be issued that may require us to modify our practices and policies and incur substantial costs and expenses in an effort to comply or to adjust to changes in the law or EU member state implementing legislation.</w:t>
      </w:r>
    </w:p>
    <w:p>
      <w:pPr>
        <w:spacing w:after="0" w:line="186"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spacing w:after="0" w:line="188"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Uncertain or weakened economic conditions, including as a result of COVID-19, may adversely affect our industry, business and results of operations.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overall performance depends on economic conditions, which may be challenging at various times in the future. Financial developments seemingly unrelated to us or our industry may adversely affect us.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For example, COVID-19 has created and may continue to create significant uncertainty in global financial markets and the long-term economic impact of COVID-19 is highly uncertain. We cannot predict the timing, strength or duration of the current or any future potential economic slowdown in the United States or globally. These conditions affect the rate of technology spending generally and could adversely affect our customers’ ability or willingness to purchase the nCino Bank Operating System, delay prospective customers’ purchasing decisions, reduce the value or duration of their subscriptions or affect renewal rates, any of which could adversely affect our results of operations.</w:t>
      </w:r>
    </w:p>
    <w:p>
      <w:pPr>
        <w:spacing w:after="0" w:line="16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70"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generally recognize subscription revenues ratably over the terms of our customer contracts, which typically range from three to five years. Most of the subscription revenues we report each quarter are derived from the recognition of deferred revenue relating to subscriptions activated in previous quarters. Consequently, a reduction in activated subscriptions in any single quarter may only have a small impact on our revenues for that quarter. However, such a decline will negatively affect our revenues in future quarters. Accordingly, the effect of significant downturns in sales or market acceptance of our solution may not be reflected in our results of operations until future periods.</w:t>
      </w:r>
    </w:p>
    <w:p>
      <w:pPr>
        <w:spacing w:after="0" w:line="176"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70"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We believe our corporate culture is one of our fundamental strengths, as we believe it enables us to attract and retain top talent and deliver superior results for our customers. As we grow and transition from a private company to a public company,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5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70" w:lineRule="exact"/>
        <w:rPr>
          <w:sz w:val="20"/>
          <w:szCs w:val="20"/>
          <w:color w:val="auto"/>
        </w:rPr>
      </w:pPr>
    </w:p>
    <w:p>
      <w:pPr>
        <w:ind w:left="120" w:right="160" w:firstLine="881"/>
        <w:spacing w:after="0" w:line="270" w:lineRule="auto"/>
        <w:rPr>
          <w:sz w:val="20"/>
          <w:szCs w:val="20"/>
          <w:color w:val="auto"/>
        </w:rPr>
      </w:pPr>
      <w:r>
        <w:rPr>
          <w:rFonts w:ascii="Arial" w:cs="Arial" w:eastAsia="Arial" w:hAnsi="Arial"/>
          <w:sz w:val="17"/>
          <w:szCs w:val="17"/>
          <w:color w:val="auto"/>
        </w:rPr>
        <w:t>All of our revenues are derived from financial institutions whose industry has experienced significant pressure in recent years due to economic uncertainty, low interest rates, liquidity concerns and increased regulation. In the past, financial institutions have experienced consolidation, distress and failure. It is possible these conditions may reoccur. If any of our customers merge with or are acquired by other entities, such as financial institutions that have internally developed banking technology solutions or that are not our customers or use our solution less, we may lose business. Additionally, changes in management of our customers could result in delays or cancelations of the implementation of our solution. It is also possible that the larger financial institutions that result from business combinations could have greater leverage in negotiating price or other terms with us or could decide to replace some or all of the elements of our solution. Our business may also be materially and adversely affected by weak economic conditions in the financial services industry. Any downturn in the financial services industry may cause our customers to reduce their spending on technology or cloud-based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banking technology or to seek to terminate or renegotiate their contracts with us. Moreover, even if the overall economy is robust, economic fluctuations caused by things such as the U.S. Federal Reserve lowering interest rates may cause potential new customers and existing customers to become less profitable and therefore forego or delay purchasing our solution or reduce the amount of spend with us, which would materially and adversely affect our business.</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intensely competitive and highly fragmented, and pricing pressure, new technologies or other competitive dynamics could adversely affect our business and results of operations.</w:t>
      </w:r>
    </w:p>
    <w:p>
      <w:pPr>
        <w:spacing w:after="0" w:line="170"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We currently compete with providers of technology and services in the financial services industry, primarily point solution vendors that focus on building functionality that competes with specific components of the nCino Bank Operating System. From time to time, we also compete with systems internally developed by financial institutions.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spacing w:after="0" w:line="161"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spacing w:after="0" w:line="161"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depend on data centers operated by or on behalf of Salesforce and other third parties, and any disruption in the operation of these facilities could adversely affect our business and subject us to liability.</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nCino Bank Operating System is primarily hosted in data centers operated by or on behalf of Salesforce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encounter implementation challenges, including in situations in which we rely on SIs, which would materially and adversely affect our business and results of operations.</w:t>
      </w:r>
    </w:p>
    <w:p>
      <w:pPr>
        <w:spacing w:after="0" w:line="170" w:lineRule="exact"/>
        <w:rPr>
          <w:sz w:val="20"/>
          <w:szCs w:val="20"/>
          <w:color w:val="auto"/>
        </w:rPr>
      </w:pPr>
    </w:p>
    <w:p>
      <w:pPr>
        <w:ind w:left="120" w:right="120" w:firstLine="881"/>
        <w:spacing w:after="0" w:line="271" w:lineRule="auto"/>
        <w:rPr>
          <w:sz w:val="20"/>
          <w:szCs w:val="20"/>
          <w:color w:val="auto"/>
        </w:rPr>
      </w:pPr>
      <w:r>
        <w:rPr>
          <w:rFonts w:ascii="Arial" w:cs="Arial" w:eastAsia="Arial" w:hAnsi="Arial"/>
          <w:sz w:val="17"/>
          <w:szCs w:val="17"/>
          <w:color w:val="auto"/>
        </w:rPr>
        <w:t>We may face unexpected challenges related to the complexity of our customers’ implementation and configuration requirements. Implementation of our solution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 We also leverage the services of SIs, including Accenture, Deloitte, PwC and West Monroe Partners, among others, to implement and configure the nCino Bank Operating System for our larger financial institution customers, and we are increasingly using other SIs for smaller engagements as we continue to scale our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While SIs generally contract directly with our customers, any failure or delay by the SIs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w:t>
      </w:r>
    </w:p>
    <w:p>
      <w:pPr>
        <w:spacing w:after="0" w:line="17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 $58.1 million for fiscal 2018 to $91.5 million for fiscal 2019 to $138.2 million for fiscal 2020, and from $29.8 million for the three months ended April 30, 2019 to $44.7 million for the three months ended April 30, 2020. Our total number of employees increased from 436 as of January 31, 2018 to 934 as of April 30, 2020. Managing and sustaining a growing workforce and customer base geographically-dispersed in the United States and internationally will require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will also have to expand and enhance the capabilities of our sales, relationship management, implementation, customer service, research and development, and other personnel to support our growth and continue to achieve high levels of customer service and satisfaction. Our success will depend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17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Defects, errors or other performance problems in the nCino Bank Operating System could harm our reputation, result in significant costs to us, impair our ability to sell our solution and subject us to substantial liability.</w:t>
      </w:r>
    </w:p>
    <w:p>
      <w:pPr>
        <w:spacing w:after="0" w:line="170"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The nCino Bank Operating System is complex and may contain defects or errors when implemented or when new functionality is released. Despite extensive testing, from time to time we have discovered and may in the future discover defects or errors in our solution. Any performance problems or defects in our solution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changes in the industry in which we operate, our ability to attract and retain customers could be impaired and our competitive position could be harmed.</w:t>
      </w:r>
    </w:p>
    <w:p>
      <w:pPr>
        <w:spacing w:after="0" w:line="170"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 our customers could migrate to competitors who may offer a broader or more attractive range of products and services. For example, we recently launched our nIQ capabilities and we may fail to achieve market acceptance of this offering. Unexpected delays in releasing new or enhanced versions of our solution,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 successfully or introduce and gain market acceptance of new applications or improvements in a timely manner, or at all. Additionally, we must continually modify and enhance our solution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spacing w:after="0" w:line="182"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b w:val="1"/>
          <w:bCs w:val="1"/>
          <w:i w:val="1"/>
          <w:iCs w:val="1"/>
          <w:color w:val="auto"/>
        </w:rPr>
        <w:t>We leverage third-party software, content and services for use with our solution. Performance issues, errors and defects, or failure to successfully integrate or license necessary third-party software, content or services, could cause delays, errors, or failures of our solution, increases in our expenses and reductions in our sales, which could materially and adversely affect our business and results of operations.</w:t>
      </w:r>
    </w:p>
    <w:p>
      <w:pPr>
        <w:spacing w:after="0" w:line="14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use software and content licensed from, and services provided by, a variety of third parties in connection with the operation of our solution. Any performance issues, errors, bugs, or defects in third-party software, content or services could result in errors or a failure of our solution, which could adversely affect our business and results of operations. In the future, we might need to license other software, content or services to enhance our solution and meet evolving customer demands and requirements. Any limitations in our ability to use third-party software, content or services could significantly increase our expenses and otherwise result in delays, a reduction in functionality, or errors or failures of our solution until equivalent technology or content is either developed by us or, if available, identified, obtained through purchase or license, and integrated into our solution.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19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84" w:lineRule="exact"/>
        <w:rPr>
          <w:sz w:val="20"/>
          <w:szCs w:val="20"/>
          <w:color w:val="auto"/>
        </w:rPr>
      </w:pPr>
    </w:p>
    <w:p>
      <w:pPr>
        <w:ind w:left="120" w:right="360" w:firstLine="881"/>
        <w:spacing w:after="0" w:line="291" w:lineRule="auto"/>
        <w:rPr>
          <w:sz w:val="20"/>
          <w:szCs w:val="20"/>
          <w:color w:val="auto"/>
        </w:rPr>
      </w:pPr>
      <w:r>
        <w:rPr>
          <w:rFonts w:ascii="Arial" w:cs="Arial" w:eastAsia="Arial" w:hAnsi="Arial"/>
          <w:sz w:val="16"/>
          <w:szCs w:val="16"/>
          <w:color w:val="auto"/>
        </w:rPr>
        <w:t>From time to time, we consider potential strategic transactions, including acquisitions of, or investments in, businesses, technologies, services, solutions and other assets. For example, in fiscal 2020, we acquired Visible Equity and FinSuite. We also may enter into relationships with other businesses to expand our solution,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in entering into an agreement with any particular target. If we are successful in acquiring additional businesses, we may not achieve the anticipated benefits from the acquired business due to a number of factors, including:</w:t>
      </w:r>
    </w:p>
    <w:p>
      <w:pPr>
        <w:spacing w:after="0" w:line="197" w:lineRule="exact"/>
        <w:rPr>
          <w:sz w:val="20"/>
          <w:szCs w:val="20"/>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integrate or benefit from acquired technologies or services;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integrating the technology, accounting systems, operations, control environments and personnel of the acquired business and integrating the acquired business or its employees into our culture;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solutions and infrastructure of the acquired business;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to our solution and contract terms, including disparities in licensing terms;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costs for the support or professional services model of the acquired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and other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additional equity securities that could dilute the ownership interests of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debt on terms unfavorable to us or that we are unable to repay;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substantial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retaining key employees of the acquired business;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tax consequences, substantial depreciation or deferred compensation charges.</w:t>
      </w:r>
    </w:p>
    <w:p>
      <w:pPr>
        <w:spacing w:after="0" w:line="225"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4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Because three of our stockholders collectively hold a substantial majority of our total outstanding common stock, the influence of our public stockholders over significant corporate actions will be limited.</w:t>
      </w:r>
    </w:p>
    <w:p>
      <w:pPr>
        <w:spacing w:after="0" w:line="170"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Following this offering, entities affiliated with Insight Partners (“Insight Partners”), Salesforce and Wellington Management (“Wellington”) will hold %, % and % of our total outstanding common stock respectively, or %, % and % respectively, if the underwriters exercise in full their option to purchase additional shares. As a result, Insight Partners by itself, and to a lesser degree, Salesforce and Wellington, will have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Further, although we have what we consider to be a deep commercial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relationship with Salesforce, it has the right to, and has no duty to abstain from exercising its right to, engage or invest in the same or similar business as us, and do business with any of our customers and any other party with which we do business. Conflicts of interest could arise between us and Salesforce, and any conflict of interest may be resolved in a manner that does not favor us.</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84"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Our customers and prospective customers are highly regulated and are generally required to comply with stringent regulations in connection with performing business functions that the nCino Bank Operating System addresses. As a provider of technology to financial institutions, we may be examined on a periodic basis by various regulatory agencies and may be required to review certain of our suppliers and partners. In addition, while much of our operations are not directly subject to the same regulations applicable to financial institutions,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 we provide to financial institutions. Matters subject to review and examination by federal and state financial institution regulatory agencies and external auditors include our internal information technology controls in connection with our performance of data processing services, the agreements giving rise to those processing activities, and the design of our solution. Any inability to satisfy these examinations and maintain compliance with applicable regulations could adversely affect our ability to conduct our business, including attracting and maintaining customers. If we have to make changes to our internal processes and solution as result of these regulations, we could be required to invest substantial additional time and funds and divert time and resources from other corporate purposes to remedy any identified deficiency.</w:t>
      </w:r>
    </w:p>
    <w:p>
      <w:pPr>
        <w:spacing w:after="0" w:line="17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evolving, complex and often unpredictable regulatory environment in which our customers operate could result in our failure to provide a compliant solution, which could result in customers not purchasing our solution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fail to successfully expand internationally. In addition, sales to customers outside the United States or with international operations expose us to risks inherent in international sales, which may include a marked increase in expenses.</w:t>
      </w:r>
    </w:p>
    <w:p>
      <w:pPr>
        <w:spacing w:after="0" w:line="170"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fiscal 2020, sales to customers outside the United States accounted for 8.0% of our total revenues. A key element of our growth strategy is to further expand our international operations and worldwide customer base. We have begun expending significant resources to build out our sales and professional services organizations outside of the United States and we may not realize a suitable return on this investment in the near future, if at all. We have limited operating experience in international markets, and we cannot assure you that our international expansion efforts will be successful. Our experience in the United States may not be relevant to our ability to expand in any international market.</w:t>
      </w:r>
    </w:p>
    <w:p>
      <w:pPr>
        <w:spacing w:after="0" w:line="176"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Operating in international markets requires significant resources and management attention and subjects us to regulatory, economic and political risks that are different from those in the United States. Export control regulations in the United States may increasingly be implicated in our operations as we expand internationally. These regulations may limit the export of our solution and provision of our solution outside of the United States, or may require export authorizations, including by license, a license exception or other appropriate government authorizations, including annual or semi-annual reporting and the filing of an encryption registration. Changes in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export or import laws, or corresponding sanctions, may delay the introduction and sale of our solution in international markets, or, in some cases, prevent the export or import of our solution to certain countries, regions, governments, persons or entities altogether, which could adversely affect our business, financial condition and results of operations.</w:t>
      </w:r>
    </w:p>
    <w:p>
      <w:pPr>
        <w:spacing w:after="0" w:line="184" w:lineRule="exact"/>
        <w:rPr>
          <w:sz w:val="20"/>
          <w:szCs w:val="20"/>
          <w:color w:val="auto"/>
        </w:rPr>
      </w:pPr>
    </w:p>
    <w:p>
      <w:pPr>
        <w:jc w:val="both"/>
        <w:ind w:left="120" w:firstLine="881"/>
        <w:spacing w:after="0" w:line="275" w:lineRule="auto"/>
        <w:rPr>
          <w:sz w:val="20"/>
          <w:szCs w:val="20"/>
          <w:color w:val="auto"/>
        </w:rPr>
      </w:pPr>
      <w:r>
        <w:rPr>
          <w:rFonts w:ascii="Arial" w:cs="Arial" w:eastAsia="Arial" w:hAnsi="Arial"/>
          <w:sz w:val="17"/>
          <w:szCs w:val="17"/>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we face risks in doing business internationally that could adversely affect our business, including:</w:t>
      </w:r>
    </w:p>
    <w:p>
      <w:pPr>
        <w:spacing w:after="0" w:line="252" w:lineRule="exact"/>
        <w:rPr>
          <w:sz w:val="20"/>
          <w:szCs w:val="20"/>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localize and adapt our solution for specific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varying and sometimes conflicting data privacy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employment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unstable regional, economic or political conditions, including that arise from Brexit in the UK;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collections issues;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52" w:lineRule="exact"/>
        <w:rPr>
          <w:rFonts w:ascii="Arial" w:cs="Arial" w:eastAsia="Arial" w:hAnsi="Arial"/>
          <w:sz w:val="18"/>
          <w:szCs w:val="18"/>
          <w:color w:val="auto"/>
        </w:rPr>
      </w:pPr>
    </w:p>
    <w:p>
      <w:pPr>
        <w:ind w:left="1420" w:right="52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and anti-bribery laws and regulations;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transfer of funds;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increase our customer base.</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Increasing our customer base and expanding customer adoption within and across business lines will depend, to a significant extent, on our ability to effectively expand our sales and marketing operations and activities. From February 1, 2019 to April 30, 2020, our sales and marketing teams increased from 140 to 234 employees.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66"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If we fail to provide effective customer training on the nCino Bank Operating System and high-quality customer support, our business and reputation would suffer.</w:t>
      </w:r>
    </w:p>
    <w:p>
      <w:pPr>
        <w:spacing w:after="0" w:line="170"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Effective customer training on the nCino Bank Operating System and high-quality, ongoing customer support are critical to the successful marketing, sale and adoption of our solution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 quickly resolve any post-implementation matters, and provide effective ongoing customer support and training, our ability to expand sales to existing and future customers and our reputation would be adversely affected.</w:t>
      </w:r>
    </w:p>
    <w:p>
      <w:pPr>
        <w:spacing w:after="0" w:line="161"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If we are unable to effectively integrate our solution with other systems used by our customers, or if there are performance issues with such third-party systems, our solution will not operate effectively and our business and reputation will be adversely affected.</w:t>
      </w:r>
    </w:p>
    <w:p>
      <w:pPr>
        <w:spacing w:after="0" w:line="146"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nCino Bank Operating System integrates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 and our business and reputation may be harmed.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 can be unpredictable, time-consuming and costly.</w:t>
      </w:r>
    </w:p>
    <w:p>
      <w:pPr>
        <w:spacing w:after="0" w:line="225"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Our sales process involves educating prospective customers and existing customers about the benefits and technical capabilities of our solution. Prospective customers often undertake a prolonged evaluation process, which typically involves not only our solution, but also those of our competitors. Our sales cycles are typically lengthy, generally ranging from six to nine months for smaller financial institutions and twelve to eighteen months or more for larger financial institutions.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to protect our proprietary technology and intellectual property rights could adversely affect our business and results of operations.</w:t>
      </w:r>
    </w:p>
    <w:p>
      <w:pPr>
        <w:spacing w:after="0" w:line="248"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49"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As of April 30, 2020, we had twelve issued patents and one patent application pending relating to the nCino Bank Operating System in the United States.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United States and certain other countries and we have registrations and/or pending applications for additional marks including the “Bank Operating System” and “nIQ” in the United States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82" w:lineRule="exact"/>
        <w:rPr>
          <w:sz w:val="20"/>
          <w:szCs w:val="20"/>
          <w:color w:val="auto"/>
        </w:rPr>
      </w:pPr>
    </w:p>
    <w:p>
      <w:pPr>
        <w:ind w:left="120" w:right="280" w:firstLine="881"/>
        <w:spacing w:after="0" w:line="290" w:lineRule="auto"/>
        <w:rPr>
          <w:sz w:val="20"/>
          <w:szCs w:val="20"/>
          <w:color w:val="auto"/>
        </w:rPr>
      </w:pPr>
      <w:r>
        <w:rPr>
          <w:rFonts w:ascii="Arial" w:cs="Arial" w:eastAsia="Arial" w:hAnsi="Arial"/>
          <w:sz w:val="16"/>
          <w:szCs w:val="16"/>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 technologies or intellectual property rights.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We use “open source” software in our solution, which may restrict how we use or distribute our solutions, require that we release the source code of certain software subject to open source licenses or subject us to litigation or other actions that could adversely affect our business.</w:t>
      </w:r>
    </w:p>
    <w:p>
      <w:pPr>
        <w:spacing w:after="0" w:line="12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currently use in our solution,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 that our programmers have not incorporated open source software into our solution, or that they will not do so in the future.</w:t>
      </w:r>
    </w:p>
    <w:p>
      <w:pPr>
        <w:spacing w:after="0" w:line="178"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In addition, our solution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 As a result of using open source software subject to such licenses, we could be required to release proprietary source code, pay damages, re-engineer our solution, limit or discontinue sales or take other remedial action, any of which could adversely affect our business.</w:t>
      </w:r>
    </w:p>
    <w:p>
      <w:pPr>
        <w:spacing w:after="0" w:line="18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 utilizes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w:t>
      </w:r>
    </w:p>
    <w:p>
      <w:pPr>
        <w:spacing w:after="0" w:line="17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There can be no assurance that we will successfully defend third-party intellectual property claims. An adverse outcome of a dispute may require us to:</w:t>
      </w:r>
    </w:p>
    <w:p>
      <w:pPr>
        <w:spacing w:after="0" w:line="197" w:lineRule="exact"/>
        <w:rPr>
          <w:sz w:val="20"/>
          <w:szCs w:val="20"/>
          <w:color w:val="auto"/>
        </w:rPr>
      </w:pPr>
    </w:p>
    <w:p>
      <w:pPr>
        <w:ind w:left="5540" w:right="280" w:hanging="4439"/>
        <w:spacing w:after="0" w:line="449" w:lineRule="auto"/>
        <w:tabs>
          <w:tab w:leader="none" w:pos="14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 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0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developing or selling any elements of our solution that rely on technology that is alleged to infringe or misappropriate the intellectual property of others;</w:t>
      </w:r>
    </w:p>
    <w:p>
      <w:pPr>
        <w:spacing w:after="0" w:line="197" w:lineRule="exact"/>
        <w:rPr>
          <w:rFonts w:ascii="Arial" w:cs="Arial" w:eastAsia="Arial" w:hAnsi="Arial"/>
          <w:sz w:val="18"/>
          <w:szCs w:val="18"/>
          <w:color w:val="auto"/>
        </w:rPr>
      </w:pPr>
    </w:p>
    <w:p>
      <w:pPr>
        <w:ind w:left="1420" w:right="82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 or otherwise develop non-infringing technology, which may not be successful;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indemnify our customers and other third parties.</w:t>
      </w:r>
    </w:p>
    <w:p>
      <w:pPr>
        <w:spacing w:after="0" w:line="225" w:lineRule="exact"/>
        <w:rPr>
          <w:sz w:val="20"/>
          <w:szCs w:val="20"/>
          <w:color w:val="auto"/>
        </w:rPr>
      </w:pPr>
    </w:p>
    <w:p>
      <w:pPr>
        <w:ind w:left="120" w:right="300" w:firstLine="881"/>
        <w:spacing w:after="0" w:line="308" w:lineRule="auto"/>
        <w:rPr>
          <w:sz w:val="20"/>
          <w:szCs w:val="20"/>
          <w:color w:val="auto"/>
        </w:rPr>
      </w:pPr>
      <w:r>
        <w:rPr>
          <w:rFonts w:ascii="Arial" w:cs="Arial" w:eastAsia="Arial" w:hAnsi="Arial"/>
          <w:sz w:val="17"/>
          <w:szCs w:val="17"/>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litigation against us could damage our reputation and be costly and time-consuming to defend.</w:t>
      </w:r>
    </w:p>
    <w:p>
      <w:pPr>
        <w:spacing w:after="0" w:line="225"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customers in connection with commercial disputes or employment claims made by current or former employees. Litigation might result in reputational damage and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 While we currently are not aware of any material pending or threatened litigation against us, we can make no assurances the same will continue to be true in the future.</w:t>
      </w:r>
    </w:p>
    <w:p>
      <w:pPr>
        <w:spacing w:after="0" w:line="18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84" w:lineRule="exact"/>
        <w:rPr>
          <w:sz w:val="20"/>
          <w:szCs w:val="20"/>
          <w:color w:val="auto"/>
        </w:rPr>
      </w:pPr>
    </w:p>
    <w:p>
      <w:pPr>
        <w:jc w:val="both"/>
        <w:ind w:left="120" w:right="240" w:firstLine="881"/>
        <w:spacing w:after="0" w:line="287" w:lineRule="auto"/>
        <w:rPr>
          <w:sz w:val="20"/>
          <w:szCs w:val="20"/>
          <w:color w:val="auto"/>
        </w:rPr>
      </w:pPr>
      <w:r>
        <w:rPr>
          <w:rFonts w:ascii="Arial" w:cs="Arial" w:eastAsia="Arial" w:hAnsi="Arial"/>
          <w:sz w:val="16"/>
          <w:szCs w:val="16"/>
          <w:color w:val="auto"/>
        </w:rPr>
        <w:t>We have funded our operations since inception primarily through equity financings and receipts generated from customers. We cannot be certain when or if our operations will generate sufficient cash to fund our ongoing operations or the growth of our business. We intend to continue to make investments to support our business and may require additional funds. Moreover, we do not expect to be profitable for the foreseeable future.</w:t>
      </w:r>
    </w:p>
    <w:p>
      <w:pPr>
        <w:spacing w:after="0" w:line="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Additional financing may not be available on favorable terms, if at all. If adequate funds are not available on acceptable terms, we may be unable to invest in future growth opportunities, which could adversely affect our business and results of operations. If we incur debt, the lenders would have rights senior to holders of common stock to make claims on our assets, the terms of any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market data and forecasts included in this prospectus may prove to be inaccurate, and even if the markets in which we compete achieve the forecasted growth, we cannot assure you that our business will grow at similar rates, or at all.</w:t>
      </w:r>
    </w:p>
    <w:p>
      <w:pPr>
        <w:spacing w:after="0" w:line="170"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 third-party market data and forecasts included in this prospectus, as well as our internal estimates and research, are subject to significant uncertainty and are based on assumptions and estimates that may not prove to be accurate, although we have no reason to believe such information is not correct and we are in any case responsible for the contents of this prospectus. If the forecasts of market growth, anticipated spending or predictions regarding market size prove to be inaccurate, our business and growth prospects could be adversely affected. Even if all or some of the forecasted growth occurs, our business may not grow at a similar rate, or at all. Our future growth is subject to many factors, including our ability to successfully implement our business strategy, which itself is subject to many risks and uncertainties. The reports described in this prospectus speak as of their respective publication dates and the opinions expressed in such reports are subject to change. Accordingly, investors in our common stock are urged not to put undue reliance on such forecasts and market data.</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have incurred substantial net operating losses (“NOLs”), during our history. Unused NOLs may carry forward to offset future taxable income if we achieve profitability in the future, unless such NOLs expire under applicable tax laws.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and other pre-change tax attributes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this offering or future transactions in our stock, then we may be limited in our ability to use our NOL carryforwards to offset our future taxable income, if any. In addition, recently enacted tax legislation commonly referred to as the Tax Cuts and Jobs Act imposes certain limitations on the deduction of NOLs generated in tax years that began on or after January 1, 2018, including a limitation on use of NOLs to offset 80% of taxable income and the disallowance of NOL carryback. Although NOLs generated in tax years before 2018 may still be used to offset future income without regard to the 80% limitation, they have the potential to expire if we do not achieve profitability in the future.</w:t>
      </w:r>
    </w:p>
    <w:p>
      <w:pPr>
        <w:spacing w:after="0" w:line="16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70"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The Tax Cuts and Jobs Act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Many of the provisions of the Tax Cuts and Jobs Act still require guidance through the issuance and/or finalization of regulations by the U.S. Treasury Department in order to fully assess their effect, and there may be substantial delays before such regulations are promulgated and/or finalized, increasing the uncertainty as to the ultimate effect of the Tax Cuts and Jobs Act on us and our stockholders. There also may be technical corrections legislation or other legislative changes proposed with respect to the Tax Cuts and Jobs Act, the effect of which cannot be predicted and may be adverse to us or our stockholders.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may be harmed or rendered inoperable by such natural or man-made disasters, which may cause disruptions, difficulties or otherwise materially and adversely affect our business. Additionally, to the extent the COVID-19 pandemic adversely affects our business and financial results, it may also have the effect of heightening many of the other risks described in this ‘‘Risk Factors’’ section, such as our ability to achieve profitability in the future, our ability to attract new customers or continue to broaden our existing customers’ use of our solution and the impact of any decrease in technology spend by customers and potential customers in the financial services industry where we derive all of our revenues.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22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You may not be able to resell your shares at or above the initial public offering price and may lose all or part of your investment.</w:t>
      </w:r>
    </w:p>
    <w:p>
      <w:pPr>
        <w:spacing w:after="0" w:line="184"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The initial public offering price for our common stock will be determined through negotiations between the underwriters and us, and will vary from the market price of our common stock following this offering. If you purchase shares of our common stock in this offering, you may not be able to resell those shares at or above the initial public offering price. We cannot assure you that the market price following this offering will equal or exceed prices in privately negotiated transactions of our shares that have occurred from time to time before this offering. The market price of our common stock may fluctuate or decline significantly in response to numerous factors, many of which are beyond our control, including:</w:t>
      </w:r>
    </w:p>
    <w:p>
      <w:pPr>
        <w:spacing w:after="0" w:line="188" w:lineRule="exact"/>
        <w:rPr>
          <w:sz w:val="20"/>
          <w:szCs w:val="20"/>
          <w:color w:val="auto"/>
        </w:rPr>
      </w:pPr>
    </w:p>
    <w:p>
      <w:pPr>
        <w:ind w:left="1420" w:hanging="319"/>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variations between our actual operating results and the expectations of securities analysts, investors and the financial community;</w:t>
      </w:r>
    </w:p>
    <w:p>
      <w:pPr>
        <w:spacing w:after="0" w:line="275" w:lineRule="exact"/>
        <w:rPr>
          <w:rFonts w:ascii="Arial" w:cs="Arial" w:eastAsia="Arial" w:hAnsi="Arial"/>
          <w:sz w:val="16"/>
          <w:szCs w:val="16"/>
          <w:color w:val="auto"/>
        </w:rPr>
      </w:pPr>
    </w:p>
    <w:p>
      <w:pPr>
        <w:ind w:left="1420" w:right="52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us or our failure to meet these estimates or the expectations of investors;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shares of our common stock being sold into the market by us or our existing stockholders, or the anticipation of such sales, including if existing stockholders sell shares into the market when applicable “lock-up” periods end;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COVID-19, political conditions, election cycles, war or incidents of terrorism, or responses to these events.</w:t>
      </w:r>
    </w:p>
    <w:p>
      <w:pPr>
        <w:spacing w:after="0" w:line="170"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7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have applied to list our common stock on The Nasdaq Global Select Market under the symbol “NCNO.” However, we cannot assure you that an active trading market for our common stock will develop on that exchange or elsewhere or, if developed, that any market will be sustained. Accordingly, we cannot assure you of the likelihood that an active trading market for our common stock will develop or be maintained, the liquidity of any trading market, your ability to sell your shares of our common stock when desired or the prices that you may obtain for your shares.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If our existing stockholders, including employees who obtain equity, sell or indicate an intention to sell, substantial amounts of our common stock in the public market after the lock-up and legal restrictions on resale discussed in this prospectus lapse, the trading price of our common stock</w:t>
      </w:r>
    </w:p>
    <w:p>
      <w:pPr>
        <w:ind w:left="120"/>
        <w:spacing w:after="0" w:line="273" w:lineRule="auto"/>
        <w:rPr>
          <w:sz w:val="20"/>
          <w:szCs w:val="20"/>
          <w:color w:val="auto"/>
        </w:rPr>
      </w:pPr>
      <w:r>
        <w:rPr>
          <w:rFonts w:ascii="Arial" w:cs="Arial" w:eastAsia="Arial" w:hAnsi="Arial"/>
          <w:sz w:val="17"/>
          <w:szCs w:val="17"/>
          <w:color w:val="auto"/>
        </w:rPr>
        <w:t>could decline. Based on 81,583,127 shares outstanding as of April 30, 2020, upon the completion of this offering, we will have shares of common stock outstanding. Of these shares, only the shares of common stock sold in this offering will be freely tradable, without restriction, in the public market immediately after the offering. Each of our directors, executive officers and holders of substantially all of our outstanding equity securities are subject to lock-up agreements that restrict their ability to sell or transfer their shares for a period of 180 days after the date of this prospectus,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subject to certain exceptions. However, BofA Securities, Inc. and Barclays Capital Inc. (collectively, the “Representatives”) may, in their sole discretion, waive the contractual lock-up before the lock-up agreements expire. After the lock-up agreements expire, all 81,583,127 shares outstanding as of April 30, 2020 will be eligible for sale in the public market, of which 55,726,842 shares are held by directors, executive officers and other affiliates and will be subject to volume limitations under Rule 144 of the Securities Act of 1933, as amended (the “Securities Act”), and various vesting agreements. Sales of a substantial number of such shares upon expiration or earlier release of the lock-up and market stand-off agreements or, the perception that such sales may occur, could cause our market price to fall or make it more difficult for you to sell your common stock at a time and price that you deem appropriate.</w:t>
      </w:r>
    </w:p>
    <w:p>
      <w:pPr>
        <w:spacing w:after="0" w:line="195" w:lineRule="exact"/>
        <w:rPr>
          <w:sz w:val="20"/>
          <w:szCs w:val="20"/>
          <w:color w:val="auto"/>
        </w:rPr>
      </w:pPr>
    </w:p>
    <w:p>
      <w:pPr>
        <w:ind w:left="120" w:right="120" w:firstLine="881"/>
        <w:spacing w:after="0" w:line="271" w:lineRule="auto"/>
        <w:rPr>
          <w:sz w:val="20"/>
          <w:szCs w:val="20"/>
          <w:color w:val="auto"/>
        </w:rPr>
      </w:pPr>
      <w:r>
        <w:rPr>
          <w:rFonts w:ascii="Arial" w:cs="Arial" w:eastAsia="Arial" w:hAnsi="Arial"/>
          <w:sz w:val="17"/>
          <w:szCs w:val="17"/>
          <w:color w:val="auto"/>
        </w:rPr>
        <w:t>In addition, 7,744,722 shares of common stock were subject to outstanding stock options and 972,494 RSUs were outstanding as of April 30, 2020. No stock options and 1,068,429 RSUs were granted subsequent to April 30, 2020. These shares will become eligible for sale in the public market to the extent permitted by the provisions of various vesting agreements, lock-up agreements and Rules 144 and 701 of the Securities Act. We intend to file a registration statement on Form S-8 under the Securities Act covering all the shares of common stock subject to stock options and restricted stock units outstanding and reserved for issuance under our stock plans. That registration statement will become effective immediately on filing, and shares covered by that registration statement will be eligible for sale in the public markets, subject to Rule 144 limitations applicable to affiliates and the lock-up agreements described above. If these additional shares are sold, or if it is perceived that they will be sold in the public market, the trading price of our common stock could decline.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w:t>
      </w:r>
    </w:p>
    <w:p>
      <w:pPr>
        <w:spacing w:after="0" w:line="225" w:lineRule="exact"/>
        <w:rPr>
          <w:sz w:val="20"/>
          <w:szCs w:val="20"/>
          <w:color w:val="auto"/>
        </w:rPr>
      </w:pPr>
    </w:p>
    <w:p>
      <w:pPr>
        <w:jc w:val="both"/>
        <w:ind w:left="120" w:right="20" w:firstLine="881"/>
        <w:spacing w:after="0" w:line="287" w:lineRule="auto"/>
        <w:rPr>
          <w:sz w:val="20"/>
          <w:szCs w:val="20"/>
          <w:color w:val="auto"/>
        </w:rPr>
      </w:pPr>
      <w:r>
        <w:rPr>
          <w:rFonts w:ascii="Arial" w:cs="Arial" w:eastAsia="Arial" w:hAnsi="Arial"/>
          <w:sz w:val="16"/>
          <w:szCs w:val="16"/>
          <w:color w:val="auto"/>
        </w:rPr>
        <w:t>The assumed initial public offering price is substantially higher than the net tangible book value per share of our common stock of $1.02 per share as of April 30, 2020. Investors purchasing common stock in this offering will pay a price per share that substantially exceeds the book value of our tangible assets after subtracting our liabilities, goodwill, intangible assets and redeemable non-controlling interest. As a result, investors purchasing</w:t>
      </w:r>
    </w:p>
    <w:p>
      <w:pPr>
        <w:spacing w:after="0" w:line="2" w:lineRule="exact"/>
        <w:rPr>
          <w:sz w:val="20"/>
          <w:szCs w:val="20"/>
          <w:color w:val="auto"/>
        </w:rPr>
      </w:pPr>
    </w:p>
    <w:p>
      <w:pPr>
        <w:jc w:val="both"/>
        <w:ind w:left="120" w:right="320"/>
        <w:spacing w:after="0" w:line="277" w:lineRule="auto"/>
        <w:rPr>
          <w:sz w:val="20"/>
          <w:szCs w:val="20"/>
          <w:color w:val="auto"/>
        </w:rPr>
      </w:pPr>
      <w:r>
        <w:rPr>
          <w:rFonts w:ascii="Arial" w:cs="Arial" w:eastAsia="Arial" w:hAnsi="Arial"/>
          <w:sz w:val="17"/>
          <w:szCs w:val="17"/>
          <w:color w:val="auto"/>
        </w:rPr>
        <w:t>common stock in this offering will incur immediate dilution of $ per share, based on the assumed initial public offering price of $ per share, which is the midpoint of the estimated price range set forth on the cover page of this prospectus. This dilution is due to the substantially lower price paid by our investors who purchased shares prior to this offering as compared to the price offered to the public in this offering.</w:t>
      </w:r>
    </w:p>
    <w:p>
      <w:pPr>
        <w:spacing w:after="0" w:line="173"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how we may use the net proceeds from this offering, and we may not use them effectively.</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principal purposes of this offering are to create a public market for our common stock, facilitate access to the public equity markets, increase our visibility in the marketplace and obtain additional capital to support further growth in our business. Our management will have broad discretion in applying the net proceeds we receive from this offering. We may use the net proceeds for general corporate purposes, including working capital, operating expenses and capital expenditures. We may use a portion of the net proceeds to acquire complementary businesses, products, services or technologies. However, we do not have agreements 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commitments to enter into any acquisitions at this time. We may also spend or invest these proceeds in a way with which our stockholders disagree. If our management fails to use these funds effectively, our business could be seriously harmed.</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84"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61"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46" w:lineRule="exact"/>
        <w:rPr>
          <w:sz w:val="20"/>
          <w:szCs w:val="20"/>
          <w:color w:val="auto"/>
        </w:rPr>
      </w:pPr>
    </w:p>
    <w:p>
      <w:pPr>
        <w:ind w:left="120" w:right="60" w:firstLine="881"/>
        <w:spacing w:after="0" w:line="342" w:lineRule="auto"/>
        <w:rPr>
          <w:sz w:val="20"/>
          <w:szCs w:val="20"/>
          <w:color w:val="auto"/>
        </w:rPr>
      </w:pPr>
      <w:r>
        <w:rPr>
          <w:rFonts w:ascii="Arial" w:cs="Arial" w:eastAsia="Arial" w:hAnsi="Arial"/>
          <w:sz w:val="16"/>
          <w:szCs w:val="16"/>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51" w:lineRule="exact"/>
        <w:rPr>
          <w:sz w:val="20"/>
          <w:szCs w:val="20"/>
          <w:color w:val="auto"/>
        </w:rPr>
      </w:pPr>
    </w:p>
    <w:p>
      <w:pPr>
        <w:ind w:left="1420" w:right="12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26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As a result, our stockholders may not have access to certain information they may deem important. We could be an emerging growth company for up to five years,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7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w:t>
      </w:r>
    </w:p>
    <w:p>
      <w:pPr>
        <w:spacing w:after="0" w:line="2" w:lineRule="exact"/>
        <w:rPr>
          <w:sz w:val="20"/>
          <w:szCs w:val="20"/>
          <w:color w:val="auto"/>
        </w:rPr>
      </w:pPr>
    </w:p>
    <w:p>
      <w:pPr>
        <w:ind w:left="120" w:right="160" w:hanging="4"/>
        <w:spacing w:after="0" w:line="290" w:lineRule="auto"/>
        <w:tabs>
          <w:tab w:leader="none" w:pos="3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We will be required, pursuant to Section 404 of the Sarbanes-Oxley Act, to furnish a report by management on, among other things, the effectiveness of our internal control over financial reporting on an annual basis, beginning with our 2022 fiscal year.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78"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Our compliance with Section 404 will require that we incur substantial accounting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7"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and operating results.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237"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in this offering bear the risk that future issuances of debt or equity securities may reduce the value of our common stock and further dilute their ownership interest.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as a public company will require us to incur substantial costs and will require substantial management attention.</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As a public company, we will incur substantial legal, accounting and other expenses that we did not incur as a private company. For example, we will be subject to the reporting requirements of the Securities Exchange Act of 1934, as amended (the “Exchange Act”), the applicable requirements of the Sarbanes-Oxley Act and the Dodd-Frank Wall Street Reform and Consumer Protection Act and the rules and regulations of the SEC. The rules and regulations of The Nasdaq Global Select Market will also apply to us following this offering. As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part of the new requirements, we will need to establish and maintain effective disclosure and financial controls and make changes to our corporate governance practices. We expect that compliance with these requirements will increase our legal and financial compliance costs and will make some activities more time-consuming.</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expect that our management and other personnel will need to divert attention from other business matters to devote substantial time to the reporting and other requirements of being a public company. In particular, we expect to incur significant expense and devote substantial management effort to complying with the requirements of Section 404 of the Sarbanes-Oxley Act. We will need to hire additional accounting and financial staff with appropriate public company experience and technical accounting knowledge.</w:t>
      </w:r>
    </w:p>
    <w:p>
      <w:pPr>
        <w:spacing w:after="0" w:line="187"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also expect that being a public company and complying with applicable rules and regulations will make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w:t>
      </w:r>
    </w:p>
    <w:p>
      <w:pPr>
        <w:spacing w:after="0" w:line="187"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bylaws that will be in effect on the completion of this offering could make a merger, tender offer or proxy contest difficult, thereby depressing the trading price of our common stock.</w:t>
      </w:r>
    </w:p>
    <w:p>
      <w:pPr>
        <w:spacing w:after="0" w:line="124"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Our amended and restated certificate of incorporation and bylaws that will be in effect on the completion of this offering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92" w:lineRule="exact"/>
        <w:rPr>
          <w:sz w:val="20"/>
          <w:szCs w:val="20"/>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amended and restated certificate of incorporation and bylaws;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Any provision of our amended and restated certificate of incorporation or bylaws that will be in effect on the completion of this offering or Delaware law that has the effect of delaying or deterring a change in control could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limit the opportunity for our stockholders to receive a premium for their shares of our common stock, and could also affect the price that some investors are willing to pay for our common stock. For information regarding these and other provisions, see section titled “Description of Capital Stock—Anti-Takeover Provisions.”</w:t>
      </w:r>
    </w:p>
    <w:p>
      <w:pPr>
        <w:spacing w:after="0" w:line="18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will provide that, unless we consent in writing to the selection of an alternative forum, to the fullest extent permitted by law, the sole and exclusive forum for</w:t>
      </w:r>
    </w:p>
    <w:p>
      <w:pPr>
        <w:ind w:left="120" w:hanging="4"/>
        <w:spacing w:after="0" w:line="252"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92" w:lineRule="exact"/>
        <w:rPr>
          <w:sz w:val="20"/>
          <w:szCs w:val="20"/>
          <w:color w:val="auto"/>
        </w:rPr>
      </w:pPr>
    </w:p>
    <w:p>
      <w:pPr>
        <w:ind w:left="120" w:right="700" w:firstLine="881"/>
        <w:spacing w:after="0" w:line="342" w:lineRule="auto"/>
        <w:rPr>
          <w:sz w:val="20"/>
          <w:szCs w:val="20"/>
          <w:color w:val="auto"/>
        </w:rPr>
      </w:pPr>
      <w:r>
        <w:rPr>
          <w:rFonts w:ascii="Arial" w:cs="Arial" w:eastAsia="Arial" w:hAnsi="Arial"/>
          <w:sz w:val="16"/>
          <w:szCs w:val="16"/>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24"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which will become effective immediately prior to the completion of this offering,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7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This prospectus contains forward-looking statements within the meaning of the U.S. federal securities laws. All statements other than statements of historical fact contained in this prospectus, including statements regarding our future results of operations and financial condition,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6"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221" w:lineRule="exact"/>
        <w:rPr>
          <w:sz w:val="20"/>
          <w:szCs w:val="20"/>
          <w:color w:val="auto"/>
        </w:rPr>
      </w:pPr>
    </w:p>
    <w:p>
      <w:pPr>
        <w:ind w:left="1420" w:right="30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revenues, cost of revenues, operating expenses, and our ability to achieve and maintain future profitability;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execute strategies, plans, objectives and goals;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effectively manage privacy, information and data security;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associated with research and development and building out our sales team;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spending by financial institutions in cloud-based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add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expand internationally and associated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and management of future growth based on subscription revenues over terms of contracts;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concerning relationships with our customers, partners and other third parties;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COVID-19 on our industry, business and results of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relationship with Salesforce and our 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 sales fluctuations;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add capacity and automation to our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This prospectus contains estimates, projections and other information concerning our industry, including market size and growth rates of the markets in which we participate, and discussion of our general expectations, market position and market opportunity. Although we are responsible for the disclosure contained in this prospectus, this information is based on various sources, including reports and publications from Accenture, Ernst &amp; Young, Gartner, IDC, McKinsey &amp; Company, PricewaterhouseCoopers and other industry publications, surveys and forecasts, and assumptions we have made that are based on such data and other similar sources and on our knowledge of the markets for our solution. This information involves a number of assumptions and limitations, and you are cautioned not to give undue weight to these estimates.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reports and publications appearing in this prospectus include:</w:t>
      </w:r>
    </w:p>
    <w:p>
      <w:pPr>
        <w:spacing w:after="0" w:line="252" w:lineRule="exact"/>
        <w:rPr>
          <w:sz w:val="20"/>
          <w:szCs w:val="20"/>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Accenture, 2018 North America Banking Operations Survey, March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Accenture, Redefine Banking with Artificial Intelligence, January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Celent and NEX, Cloud in Capital Markets: Getting Ahead of Tomorrow, March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Ernst &amp; Young LLC, Global Banking Outlook 2018: Pivoting Toward an Innovation-Led Strategy, May 2018.</w:t>
      </w:r>
    </w:p>
    <w:p>
      <w:pPr>
        <w:spacing w:after="0" w:line="252" w:lineRule="exact"/>
        <w:rPr>
          <w:rFonts w:ascii="Arial" w:cs="Arial" w:eastAsia="Arial" w:hAnsi="Arial"/>
          <w:sz w:val="18"/>
          <w:szCs w:val="18"/>
          <w:color w:val="auto"/>
        </w:rPr>
      </w:pPr>
    </w:p>
    <w:p>
      <w:pPr>
        <w:ind w:left="1420" w:right="40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Gartner, Forecast: Enterprise IT Spending by Vertical Industry Market, Worldwide, 2017-2023, 3Q19 Update, Neha Gupta, et al., October 2019.</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Grata Inc., nCino Global Banking Market Study Summary Report, October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IDC, Worldwide Semi Annual Public Cloud Services Spending Guide, 2018H2, June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McKinsey &amp; Company, Inc., Bots, Algorithms, and the Future of the Finance Function, January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McKinsey &amp; Company, Inc., McKinsey on Payments—Special Edition on Advanced Analytics in Banking, August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PricewaterhouseCoopers, Consumer Digital Banking Survey, June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Thomson Reuters, Cost of Compliance 2019: 10 Years of Regulatory Change, June 2019.</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Industry data and other third-party information have been obtained from sources believed to be reliable, but we have not independently verified any third-party information.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third parties and by us.</w:t>
      </w:r>
    </w:p>
    <w:p>
      <w:pPr>
        <w:spacing w:after="0" w:line="188"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The Gartner Report(s) described herein, (the “Gartner Report(s)”) represent(s) research opinion or viewpoints published, as part of a syndicated subscription service, by Gartner, Inc. (“Gartner”), and are not representations of fact. Each Gartner Report speaks as of its original publication date (and not as of the date of this prospectus) and the opinions expressed in the Gartner Report(s) are subject to change without notice. The banking market falls within the banking and securities market in Gartner’s industry data set. Calculations on Gartner industry data were performed by nCino.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760" w:firstLine="881"/>
        <w:spacing w:after="0" w:line="274" w:lineRule="auto"/>
        <w:rPr>
          <w:sz w:val="20"/>
          <w:szCs w:val="20"/>
          <w:color w:val="auto"/>
        </w:rPr>
      </w:pPr>
      <w:r>
        <w:rPr>
          <w:rFonts w:ascii="Arial" w:cs="Arial" w:eastAsia="Arial" w:hAnsi="Arial"/>
          <w:sz w:val="17"/>
          <w:szCs w:val="17"/>
          <w:color w:val="auto"/>
        </w:rPr>
        <w:t>We estimate that the net proceeds from the sale of the shares of common stock that we are selling in this offering will be approximately $ , based on an assumed initial public offering price of $ per share, the midpoint of the range on the front cover of this</w:t>
      </w:r>
    </w:p>
    <w:p>
      <w:pPr>
        <w:ind w:left="120" w:right="240"/>
        <w:spacing w:after="0" w:line="281" w:lineRule="auto"/>
        <w:rPr>
          <w:sz w:val="20"/>
          <w:szCs w:val="20"/>
          <w:color w:val="auto"/>
        </w:rPr>
      </w:pPr>
      <w:r>
        <w:rPr>
          <w:rFonts w:ascii="Arial" w:cs="Arial" w:eastAsia="Arial" w:hAnsi="Arial"/>
          <w:sz w:val="16"/>
          <w:szCs w:val="16"/>
          <w:color w:val="auto"/>
        </w:rPr>
        <w:t>prospectus, after deducting estimated underwriting discounts and commissions and offering expenses payable by us. If the underwriters fully exercise their option to purchase additional common stock in this offering, we estimate that our net proceeds will be approximately $ , based on an assumed</w:t>
      </w:r>
    </w:p>
    <w:p>
      <w:pPr>
        <w:spacing w:after="0" w:line="1"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initial public offering price of $ per share, the midpoint of the range on the front cover of this prospectus, after deducting estimated underwriting discounts and commissions and offering expenses payable by us.</w:t>
      </w:r>
    </w:p>
    <w:p>
      <w:pPr>
        <w:spacing w:after="0" w:line="185" w:lineRule="exact"/>
        <w:rPr>
          <w:sz w:val="20"/>
          <w:szCs w:val="20"/>
          <w:color w:val="auto"/>
        </w:rPr>
      </w:pPr>
    </w:p>
    <w:p>
      <w:pPr>
        <w:ind w:left="120" w:right="80" w:firstLine="881"/>
        <w:spacing w:after="0" w:line="287" w:lineRule="auto"/>
        <w:rPr>
          <w:sz w:val="20"/>
          <w:szCs w:val="20"/>
          <w:color w:val="auto"/>
        </w:rPr>
      </w:pPr>
      <w:r>
        <w:rPr>
          <w:rFonts w:ascii="Arial" w:cs="Arial" w:eastAsia="Arial" w:hAnsi="Arial"/>
          <w:sz w:val="16"/>
          <w:szCs w:val="16"/>
          <w:color w:val="auto"/>
        </w:rPr>
        <w:t>Each $1.00 increase (decrease) in the assumed initial public offering price of our common stock would increase (decrease) the net proceeds from this offering by $ , assuming that the number of shares offered by us, as set forth on the cover page of this prospectus, remains the same and after deducting underwriting discounts and commissions and offering expenses payable by us. Similarly, each 1.0 million share increase (decrease) in</w:t>
      </w:r>
    </w:p>
    <w:p>
      <w:pPr>
        <w:spacing w:after="0" w:line="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number of shares offered by us would increase (decrease) the net proceeds from this offering by $ , assuming no change in the assumed initial public offering price per share and after deducting underwriting discounts and commissions and offering expenses payable by us. We do not expect that a change in the initial public offering price or the number of shares by these amounts would have a material effect on our uses of the proceeds from this offering, although a decrease in proceeds may accelerate the time when we need to seek additional capital.</w:t>
      </w:r>
    </w:p>
    <w:p>
      <w:pPr>
        <w:spacing w:after="0" w:line="176"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principal purposes of this offering are to create a public market for our common stock, facilitate access to the public equity markets, increase our visibility in the marketplace and obtain additional capital to support further growth in our business. We intend to use the net proceeds we receive from this offering for general corporate purposes, including working capital and capital expenditures such as additional office facilities. We may also use a portion of the net proceeds to acquire, invest in or obtain rights to complementary technologies, products, services or businesses. There are no such transactions or agreements at this time.</w:t>
      </w:r>
    </w:p>
    <w:p>
      <w:pPr>
        <w:spacing w:after="0" w:line="18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Because we expect to use the net proceeds from this offering for working capital and other general corporate purposes, our management will have broad discretion over the use of the net proceeds from this offering. As of the date of this prospectus, we intend to invest the net proceeds that are not used as described above in capital-preservation investments, including short-term interest-bearing investment-grade securities, certificates of deposit or U.S. government backed securities.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our cash and cash equivalents and capitalization as of April 30, 2020:</w:t>
      </w:r>
    </w:p>
    <w:p>
      <w:pPr>
        <w:spacing w:after="0" w:line="131"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420" w:right="240" w:hanging="319"/>
        <w:spacing w:after="0" w:line="342" w:lineRule="auto"/>
        <w:tabs>
          <w:tab w:leader="none" w:pos="1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a pro forma basis giving effect to the conversion of all of the outstanding shares of our non-voting common stock into 5,931,319 shares of our voting common stock upon the filing and effectiveness of an amendment to our certificate of incorporation; and</w:t>
      </w:r>
    </w:p>
    <w:p>
      <w:pPr>
        <w:spacing w:after="0" w:line="29" w:lineRule="exact"/>
        <w:rPr>
          <w:rFonts w:ascii="Arial" w:cs="Arial" w:eastAsia="Arial" w:hAnsi="Arial"/>
          <w:sz w:val="16"/>
          <w:szCs w:val="16"/>
          <w:color w:val="auto"/>
        </w:rPr>
      </w:pPr>
    </w:p>
    <w:p>
      <w:pPr>
        <w:jc w:val="both"/>
        <w:ind w:left="1420" w:right="20" w:hanging="319"/>
        <w:spacing w:after="0" w:line="291" w:lineRule="auto"/>
        <w:tabs>
          <w:tab w:leader="none" w:pos="1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the pro forma adjustment noted above and the filing and effectiveness of our amended and restated certificate of incorporation, which will be effective immediately prior to the completion of this offering and our issuance,</w:t>
      </w:r>
    </w:p>
    <w:p>
      <w:pPr>
        <w:ind w:left="1420" w:right="220"/>
        <w:spacing w:after="0" w:line="255" w:lineRule="auto"/>
        <w:rPr>
          <w:sz w:val="20"/>
          <w:szCs w:val="20"/>
          <w:color w:val="auto"/>
        </w:rPr>
      </w:pPr>
      <w:r>
        <w:rPr>
          <w:rFonts w:ascii="Arial" w:cs="Arial" w:eastAsia="Arial" w:hAnsi="Arial"/>
          <w:sz w:val="18"/>
          <w:szCs w:val="18"/>
          <w:color w:val="auto"/>
        </w:rPr>
        <w:t>and the sale of shares of our common stock in this offering at the assumed initial offering price of $ per share, which is the midpoint of the offering price range on the cover page of this prospectus, after deducting estimated underwriting discounts and commissions and estimated offering expenses payable by us.</w:t>
      </w:r>
    </w:p>
    <w:p>
      <w:pPr>
        <w:spacing w:after="0" w:line="19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You should read this table together with the sections titled “Selected Consolidated Financial and Other Data,” “Use of Proceeds,” “Management’s Discussion and Analysis of Financial Condition and Results of Operations” and our consolidated financial statements and related notes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As of April 30, 2020</w:t>
            </w:r>
          </w:p>
        </w:tc>
        <w:tc>
          <w:tcPr>
            <w:tcW w:w="20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88"/>
              </w:rPr>
              <w:t>Actual</w:t>
            </w:r>
          </w:p>
        </w:tc>
        <w:tc>
          <w:tcPr>
            <w:tcW w:w="240" w:type="dxa"/>
            <w:vAlign w:val="bottom"/>
          </w:tcPr>
          <w:p>
            <w:pPr>
              <w:spacing w:after="0"/>
              <w:rPr>
                <w:sz w:val="12"/>
                <w:szCs w:val="12"/>
                <w:color w:val="auto"/>
              </w:rPr>
            </w:pPr>
          </w:p>
        </w:tc>
        <w:tc>
          <w:tcPr>
            <w:tcW w:w="98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w w:val="99"/>
              </w:rPr>
              <w:t>Pro Forma</w:t>
            </w:r>
          </w:p>
        </w:tc>
        <w:tc>
          <w:tcPr>
            <w:tcW w:w="20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99,038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99,038</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Stockholders’ equity:</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8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Voting common stock, $0.0005 par value; 99,708,247 shares authorized; 75,651,808 shares issued</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and outstanding, actual; 81,583,127 shares issued and outstanding, pro forma;</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pro forma as adjusted</w:t>
            </w: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8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Non-voting common stock, $0.0005 par value; 10,291,753 shares authorized; 5,931,319 shares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gridSpan w:val="3"/>
          </w:tcPr>
          <w:p>
            <w:pPr>
              <w:ind w:left="540"/>
              <w:spacing w:after="0"/>
              <w:rPr>
                <w:sz w:val="20"/>
                <w:szCs w:val="20"/>
                <w:color w:val="auto"/>
              </w:rPr>
            </w:pPr>
            <w:r>
              <w:rPr>
                <w:rFonts w:ascii="Arial" w:cs="Arial" w:eastAsia="Arial" w:hAnsi="Arial"/>
                <w:sz w:val="18"/>
                <w:szCs w:val="18"/>
                <w:color w:val="auto"/>
                <w:w w:val="98"/>
              </w:rPr>
              <w:t>issued and outstanding, actual; no shares issued and outstanding, pro forma and pro forma as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540"/>
              <w:spacing w:after="0"/>
              <w:rPr>
                <w:sz w:val="20"/>
                <w:szCs w:val="20"/>
                <w:color w:val="auto"/>
              </w:rPr>
            </w:pPr>
            <w:r>
              <w:rPr>
                <w:rFonts w:ascii="Arial" w:cs="Arial" w:eastAsia="Arial" w:hAnsi="Arial"/>
                <w:sz w:val="18"/>
                <w:szCs w:val="18"/>
                <w:color w:val="auto"/>
              </w:rPr>
              <w:t>adjusted</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8"/>
              </w:rPr>
              <w:t>289,624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289,624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0"/>
              </w:rPr>
              <w:t>(125,580)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(125,580)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1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163,898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163,898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8"/>
              </w:rPr>
              <w:t>262,936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262,936</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3"/>
          <w:szCs w:val="13"/>
          <w:color w:val="auto"/>
        </w:rPr>
      </w:pPr>
      <w:r>
        <w:rPr>
          <w:rFonts w:ascii="Arial" w:cs="Arial" w:eastAsia="Arial" w:hAnsi="Arial"/>
          <w:sz w:val="16"/>
          <w:szCs w:val="16"/>
          <w:color w:val="auto"/>
        </w:rPr>
        <w:t>Each $1.00 increase or decrease in the assumed initial public offering price per share of our common stock would increase or decrease the amount</w:t>
      </w:r>
    </w:p>
    <w:p>
      <w:pPr>
        <w:spacing w:after="0" w:line="46" w:lineRule="exact"/>
        <w:rPr>
          <w:sz w:val="20"/>
          <w:szCs w:val="20"/>
          <w:color w:val="auto"/>
        </w:rPr>
      </w:pPr>
    </w:p>
    <w:p>
      <w:pPr>
        <w:ind w:left="540" w:right="260"/>
        <w:spacing w:after="0" w:line="281" w:lineRule="auto"/>
        <w:rPr>
          <w:sz w:val="20"/>
          <w:szCs w:val="20"/>
          <w:color w:val="auto"/>
        </w:rPr>
      </w:pPr>
      <w:r>
        <w:rPr>
          <w:rFonts w:ascii="Arial" w:cs="Arial" w:eastAsia="Arial" w:hAnsi="Arial"/>
          <w:sz w:val="16"/>
          <w:szCs w:val="16"/>
          <w:color w:val="auto"/>
        </w:rPr>
        <w:t>of our pro forma as adjusted cash and cash equivalents, total assets and total stockholders’ equity by $ , assuming that the number of shares offered by us, as set forth on the cover page of this prospectus, remains the same, after deducting estimated underwriting discounts and commissions payable by us. An increase or decrease of 1.0 million shares in the number of shares offered by us would increase or decrease, as</w:t>
      </w:r>
    </w:p>
    <w:p>
      <w:pPr>
        <w:spacing w:after="0" w:line="2" w:lineRule="exact"/>
        <w:rPr>
          <w:sz w:val="20"/>
          <w:szCs w:val="20"/>
          <w:color w:val="auto"/>
        </w:rPr>
      </w:pPr>
    </w:p>
    <w:p>
      <w:pPr>
        <w:ind w:left="540" w:right="220"/>
        <w:spacing w:after="0" w:line="290" w:lineRule="auto"/>
        <w:rPr>
          <w:sz w:val="20"/>
          <w:szCs w:val="20"/>
          <w:color w:val="auto"/>
        </w:rPr>
      </w:pPr>
      <w:r>
        <w:rPr>
          <w:rFonts w:ascii="Arial" w:cs="Arial" w:eastAsia="Arial" w:hAnsi="Arial"/>
          <w:sz w:val="17"/>
          <w:szCs w:val="17"/>
          <w:color w:val="auto"/>
        </w:rPr>
        <w:t>applicable, the amount of our pro forma as adjusted cash and cash equivalents, total assets and total stockholders’ equity by $ assuming the assumed initial public offering price remains the same, and after deducting underwriting discounts and commissions payable by us.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40"/>
          </w:cols>
          <w:pgMar w:left="320" w:top="459" w:right="539" w:bottom="1440" w:gutter="0" w:footer="0" w:header="0"/>
        </w:sectPr>
      </w:pPr>
    </w:p>
    <w:p>
      <w:pPr>
        <w:spacing w:after="0" w:line="332"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outstanding as of April 30, 2020 and excludes: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shares of our common stock</w:t>
      </w:r>
    </w:p>
    <w:p>
      <w:pPr>
        <w:spacing w:after="0" w:line="369" w:lineRule="exact"/>
        <w:rPr>
          <w:sz w:val="20"/>
          <w:szCs w:val="20"/>
          <w:color w:val="auto"/>
        </w:rPr>
      </w:pPr>
    </w:p>
    <w:p>
      <w:pPr>
        <w:sectPr>
          <w:pgSz w:w="11900" w:h="16838" w:orient="portrait"/>
          <w:cols w:equalWidth="0" w:num="2">
            <w:col w:w="7740" w:space="620"/>
            <w:col w:w="2680"/>
          </w:cols>
          <w:pgMar w:left="320" w:top="459" w:right="539" w:bottom="1440" w:gutter="0" w:footer="0" w:header="0"/>
          <w:type w:val="continuous"/>
        </w:sectPr>
      </w:pPr>
    </w:p>
    <w:p>
      <w:pPr>
        <w:ind w:left="142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7,744,722 shares of common stock issuable upon exercise of options outstanding as of April 30, 2020, at a weighted-average exercise price of $5.39 per share under our existing equity plans;</w:t>
      </w:r>
    </w:p>
    <w:p>
      <w:pPr>
        <w:spacing w:after="0" w:line="75"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972,494 shares of common stock issuable upon vesting of RSU awards as of April 30, 2020;</w:t>
      </w:r>
    </w:p>
    <w:p>
      <w:pPr>
        <w:spacing w:after="0" w:line="130" w:lineRule="exact"/>
        <w:rPr>
          <w:rFonts w:ascii="Arial" w:cs="Arial" w:eastAsia="Arial" w:hAnsi="Arial"/>
          <w:sz w:val="18"/>
          <w:szCs w:val="18"/>
          <w:color w:val="auto"/>
        </w:rPr>
      </w:pPr>
    </w:p>
    <w:p>
      <w:pPr>
        <w:ind w:left="2020" w:hanging="919"/>
        <w:spacing w:after="0"/>
        <w:tabs>
          <w:tab w:leader="none" w:pos="2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2019 Incentive Plan; and</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20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of common stock reserved for issuance under our ESPP, which will become effective on the business day immediately prior to the effectiveness of the registration statement of which this prospectus forms a part.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common stock and the as adjusted net tangible book value per share immediately after this offering.</w:t>
      </w:r>
    </w:p>
    <w:p>
      <w:pPr>
        <w:spacing w:after="0" w:line="146" w:lineRule="exact"/>
        <w:rPr>
          <w:sz w:val="20"/>
          <w:szCs w:val="20"/>
          <w:color w:val="auto"/>
        </w:rPr>
      </w:pPr>
    </w:p>
    <w:p>
      <w:pPr>
        <w:ind w:left="120" w:right="20" w:firstLine="881"/>
        <w:spacing w:after="0" w:line="274" w:lineRule="auto"/>
        <w:rPr>
          <w:sz w:val="20"/>
          <w:szCs w:val="20"/>
          <w:color w:val="auto"/>
        </w:rPr>
      </w:pPr>
      <w:r>
        <w:rPr>
          <w:rFonts w:ascii="Arial" w:cs="Arial" w:eastAsia="Arial" w:hAnsi="Arial"/>
          <w:sz w:val="17"/>
          <w:szCs w:val="17"/>
          <w:color w:val="auto"/>
        </w:rPr>
        <w:t>Our net tangible book value as of April 30, 2020 was $83.0 million, or $1.02 per share. After giving effect to the sale by us of shares of common stock in this offering at an assumed initial public offering price of $ per share, the midpoint of the offering price range on the cover</w:t>
      </w:r>
    </w:p>
    <w:p>
      <w:pPr>
        <w:ind w:left="120"/>
        <w:spacing w:after="0"/>
        <w:rPr>
          <w:sz w:val="20"/>
          <w:szCs w:val="20"/>
          <w:color w:val="auto"/>
        </w:rPr>
      </w:pPr>
      <w:r>
        <w:rPr>
          <w:rFonts w:ascii="Arial" w:cs="Arial" w:eastAsia="Arial" w:hAnsi="Arial"/>
          <w:sz w:val="16"/>
          <w:szCs w:val="16"/>
          <w:color w:val="auto"/>
        </w:rPr>
        <w:t>page of this prospectus, and after deducting underwriting discounts and commissions, offering expenses payable by us, our as adjusted net tangible book</w:t>
      </w:r>
    </w:p>
    <w:p>
      <w:pPr>
        <w:spacing w:after="0" w:line="386"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value as of would have been $ , or $ per share. This amount represents an immediate increase in as adjusted net tangible book value of $ per share to our existing stockholders and an immediate dilution in as adjusted net tangible book value of $ per share to new investors</w:t>
      </w:r>
    </w:p>
    <w:p>
      <w:pPr>
        <w:spacing w:after="0" w:line="1" w:lineRule="exact"/>
        <w:rPr>
          <w:sz w:val="20"/>
          <w:szCs w:val="20"/>
          <w:color w:val="auto"/>
        </w:rPr>
      </w:pPr>
    </w:p>
    <w:p>
      <w:pPr>
        <w:ind w:left="120" w:right="40"/>
        <w:spacing w:after="0" w:line="323" w:lineRule="auto"/>
        <w:rPr>
          <w:sz w:val="20"/>
          <w:szCs w:val="20"/>
          <w:color w:val="auto"/>
        </w:rPr>
      </w:pPr>
      <w:r>
        <w:rPr>
          <w:rFonts w:ascii="Arial" w:cs="Arial" w:eastAsia="Arial" w:hAnsi="Arial"/>
          <w:sz w:val="16"/>
          <w:szCs w:val="16"/>
          <w:color w:val="auto"/>
        </w:rPr>
        <w:t>purchasing common stock in this offering. We determine dilution by subtracting the as adjusted net tangible book value per share after this offering from the amount of cash that a new investor paid for a share of common stock. The following table illustrates this dilution on a per share basis: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April 30, 2020</w:t>
            </w:r>
          </w:p>
        </w:tc>
        <w:tc>
          <w:tcPr>
            <w:tcW w:w="3240" w:type="dxa"/>
            <w:vAlign w:val="bottom"/>
          </w:tcPr>
          <w:p>
            <w:pPr>
              <w:jc w:val="right"/>
              <w:ind w:right="175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our existing stockholders</w:t>
            </w:r>
          </w:p>
        </w:tc>
        <w:tc>
          <w:tcPr>
            <w:tcW w:w="324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324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3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20" w:right="20" w:firstLine="881"/>
        <w:spacing w:after="0" w:line="291" w:lineRule="auto"/>
        <w:rPr>
          <w:sz w:val="20"/>
          <w:szCs w:val="20"/>
          <w:color w:val="auto"/>
        </w:rPr>
      </w:pPr>
      <w:r>
        <w:rPr>
          <w:rFonts w:ascii="Arial" w:cs="Arial" w:eastAsia="Arial" w:hAnsi="Arial"/>
          <w:sz w:val="16"/>
          <w:szCs w:val="16"/>
          <w:color w:val="auto"/>
        </w:rPr>
        <w:t>The dilution information discussed above is illustrative only and may change based on the actual initial public offering price and other terms of this offering. A $1.00 increase (decrease) in the assumed initial public offering price of our common stock would increase (decrease) our as adjusted</w:t>
      </w:r>
    </w:p>
    <w:p>
      <w:pPr>
        <w:ind w:left="120" w:right="40"/>
        <w:spacing w:after="0" w:line="281" w:lineRule="auto"/>
        <w:rPr>
          <w:sz w:val="20"/>
          <w:szCs w:val="20"/>
          <w:color w:val="auto"/>
        </w:rPr>
      </w:pPr>
      <w:r>
        <w:rPr>
          <w:rFonts w:ascii="Arial" w:cs="Arial" w:eastAsia="Arial" w:hAnsi="Arial"/>
          <w:sz w:val="16"/>
          <w:szCs w:val="16"/>
          <w:color w:val="auto"/>
        </w:rPr>
        <w:t>net tangible book value per share after this offering by $ per share and increase (decrease) the dilution to new investors by $ per share, in each case assuming the number of shares of common stock offered by us, as set forth on the cover page of this prospectus, remains the same, and after deducting underwriting discounts and commissions and offering expenses payable by us. Similarly, each increase or decrease of 1.0 million shares in the</w:t>
      </w:r>
    </w:p>
    <w:p>
      <w:pPr>
        <w:spacing w:after="0" w:line="2"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number of shares of common stock offered by us would increase (decrease) our as adjusted net tangible book value by approximately $ per share and decrease (increase) the dilution to new investors by approximately $ per share, in each case assuming the assumed initial public offering price of</w:t>
      </w:r>
    </w:p>
    <w:p>
      <w:pPr>
        <w:spacing w:after="0" w:line="1" w:lineRule="exact"/>
        <w:rPr>
          <w:sz w:val="20"/>
          <w:szCs w:val="20"/>
          <w:color w:val="auto"/>
        </w:rPr>
      </w:pPr>
    </w:p>
    <w:p>
      <w:pPr>
        <w:ind w:left="620" w:hanging="504"/>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 share of common stock remains the same, and after deducting underwriting discounts and commissions and offering expenses payable by us.</w:t>
      </w:r>
    </w:p>
    <w:p>
      <w:pPr>
        <w:spacing w:after="0" w:line="23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If the underwriters exercise their option to purchase additional shares of common stock in full, the net tangible book value per share, as adjusted to give effect to this offering, would be $ per share, and the dilution in net tangible book value per share to new investors in this offering would be $ per share.</w:t>
      </w:r>
    </w:p>
    <w:p>
      <w:pPr>
        <w:spacing w:after="0" w:line="184"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The following table summarizes, as of April 30, 2020, on an as adjusted basis as described above, the number of shares of our common stock, the total consideration and the average price per share (1) paid to us by existing stockholders and (2) to be paid by new investors acquiring our common stock in this offering at an assumed initial public offering price of $ per share, the midpoint of the offering price range on the cover page of this prospectus, before deducting underwriting discounts and commissions and offering expenses payable by 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8"/>
              </w:rPr>
              <w:t>Shares Purchased</w:t>
            </w:r>
          </w:p>
        </w:tc>
        <w:tc>
          <w:tcPr>
            <w:tcW w:w="68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Total Consideration</w:t>
            </w:r>
          </w:p>
        </w:tc>
        <w:tc>
          <w:tcPr>
            <w:tcW w:w="880" w:type="dxa"/>
            <w:vAlign w:val="bottom"/>
            <w:gridSpan w:val="3"/>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540" w:type="dxa"/>
            <w:vAlign w:val="bottom"/>
            <w:gridSpan w:val="2"/>
          </w:tcPr>
          <w:p>
            <w:pPr>
              <w:spacing w:after="0"/>
              <w:rPr>
                <w:sz w:val="12"/>
                <w:szCs w:val="12"/>
                <w:color w:val="auto"/>
              </w:rPr>
            </w:pPr>
          </w:p>
        </w:tc>
        <w:tc>
          <w:tcPr>
            <w:tcW w:w="92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Percent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112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0"/>
        </w:trPr>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Existing investors</w:t>
            </w:r>
          </w:p>
        </w:tc>
        <w:tc>
          <w:tcPr>
            <w:tcW w:w="12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w w:val="95"/>
              </w:rPr>
              <w:t>81,583,127</w:t>
            </w:r>
          </w:p>
        </w:tc>
        <w:tc>
          <w:tcPr>
            <w:tcW w:w="9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w w:val="87"/>
              </w:rPr>
              <w:t>240,421,487</w:t>
            </w:r>
          </w:p>
        </w:tc>
        <w:tc>
          <w:tcPr>
            <w:tcW w:w="11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New investors</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65"/>
        </w:trPr>
        <w:tc>
          <w:tcPr>
            <w:tcW w:w="52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table above assumed no exercise of the underwriters’ option to purchase additional shares in this offering. If the underwriters exercise in full their option to purchase additional shares from us, the number of shares held by new investors will increase to shares, or % of the total number of shares outstanding following the completion of this offering.</w:t>
      </w:r>
    </w:p>
    <w:p>
      <w:pPr>
        <w:spacing w:after="0" w:line="184"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Each $1.00 increase (decrease) in the assumed initial public offering price of our common stock would increase (decrease) the total consideration paid by new investors and total consideration paid by all stockholders by approximately $ , assuming that the number of shares of common stock offered by us, as set forth on the cover page of this prospectus, remains the same and after deducting underwriting discounts and commissions.</w:t>
      </w:r>
    </w:p>
    <w:p>
      <w:pPr>
        <w:sectPr>
          <w:pgSz w:w="11900" w:h="16838" w:orient="portrait"/>
          <w:cols w:equalWidth="0" w:num="1">
            <w:col w:w="11040"/>
          </w:cols>
          <w:pgMar w:left="320" w:top="459" w:right="539" w:bottom="1440" w:gutter="0" w:footer="0" w:header="0"/>
        </w:sectPr>
      </w:pPr>
    </w:p>
    <w:p>
      <w:pPr>
        <w:spacing w:after="0" w:line="18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outstanding as of April 30, 2020 and excludes: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shares of our common stock</w:t>
      </w:r>
    </w:p>
    <w:p>
      <w:pPr>
        <w:spacing w:after="0" w:line="490" w:lineRule="exact"/>
        <w:rPr>
          <w:sz w:val="20"/>
          <w:szCs w:val="20"/>
          <w:color w:val="auto"/>
        </w:rPr>
      </w:pPr>
    </w:p>
    <w:p>
      <w:pPr>
        <w:sectPr>
          <w:pgSz w:w="11900" w:h="16838" w:orient="portrait"/>
          <w:cols w:equalWidth="0" w:num="2">
            <w:col w:w="7740" w:space="620"/>
            <w:col w:w="2680"/>
          </w:cols>
          <w:pgMar w:left="320" w:top="459" w:right="539" w:bottom="1440" w:gutter="0" w:footer="0" w:header="0"/>
          <w:type w:val="continuous"/>
        </w:sectPr>
      </w:pPr>
    </w:p>
    <w:p>
      <w:pPr>
        <w:ind w:left="142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7,744,722 shares of common stock issuable upon exercise of options outstanding as of April 30, 2020, at a weighted-average exercise price of $5.39 per share under our existing equity plans;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972,494 shares of common stock issuable upon vesting of RSU awards as of April 30, 2020;</w:t>
      </w:r>
    </w:p>
    <w:p>
      <w:pPr>
        <w:spacing w:after="0" w:line="252" w:lineRule="exact"/>
        <w:rPr>
          <w:rFonts w:ascii="Arial" w:cs="Arial" w:eastAsia="Arial" w:hAnsi="Arial"/>
          <w:sz w:val="18"/>
          <w:szCs w:val="18"/>
          <w:color w:val="auto"/>
        </w:rPr>
      </w:pPr>
    </w:p>
    <w:p>
      <w:pPr>
        <w:ind w:left="2020" w:hanging="919"/>
        <w:spacing w:after="0"/>
        <w:tabs>
          <w:tab w:leader="none" w:pos="2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2019 Incentive Plan; and</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20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of common stock reserved for issuance under our ESPP, which will become effective on the business day immediately prior to the effectiveness of the registration statement of which this prospectus forms a part.</w:t>
      </w:r>
    </w:p>
    <w:p>
      <w:pPr>
        <w:spacing w:after="0" w:line="170"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To the extent that any outstanding options are exercised, restricted stock units vest, or new equity grants are issued under our stock-based compensation plans, or we issue additional shares of common stock in the future, there will be further dilution to investors participating in this offering.</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320" w:top="459" w:right="5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The following tables set forth our selected consolidated financial data. The selected consolidated statement of operations data for the fiscal years ended January 31, 2018, 2019 and 2020 and the selected consolidated balance sheet data as of January 31, 2018, 2019 and 2020 are each derived from our audited consolidated financial statements appearing elsewhere in this prospectus. The selected consolidated statement of operations data for the three months ended April 30, 2019 and 2020, and the selected consolidated balance sheet data as of April 30, 2020, are each derived from our unaudited financial statements appearing elsewhere in this prospectus. The selected consolidated balance sheet data as of April 30, 2019 is derived from our unaudited financial statements not included in this prospectus. We have prepared the unaudited interim financial statements on the same basis as the audited annual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 You should read this selected consolidated financial and other data in conjunction with the section titled “Management’s Discussion and Analysis of Financial Condition and Results of Operations” and our consolidated financial statements, related notes and other financial information included elsewhere in this prospectus.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6"/>
            <w:vMerge w:val="restart"/>
          </w:tcPr>
          <w:p>
            <w:pPr>
              <w:jc w:val="right"/>
              <w:ind w:right="12"/>
              <w:spacing w:after="0"/>
              <w:rPr>
                <w:sz w:val="20"/>
                <w:szCs w:val="20"/>
                <w:color w:val="auto"/>
              </w:rPr>
            </w:pPr>
            <w:r>
              <w:rPr>
                <w:rFonts w:ascii="Arial" w:cs="Arial" w:eastAsia="Arial" w:hAnsi="Arial"/>
                <w:sz w:val="14"/>
                <w:szCs w:val="14"/>
                <w:b w:val="1"/>
                <w:bCs w:val="1"/>
                <w:color w:val="auto"/>
                <w:w w:val="92"/>
              </w:rPr>
              <w:t>Fiscal Year Ended January 31,</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1940" w:type="dxa"/>
            <w:vAlign w:val="bottom"/>
            <w:gridSpan w:val="6"/>
            <w:vMerge w:val="continue"/>
          </w:tcPr>
          <w:p>
            <w:pPr>
              <w:spacing w:after="0"/>
              <w:rPr>
                <w:sz w:val="14"/>
                <w:szCs w:val="14"/>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Subscription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1"/>
              <w:spacing w:after="0"/>
              <w:rPr>
                <w:sz w:val="20"/>
                <w:szCs w:val="20"/>
                <w:color w:val="auto"/>
              </w:rPr>
            </w:pPr>
            <w:r>
              <w:rPr>
                <w:rFonts w:ascii="Arial" w:cs="Arial" w:eastAsia="Arial" w:hAnsi="Arial"/>
                <w:sz w:val="17"/>
                <w:szCs w:val="17"/>
                <w:color w:val="auto"/>
              </w:rPr>
              <w:t>38,048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64,458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103,265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rPr>
              <w:t>21,032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34,831</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 revenues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20,094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27,076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34,915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8,804</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9,881</w:t>
            </w:r>
          </w:p>
        </w:tc>
        <w:tc>
          <w:tcPr>
            <w:tcW w:w="0" w:type="dxa"/>
            <w:vAlign w:val="bottom"/>
          </w:tcPr>
          <w:p>
            <w:pPr>
              <w:spacing w:after="0"/>
              <w:rPr>
                <w:sz w:val="1"/>
                <w:szCs w:val="1"/>
                <w:color w:val="auto"/>
              </w:rPr>
            </w:pPr>
          </w:p>
        </w:tc>
      </w:tr>
      <w:tr>
        <w:trPr>
          <w:trHeight w:val="210"/>
        </w:trPr>
        <w:tc>
          <w:tcPr>
            <w:tcW w:w="4700" w:type="dxa"/>
            <w:vAlign w:val="bottom"/>
          </w:tcPr>
          <w:p>
            <w:pPr>
              <w:ind w:left="680"/>
              <w:spacing w:after="0"/>
              <w:rPr>
                <w:sz w:val="20"/>
                <w:szCs w:val="20"/>
                <w:color w:val="auto"/>
              </w:rPr>
            </w:pPr>
            <w:r>
              <w:rPr>
                <w:rFonts w:ascii="Arial" w:cs="Arial" w:eastAsia="Arial" w:hAnsi="Arial"/>
                <w:sz w:val="17"/>
                <w:szCs w:val="17"/>
                <w:color w:val="auto"/>
              </w:rPr>
              <w:t>Total revenues</w:t>
            </w: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91,534</w:t>
            </w:r>
          </w:p>
        </w:tc>
        <w:tc>
          <w:tcPr>
            <w:tcW w:w="5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138,180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29,836</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44,712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r>
              <w:rPr>
                <w:rFonts w:ascii="Arial" w:cs="Arial" w:eastAsia="Arial" w:hAnsi="Arial"/>
                <w:sz w:val="14"/>
                <w:szCs w:val="14"/>
                <w:color w:val="auto"/>
              </w:rPr>
              <w:t>(1)</w:t>
            </w: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Cost of subscription revenue</w:t>
            </w:r>
          </w:p>
        </w:tc>
        <w:tc>
          <w:tcPr>
            <w:tcW w:w="80" w:type="dxa"/>
            <w:vAlign w:val="bottom"/>
          </w:tcPr>
          <w:p>
            <w:pPr>
              <w:spacing w:after="0"/>
              <w:rPr>
                <w:sz w:val="17"/>
                <w:szCs w:val="17"/>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7"/>
                <w:szCs w:val="17"/>
                <w:color w:val="auto"/>
              </w:rPr>
              <w:t>12,581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19,995</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31,062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rPr>
              <w:t>6,502</w:t>
            </w: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10,099</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professional services revenue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17,890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26,456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33,008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7,536</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8,767</w:t>
            </w:r>
          </w:p>
        </w:tc>
        <w:tc>
          <w:tcPr>
            <w:tcW w:w="0" w:type="dxa"/>
            <w:vAlign w:val="bottom"/>
          </w:tcPr>
          <w:p>
            <w:pPr>
              <w:spacing w:after="0"/>
              <w:rPr>
                <w:sz w:val="1"/>
                <w:szCs w:val="1"/>
                <w:color w:val="auto"/>
              </w:rPr>
            </w:pPr>
          </w:p>
        </w:tc>
      </w:tr>
      <w:tr>
        <w:trPr>
          <w:trHeight w:val="216"/>
        </w:trPr>
        <w:tc>
          <w:tcPr>
            <w:tcW w:w="4700" w:type="dxa"/>
            <w:vAlign w:val="bottom"/>
          </w:tcPr>
          <w:p>
            <w:pPr>
              <w:ind w:left="680"/>
              <w:spacing w:after="0"/>
              <w:rPr>
                <w:sz w:val="20"/>
                <w:szCs w:val="20"/>
                <w:color w:val="auto"/>
              </w:rPr>
            </w:pPr>
            <w:r>
              <w:rPr>
                <w:rFonts w:ascii="Arial" w:cs="Arial" w:eastAsia="Arial" w:hAnsi="Arial"/>
                <w:sz w:val="17"/>
                <w:szCs w:val="17"/>
                <w:color w:val="auto"/>
              </w:rPr>
              <w:t>Total cost of revenue</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14,038</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18,866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27,671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45,083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74,110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15,798</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25,846</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20,954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31,278</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44,440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8,015</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12,226</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7"/>
                <w:szCs w:val="17"/>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7"/>
                <w:szCs w:val="17"/>
                <w:color w:val="auto"/>
              </w:rPr>
              <w:t>16,559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22,230</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35,304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rPr>
              <w:t>7,366</w:t>
            </w: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10,965</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8,933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14,791</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22,536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3,909</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6,926</w:t>
            </w:r>
          </w:p>
        </w:tc>
        <w:tc>
          <w:tcPr>
            <w:tcW w:w="0" w:type="dxa"/>
            <w:vAlign w:val="bottom"/>
          </w:tcPr>
          <w:p>
            <w:pPr>
              <w:spacing w:after="0"/>
              <w:rPr>
                <w:sz w:val="1"/>
                <w:szCs w:val="1"/>
                <w:color w:val="auto"/>
              </w:rPr>
            </w:pPr>
          </w:p>
        </w:tc>
      </w:tr>
      <w:tr>
        <w:trPr>
          <w:trHeight w:val="217"/>
        </w:trPr>
        <w:tc>
          <w:tcPr>
            <w:tcW w:w="4700" w:type="dxa"/>
            <w:vAlign w:val="bottom"/>
          </w:tcPr>
          <w:p>
            <w:pPr>
              <w:ind w:left="680"/>
              <w:spacing w:after="0"/>
              <w:rPr>
                <w:sz w:val="20"/>
                <w:szCs w:val="20"/>
                <w:color w:val="auto"/>
              </w:rPr>
            </w:pPr>
            <w:r>
              <w:rPr>
                <w:rFonts w:ascii="Arial" w:cs="Arial" w:eastAsia="Arial" w:hAnsi="Arial"/>
                <w:sz w:val="17"/>
                <w:szCs w:val="17"/>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19,290</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30,117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(18,775)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(23,216)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(28,170)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(3,492)</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(4,271)</w:t>
            </w:r>
          </w:p>
        </w:tc>
        <w:tc>
          <w:tcPr>
            <w:tcW w:w="0" w:type="dxa"/>
            <w:vAlign w:val="bottom"/>
          </w:tcPr>
          <w:p>
            <w:pPr>
              <w:spacing w:after="0"/>
              <w:rPr>
                <w:sz w:val="1"/>
                <w:szCs w:val="1"/>
                <w:color w:val="auto"/>
              </w:rPr>
            </w:pPr>
          </w:p>
        </w:tc>
      </w:tr>
      <w:tr>
        <w:trPr>
          <w:trHeight w:val="202"/>
        </w:trPr>
        <w:tc>
          <w:tcPr>
            <w:tcW w:w="470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1,193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988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(89)</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(18,539)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(22,112)</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(27,149)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(3,283)</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(4,635)</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Income tax expense</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(18,589)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(22,306)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(27,735)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(3,419)</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80" w:type="dxa"/>
            <w:vAlign w:val="bottom"/>
          </w:tcPr>
          <w:p>
            <w:pPr>
              <w:spacing w:after="0"/>
              <w:rPr>
                <w:sz w:val="17"/>
                <w:szCs w:val="17"/>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183"/>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0"/>
        </w:trPr>
        <w:tc>
          <w:tcPr>
            <w:tcW w:w="4700" w:type="dxa"/>
            <w:vAlign w:val="bottom"/>
          </w:tcPr>
          <w:p>
            <w:pPr>
              <w:ind w:left="340"/>
              <w:spacing w:after="0"/>
              <w:rPr>
                <w:sz w:val="20"/>
                <w:szCs w:val="20"/>
                <w:color w:val="auto"/>
              </w:rPr>
            </w:pPr>
            <w:r>
              <w:rPr>
                <w:rFonts w:ascii="Arial" w:cs="Arial" w:eastAsia="Arial" w:hAnsi="Arial"/>
                <w:sz w:val="17"/>
                <w:szCs w:val="17"/>
                <w:color w:val="auto"/>
              </w:rPr>
              <w:t>Net loss attributable to nCino,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300" w:type="dxa"/>
            <w:vAlign w:val="bottom"/>
          </w:tcPr>
          <w:p>
            <w:pPr>
              <w:jc w:val="right"/>
              <w:ind w:right="121"/>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260" w:type="dxa"/>
            <w:vAlign w:val="bottom"/>
          </w:tcPr>
          <w:p>
            <w:pPr>
              <w:jc w:val="right"/>
              <w:ind w:right="183"/>
              <w:spacing w:after="0"/>
              <w:rPr>
                <w:sz w:val="20"/>
                <w:szCs w:val="20"/>
                <w:color w:val="auto"/>
              </w:rPr>
            </w:pPr>
            <w:r>
              <w:rPr>
                <w:rFonts w:ascii="Arial" w:cs="Arial" w:eastAsia="Arial" w:hAnsi="Arial"/>
                <w:sz w:val="7"/>
                <w:szCs w:val="7"/>
                <w:color w:val="auto"/>
                <w:w w:val="83"/>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(3,419)</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nCino, Inc.:</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1"/>
              <w:spacing w:after="0"/>
              <w:rPr>
                <w:sz w:val="20"/>
                <w:szCs w:val="20"/>
                <w:color w:val="auto"/>
              </w:rPr>
            </w:pPr>
            <w:r>
              <w:rPr>
                <w:rFonts w:ascii="Arial" w:cs="Arial" w:eastAsia="Arial" w:hAnsi="Arial"/>
                <w:sz w:val="17"/>
                <w:szCs w:val="17"/>
                <w:color w:val="auto"/>
              </w:rPr>
              <w:t>(0.27)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(0.30)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3"/>
              <w:spacing w:after="0"/>
              <w:rPr>
                <w:sz w:val="20"/>
                <w:szCs w:val="20"/>
                <w:color w:val="auto"/>
              </w:rPr>
            </w:pPr>
            <w:r>
              <w:rPr>
                <w:rFonts w:ascii="Arial" w:cs="Arial" w:eastAsia="Arial" w:hAnsi="Arial"/>
                <w:sz w:val="17"/>
                <w:szCs w:val="17"/>
                <w:color w:val="auto"/>
              </w:rPr>
              <w:t>(0.35)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89"/>
              </w:rPr>
              <w:t>68,290,570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w w:val="89"/>
              </w:rPr>
              <w:t>74,593,709</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w w:val="89"/>
              </w:rPr>
              <w:t>78,316,794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w w:val="86"/>
              </w:rPr>
              <w:t>75,986,517</w:t>
            </w: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w w:val="86"/>
              </w:rPr>
              <w:t>81,560,762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8"/>
          <w:szCs w:val="18"/>
          <w:color w:val="auto"/>
        </w:rPr>
        <w:t>Includes stock-based compensation expense as follows: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2"/>
              </w:rPr>
              <w:t>Fiscal Year Ended January 31,</w:t>
            </w:r>
          </w:p>
        </w:tc>
        <w:tc>
          <w:tcPr>
            <w:tcW w:w="360" w:type="dxa"/>
            <w:vAlign w:val="bottom"/>
            <w:gridSpan w:val="2"/>
            <w:vMerge w:val="restart"/>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7"/>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tcPr>
          <w:p>
            <w:pPr>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$1,357</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$1,487</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Sales and marketing</w:t>
            </w:r>
          </w:p>
        </w:tc>
        <w:tc>
          <w:tcPr>
            <w:tcW w:w="2260" w:type="dxa"/>
            <w:vAlign w:val="bottom"/>
            <w:gridSpan w:val="4"/>
          </w:tcPr>
          <w:p>
            <w:pPr>
              <w:jc w:val="right"/>
              <w:ind w:right="180"/>
              <w:spacing w:after="0"/>
              <w:rPr>
                <w:sz w:val="20"/>
                <w:szCs w:val="20"/>
                <w:color w:val="auto"/>
              </w:rPr>
            </w:pPr>
            <w:r>
              <w:rPr>
                <w:rFonts w:ascii="Arial" w:cs="Arial" w:eastAsia="Arial" w:hAnsi="Arial"/>
                <w:sz w:val="18"/>
                <w:szCs w:val="18"/>
                <w:color w:val="auto"/>
              </w:rPr>
              <w:t>940</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1,078</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1,260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1,070</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1,056</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459</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474</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3,826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4,095</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1,109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1,051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As of January 31,</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36"/>
        </w:trPr>
        <w:tc>
          <w:tcPr>
            <w:tcW w:w="4560" w:type="dxa"/>
            <w:vAlign w:val="bottom"/>
            <w:vMerge w:val="continue"/>
          </w:tcPr>
          <w:p>
            <w:pPr>
              <w:spacing w:after="0"/>
              <w:rPr>
                <w:sz w:val="11"/>
                <w:szCs w:val="11"/>
                <w:color w:val="auto"/>
              </w:rPr>
            </w:pPr>
          </w:p>
        </w:tc>
        <w:tc>
          <w:tcPr>
            <w:tcW w:w="680" w:type="dxa"/>
            <w:vAlign w:val="bottom"/>
            <w:tcBorders>
              <w:top w:val="single" w:sz="8" w:color="auto"/>
            </w:tcBorders>
          </w:tcPr>
          <w:p>
            <w:pPr>
              <w:jc w:val="right"/>
              <w:ind w:right="113"/>
              <w:spacing w:after="0" w:line="13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130"/>
              <w:spacing w:after="0" w:line="13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150"/>
              <w:spacing w:after="0" w:line="13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jc w:val="right"/>
              <w:ind w:right="128"/>
              <w:spacing w:after="0" w:line="13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30"/>
              <w:spacing w:after="0" w:line="13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$ 80,676</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74,347</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91,184</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$ 78,991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99,038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112,967</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119,966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250,151</w:t>
            </w:r>
          </w:p>
        </w:tc>
        <w:tc>
          <w:tcPr>
            <w:tcW w:w="1360" w:type="dxa"/>
            <w:vAlign w:val="bottom"/>
            <w:gridSpan w:val="4"/>
          </w:tcPr>
          <w:p>
            <w:pPr>
              <w:jc w:val="right"/>
              <w:ind w:right="360"/>
              <w:spacing w:after="0"/>
              <w:rPr>
                <w:sz w:val="20"/>
                <w:szCs w:val="20"/>
                <w:color w:val="auto"/>
              </w:rPr>
            </w:pPr>
            <w:r>
              <w:rPr>
                <w:rFonts w:ascii="Arial" w:cs="Arial" w:eastAsia="Arial" w:hAnsi="Arial"/>
                <w:sz w:val="18"/>
                <w:szCs w:val="18"/>
                <w:color w:val="auto"/>
              </w:rPr>
              <w:t>131,410</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261,089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34,953</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53,930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78,522</w:t>
            </w:r>
          </w:p>
        </w:tc>
        <w:tc>
          <w:tcPr>
            <w:tcW w:w="13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55,932</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92,807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Accumulated deficit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(82,446)</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(104,752)</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(120,924)</w:t>
            </w:r>
          </w:p>
        </w:tc>
        <w:tc>
          <w:tcPr>
            <w:tcW w:w="1360" w:type="dxa"/>
            <w:vAlign w:val="bottom"/>
            <w:gridSpan w:val="4"/>
          </w:tcPr>
          <w:p>
            <w:pPr>
              <w:jc w:val="right"/>
              <w:ind w:right="300"/>
              <w:spacing w:after="0"/>
              <w:rPr>
                <w:sz w:val="20"/>
                <w:szCs w:val="20"/>
                <w:color w:val="auto"/>
              </w:rPr>
            </w:pPr>
            <w:r>
              <w:rPr>
                <w:rFonts w:ascii="Arial" w:cs="Arial" w:eastAsia="Arial" w:hAnsi="Arial"/>
                <w:sz w:val="18"/>
                <w:szCs w:val="18"/>
                <w:color w:val="auto"/>
              </w:rPr>
              <w:t>(96,749)</w:t>
            </w: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(125,580)</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redeemable non-controlling interest</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stockholders’ equity</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112,967</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119,966</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250,151</w:t>
            </w:r>
          </w:p>
        </w:tc>
        <w:tc>
          <w:tcPr>
            <w:tcW w:w="13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131,410</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261,089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addition to providing financial measurements based on generally accepted accounting principles in the United States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92"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8"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i w:val="1"/>
          <w:iCs w:val="1"/>
          <w:color w:val="auto"/>
        </w:rPr>
        <w:t xml:space="preserve">Non-GAAP Operating Loss. </w:t>
      </w:r>
      <w:r>
        <w:rPr>
          <w:rFonts w:ascii="Arial" w:cs="Arial" w:eastAsia="Arial" w:hAnsi="Arial"/>
          <w:sz w:val="16"/>
          <w:szCs w:val="16"/>
          <w:color w:val="auto"/>
        </w:rPr>
        <w:t>Non-GAAP Operating Loss is defined as loss from operations as reported in our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excluding the impact of amortization of intangible assets and stock-based compensation expense.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w:t>
      </w:r>
    </w:p>
    <w:p>
      <w:pPr>
        <w:spacing w:after="0" w:line="157"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This non-GAAP financial measure does not replace the presentation of our GAAP financial results and should only be used as a supplement to, not as a substitute for, our financial results presented in accordance with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GAAP. There are limitations in the use of non-GAAP measures because they do not include all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7"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vMerge w:val="restart"/>
          </w:tcPr>
          <w:p>
            <w:pPr>
              <w:jc w:val="right"/>
              <w:ind w:right="1"/>
              <w:spacing w:after="0"/>
              <w:rPr>
                <w:sz w:val="20"/>
                <w:szCs w:val="20"/>
                <w:color w:val="auto"/>
              </w:rPr>
            </w:pPr>
            <w:r>
              <w:rPr>
                <w:rFonts w:ascii="Arial" w:cs="Arial" w:eastAsia="Arial" w:hAnsi="Arial"/>
                <w:sz w:val="14"/>
                <w:szCs w:val="14"/>
                <w:b w:val="1"/>
                <w:bCs w:val="1"/>
                <w:color w:val="auto"/>
              </w:rPr>
              <w:t>Fiscal Year Ended January 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5"/>
          </w:tcPr>
          <w:p>
            <w:pPr>
              <w:jc w:val="center"/>
              <w:ind w:right="21"/>
              <w:spacing w:after="0"/>
              <w:rPr>
                <w:sz w:val="20"/>
                <w:szCs w:val="20"/>
                <w:color w:val="auto"/>
              </w:rPr>
            </w:pPr>
            <w:r>
              <w:rPr>
                <w:rFonts w:ascii="Arial" w:cs="Arial" w:eastAsia="Arial" w:hAnsi="Arial"/>
                <w:sz w:val="14"/>
                <w:szCs w:val="14"/>
                <w:b w:val="1"/>
                <w:bCs w:val="1"/>
                <w:color w:val="auto"/>
                <w:w w:val="95"/>
              </w:rPr>
              <w:t>Three Months Ended April</w:t>
            </w:r>
          </w:p>
        </w:tc>
        <w:tc>
          <w:tcPr>
            <w:tcW w:w="0" w:type="dxa"/>
            <w:vAlign w:val="bottom"/>
          </w:tcPr>
          <w:p>
            <w:pPr>
              <w:spacing w:after="0"/>
              <w:rPr>
                <w:sz w:val="1"/>
                <w:szCs w:val="1"/>
                <w:color w:val="auto"/>
              </w:rPr>
            </w:pPr>
          </w:p>
        </w:tc>
      </w:t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7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0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(18,775)</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(23,216)</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(28,170)</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$(3,492)</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41"/>
              <w:spacing w:after="0"/>
              <w:rPr>
                <w:sz w:val="20"/>
                <w:szCs w:val="20"/>
                <w:color w:val="auto"/>
              </w:rPr>
            </w:pPr>
            <w:r>
              <w:rPr>
                <w:rFonts w:ascii="Arial" w:cs="Arial" w:eastAsia="Arial" w:hAnsi="Arial"/>
                <w:sz w:val="18"/>
                <w:szCs w:val="18"/>
                <w:color w:val="auto"/>
              </w:rPr>
              <w:t>1,748</w:t>
            </w:r>
          </w:p>
        </w:tc>
        <w:tc>
          <w:tcPr>
            <w:tcW w:w="7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8"/>
                <w:szCs w:val="18"/>
                <w:color w:val="auto"/>
              </w:rPr>
              <w:t>3,826</w:t>
            </w:r>
          </w:p>
        </w:tc>
        <w:tc>
          <w:tcPr>
            <w:tcW w:w="16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8"/>
                <w:szCs w:val="18"/>
                <w:color w:val="auto"/>
              </w:rPr>
              <w:t>4,095</w:t>
            </w:r>
          </w:p>
        </w:tc>
        <w:tc>
          <w:tcPr>
            <w:tcW w:w="1380" w:type="dxa"/>
            <w:vAlign w:val="bottom"/>
            <w:gridSpan w:val="3"/>
          </w:tcPr>
          <w:p>
            <w:pPr>
              <w:jc w:val="right"/>
              <w:ind w:right="541"/>
              <w:spacing w:after="0"/>
              <w:rPr>
                <w:sz w:val="20"/>
                <w:szCs w:val="20"/>
                <w:color w:val="auto"/>
              </w:rPr>
            </w:pPr>
            <w:r>
              <w:rPr>
                <w:rFonts w:ascii="Arial" w:cs="Arial" w:eastAsia="Arial" w:hAnsi="Arial"/>
                <w:sz w:val="18"/>
                <w:szCs w:val="18"/>
                <w:color w:val="auto"/>
              </w:rPr>
              <w:t>5,745</w:t>
            </w: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1,109</w:t>
            </w:r>
          </w:p>
        </w:tc>
        <w:tc>
          <w:tcPr>
            <w:tcW w:w="1160" w:type="dxa"/>
            <w:vAlign w:val="bottom"/>
            <w:gridSpan w:val="3"/>
          </w:tcPr>
          <w:p>
            <w:pPr>
              <w:jc w:val="right"/>
              <w:ind w:right="41"/>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3,826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4,095</w:t>
            </w:r>
          </w:p>
        </w:tc>
        <w:tc>
          <w:tcPr>
            <w:tcW w:w="1380" w:type="dxa"/>
            <w:vAlign w:val="bottom"/>
            <w:gridSpan w:val="3"/>
            <w:shd w:val="clear" w:color="auto" w:fill="CCEEFF"/>
          </w:tcPr>
          <w:p>
            <w:pPr>
              <w:jc w:val="right"/>
              <w:ind w:right="541"/>
              <w:spacing w:after="0"/>
              <w:rPr>
                <w:sz w:val="20"/>
                <w:szCs w:val="20"/>
                <w:color w:val="auto"/>
              </w:rPr>
            </w:pPr>
            <w:r>
              <w:rPr>
                <w:rFonts w:ascii="Arial" w:cs="Arial" w:eastAsia="Arial" w:hAnsi="Arial"/>
                <w:sz w:val="18"/>
                <w:szCs w:val="18"/>
                <w:color w:val="auto"/>
              </w:rPr>
              <w:t>7,493</w:t>
            </w: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1,109</w:t>
            </w:r>
          </w:p>
        </w:tc>
        <w:tc>
          <w:tcPr>
            <w:tcW w:w="11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Non-GAAP Operating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(19,121</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(20,677</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(2,383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35"/>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consolidated financial statements and related notes and other financial information included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Our fiscal year ends on January 31 of each year and references in this prospectus to a fiscal year mean the year in which that fiscal year ends. References in this prospectus to “fiscal 2018,” “fiscal 2019,” and “fiscal 2020” refer to the fiscal year ended January 31, 2018, January 31, 2019 and January 31, 2020, respectively.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6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120" w:right="180" w:firstLine="881"/>
        <w:spacing w:after="0" w:line="290" w:lineRule="auto"/>
        <w:rPr>
          <w:sz w:val="20"/>
          <w:szCs w:val="20"/>
          <w:color w:val="auto"/>
        </w:rPr>
      </w:pPr>
      <w:r>
        <w:rPr>
          <w:rFonts w:ascii="Arial" w:cs="Arial" w:eastAsia="Arial" w:hAnsi="Arial"/>
          <w:sz w:val="16"/>
          <w:szCs w:val="16"/>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nIQ. nIQ helps our customers improve operational and financial performance by using AI/ML to increase efficiency through automation and analytics to gain greater insights into their operations and client interactions.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 opening and, most recently, analytics and AI/ML applications, has enhanced our ability to increase adoption of our solution by our customers. For fiscal 2020, we had a subscription revenue retention rate of 147%. See “—Factors Affecting Our Operating Results—Subscription Revenue Retention Rate” for additional information on subscription revenue retention rates.</w:t>
      </w:r>
    </w:p>
    <w:p>
      <w:pPr>
        <w:spacing w:after="0" w:line="177"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April 30, 2020, we had 140 sales and sales support personnel in the United States, and 54 sales and support personnel in offices outside the United States.</w:t>
      </w:r>
    </w:p>
    <w:p>
      <w:pPr>
        <w:spacing w:after="0" w:line="192"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To help customers go live with our solution and achieve success, we offer professional services including configuration and implementation, training and advisory services. For larger financial institutions, we generally work with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As a result, we expect the mix of our total revenues to be more heavily weighted toward subscription revenues.</w:t>
      </w:r>
    </w:p>
    <w:p>
      <w:pPr>
        <w:spacing w:after="0" w:line="161"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are also in the process of increasing our general and administrative spending to support our growing operations and prepare for operating as a public company.</w:t>
      </w:r>
    </w:p>
    <w:p>
      <w:pPr>
        <w:spacing w:after="0" w:line="192"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Our total revenues were $138.2 million, $91.5 million, and $58.1 million for fiscal 2020, 2019, and 2018, respectively, representing a 54.2% compound annual growth rate. Our subscription revenues in fiscal 2020 were $103.3 million or 74.7% of total revenues, up from $64.5 million or 70.4% of total revenues in fiscal 2019 and $38.0 million or 65.4% of total revenues in fiscal 2018, representing a 64.7% compound annual growth rate. Due to our continuing investment in growth, we recorded net losses attributable to nCino in fiscal 2020, 2019 and 2018 of $27.6 million, $22.3 million and $18.6 million, respectively. For the three months ended April 30, 2020 and 2019, our total revenues were $44.7 million and $29.8 million, respectively, representing a 49.9% annual growth rate, and our subscription revenues were $34.8 million and $21.0 million, respectively, representing a 65.6% annual growth rate. We had net losses attributable to nCino of $4.8 million and $3.4 million for the three months ended April 30, 2020 and 2019, respectively.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b w:val="1"/>
          <w:bCs w:val="1"/>
          <w:i w:val="1"/>
          <w:iCs w:val="1"/>
          <w:color w:val="auto"/>
        </w:rPr>
        <w:t>Market Adoption of Our Solution</w:t>
      </w:r>
      <w:r>
        <w:rPr>
          <w:rFonts w:ascii="Arial" w:cs="Arial" w:eastAsia="Arial" w:hAnsi="Arial"/>
          <w:sz w:val="17"/>
          <w:szCs w:val="17"/>
          <w:color w:val="auto"/>
        </w:rPr>
        <w:t>. Our future growth depends on our ability to expand our reach to new financial institution customers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internally developed software with the nCino Bank Operating System. In addition, growing our customer base will require us to increasingly penetrate markets outside the United States, which accounted for 9.5% of our total revenues for the three months ended April 30, 2020.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your investment.</w:t>
      </w:r>
    </w:p>
    <w:p>
      <w:pPr>
        <w:spacing w:after="0" w:line="192"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b w:val="1"/>
          <w:bCs w:val="1"/>
          <w:i w:val="1"/>
          <w:iCs w:val="1"/>
          <w:color w:val="auto"/>
        </w:rPr>
        <w:t xml:space="preserve">Mix of Subscription and Professional Services Revenues. </w:t>
      </w:r>
      <w:r>
        <w:rPr>
          <w:rFonts w:ascii="Arial" w:cs="Arial" w:eastAsia="Arial" w:hAnsi="Arial"/>
          <w:sz w:val="16"/>
          <w:szCs w:val="16"/>
          <w:color w:val="auto"/>
        </w:rPr>
        <w:t>The initial deployment of the nCino Bank Operating System by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 as our overall business grows.</w:t>
      </w:r>
    </w:p>
    <w:p>
      <w:pPr>
        <w:spacing w:after="0" w:line="16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b w:val="1"/>
          <w:bCs w:val="1"/>
          <w:i w:val="1"/>
          <w:iCs w:val="1"/>
          <w:color w:val="auto"/>
        </w:rPr>
        <w:t>Subscription Revenue Retention Rate</w:t>
      </w:r>
      <w:r>
        <w:rPr>
          <w:rFonts w:ascii="Arial" w:cs="Arial" w:eastAsia="Arial" w:hAnsi="Arial"/>
          <w:sz w:val="18"/>
          <w:szCs w:val="18"/>
          <w:color w:val="auto"/>
        </w:rPr>
        <w:t>. We believe that our ability to retain and grow subscription revenues from our existing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time strengthens the stability and predictability of our revenue base and is 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purchased any of our solutions as of January 31 of the prior fiscal year, expressed as a percentage of total subscription revenues for the prior fiscal year. Our subscription revenue retention rate provides insight into the impact on current year subscription revenues of:</w:t>
      </w:r>
    </w:p>
    <w:p>
      <w:pPr>
        <w:spacing w:after="0" w:line="98" w:lineRule="exact"/>
        <w:rPr>
          <w:sz w:val="20"/>
          <w:szCs w:val="20"/>
          <w:color w:val="auto"/>
        </w:rPr>
      </w:pPr>
    </w:p>
    <w:p>
      <w:pPr>
        <w:ind w:left="1420" w:right="10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and timing of new customers and phased activation of seats purchased by them in prior years, which activation schedules can span several fiscal years for larger contracts;</w:t>
      </w:r>
    </w:p>
    <w:p>
      <w:pPr>
        <w:spacing w:after="0" w:line="75" w:lineRule="exact"/>
        <w:rPr>
          <w:rFonts w:ascii="Arial" w:cs="Arial" w:eastAsia="Arial" w:hAnsi="Arial"/>
          <w:sz w:val="18"/>
          <w:szCs w:val="18"/>
          <w:color w:val="auto"/>
        </w:rPr>
      </w:pPr>
    </w:p>
    <w:p>
      <w:pPr>
        <w:ind w:left="1420" w:right="7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expanding adoption of our solutions by our existing customers during the current year, excluding any revenues derived from businesses acquired during such year; and</w:t>
      </w:r>
    </w:p>
    <w:p>
      <w:pPr>
        <w:spacing w:after="0" w:line="75"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attrition.</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For fiscal 2020, 2019 and 2018, we had subscription revenue retention rates of 147%, 163% and 188%, respectively. The most significant driver of changes in our subscription revenue retention rate each year has historically been the number of new customers in prior years and the associated phased activation schedules for such customers. As our installed base and associated subscription revenues have expanded in recent years, we have seen moderation of our subscription revenue retention rate, and we expect further moderation to the extent we continue to experience rapid growth. In addition, because larger financial institutions tend to make more sizable purchases with longer activation schedules, we expect variability in our subscription revenue retention rates based on the timing and extent of our continued penetration of this portion of our market. Our use of subscription revenue retention rate has limitations as an analytical tool, and investors should not consider it in isolation. Other companies in our or adjacent markets may calculate subscription revenue retention rates or similar metrics differently, which reduces its usefulness as a comparative measure.</w:t>
      </w:r>
    </w:p>
    <w:p>
      <w:pPr>
        <w:spacing w:after="0" w:line="165"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b w:val="1"/>
          <w:bCs w:val="1"/>
          <w:i w:val="1"/>
          <w:iCs w:val="1"/>
          <w:color w:val="auto"/>
        </w:rPr>
        <w:t>Long-term ACV Expansion</w:t>
      </w:r>
      <w:r>
        <w:rPr>
          <w:rFonts w:ascii="Arial" w:cs="Arial" w:eastAsia="Arial" w:hAnsi="Arial"/>
          <w:sz w:val="16"/>
          <w:szCs w:val="16"/>
          <w:color w:val="auto"/>
        </w:rPr>
        <w:t>. A key element of our growth strategy is to expand our deployed footprint with a customer after initial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Our customers typically purchase our solution for a defined line of business or to support a specific use case and, once deployed, we seek to convince the customer to adopt our solution within and across additional lines of business. To date, we have been successful in executing our land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and expand strategy as a result of our solution’s ability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 to generate return on investment relative to other available solutions or at all, net retention rates will suffer and our operating results will be adversely affected.</w:t>
      </w:r>
    </w:p>
    <w:p>
      <w:pPr>
        <w:spacing w:after="0" w:line="171"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our solution,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w:t>
      </w:r>
    </w:p>
    <w:p>
      <w:pPr>
        <w:spacing w:after="0" w:line="178"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graphic below illustrates our ACV-based net retention for customers initially signed since fiscal 2013. Each individual cohort is not necessarily predictive of other or future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134620</wp:posOffset>
            </wp:positionV>
            <wp:extent cx="5066030" cy="254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6603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b w:val="1"/>
          <w:bCs w:val="1"/>
          <w:i w:val="1"/>
          <w:iCs w:val="1"/>
          <w:color w:val="auto"/>
        </w:rPr>
        <w:t>COVID-19 Effects on Demand for Our Solution</w:t>
      </w:r>
      <w:r>
        <w:rPr>
          <w:rFonts w:ascii="Arial" w:cs="Arial" w:eastAsia="Arial" w:hAnsi="Arial"/>
          <w:sz w:val="17"/>
          <w:szCs w:val="17"/>
          <w:color w:val="auto"/>
        </w:rPr>
        <w:t>. To help our customers service demand for Paycheck Protection Program (PPP)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 and have provided more than $50 billion in funding for their small business clients.</w:t>
      </w:r>
    </w:p>
    <w:p>
      <w:pPr>
        <w:spacing w:after="0" w:line="17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may have had the effect of pulling forward demand that might have otherwise materialized as new business later in the fiscal year and that, coupled with the disruptive effect of COVID-19 on the economy more generally, may have the effect of reducing new business later in fiscal 2021 and moderating revenue growth</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rates in fiscal 2022. In addition, our subscription revenue retention rates may be adversely affected upon the expiration of access and use rights to our PPP solution to the extent such rights are not re-purposed for other applications.</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b w:val="1"/>
          <w:bCs w:val="1"/>
          <w:i w:val="1"/>
          <w:iCs w:val="1"/>
          <w:color w:val="auto"/>
        </w:rPr>
        <w:t>Continued Investment in Innovation and Growth</w:t>
      </w:r>
      <w:r>
        <w:rPr>
          <w:rFonts w:ascii="Arial" w:cs="Arial" w:eastAsia="Arial" w:hAnsi="Arial"/>
          <w:sz w:val="18"/>
          <w:szCs w:val="18"/>
          <w:color w:val="auto"/>
        </w:rPr>
        <w:t>. We have made substantial investments in product development, sales and marketing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we are in the process of increasing our general and administrative spending to support our growing operations and prepare for operating as a public company. As such, to capitalize on the market opportunity we see ahead of us, we expect to continue to optimize our operating plans for revenue growth, and as a result continue experiencing operating losses, for the foreseeable future.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derive our revenues from subscription and professional services fees.</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the nCino Bank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maintenance and support services that we offer under non-cancellable multi-year contracts, which typically range from three to five years. Specifically, we offer:</w:t>
      </w:r>
    </w:p>
    <w:p>
      <w:pPr>
        <w:spacing w:after="0" w:line="211" w:lineRule="exact"/>
        <w:rPr>
          <w:sz w:val="20"/>
          <w:szCs w:val="20"/>
          <w:color w:val="auto"/>
        </w:rPr>
      </w:pPr>
    </w:p>
    <w:p>
      <w:pPr>
        <w:ind w:left="1420" w:right="260" w:hanging="319"/>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97" w:lineRule="exact"/>
        <w:rPr>
          <w:rFonts w:ascii="Arial" w:cs="Arial" w:eastAsia="Arial" w:hAnsi="Arial"/>
          <w:sz w:val="18"/>
          <w:szCs w:val="18"/>
          <w:color w:val="auto"/>
        </w:rPr>
      </w:pPr>
    </w:p>
    <w:p>
      <w:pPr>
        <w:ind w:left="1420" w:right="40" w:hanging="319"/>
        <w:spacing w:after="0" w:line="259"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nIQ, first introduced in fiscal 2020, for which we generally charge based on the asset size of the customer or on a usage basis. Prior to our acquisitions of Visible Equity and FinSuite, they generally licensed their products under annual contracts that could be cancelled on 30-days’ notice. We will continue to support these customers under their legacy contracts until such contracts are renewed, cancelled or expire.</w:t>
      </w:r>
    </w:p>
    <w:p>
      <w:pPr>
        <w:spacing w:after="0" w:line="213"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6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i w:val="1"/>
          <w:iCs w:val="1"/>
          <w:color w:val="auto"/>
        </w:rPr>
        <w:t>Professional Services Revenues</w:t>
      </w:r>
      <w:r>
        <w:rPr>
          <w:rFonts w:ascii="Arial" w:cs="Arial" w:eastAsia="Arial" w:hAnsi="Arial"/>
          <w:sz w:val="18"/>
          <w:szCs w:val="18"/>
          <w:color w:val="auto"/>
        </w:rPr>
        <w:t>. Professional services revenues consist of fees for implementation and configuration assistance, training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services. For enterprise and larger regional financial institutions, we generally work with SIs to provide the majority of implementation services, for which these SIs bill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i w:val="1"/>
          <w:iCs w:val="1"/>
          <w:color w:val="auto"/>
        </w:rPr>
        <w:t>Cost of Subscription Revenues</w:t>
      </w:r>
      <w:r>
        <w:rPr>
          <w:rFonts w:ascii="Arial" w:cs="Arial" w:eastAsia="Arial" w:hAnsi="Arial"/>
          <w:sz w:val="16"/>
          <w:szCs w:val="16"/>
          <w:color w:val="auto"/>
        </w:rPr>
        <w:t>. Cost of subscription revenues primarily consists of fees paid to Salesforce for access to the Salesforce</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64"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i w:val="1"/>
          <w:iCs w:val="1"/>
          <w:color w:val="auto"/>
        </w:rPr>
        <w:t>Cost of Professional Services Revenues</w:t>
      </w:r>
      <w:r>
        <w:rPr>
          <w:rFonts w:ascii="Arial" w:cs="Arial" w:eastAsia="Arial" w:hAnsi="Arial"/>
          <w:sz w:val="17"/>
          <w:szCs w:val="17"/>
          <w:color w:val="auto"/>
        </w:rPr>
        <w:t>. Cost of professional services revenues consists primarily of personnel-related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expenses consist primarily of personnel costs of our sales and marketing employees,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4 years. Prior to fiscal 2020, these costs were expensed as incurred. Because of this change in accounting, sales and marketing expenses beginning in fiscal 2020 are not directly comparable to prior periods. Sales and marketing expenses also include outside consulting fees, marketing programs, including lead generation, costs of our annual user conference, advertising, trade shows, other event expenses and allocated overhead. We expect sales and marketing expenses will continue to increase as we expand our direct sales teams in the United States and internationally to address our market opportunity.</w:t>
      </w:r>
    </w:p>
    <w:p>
      <w:pPr>
        <w:spacing w:after="0" w:line="165" w:lineRule="exact"/>
        <w:rPr>
          <w:sz w:val="20"/>
          <w:szCs w:val="20"/>
          <w:color w:val="auto"/>
        </w:rPr>
      </w:pPr>
    </w:p>
    <w:p>
      <w:pPr>
        <w:jc w:val="both"/>
        <w:ind w:left="120" w:right="400" w:firstLine="881"/>
        <w:spacing w:after="0" w:line="30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expenses consist primarily of salaries, benefits and stock-based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consist primarily of salaries, benefits and stock-based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publicly-traded company, including legal, audit and consulting fees.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addition to stock-based compensation associated with stock options, which is recorded in our historical cost of revenues and operating expenses, we have unrecorded stock-based compensation expenses associated with RSUs that we expect to begin recognizing as cost of revenues and operating expenses beginning in the period in which we complete this offering. Our RSUs generally require both a time-based and liquidity-based vesting condition to be satisfied before these units settle. The liquidity-based condition is satisfied upon a sale of the company or completion of an initial public offering. As of April 30, 2020, all stock-based compensation expenses related to RSUs remained unrecognized because the liquidity vesting condition was not probable of being satisfied. In the quarter in which we complete this offering, the liquidity condition will have been satisfied and we will recognize stock-based compensation in connection with RSUs for which we would have accrued expense ratably in the current and prior quarters but for the failure of the liquidity vesting condition to have been met. As of April 30, 2020, 972,494 RSUs were outstanding. If the liquidity-based vesting condition had been satisfied on April 30, 2020, we would have recorded $7.4 million of stock-based compensation expenses related to the RSUs, and we would recognize additional unamortized stock-based compensation expenses of $12.7 million over a weighted-average remaining requisite service period of 1.65 years thereafter as the time-based condition for outstanding RSUs is met.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prospectus. The following table presents our selected consolidated statement of operations data for fiscal 2018, 2019 and 2020 and three months ended April 30, 2019 and 2020 in both dollars and as a percentage of total revenues, except as noted.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ind w:left="780"/>
              <w:spacing w:after="0"/>
              <w:rPr>
                <w:sz w:val="20"/>
                <w:szCs w:val="20"/>
                <w:color w:val="auto"/>
              </w:rPr>
            </w:pPr>
            <w:r>
              <w:rPr>
                <w:rFonts w:ascii="Arial" w:cs="Arial" w:eastAsia="Arial" w:hAnsi="Arial"/>
                <w:sz w:val="14"/>
                <w:szCs w:val="14"/>
                <w:b w:val="1"/>
                <w:bCs w:val="1"/>
                <w:color w:val="auto"/>
                <w:w w:val="95"/>
              </w:rPr>
              <w:t>Fiscal Year Ended January 31,</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4"/>
              </w:rPr>
              <w:t>Three Months Ended April 30,</w:t>
            </w:r>
          </w:p>
        </w:tc>
        <w:tc>
          <w:tcPr>
            <w:tcW w:w="0" w:type="dxa"/>
            <w:vAlign w:val="bottom"/>
          </w:tcPr>
          <w:p>
            <w:pPr>
              <w:spacing w:after="0"/>
              <w:rPr>
                <w:sz w:val="1"/>
                <w:szCs w:val="1"/>
                <w:color w:val="auto"/>
              </w:rPr>
            </w:pPr>
          </w:p>
        </w:tc>
      </w:tr>
      <w:tr>
        <w:trPr>
          <w:trHeight w:val="14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 and per share</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3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38,048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64,458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103,265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21,032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34,831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27,076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34,915</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23"/>
        </w:trPr>
        <w:tc>
          <w:tcPr>
            <w:tcW w:w="43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29,836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Cost of subscription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19,995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31,062</w:t>
            </w: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6,502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26,456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33,008</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30"/>
        </w:trPr>
        <w:tc>
          <w:tcPr>
            <w:tcW w:w="4360" w:type="dxa"/>
            <w:vAlign w:val="bottom"/>
          </w:tcPr>
          <w:p>
            <w:pPr>
              <w:ind w:left="72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45,083</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74,110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25,846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31,278</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44,440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12,226</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22,230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35,304</w:t>
            </w: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7,366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14,791</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22,536</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30"/>
        </w:trPr>
        <w:tc>
          <w:tcPr>
            <w:tcW w:w="4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30,117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(23,216)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(28,170)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1,193</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(18,539)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(22,112)</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(27,149)</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(18,589)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(22,306)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(27,735)</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Adjustment attributable to non-controlling interest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(18,589</w:t>
            </w:r>
          </w:p>
        </w:tc>
        <w:tc>
          <w:tcPr>
            <w:tcW w:w="46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(27,594</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nCino, Inc.: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common shares outstanding: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68,290,570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74,593,709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78,316,794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75,986,517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81,560,762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7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80" w:type="dxa"/>
            <w:vAlign w:val="bottom"/>
            <w:gridSpan w:val="8"/>
            <w:vMerge w:val="restart"/>
          </w:tcPr>
          <w:p>
            <w:pPr>
              <w:ind w:left="580"/>
              <w:spacing w:after="0"/>
              <w:rPr>
                <w:sz w:val="20"/>
                <w:szCs w:val="20"/>
                <w:color w:val="auto"/>
              </w:rPr>
            </w:pPr>
            <w:r>
              <w:rPr>
                <w:rFonts w:ascii="Arial" w:cs="Arial" w:eastAsia="Arial" w:hAnsi="Arial"/>
                <w:sz w:val="14"/>
                <w:szCs w:val="14"/>
                <w:b w:val="1"/>
                <w:bCs w:val="1"/>
                <w:color w:val="auto"/>
                <w:w w:val="93"/>
              </w:rPr>
              <w:t>Fiscal Year Ended January 31,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80" w:type="dxa"/>
            <w:vAlign w:val="bottom"/>
            <w:tcBorders>
              <w:bottom w:val="single" w:sz="8" w:color="auto"/>
            </w:tcBorders>
            <w:gridSpan w:val="8"/>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7"/>
              </w:rPr>
              <w:t>April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left="272"/>
              <w:spacing w:after="0" w:line="142" w:lineRule="exact"/>
              <w:rPr>
                <w:sz w:val="20"/>
                <w:szCs w:val="20"/>
                <w:color w:val="auto"/>
              </w:rPr>
            </w:pPr>
            <w:r>
              <w:rPr>
                <w:rFonts w:ascii="Arial" w:cs="Arial" w:eastAsia="Arial" w:hAnsi="Arial"/>
                <w:sz w:val="14"/>
                <w:szCs w:val="14"/>
                <w:b w:val="1"/>
                <w:bCs w:val="1"/>
                <w:color w:val="auto"/>
                <w:w w:val="94"/>
              </w:rPr>
              <w:t>(unaudited)</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Subscription revenues</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65.4%</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36"/>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34.6</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29.5</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revenues</w:t>
            </w: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64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36"/>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Revenues (percentage shown in comparison to related</w:t>
            </w: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Cost of subscription revenues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33.1</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76"/>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89.0</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85.6</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5300" w:type="dxa"/>
            <w:vAlign w:val="bottom"/>
            <w:gridSpan w:val="2"/>
          </w:tcPr>
          <w:p>
            <w:pPr>
              <w:ind w:left="720"/>
              <w:spacing w:after="0"/>
              <w:rPr>
                <w:sz w:val="20"/>
                <w:szCs w:val="20"/>
                <w:color w:val="auto"/>
              </w:rPr>
            </w:pPr>
            <w:r>
              <w:rPr>
                <w:rFonts w:ascii="Arial" w:cs="Arial" w:eastAsia="Arial" w:hAnsi="Arial"/>
                <w:sz w:val="18"/>
                <w:szCs w:val="18"/>
                <w:color w:val="auto"/>
              </w:rPr>
              <w:t>Total cost of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6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47.6</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52.9</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36.0</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26.9</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28.5</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76"/>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15.4</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13.1</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530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6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from operations</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(32.3)</w:t>
            </w:r>
          </w:p>
        </w:tc>
        <w:tc>
          <w:tcPr>
            <w:tcW w:w="6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w w:val="97"/>
              </w:rPr>
              <w:t>(11.8)</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16"/>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before income tax expense</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(31.9)</w:t>
            </w:r>
          </w:p>
        </w:tc>
        <w:tc>
          <w:tcPr>
            <w:tcW w:w="6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w w:val="97"/>
              </w:rPr>
              <w:t>(11.1)</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76"/>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w:t>
            </w:r>
          </w:p>
        </w:tc>
        <w:tc>
          <w:tcPr>
            <w:tcW w:w="78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33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w w:val="95"/>
              </w:rPr>
              <w:t>(11.6)%</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Comparison of the Three Months ended April 30, 2020 and 2019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11"/>
          </w:tcPr>
          <w:p>
            <w:pPr>
              <w:jc w:val="right"/>
              <w:ind w:right="960"/>
              <w:spacing w:after="0"/>
              <w:rPr>
                <w:sz w:val="20"/>
                <w:szCs w:val="20"/>
                <w:color w:val="auto"/>
              </w:rPr>
            </w:pPr>
            <w:r>
              <w:rPr>
                <w:rFonts w:ascii="Arial" w:cs="Arial" w:eastAsia="Arial" w:hAnsi="Arial"/>
                <w:sz w:val="14"/>
                <w:szCs w:val="14"/>
                <w:b w:val="1"/>
                <w:bCs w:val="1"/>
                <w:color w:val="auto"/>
                <w:w w:val="95"/>
              </w:rPr>
              <w:t>Three Months Ended April 30,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gridSpan w:val="4"/>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0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$21,032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70.5%</w:t>
            </w: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$34,831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77.9%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50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29,836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100.0%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44,712</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Subscription revenues increased $13.8 million for the three months ended April 30, 2020 compared to the three months ended April 30, 2019, primarily due to new customer additions, including customers added as a result of our acquisitions of Visible Equity and FinSuite, as well as expansion from existing customers within and across lines of business and price increases. Of the increase, 63.7% was attributable to increased revenues from existing customers as additional seats were activated in accordance with contractual terms and customers expanded their adoption of our solution, 18.7% was attributable to revenues from Visible Equity and FinSuite and 17.6% was attributable to revenues from new nCino Bank Operating System customers. Subscription revenues were 77.9% of total revenues for the three months ended April 30, 2020 compared to 70.5% of total revenues for the three months ended April 30, 2019, reflecting the growth in our installed base.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Professional services revenues increased $1.1 million for the three months ended April 30, 2020 compared to the three months ended April 30, 2019,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Cost of Revenues (percentage shown in comparison to related revenues):</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6,502</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30.9%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$10,099</w:t>
            </w:r>
          </w:p>
        </w:tc>
        <w:tc>
          <w:tcPr>
            <w:tcW w:w="36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29.0%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85.6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88.7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14,038</w:t>
            </w:r>
          </w:p>
        </w:tc>
        <w:tc>
          <w:tcPr>
            <w:tcW w:w="780" w:type="dxa"/>
            <w:vAlign w:val="bottom"/>
          </w:tcPr>
          <w:p>
            <w:pPr>
              <w:ind w:left="460"/>
              <w:spacing w:after="0"/>
              <w:rPr>
                <w:sz w:val="20"/>
                <w:szCs w:val="20"/>
                <w:color w:val="auto"/>
              </w:rPr>
            </w:pPr>
            <w:r>
              <w:rPr>
                <w:rFonts w:ascii="Arial" w:cs="Arial" w:eastAsia="Arial" w:hAnsi="Arial"/>
                <w:sz w:val="18"/>
                <w:szCs w:val="18"/>
                <w:color w:val="auto"/>
                <w:w w:val="85"/>
              </w:rPr>
              <w:t>47.1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18,866</w:t>
            </w:r>
          </w:p>
        </w:tc>
        <w:tc>
          <w:tcPr>
            <w:tcW w:w="36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15,798</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52.9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25,846</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57.8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Cost of subscription revenues increased $3.6 million for the three months ended April 30, 2020 compared to the three months ended</w:t>
      </w:r>
    </w:p>
    <w:p>
      <w:pPr>
        <w:spacing w:after="0" w:line="3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April 30, 2019, generating a gross margin for subscription revenues of 71.0% compared to a gross margin of 69.1% for the three months ended April 30, 2019. Costs related to Salesforce user fees increased $2.5 million as we continued to add new customers and sold additional functionality to existing customers, and personnel costs increased $0.5 million as we added new employees. Allocated overhead costs for the three months ended April 30, 2020 increased $0.4 million compared to the three months ended April 30, 2019 due to headcount growth in our global customer support organization. Other costs of subscription revenues increased $0.2 million due to data services purchased for resale. We expect the cost of subscription revenues will continue to increase in absolute dollars as the number of users of the nCino Bank Operating System grows.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Cost of professional services revenues increased $1.2 million for the three months ended April 30, 2020 compared to the three months ended April 30, 2019, generating a gross margin for professional services of 11.3% compared to a gross margin of 14.4% for the three months ended April 30, 2019. For the 2020 period, personnel costs increased $1.6 million for the professional services team compared to the prior year period due to increased headcount and allocated overhead costs increased $0.1 million compared to the prior year period due to growth supporting our continued business expansion. These increases were partially offset by a $0.4 million decrease in reimbursable, and a $0.1 million decrease in non-reimbursable, travel and related expenses for the professional service organization due to COVID-19-related travel restrictions. The decrease in our professional services gross margin for the three months ended April 30, 2020 was due to the mix of solutions being implemented. We expect the cost of professional services revenues to increase in absolute dollars in the near term as we add new customer subscriptions that require professional services. For the balance of fiscal 2021, we expect reduced professional services gross margins as utilization is adversely affected by travel restrictions and work-from-home restrictions resulting from COVID-19.</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281"/>
              <w:spacing w:after="0"/>
              <w:rPr>
                <w:sz w:val="20"/>
                <w:szCs w:val="20"/>
                <w:color w:val="auto"/>
              </w:rPr>
            </w:pPr>
            <w:r>
              <w:rPr>
                <w:rFonts w:ascii="Arial" w:cs="Arial" w:eastAsia="Arial" w:hAnsi="Arial"/>
                <w:sz w:val="14"/>
                <w:szCs w:val="14"/>
                <w:b w:val="1"/>
                <w:bCs w:val="1"/>
                <w:color w:val="auto"/>
                <w:w w:val="97"/>
              </w:rPr>
              <w:t>Three Months Ended April 30,</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3"/>
          </w:tcPr>
          <w:p>
            <w:pPr>
              <w:jc w:val="right"/>
              <w:ind w:right="81"/>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8,015</w:t>
            </w:r>
          </w:p>
        </w:tc>
        <w:tc>
          <w:tcPr>
            <w:tcW w:w="8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26.9%</w:t>
            </w:r>
          </w:p>
        </w:tc>
        <w:tc>
          <w:tcPr>
            <w:tcW w:w="1180" w:type="dxa"/>
            <w:vAlign w:val="bottom"/>
            <w:gridSpan w:val="3"/>
          </w:tcPr>
          <w:p>
            <w:pPr>
              <w:jc w:val="right"/>
              <w:ind w:right="321"/>
              <w:spacing w:after="0"/>
              <w:rPr>
                <w:sz w:val="20"/>
                <w:szCs w:val="20"/>
                <w:color w:val="auto"/>
              </w:rPr>
            </w:pPr>
            <w:r>
              <w:rPr>
                <w:rFonts w:ascii="Arial" w:cs="Arial" w:eastAsia="Arial" w:hAnsi="Arial"/>
                <w:sz w:val="18"/>
                <w:szCs w:val="18"/>
                <w:color w:val="auto"/>
              </w:rPr>
              <w:t>$12,226</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27.3%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1180" w:type="dxa"/>
            <w:vAlign w:val="bottom"/>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10,965</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13.1</w:t>
            </w:r>
          </w:p>
        </w:tc>
        <w:tc>
          <w:tcPr>
            <w:tcW w:w="1180" w:type="dxa"/>
            <w:vAlign w:val="bottom"/>
            <w:gridSpan w:val="3"/>
          </w:tcPr>
          <w:p>
            <w:pPr>
              <w:jc w:val="right"/>
              <w:ind w:right="321"/>
              <w:spacing w:after="0"/>
              <w:rPr>
                <w:sz w:val="20"/>
                <w:szCs w:val="20"/>
                <w:color w:val="auto"/>
              </w:rPr>
            </w:pPr>
            <w:r>
              <w:rPr>
                <w:rFonts w:ascii="Arial" w:cs="Arial" w:eastAsia="Arial" w:hAnsi="Arial"/>
                <w:sz w:val="18"/>
                <w:szCs w:val="18"/>
                <w:color w:val="auto"/>
              </w:rPr>
              <w:t>6,926</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19,290</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64.7</w:t>
            </w:r>
          </w:p>
        </w:tc>
        <w:tc>
          <w:tcPr>
            <w:tcW w:w="1180" w:type="dxa"/>
            <w:vAlign w:val="bottom"/>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30,117</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108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6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(3,492</w:t>
            </w:r>
          </w:p>
        </w:tc>
        <w:tc>
          <w:tcPr>
            <w:tcW w:w="10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(11.8)%</w:t>
            </w:r>
          </w:p>
        </w:tc>
        <w:tc>
          <w:tcPr>
            <w:tcW w:w="1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 (4,271</w:t>
            </w:r>
          </w:p>
        </w:tc>
        <w:tc>
          <w:tcPr>
            <w:tcW w:w="40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Sales and marketing expenses increased $4.2 million for the three months ended April 30, 2020 compared to the three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30, 2019, primarily due to an increase of $3.0 million in personnel costs resulting from an increase in headcount on the sales and marketing teams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a $0.4 million increase in marketing costs, including direct costs of conference attendance and sponsorships. Our sales and marketing headcount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grew from 149 at April 30, 2019 to 234 at April 30, 2020. The increase in sales and marketing expenses also included a $0.9 million increase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allocated overhead costs and a $0.3 million increase in outside consulting fees due to growth supporting our continued business expansion. The increase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sales and marketing expenses for the three months ended April 30, 2020 was partially offset by a decrease of $0.4 million in sales-related travel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due to COVID-19-related travel restrictions. We expect sales and marketing expenses to increase in absolute dollars as we invest in expanding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customer base and user adoption.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Research and development expenses increased $3.6 million for the three months ended April 30, 2020 compared to the three months ended April 30, 2019, primarily due to an increase of $3.5 million in personnel costs resulting from continued growth in headcount and a $0.4 million increase in allocated overhead costs due to growth supporting our continued business expansion, partially offset by a $0.3 million decrease in the use of third-party contractors. Our research and development headcount grew from 180 at April 30, 2019 to 295 at April 30, 2020. We expect research and development expenses to increase in absolute dollars due to higher headcount as we develop new applications and further enhance the nCino Bank Operating System.</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General and administrative expenses increased $3.0 million for the three months ended April 30, 2020 compared to the three months ended April 30, 2019, primarily due to an increase of $1.6 million in personnel costs resulting from continued growth in headcount as we continue to scale our business. Our general and administrative headcount grew from 69 at April 30, 2019 to 109 at April 30, 2020. Third party professional fees increased $0.8 million for the three months ended April 30, 2020 compared to the three months ended April 30, 2019, including $0.4 million of transaction-related costs incurred related to this offering. Allocated overhead and other general and administrative costs increased $0.7 million, which consisted primarily of charitable contributions and bad debt expense. The increase in general and administrative expenses for the three months ended April 30, 2020 was partially offset by a decrease of $0.1 million in travel costs due to COVID-19-related travel restrictions. We expect general and administrative expenses to increase in absolute dollars in the near term, primarily due to higher headcount to support our continued growth and additional expenses for our transition to, and continuing costs of, being a public company.</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Effects of COVID-19</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COVID-19 began affecting our business in the three months ended April 30, 2020.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In addition, we shifted our conferences and other marketing events to virtual-only for the foreseeable future.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duration, severity and spread of the pandemic,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“—Factors Affecting Our Operating Results—COVID-19 Effects on Demand for Our Solutions” and “Risk Factors—Uncertain or weakened economic conditions, including as a result of the recent coronavirus outbreak, may adversely affect our industry, business and results of operations.”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Fiscal Years ended January 31, 2020 and 2019</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$64,458</w:t>
            </w:r>
          </w:p>
        </w:tc>
        <w:tc>
          <w:tcPr>
            <w:tcW w:w="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$103,265</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138,180</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Subscription revenues increased $38.8 million for fiscal 2020 compared to fiscal 2019, primarily due to new customer additions, including customers added as a result of our acquisitions of Visible Equity and FinSuite, as well as expansion from existing customers within and across lines of business and price increases. Of the increase, 61.7% was attributable to increased revenues from existing customers as additional seats were activated in accordance with contractual terms and customers expanded their adoption of our solution, 15.4% was attributable to revenues from Visible Equity and FinSuite, and 22.9% was attributable to revenues from new nCino Bank Operating System customers. Subscription revenues were 74.7% of total revenues for fiscal 2020, compared to 70.4% of total revenues for fiscal 2019, reflecting the growth in our installed base.</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Professional services revenues increased $7.8 million for fiscal 2020 compared to fiscal 2019, primarily due to the addition of new customers, as well as expanded adoption by existing customers within and across lines of business where implementation, configuration and training services were required. For fiscal 2020, $2.9 million of professional services revenues was reimbursable travel and expense related to professional services projects at customer locations compared to $2.5 million for fiscal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Fiscal Year Ended January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Cost of Revenues (percentage shown in comparison to related revenues):</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34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31.0%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$31,062</w:t>
            </w:r>
          </w:p>
        </w:tc>
        <w:tc>
          <w:tcPr>
            <w:tcW w:w="34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30.1%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97.7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94.5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080"/>
              <w:spacing w:after="0"/>
              <w:rPr>
                <w:sz w:val="20"/>
                <w:szCs w:val="20"/>
                <w:color w:val="auto"/>
              </w:rPr>
            </w:pPr>
            <w:r>
              <w:rPr>
                <w:rFonts w:ascii="Arial" w:cs="Arial" w:eastAsia="Arial" w:hAnsi="Arial"/>
                <w:sz w:val="18"/>
                <w:szCs w:val="18"/>
                <w:color w:val="auto"/>
              </w:rPr>
              <w:t>Total cost of revenues</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46,451</w:t>
            </w:r>
          </w:p>
        </w:tc>
        <w:tc>
          <w:tcPr>
            <w:tcW w:w="3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1"/>
              </w:rPr>
              <w:t>50.7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64,070</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Gross profit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74,110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53.6%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Cost of subscription revenues increased $11.1 million for fiscal 2020 compared to fiscal 2019, generating a gross margin for subscription revenues of 69.9% compared to a gross margin of 69.0% for fiscal 2019. Costs related to Salesforce user fees increased $7.5 million as we continued to add new customers and sold additional functionality to existing customers, and personnel costs increased $1.9 million as we added new employees. Allocated overhead costs for fiscal 2020 increased $1.0 million compared to fiscal 2019 due to headcount growth in our global customer support organization. Other costs of subscription revenues increased $0.7 million due to third-party data integration and nIQ hosting expenses.</w:t>
      </w:r>
    </w:p>
    <w:p>
      <w:pPr>
        <w:spacing w:after="0" w:line="26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Cost of professional services revenues increased $6.6 million for fiscal 2020 compared to fiscal 2019, generating a gross margin for professional services of 5.5% compared to a gross margin of 2.3% for fiscal 2019. Personnel costs for fiscal 2020 increased $5.1 million for the professional services team compared to fiscal 2019 primarily due to increased headcount. Reimbursable travel and expenses related to professional services projects at customer locations for fiscal 2020 increased $0.4 million compared to fiscal 2019. Allocated overhead costs for fiscal 2020 increased $0.9 million and travel related expenses increased $0.3 million compared to fiscal 2019 due to growth supporting our continued business expansion. The increase in cost of professional services revenues was partially offset by a $0.1 million decrease in other services. The increase in our professional services gross margin in fiscal 2020 was primarily due to higher utilization and effective billing rates in our maturing international professional services practice.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501"/>
              <w:spacing w:after="0"/>
              <w:rPr>
                <w:sz w:val="20"/>
                <w:szCs w:val="20"/>
                <w:color w:val="auto"/>
              </w:rPr>
            </w:pPr>
            <w:r>
              <w:rPr>
                <w:rFonts w:ascii="Arial" w:cs="Arial" w:eastAsia="Arial" w:hAnsi="Arial"/>
                <w:sz w:val="14"/>
                <w:szCs w:val="14"/>
                <w:b w:val="1"/>
                <w:bCs w:val="1"/>
                <w:color w:val="auto"/>
                <w:w w:val="92"/>
              </w:rPr>
              <w:t>Fiscal Year Ended January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01"/>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$ 31,278</w:t>
            </w:r>
          </w:p>
        </w:tc>
        <w:tc>
          <w:tcPr>
            <w:tcW w:w="2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5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102,280</w:t>
            </w:r>
          </w:p>
        </w:tc>
        <w:tc>
          <w:tcPr>
            <w:tcW w:w="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12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(23,216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(25.4)%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(28,170</w:t>
            </w:r>
          </w:p>
        </w:tc>
        <w:tc>
          <w:tcPr>
            <w:tcW w:w="500" w:type="dxa"/>
            <w:vAlign w:val="bottom"/>
          </w:tcPr>
          <w:p>
            <w:pPr>
              <w:jc w:val="right"/>
              <w:ind w:right="421"/>
              <w:spacing w:after="0"/>
              <w:rPr>
                <w:sz w:val="20"/>
                <w:szCs w:val="20"/>
                <w:color w:val="auto"/>
              </w:rPr>
            </w:pPr>
            <w:r>
              <w:rPr>
                <w:rFonts w:ascii="Arial" w:cs="Arial" w:eastAsia="Arial" w:hAnsi="Arial"/>
                <w:sz w:val="8"/>
                <w:szCs w:val="8"/>
                <w:color w:val="auto"/>
                <w:w w:val="73"/>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Sales and marketing expenses increased $13.2 million for fiscal 2020 compared to fiscal 2019, primarily due to an increase of $8.4 million in personnel costs resulting from an increase in headcount on the sales and marketing teams and a $1.7 million increase in marketing costs, including direct costs of conference attendance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and sponsorships, and a $1.0 million increase in sales-related travel costs. Our sales and marketing headcount grew from 140 at January 31, 2019 to 221 at January 31, 2020. The increase in sales and marketing expenses also included a $2.4 million increase in allocated overhead costs due to growth supporting our continued business expansion. The increase in sales and marketing expenses in fiscal 2020 was partially offset by a net reduction of $2.4 million in incremental costs incurred to obtain contracts, primarily consisting of sales commissions, as we began capitalizing and amortizing such expenses in fiscal 2020, and by a $0.3 million reduction in the use of third-party consultants.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Research and development expenses increased $13.1 million for fiscal 2020 compared to fiscal 2019, primarily due to an increase of $10.5 million in personnel costs, resulting from continued increases in headcount, both organically and from acquisitions, a $0.6 million increase in the use of third-party contractors as we continued to invest in the nCino Bank Operating System, a $0.2 million increase in travel and meeting expenses, and a $1.8 million increase in allocated overhead costs due to growth supporting our continued business expansion. Our research and development headcount grew from 153 at January 31, 2019 to 265 at January 31, 2020.</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General and administrative expenses increased $7.7 million for fiscal 2020 compared to fiscal 2019, primarily due to an increase of</w:t>
      </w:r>
    </w:p>
    <w:p>
      <w:pPr>
        <w:spacing w:after="0" w:line="35"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$4.4 million in personnel costs, due to increases in headcount as we continue to scale our business. Our general and administrative headcount grew from 63 at January 31, 2019 to 102 at January 31, 2020. Third party professional fees increased $3.7 million from fiscal 2019 to fiscal 2020, including</w:t>
      </w:r>
    </w:p>
    <w:p>
      <w:pPr>
        <w:spacing w:after="0" w:line="1"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$2.4 million of transaction-related costs incurred related to acquisitions and this offering. Travel and meeting expenses increased $0.4 million due to headcount growth and strategic initiatives. Allocated overhead and other general and administrative costs decreased $0.8 million, which consisted primarily of a $1.5 million decrease in tax related fees and assessments primarily due to revisions in prior year sales and use tax estimates, partially offset by higher insurance and occupancy costs.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Fiscal Years Ended January 31, 2019 and 2018</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$38,048</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$64,458</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58,142</w:t>
            </w:r>
          </w:p>
        </w:tc>
        <w:tc>
          <w:tcPr>
            <w:tcW w:w="4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Subscription revenues increased $26.4 million for fiscal 2019 compared to fiscal 2018, primarily due to new customer additions, as well as expansion from existing customers within and across lines of business and price increases. Of the increase, 78.1% was attributable to increased revenues from existing customers as additional seats were activated in accordance with contractual terms and customers expanded their adoption of our solution, and 21.9% was attributable to revenues from new nCino Bank Operating System customers. Subscription revenues were 70.4% of total revenues for fiscal 2019, compared to 65.4% of total revenues for fiscal 2018, reflecting the growth in our installed base and increasing sales to larger financial institutions where SIs provide a substantial portion of professional services.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Professional services revenues increased $7.0 million for fiscal 2019 compared to fiscal 2018, primarily due to the addition of new customers, as well as expanded adoption by existing customers within and across lines of business where implementation, configuration and training services were required. For fiscal 2019, $2.5 million of professional services revenues was reimbursable travel and expense related to professional services projects at our customer locations compared to $1.8 million for fiscal 2018.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Fiscal Year Ended January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tcPr>
          <w:p>
            <w:pPr>
              <w:spacing w:after="0"/>
              <w:rPr>
                <w:sz w:val="12"/>
                <w:szCs w:val="12"/>
                <w:color w:val="auto"/>
              </w:rPr>
            </w:pPr>
          </w:p>
        </w:tc>
        <w:tc>
          <w:tcPr>
            <w:tcW w:w="980" w:type="dxa"/>
            <w:vAlign w:val="bottom"/>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33.1%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4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31.0%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89.0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30,471</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w w:val="85"/>
              </w:rPr>
              <w:t>52.4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46,451</w:t>
            </w:r>
          </w:p>
        </w:tc>
        <w:tc>
          <w:tcPr>
            <w:tcW w:w="42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50.7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27,671</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47.6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Cost of subscription revenues increased $7.4 million for fiscal 2019 compared to fiscal 2018, generating a gross margin for subscription revenues of 69.0% compared to a gross margin of 66.9% for fiscal 2018. Costs related to Salesforce user fees increased $5.8 million as we continued to add new customers and sold additional functionality to existing customers, and personnel costs increased $1.2 million as we added new employees. Allocated overhead costs for fiscal 2019 increased $0.2 million and travel related expenses increased $0.1 million due to growth supporting our continued business expansion compared to fiscal 2018.</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Cost of professional services revenues increased $8.6 million for fiscal 2019 compared to fiscal 2018, generating a gross margin for professional services of 2.3% compared to a gross margin of 11.0% for fiscal 2018. Personnel costs for fiscal 2019 increased $6.9 million for the professional services team compared to fiscal 2018 primarily due to increased headcount. Reimbursable travel and expenses related to professional services projects at customer locations for fiscal 2019 increased $0.7 million compared to fiscal 2018. Allocated overhead costs for fiscal 2019 increased $1.0 million compared to fiscal 2018 due to growth supporting our continued business expansion. The decrease in our professional services gross margin in fiscal 2019 was primarily driven by investments in our international professional services operations as we expanded our international presence.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Fiscal Year Ended January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00" w:type="dxa"/>
            <w:vAlign w:val="bottom"/>
          </w:tcPr>
          <w:p>
            <w:pPr>
              <w:spacing w:after="0"/>
              <w:rPr>
                <w:sz w:val="12"/>
                <w:szCs w:val="12"/>
                <w:color w:val="auto"/>
              </w:rPr>
            </w:pPr>
          </w:p>
        </w:tc>
        <w:tc>
          <w:tcPr>
            <w:tcW w:w="1000" w:type="dxa"/>
            <w:vAlign w:val="bottom"/>
            <w:gridSpan w:val="2"/>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5"/>
              </w:rPr>
              <w:t>Operating expenses (as a percentage of total revenues):</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$20,954</w:t>
            </w: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36.0%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$31,278</w:t>
            </w:r>
          </w:p>
        </w:tc>
        <w:tc>
          <w:tcPr>
            <w:tcW w:w="4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34.2%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28.5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8,933</w:t>
            </w:r>
          </w:p>
        </w:tc>
        <w:tc>
          <w:tcPr>
            <w:tcW w:w="40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15.4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42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46,446</w:t>
            </w:r>
          </w:p>
        </w:tc>
        <w:tc>
          <w:tcPr>
            <w:tcW w:w="1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79.9%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68,299</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74.7%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00" w:type="dxa"/>
            <w:vAlign w:val="bottom"/>
            <w:vMerge w:val="restart"/>
          </w:tcPr>
          <w:p>
            <w:pPr>
              <w:jc w:val="right"/>
              <w:ind w:right="1110"/>
              <w:spacing w:after="0"/>
              <w:rPr>
                <w:sz w:val="20"/>
                <w:szCs w:val="20"/>
                <w:color w:val="auto"/>
              </w:rPr>
            </w:pPr>
            <w:r>
              <w:rPr>
                <w:rFonts w:ascii="Arial" w:cs="Arial" w:eastAsia="Arial" w:hAnsi="Arial"/>
                <w:sz w:val="18"/>
                <w:szCs w:val="18"/>
                <w:color w:val="auto"/>
              </w:rPr>
              <w:t>65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Sales and marketing expenses increased $10.3 million for fiscal 2019 compared to fiscal 2018, primarily due to an increase of $6.3 million in personnel costs resulting from an increase in headcount on the sales and marketing teams, a $1.7 million increase in sales-related travel costs, a $0.8 million increase in the use of third-party service providers to support our expanding sales and a $0.7 million increase in marketing costs, including direct costs of conference attendance and sponsorships. Our sales and marketing headcount grew from 110 at January 31, 2018 to 140 at January 31, 2019. The increase in sales and marketing expenses also included a $0.8 million increase in allocated overhead costs due to growth supporting our continued business expansion.</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Research and development expenses increased $5.7 million for fiscal 2019 compared to fiscal 2018, primarily due to an increase of $4.3 million in personnel costs, resulting from continued increases in headcount, a $0.5 million increase in the use of third-party contractors as we continued to invest in the nCino Bank Operating System, and a $0.9 million increase in allocated overhead costs due to growth supporting our continued business expansion. Our research and development headcount grew from 111 at January 31, 2018 to 153 at January 31, 2019.</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General and administrative expenses increased $5.9 million for fiscal 2019 compared to fiscal 2018, primarily due to an increase of $3.2 million in personnel costs, due to increases in headcount as we continue to scale our business, a $0.4 million increase in fees for professional services and a $0.1 million increase in travel and meeting expenses. Our general and administrative headcount grew from 45 at January 31, 2018 to 63 at January 31, 2019. Allocated overhead and other general and administrative costs increased $2.2 million, which consisted primarily of a $1.1 million increase in tax related fees and assessments, primarily due to an increase in estimated sales tax liability and an increase in insurance and occupancy costs.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As of April 30, 2020, we had $99.0 million in cash and cash equivalents, and an accumulated deficit of $125.6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4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To date, we have funded our capital needs through issuances of common stock and collections from our customers. Through April 30, 2020, we have raised $240.4 million in capital from common stock issuances. We generally bill and collect from our customers annually in advance. Our billings are subject to seasonality, with billings in the first and fourth quarters of our fiscal year substantially higher than in the second and third quarters. Because we recognize revenue ratably, our deferred revenue balance mirrors the seasonality of our billing. In addition, our advanced billing and collection coupled with our recent growth has resulted in our cash used in operating activities generally being less than our net operating losses in recent periods.</w:t>
      </w:r>
    </w:p>
    <w:p>
      <w:pPr>
        <w:spacing w:after="0" w:line="192"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believe that current cash and cash equivalents (not including the net proceeds from this offering)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2020 and April 30, 2020, the redeemable non-controlling interest of non-controlling interests in nCino K.K. was $4.4 million.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Summary Cash Flow information for fiscal 2018, 2019 and 2020 are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January 31,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4"/>
                <w:szCs w:val="14"/>
                <w:b w:val="1"/>
                <w:bCs w:val="1"/>
                <w:color w:val="auto"/>
                <w:w w:val="97"/>
              </w:rPr>
              <w:t>April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7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4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$(15,958)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$(4,589)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(8,998)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$ 4,869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80" w:type="dxa"/>
            <w:vAlign w:val="bottom"/>
            <w:gridSpan w:val="3"/>
          </w:tcPr>
          <w:p>
            <w:pPr>
              <w:jc w:val="right"/>
              <w:ind w:right="80"/>
              <w:spacing w:after="0"/>
              <w:rPr>
                <w:sz w:val="20"/>
                <w:szCs w:val="20"/>
                <w:color w:val="auto"/>
              </w:rPr>
            </w:pPr>
            <w:r>
              <w:rPr>
                <w:rFonts w:ascii="Arial" w:cs="Arial" w:eastAsia="Arial" w:hAnsi="Arial"/>
                <w:sz w:val="18"/>
                <w:szCs w:val="18"/>
                <w:color w:val="auto"/>
              </w:rPr>
              <w:t>(2,837)</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(7,965)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(58,027)</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(1,075)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70,137</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6,260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84,091</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left="120" w:right="240" w:firstLine="881"/>
        <w:spacing w:after="0" w:line="254" w:lineRule="auto"/>
        <w:rPr>
          <w:sz w:val="20"/>
          <w:szCs w:val="20"/>
          <w:color w:val="auto"/>
        </w:rPr>
      </w:pPr>
      <w:r>
        <w:rPr>
          <w:rFonts w:ascii="Arial" w:cs="Arial" w:eastAsia="Arial" w:hAnsi="Arial"/>
          <w:sz w:val="18"/>
          <w:szCs w:val="18"/>
          <w:color w:val="auto"/>
        </w:rPr>
        <w:t>The $8.4 million provided by operating activities in the three months ended April 30, 2020 reflects our net loss of $4.8 million, offset by $4.3 million in non-cash charges and $8.9 million generated by changes in working capital accounts. Cash generated by working capital accounts was principally a function of a $18.6 million increase in our deferred revenue, as we expanded our customer base and renewed existing customers, and a $0.2 million decrease in prepaid expenses and other assets. The cash generated by working capital accounts was partially offset by a $4.4 million decrease in accounts payable and accrued expenses and other liabilities, an increase of $3.1 million in accounts receivable due to the timing of collections from customers, and payments of $2.4 million of capitalized costs to obtain revenue contracts, which consisted primarily of sales commissions.</w:t>
      </w:r>
    </w:p>
    <w:p>
      <w:pPr>
        <w:spacing w:after="0" w:line="195"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color w:val="auto"/>
        </w:rPr>
        <w:t>The $4.9 million provided by operating activities in the three months ended April 30, 2019 reflects our net loss of $3.4 million, offset by $2.4 million in non-cash charges and $5.9 million generated by changes in working capital accounts. Cash generated by working capital accounts was principally a function of a $9.6 million increase in our deferred revenue, as we expanded our customer base and renewed existing customers, and a $0.7 million decrease in prepaid expenses and other assets. The cash generated by working capital accounts was partially offset by a $3.9 million decrease in accounts payable and accrued expenses and an increase of $1.1 million in accounts receivable due to the timing of collections from our customers.</w:t>
      </w:r>
    </w:p>
    <w:p>
      <w:pPr>
        <w:spacing w:after="0" w:line="192"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$9.0 million we used in operating activities in fiscal 2020 was driven by our net loss of $27.7 million, partially offset by $13.7 million in non-cash charges and $5.1 million generated by changes in working capital accounts. Cash generated by working capital accounts was principally a function of a $22.0 million increase in our deferred revenue, as we expanded our customer base and renewed existing customers, and a $3.5 million increase in accounts payable and accrued expenses and other liabilities. The cash</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generated by working capital accounts was partially offset by an increase of $14.2 million in accounts receivable due to the timing of collections from customers, payments of $5.6 million of capitalized costs to obtain revenue contracts, which consist primarily of sales commissions, and a $1.6 million increase in prepaid expenses and other assets.</w:t>
      </w:r>
    </w:p>
    <w:p>
      <w:pPr>
        <w:spacing w:after="0" w:line="184"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$4.6 million we used in operating activities in fiscal 2019 was driven by our net loss of $22.3 million, partially offset by $5.7 million in non-cash charges and $12.1 million generated by changes in working capital accounts. Cash generated by working capital accounts was principally a function of a $13.5 million increase in our deferred revenue, as we expanded our customer base and renewed existing customers, and a $4.7 million increase in accounts payable and accrued expenses. The cash generated by working capital accounts was partially offset by an increase of $5.7 million in accounts receivable due to the timing of collections from customers and a $1.2 million increase in prepaid expenses and other assets.</w:t>
      </w:r>
    </w:p>
    <w:p>
      <w:pPr>
        <w:spacing w:after="0" w:line="16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$16.0 million we used in operating activities in fiscal 2018 was driven by our net loss of $18.6 million and $1.8 million used in working capital accounts, partially offset by $4.5 million in non-cash charges. Cash used in working capital was principally a function of a $12.4 million increase in accounts receivable due to the timing of collections from customers, partially offset by a $10.8 million increase in deferred revenue, as we expanded our customer base and renewed existing customers.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120" w:right="520" w:firstLine="881"/>
        <w:spacing w:after="0" w:line="277" w:lineRule="auto"/>
        <w:rPr>
          <w:sz w:val="20"/>
          <w:szCs w:val="20"/>
          <w:color w:val="auto"/>
        </w:rPr>
      </w:pPr>
      <w:r>
        <w:rPr>
          <w:rFonts w:ascii="Arial" w:cs="Arial" w:eastAsia="Arial" w:hAnsi="Arial"/>
          <w:sz w:val="18"/>
          <w:szCs w:val="18"/>
          <w:color w:val="auto"/>
        </w:rPr>
        <w:t>In fiscal 2020, we used $52.3 million in investing activities to acquire Visible Equity and FinSuite for their product offerings, domain expertise, analytics and data recognition capabilities.</w:t>
      </w:r>
    </w:p>
    <w:p>
      <w:pPr>
        <w:spacing w:after="0" w:line="170" w:lineRule="exact"/>
        <w:rPr>
          <w:sz w:val="20"/>
          <w:szCs w:val="20"/>
          <w:color w:val="auto"/>
        </w:rPr>
      </w:pPr>
    </w:p>
    <w:p>
      <w:pPr>
        <w:jc w:val="both"/>
        <w:ind w:left="120" w:right="520" w:firstLine="881"/>
        <w:spacing w:after="0" w:line="263" w:lineRule="auto"/>
        <w:rPr>
          <w:sz w:val="20"/>
          <w:szCs w:val="20"/>
          <w:color w:val="auto"/>
        </w:rPr>
      </w:pPr>
      <w:r>
        <w:rPr>
          <w:rFonts w:ascii="Arial" w:cs="Arial" w:eastAsia="Arial" w:hAnsi="Arial"/>
          <w:sz w:val="18"/>
          <w:szCs w:val="18"/>
          <w:color w:val="auto"/>
        </w:rPr>
        <w:t>We used $5.8 million, $8.0 million and $2.8 million in investing activities in fiscal 2020, 2019 and fiscal 2018, respectively, and $1.1 million and $0.6 million in investing activities in the three months ended April 30, 2020 and 2019, respectively, for the purchase of property and equipment and leasehold improvements to support the expansion of our business.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The $0.1 million used in financing activities in the three months ended April 30, 2020 was comprised of payments of $0.2 million in deferred costs associated with this offering partially offset by payments of $0.1 million of proceeds from the exercise of stock options. The $0.3 million provided by financing activities in the three months ended April 30, 2019 was comprised of proceeds from the exercise of stock options.</w:t>
      </w:r>
    </w:p>
    <w:p>
      <w:pPr>
        <w:spacing w:after="0" w:line="165"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 $84.1 million provided by financing activities in fiscal 2020 was comprised principally of $79.9 million in proceeds from equity financings, net of issuance costs, as well as $4.5 million in proceeds from the non-controlling interest for our Japan joint venture and $1.0 million of proceeds from the exercise of stock options. The cash provided by financing activities was partially offset by payments of $1.4 million in deferred costs associated with this offering. The $6.3 million provided by financing activities in fiscal 2019 was comprised of proceeds from the exercise of stock options. The $70.1 million provided by financing activities in fiscal 2018 was comprised principally of $69.2 million in proceeds from equity financings, net of issuance costs, as well as $0.9 million of proceeds from the exercise of stock options.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Our principal commitments consist of future minimum lease payments under non-cancelable operating leases related to our facilities and equipment and a minimum purchase commitment to a related party. The following table summarizes our contractual obligations and commitments as of January 31,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1"/>
          </w:tcPr>
          <w:p>
            <w:pPr>
              <w:jc w:val="right"/>
              <w:ind w:right="460"/>
              <w:spacing w:after="0"/>
              <w:rPr>
                <w:sz w:val="20"/>
                <w:szCs w:val="20"/>
                <w:color w:val="auto"/>
              </w:rPr>
            </w:pPr>
            <w:r>
              <w:rPr>
                <w:rFonts w:ascii="Arial" w:cs="Arial" w:eastAsia="Arial" w:hAnsi="Arial"/>
                <w:sz w:val="14"/>
                <w:szCs w:val="14"/>
                <w:b w:val="1"/>
                <w:bCs w:val="1"/>
                <w:color w:val="auto"/>
                <w:w w:val="91"/>
              </w:rPr>
              <w:t>Payment due by period (in thousands)</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2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1 to 3</w:t>
            </w:r>
          </w:p>
        </w:tc>
        <w:tc>
          <w:tcPr>
            <w:tcW w:w="80" w:type="dxa"/>
            <w:vAlign w:val="bottom"/>
          </w:tcPr>
          <w:p>
            <w:pPr>
              <w:spacing w:after="0"/>
              <w:rPr>
                <w:sz w:val="10"/>
                <w:szCs w:val="10"/>
                <w:color w:val="auto"/>
              </w:rPr>
            </w:pPr>
          </w:p>
        </w:tc>
        <w:tc>
          <w:tcPr>
            <w:tcW w:w="6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3 to 5</w:t>
            </w:r>
          </w:p>
        </w:tc>
        <w:tc>
          <w:tcPr>
            <w:tcW w:w="20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More than 5</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4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3"/>
              </w:rPr>
              <w:t>1 year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years</w:t>
            </w:r>
          </w:p>
        </w:tc>
        <w:tc>
          <w:tcPr>
            <w:tcW w:w="14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6,068</w:t>
            </w:r>
          </w:p>
        </w:tc>
        <w:tc>
          <w:tcPr>
            <w:tcW w:w="106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color w:val="auto"/>
                <w:w w:val="90"/>
              </w:rPr>
              <w:t>$8,338</w:t>
            </w:r>
          </w:p>
        </w:tc>
        <w:tc>
          <w:tcPr>
            <w:tcW w:w="68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90"/>
              </w:rPr>
              <w:t>$4,521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3,798</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$22,725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Purchase commitments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200</w:t>
            </w:r>
          </w:p>
        </w:tc>
      </w:tr>
      <w:tr>
        <w:trPr>
          <w:trHeight w:val="27"/>
        </w:trPr>
        <w:tc>
          <w:tcPr>
            <w:tcW w:w="4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6,268</w:t>
            </w:r>
          </w:p>
        </w:tc>
        <w:tc>
          <w:tcPr>
            <w:tcW w:w="106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8,338</w:t>
            </w:r>
          </w:p>
        </w:tc>
        <w:tc>
          <w:tcPr>
            <w:tcW w:w="68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4,521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3,798</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22,925</w:t>
            </w: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881"/>
        <w:spacing w:after="0" w:line="311"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420" w:firstLine="881"/>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9"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At April 30, 2020, we had cash and cash equivalents of $99.0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prospectus. We do not enter into investments for trading or speculative purposes and have not used any derivative financial instruments to manage our interest rate risk exposure.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120" w:right="300" w:firstLine="881"/>
        <w:spacing w:after="0" w:line="289" w:lineRule="auto"/>
        <w:rPr>
          <w:sz w:val="20"/>
          <w:szCs w:val="20"/>
          <w:color w:val="auto"/>
        </w:rPr>
      </w:pPr>
      <w:r>
        <w:rPr>
          <w:rFonts w:ascii="Arial" w:cs="Arial" w:eastAsia="Arial" w:hAnsi="Arial"/>
          <w:sz w:val="16"/>
          <w:szCs w:val="16"/>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prospectus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Effective February 1, 2019, we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For further information regarding the effects of the adoption of Topic 606 on revenue recognition, please refer to Note 2 to our Consolidated Financial Statements appearing elsewhere in this prospectus.</w:t>
      </w:r>
    </w:p>
    <w:p>
      <w:pPr>
        <w:spacing w:after="0" w:line="161"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52" w:lineRule="exact"/>
        <w:rPr>
          <w:sz w:val="20"/>
          <w:szCs w:val="20"/>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Subscription revenues primarily consist of fees for providing customers access to our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accounted for as a service contract. Generally, our subscription contracts are three years or longer in length, billed annually in advance, are non-cancelable and do not contain refund-type provisions. Any subscription arrangements that are cancelable generally have penalty clauses.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our professional services contracts are billed on a fixed price basis, and revenues are recognized over time based on a proportional performance methodology which utilizes input methods. A portion of our professional services contracts are billed on a time and materials basis and revenues are recognized over time as the services are performed.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spacing w:after="0" w:line="192"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spacing w:after="0" w:line="184"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In accordance with ASU 2014-09, each quarter we disclose remaining performance obligations (RPOs) in the footnotes to our financial statements.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20" w:right="780" w:firstLine="881"/>
        <w:spacing w:after="0" w:line="277" w:lineRule="auto"/>
        <w:rPr>
          <w:sz w:val="20"/>
          <w:szCs w:val="20"/>
          <w:color w:val="auto"/>
        </w:rPr>
      </w:pPr>
      <w:r>
        <w:rPr>
          <w:rFonts w:ascii="Arial" w:cs="Arial" w:eastAsia="Arial" w:hAnsi="Arial"/>
          <w:sz w:val="18"/>
          <w:szCs w:val="18"/>
          <w:color w:val="auto"/>
        </w:rPr>
        <w:t>Accrued income taxes are reported as a component of either other current assets or other accrued liabilities, as appropriate, in our consolidated balance sheets and reflect our estimate of income taxes to be paid or received.</w:t>
      </w:r>
    </w:p>
    <w:p>
      <w:pPr>
        <w:spacing w:after="0" w:line="170" w:lineRule="exact"/>
        <w:rPr>
          <w:sz w:val="20"/>
          <w:szCs w:val="20"/>
          <w:color w:val="auto"/>
        </w:rPr>
      </w:pPr>
    </w:p>
    <w:p>
      <w:pPr>
        <w:jc w:val="both"/>
        <w:ind w:left="120" w:firstLine="881"/>
        <w:spacing w:after="0" w:line="286" w:lineRule="auto"/>
        <w:rPr>
          <w:sz w:val="20"/>
          <w:szCs w:val="20"/>
          <w:color w:val="auto"/>
        </w:rPr>
      </w:pPr>
      <w:r>
        <w:rPr>
          <w:rFonts w:ascii="Arial" w:cs="Arial" w:eastAsia="Arial" w:hAnsi="Arial"/>
          <w:sz w:val="17"/>
          <w:szCs w:val="17"/>
          <w:color w:val="auto"/>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w:t>
      </w:r>
    </w:p>
    <w:p>
      <w:pPr>
        <w:spacing w:after="0" w:line="16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and tax-planning strategies. At January 31, 2020, we determined that it is more likely than not that the majority of our deferred tax assets will not be realized and as such, recorded a valuation allowance of $36.4 million against our deferred tax assets of $39.7 million as of that date.</w:t>
      </w:r>
    </w:p>
    <w:p>
      <w:pPr>
        <w:spacing w:after="0" w:line="146" w:lineRule="exact"/>
        <w:rPr>
          <w:sz w:val="20"/>
          <w:szCs w:val="20"/>
          <w:color w:val="auto"/>
        </w:rPr>
      </w:pPr>
    </w:p>
    <w:p>
      <w:pPr>
        <w:jc w:val="both"/>
        <w:ind w:left="120" w:firstLine="881"/>
        <w:spacing w:after="0" w:line="275" w:lineRule="auto"/>
        <w:rPr>
          <w:sz w:val="20"/>
          <w:szCs w:val="20"/>
          <w:color w:val="auto"/>
        </w:rPr>
      </w:pPr>
      <w:r>
        <w:rPr>
          <w:rFonts w:ascii="Arial" w:cs="Arial" w:eastAsia="Arial" w:hAnsi="Arial"/>
          <w:sz w:val="17"/>
          <w:szCs w:val="17"/>
          <w:color w:val="auto"/>
        </w:rPr>
        <w:t>The Company is subject to income tax in the United States,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Stock-based compensation expense related to employees is measured based on the grant-date fair value of the awards. We establish fair value as the measurement objective in accounting for share-based payment transactions and recognize expense on a straight-line basis over the requisite service period, which is generally the vesting term of four years. Stock-based compensation is recognized net of estimated forfeiture activity. The estimated forfeiture rate applied is based on historical forfeiture rates. The fair value of each award is estimated on the grant date using the Black-Scholes option-pricing model.</w:t>
      </w:r>
    </w:p>
    <w:p>
      <w:pPr>
        <w:spacing w:after="0" w:line="18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Determining the fair value of stock-based awards at the grant date requires significant judgement. The determination of the grant date fair value of stock-based awards using the Black-Scholes option-pricing model is affected by our estimated common stock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215" w:lineRule="exact"/>
        <w:rPr>
          <w:sz w:val="20"/>
          <w:szCs w:val="20"/>
          <w:color w:val="auto"/>
        </w:rPr>
      </w:pPr>
    </w:p>
    <w:p>
      <w:pPr>
        <w:ind w:left="1420" w:right="110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our stock is not publicly traded, we estimate the fair value of common stock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contemporaneous valuations and other factors deemed relevant by management.</w:t>
      </w:r>
    </w:p>
    <w:p>
      <w:pPr>
        <w:spacing w:after="0" w:line="197" w:lineRule="exact"/>
        <w:rPr>
          <w:rFonts w:ascii="Arial" w:cs="Arial" w:eastAsia="Arial" w:hAnsi="Arial"/>
          <w:sz w:val="18"/>
          <w:szCs w:val="18"/>
          <w:color w:val="auto"/>
        </w:rPr>
      </w:pPr>
    </w:p>
    <w:p>
      <w:pPr>
        <w:ind w:left="1420" w:right="300" w:hanging="319"/>
        <w:spacing w:after="0" w:line="286" w:lineRule="auto"/>
        <w:tabs>
          <w:tab w:leader="none" w:pos="14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employee stock options reflects the period for which the Company believes the option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remain outstanding. To determine the expected term, we generally apply the simplified approach in which the expected term of an award is presumed to be the mid-point between the vesting date and the expiration date of the award.</w:t>
      </w:r>
    </w:p>
    <w:p>
      <w:pPr>
        <w:spacing w:after="0" w:line="192" w:lineRule="exact"/>
        <w:rPr>
          <w:rFonts w:ascii="Arial" w:cs="Arial" w:eastAsia="Arial" w:hAnsi="Arial"/>
          <w:sz w:val="17"/>
          <w:szCs w:val="17"/>
          <w:color w:val="auto"/>
        </w:rPr>
      </w:pPr>
    </w:p>
    <w:p>
      <w:pPr>
        <w:ind w:left="1420" w:right="40" w:hanging="319"/>
        <w:spacing w:after="0" w:line="263"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trading history for our common stock, the selected volatility used is representative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volatility. We base expected future volatility on the historical and implied volatility of comparable publicly traded companies over a similar expected term.</w:t>
      </w:r>
    </w:p>
    <w:p>
      <w:pPr>
        <w:spacing w:after="0" w:line="210"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declared or paid any cash dividends and do not presently intend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we used an expected dividend yield of zero.</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Risk-Free Interest Rates</w:t>
      </w:r>
      <w:r>
        <w:rPr>
          <w:rFonts w:ascii="Arial" w:cs="Arial" w:eastAsia="Arial" w:hAnsi="Arial"/>
          <w:sz w:val="18"/>
          <w:szCs w:val="18"/>
          <w:color w:val="auto"/>
        </w:rPr>
        <w:t>. We base the risk-free interest rate on the rate for a U.S. Treasury zero-coupon issue with a term that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expected life of the option grant at the date nearest the option grant date.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reflects the weighted average assumptions used to estimate the fair value of options granted during fiscal 2018,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2020:</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Fiscal Year Ended January 31,</w:t>
            </w:r>
          </w:p>
        </w:tc>
        <w:tc>
          <w:tcPr>
            <w:tcW w:w="1500" w:type="dxa"/>
            <w:vAlign w:val="bottom"/>
            <w:tcBorders>
              <w:bottom w:val="single" w:sz="8" w:color="auto"/>
            </w:tcBorders>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1480" w:type="dxa"/>
            <w:vAlign w:val="bottom"/>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2018</w:t>
            </w:r>
          </w:p>
        </w:tc>
        <w:tc>
          <w:tcPr>
            <w:tcW w:w="1840" w:type="dxa"/>
            <w:vAlign w:val="bottom"/>
            <w:gridSpan w:val="3"/>
          </w:tcPr>
          <w:p>
            <w:pPr>
              <w:jc w:val="center"/>
              <w:ind w:left="122"/>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ind w:right="74"/>
              <w:spacing w:after="0"/>
              <w:rPr>
                <w:sz w:val="20"/>
                <w:szCs w:val="20"/>
                <w:color w:val="auto"/>
              </w:rPr>
            </w:pPr>
            <w:r>
              <w:rPr>
                <w:rFonts w:ascii="Arial" w:cs="Arial" w:eastAsia="Arial" w:hAnsi="Arial"/>
                <w:sz w:val="18"/>
                <w:szCs w:val="18"/>
                <w:color w:val="auto"/>
                <w:w w:val="91"/>
              </w:rPr>
              <w:t>6.10 — 6.25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tcPr>
          <w:p>
            <w:pPr>
              <w:ind w:left="20"/>
              <w:spacing w:after="0"/>
              <w:rPr>
                <w:sz w:val="20"/>
                <w:szCs w:val="20"/>
                <w:color w:val="auto"/>
              </w:rPr>
            </w:pPr>
            <w:r>
              <w:rPr>
                <w:rFonts w:ascii="Arial" w:cs="Arial" w:eastAsia="Arial" w:hAnsi="Arial"/>
                <w:sz w:val="18"/>
                <w:szCs w:val="18"/>
                <w:color w:val="auto"/>
              </w:rPr>
              <w:t>— 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40% — 41%</w:t>
            </w:r>
          </w:p>
        </w:tc>
        <w:tc>
          <w:tcPr>
            <w:tcW w:w="1500" w:type="dxa"/>
            <w:vAlign w:val="bottom"/>
          </w:tcPr>
          <w:p>
            <w:pPr>
              <w:jc w:val="center"/>
              <w:ind w:right="54"/>
              <w:spacing w:after="0"/>
              <w:rPr>
                <w:sz w:val="20"/>
                <w:szCs w:val="20"/>
                <w:color w:val="auto"/>
              </w:rPr>
            </w:pPr>
            <w:r>
              <w:rPr>
                <w:rFonts w:ascii="Arial" w:cs="Arial" w:eastAsia="Arial" w:hAnsi="Arial"/>
                <w:sz w:val="18"/>
                <w:szCs w:val="18"/>
                <w:color w:val="auto"/>
                <w:w w:val="88"/>
              </w:rPr>
              <w:t>40%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4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0.00%</w:t>
            </w:r>
          </w:p>
        </w:tc>
        <w:tc>
          <w:tcPr>
            <w:tcW w:w="1840" w:type="dxa"/>
            <w:vAlign w:val="bottom"/>
            <w:gridSpan w:val="3"/>
            <w:shd w:val="clear" w:color="auto" w:fill="CCEEFF"/>
          </w:tcPr>
          <w:p>
            <w:pPr>
              <w:jc w:val="center"/>
              <w:ind w:left="122"/>
              <w:spacing w:after="0"/>
              <w:rPr>
                <w:sz w:val="20"/>
                <w:szCs w:val="20"/>
                <w:color w:val="auto"/>
              </w:rPr>
            </w:pPr>
            <w:r>
              <w:rPr>
                <w:rFonts w:ascii="Arial" w:cs="Arial" w:eastAsia="Arial" w:hAnsi="Arial"/>
                <w:sz w:val="18"/>
                <w:szCs w:val="18"/>
                <w:color w:val="auto"/>
                <w:w w:val="93"/>
              </w:rPr>
              <w:t>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3"/>
              </w:rPr>
              <w:t>0.00%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rate</w:t>
            </w: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780" w:type="dxa"/>
            <w:vAlign w:val="bottom"/>
          </w:tcPr>
          <w:p>
            <w:pPr>
              <w:ind w:left="20"/>
              <w:spacing w:after="0"/>
              <w:rPr>
                <w:sz w:val="20"/>
                <w:szCs w:val="20"/>
                <w:color w:val="auto"/>
              </w:rPr>
            </w:pPr>
            <w:r>
              <w:rPr>
                <w:rFonts w:ascii="Arial" w:cs="Arial" w:eastAsia="Arial" w:hAnsi="Arial"/>
                <w:sz w:val="18"/>
                <w:szCs w:val="18"/>
                <w:color w:val="auto"/>
                <w:w w:val="99"/>
              </w:rPr>
              <w:t>— 2.27%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2.71% — 3.06%</w:t>
            </w:r>
          </w:p>
        </w:tc>
        <w:tc>
          <w:tcPr>
            <w:tcW w:w="1500" w:type="dxa"/>
            <w:vAlign w:val="bottom"/>
          </w:tcPr>
          <w:p>
            <w:pPr>
              <w:jc w:val="center"/>
              <w:ind w:right="54"/>
              <w:spacing w:after="0"/>
              <w:rPr>
                <w:sz w:val="20"/>
                <w:szCs w:val="20"/>
                <w:color w:val="auto"/>
              </w:rPr>
            </w:pPr>
            <w:r>
              <w:rPr>
                <w:rFonts w:ascii="Arial" w:cs="Arial" w:eastAsia="Arial" w:hAnsi="Arial"/>
                <w:sz w:val="18"/>
                <w:szCs w:val="18"/>
                <w:color w:val="auto"/>
                <w:w w:val="92"/>
              </w:rPr>
              <w:t>1.63% — 2.59%</w:t>
            </w:r>
          </w:p>
        </w:tc>
      </w:tr>
    </w:tbl>
    <w:p>
      <w:pPr>
        <w:spacing w:after="0" w:line="187"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In addition to assumptions used in the Black-Scholes option-pricing model, we must also estimate a forfeiture rate to calculate the stock-based compensation expense for our option awards. Our forfeiture rate is based on an analysis of our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rate is revised.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the financial statements.</w:t>
      </w:r>
    </w:p>
    <w:p>
      <w:pPr>
        <w:spacing w:after="0" w:line="192"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will continue to use judgment in evaluating the assumptions related to our stock-based compensation expense on a prospective basis. If any assumptions used in the Black-Scholes option-pricing model change significantly, stock-based compensation for future awards may differ materially compared with the awards granted previously. As we continue to accumulate additional data related to our common stock, we may have refinements to our estimates, which could materially impact our future stock-based compensation expense.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RSUs are subject to time-based and performance-based vesting conditions. RSUs are generally earned over a service period of four years, expire seven years from the grant date and will only vest upon an initial public offering or change in control. The compensation expense related to these awards is based on the grant date fair value of the RSUs and is recognized on a ratable basis over the applicable service period.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Letter from Pierre Naudé</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Members of the nCino Community and Potential Investors,</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Thank you for your interest in nCino. As we embark upon our IPO, I wanted to share my thoughts to give you additional insight into who we are, how we got here, and why we are so excited for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Roots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 xml:space="preserve">As a young man growing up in South Africa, I started out as a software developer and business analyst, helping to program and connect some of the earliest ATMs. When I was 29 years old, I left South Africa with my wife and our 8-month-old daughter to pursue the American dream and my passion for financial technology. Decades later, I became introduced to the cloud through a group of like-minded people from Live Oak Bank. Together, we recognized the cloud as the future of the financial services industry, which was largely still operating in the same way it had been for decades – with stacks of paper, endless spreadsheets, disconnected point solutions and manual processes. In late 2011, we started nCino (a play on the Spanish word for “Live Oak”) in Wilmington, North Carolina – our beloved city at the beach – with the mission of transforming the entire financial services industry. At that time, many people dismissed us as a small, unknown company (I believe the term heard most often was “garage operation”) from a small, unknown southern city. But we had big dreams, a bold vision and a laser-like focus on achieving our goals. At nCino, we always say, “‘We can, IF’ but we </w:t>
      </w:r>
      <w:r>
        <w:rPr>
          <w:rFonts w:ascii="Arial" w:cs="Arial" w:eastAsia="Arial" w:hAnsi="Arial"/>
          <w:sz w:val="17"/>
          <w:szCs w:val="17"/>
          <w:i w:val="1"/>
          <w:iCs w:val="1"/>
          <w:color w:val="auto"/>
        </w:rPr>
        <w:t>never</w:t>
      </w:r>
      <w:r>
        <w:rPr>
          <w:rFonts w:ascii="Arial" w:cs="Arial" w:eastAsia="Arial" w:hAnsi="Arial"/>
          <w:sz w:val="17"/>
          <w:szCs w:val="17"/>
          <w:color w:val="auto"/>
        </w:rPr>
        <w:t xml:space="preserve"> say, ‘We cannot because.’”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Supporting Our Customers &amp; Communities through COVID</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 have never been more proud of the nCino team than this year as we have worked to support our customers through the COVID-19 pandemic. These institutions are the financial lifeblood to their local communities and through COVID-19, have been a critical part of keeping funding flowing to small businesses and individuals at a time when many physical locations were shuttered. From the moment companies moved to work from home, nCino was there. Our cloud-based platform empowered our customers to quickly and safely move their employees to work from home with no disruption to their operations. We further enabled our customers’ most critical business processes during this time by enabling them to underwrite government stimulus loans to their clients that had been impacted by the pandemic helping sustain these businesses during this challenging time.</w:t>
      </w:r>
    </w:p>
    <w:p>
      <w:pPr>
        <w:spacing w:after="0" w:line="164"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When the U.S. government passed the CARES Act in late March, we were able to rapidly enhance and deploy our Small Business Administration Solution to address the requirements of the Paycheck Protection Program (PPP), from application to funding to forgiveness. As a result, by using this solution, our financial institution customers were able to process hundreds of thousands of PPP applications and provide more than $50 billion in funding for their small business clients at a time when they needed it most.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Culture, Our People, Our Passion</w:t>
      </w:r>
    </w:p>
    <w:p>
      <w:pPr>
        <w:spacing w:after="0" w:line="117"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nCino was built on a foundation of culture – a culture where every single employee is valued, empowered and respected. These are the foundational principles on which we started nCino over eight-and-a-half years ago, and they have fostered a culture that is a differentiator for us in the market.</w:t>
      </w:r>
    </w:p>
    <w:p>
      <w:pPr>
        <w:spacing w:after="0" w:line="12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Today, we employ over 900 talented and passionate professionals from a diverse range of backgrounds around the globe. This team embraces our company culture, our core values, and our ”We can, IF” attitude, which is evidenced through the many accolades we have received, including being named to The Forbes Cloud 100 in 2018 and 2019; being named the No. 1 “Best Place to Work in Financial Technology” by American Banker in 2019; and being named one of the UK’s Best Workplaces in 2020 according to Great Place to Work. But to me, these awards pale in comparison to the sense of pride I feel when I see our employees at nCino accomplish amazing things.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 am extremely proud of our company, our people, our culture, our innovative platform and solutions, and how we are helping over 1,100 financial institutions transform the way they work, operate, and serve their clients.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But our story is just beginning. At nCino, we are proud of what we have achieved, excited about what lies ahead, and strongly believe the best is yet to come.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invite you to join 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1645920" cy="436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459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Pierre Naudé</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Co-Founder, President and CEO</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320" w:top="459" w:right="6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78"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SIs to help implement our solution, which has increased our capacity to deliver and deploy the nCino Bank Operating System and enabled us to scale more quickly.</w:t>
      </w:r>
    </w:p>
    <w:p>
      <w:pPr>
        <w:spacing w:after="0" w:line="18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connects the front, middle and back office employees of a financial institution with clients and third parties across lines of business. We deliver data analytics and AI/ML capabilities through our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92"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nCino Bank Operating System serves a large addressable market opportunity globally as financial institutions make significant investments in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71"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 $64.5 million and</w:t>
      </w:r>
    </w:p>
    <w:p>
      <w:pPr>
        <w:spacing w:after="0" w:line="1"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$38.0 million for fiscal 2020, 2019 and 2018, respectively, representing a 64.7% compound annual growth rate. For fiscal 2020, we had a subscription revenue retention rate of 147%. Net losses attributable to nCino for fiscal 2020, 2019 and 2018 were $27.6 million, $22.3 million and $18.6 million, respectively. For the three months ended April 30, 2020 and 2019, our total revenues were $44.7 million and $29.8 million, respectively, representing a 49.9% annual growth rate, and our subscription revenues were $34.8 million and $21.0 million, respectively, representing a 65.6% annual growth rate, and we had net losses attributable to nCino of $4.8 million and $3.4 million for the three months ended April 30, 2020 and 2019,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320" w:top="459" w:right="5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PwC survey, there has been a 21% increase since 2015 in consumers who use financial institutions that place more importance on experiential factors than interest rates. 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 to increase their technology budgets by at 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5"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CECL accounting standard have imposed stringent regulations pertaining to capital and leverage ratios and how financial institutions are required to estimate allowances for credit losses. Additionally, increased privacy regulations, such as the European Union’s GDPR and California’s CCPA, have imposed tougher data protection requirements. According to a Thomson Reuters report, compliance costs for financial institutions have increased 13% year-over-year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197" w:lineRule="exact"/>
        <w:rPr>
          <w:sz w:val="20"/>
          <w:szCs w:val="20"/>
          <w:color w:val="auto"/>
        </w:rPr>
      </w:pPr>
    </w:p>
    <w:p>
      <w:pPr>
        <w:ind w:left="1420" w:right="40" w:hanging="319"/>
        <w:spacing w:after="0" w:line="311" w:lineRule="auto"/>
        <w:tabs>
          <w:tab w:leader="none" w:pos="142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5" w:lineRule="exact"/>
        <w:rPr>
          <w:rFonts w:ascii="Arial" w:cs="Arial" w:eastAsia="Arial" w:hAnsi="Arial"/>
          <w:sz w:val="16"/>
          <w:szCs w:val="16"/>
          <w:color w:val="auto"/>
        </w:rPr>
      </w:pPr>
    </w:p>
    <w:p>
      <w:pPr>
        <w:ind w:left="1420" w:right="140" w:hanging="319"/>
        <w:spacing w:after="0" w:line="308" w:lineRule="auto"/>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Actionable Intelligence. </w:t>
      </w:r>
      <w:r>
        <w:rPr>
          <w:rFonts w:ascii="Arial" w:cs="Arial" w:eastAsia="Arial" w:hAnsi="Arial"/>
          <w:sz w:val="17"/>
          <w:szCs w:val="17"/>
          <w:color w:val="auto"/>
        </w:rPr>
        <w:t>Actionable intelligence technology offers the ability to synthesize disparate data sets into unified reportable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and provides a recommended course of action to make more informed real-time decisions.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3" w:lineRule="auto"/>
        <w:tabs>
          <w:tab w:leader="none" w:pos="14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Predictive Analytics. </w:t>
      </w:r>
      <w:r>
        <w:rPr>
          <w:rFonts w:ascii="Arial" w:cs="Arial" w:eastAsia="Arial" w:hAnsi="Arial"/>
          <w:sz w:val="17"/>
          <w:szCs w:val="17"/>
          <w:color w:val="auto"/>
        </w:rPr>
        <w:t>Predictive analytics use cases in financial services include predicting fraud, modeling risk, personalizing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predicting client lifetime value, segmenting clients, enabling recommendation engines, predicting loan defaults and improving client support. The financial and operational benefits of these use cases can be substantial. For example, a 2018 McKinsey report estimated that successful implementations of “next-product-to-buy” recommendation engines within the financial services industry have resulted in an increase of more than 50% in the number of leads offered per client and as many as 6 out of 10 clients purchasing a new product in response to a sales call.</w:t>
      </w:r>
    </w:p>
    <w:p>
      <w:pPr>
        <w:spacing w:after="0" w:line="204" w:lineRule="exact"/>
        <w:rPr>
          <w:rFonts w:ascii="Arial" w:cs="Arial" w:eastAsia="Arial" w:hAnsi="Arial"/>
          <w:sz w:val="17"/>
          <w:szCs w:val="17"/>
          <w:color w:val="auto"/>
        </w:rPr>
      </w:pPr>
    </w:p>
    <w:p>
      <w:pPr>
        <w:ind w:left="1420" w:hanging="319"/>
        <w:spacing w:after="0" w:line="273" w:lineRule="auto"/>
        <w:tabs>
          <w:tab w:leader="none" w:pos="14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Artificial intelligence makes it possible for machines to perform human-like tasks and analyses. Machine learning 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of artificial intelligence that allows systems to automatically learn and improve their algorithms without being explicitly programmed. AI/ML can be used to continually improve operating results by, for example, modeling credit exposure and estimating the 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digital transformation imperative for financial institutions creates a compelling opportunity for nCino. Financial institutions have been investing significantly in IT applications and infrastructure. Gartner estimates that software global enterprise IT spending within the banking market was approximately $63 billion in 2018, of which approximately $18 billion, or 29%, was for vertical specific software. In addition, demand for cloud-based solutions in banking continues to grow. According to IDC, SaaS revenues from banking is projected to grow from $13 billion in 2018 to $29 billion in 2023, representing a compound annual growth rate of 17%.</w:t>
      </w:r>
    </w:p>
    <w:p>
      <w:pPr>
        <w:spacing w:after="0" w:line="188"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We currently estimate the serviceable market for the nCino Bank Operating System to be greater than $10 billion. This analysis is based on a 2019 study conducted on our behalf by Grata Inc., a third-party market research firm that employed metrics regarding the number of full time employees at financial institutions across banking functions in positions for which the solution we offer is applicable and in geographical markets where we either had a current presence or may enter in the future. The number of such full time employees as estimated by Grata were then multiplied by the “fully-loaded annual price per user” we offered, which itself was determined by using our historical actual ACV for the applicable contracted solutions, divided by the quantities of users sold under such contracts.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9"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215" w:lineRule="exact"/>
        <w:rPr>
          <w:sz w:val="20"/>
          <w:szCs w:val="20"/>
          <w:color w:val="auto"/>
        </w:rPr>
      </w:pPr>
    </w:p>
    <w:p>
      <w:pPr>
        <w:ind w:left="1420" w:right="20" w:hanging="319"/>
        <w:spacing w:after="0" w:line="275" w:lineRule="auto"/>
        <w:tabs>
          <w:tab w:leader="none" w:pos="142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Digitally Serve Their Clients Across Commercial, Small Business and Retail Lines of Business. </w:t>
      </w:r>
      <w:r>
        <w:rPr>
          <w:rFonts w:ascii="Arial" w:cs="Arial" w:eastAsia="Arial" w:hAnsi="Arial"/>
          <w:sz w:val="17"/>
          <w:szCs w:val="17"/>
          <w:color w:val="auto"/>
        </w:rPr>
        <w:t>The nCino Bank Operating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55"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Financial Results. </w:t>
      </w:r>
      <w:r>
        <w:rPr>
          <w:rFonts w:ascii="Arial" w:cs="Arial" w:eastAsia="Arial" w:hAnsi="Arial"/>
          <w:sz w:val="18"/>
          <w:szCs w:val="18"/>
          <w:color w:val="auto"/>
        </w:rPr>
        <w:t>Our customers leverage nCino’s capabilities to drive revenue growth by digitally expanding their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19" w:lineRule="exact"/>
        <w:rPr>
          <w:rFonts w:ascii="Arial" w:cs="Arial" w:eastAsia="Arial" w:hAnsi="Arial"/>
          <w:sz w:val="18"/>
          <w:szCs w:val="18"/>
          <w:color w:val="auto"/>
        </w:rPr>
      </w:pPr>
    </w:p>
    <w:p>
      <w:pPr>
        <w:jc w:val="both"/>
        <w:ind w:left="1420" w:right="200" w:hanging="319"/>
        <w:spacing w:after="0" w:line="311"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Operate More Efficiently. </w:t>
      </w:r>
      <w:r>
        <w:rPr>
          <w:rFonts w:ascii="Arial" w:cs="Arial" w:eastAsia="Arial" w:hAnsi="Arial"/>
          <w:sz w:val="16"/>
          <w:szCs w:val="16"/>
          <w:color w:val="auto"/>
        </w:rPr>
        <w:t>Utilizing the nCino Bank Operating System’s automation, workflow and digitization capabilities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175" w:lineRule="exact"/>
        <w:rPr>
          <w:rFonts w:ascii="Arial" w:cs="Arial" w:eastAsia="Arial" w:hAnsi="Arial"/>
          <w:sz w:val="16"/>
          <w:szCs w:val="16"/>
          <w:color w:val="auto"/>
        </w:rPr>
      </w:pPr>
    </w:p>
    <w:p>
      <w:pPr>
        <w:ind w:left="1420" w:right="200" w:hanging="319"/>
        <w:spacing w:after="0" w:line="301"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Manage Risk and Compliance More Effectively. </w:t>
      </w:r>
      <w:r>
        <w:rPr>
          <w:rFonts w:ascii="Arial" w:cs="Arial" w:eastAsia="Arial" w:hAnsi="Arial"/>
          <w:sz w:val="16"/>
          <w:szCs w:val="16"/>
          <w:color w:val="auto"/>
        </w:rPr>
        <w:t>The nCino Bank Operating System helps financial institutions reduce regulatory,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184" w:lineRule="exact"/>
        <w:rPr>
          <w:rFonts w:ascii="Arial" w:cs="Arial" w:eastAsia="Arial" w:hAnsi="Arial"/>
          <w:sz w:val="16"/>
          <w:szCs w:val="16"/>
          <w:color w:val="auto"/>
        </w:rPr>
      </w:pPr>
    </w:p>
    <w:p>
      <w:pPr>
        <w:ind w:left="1420" w:hanging="319"/>
        <w:spacing w:after="0" w:line="296"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Establish a Data, Audit and Business Intelligence Hub</w:t>
      </w:r>
      <w:r>
        <w:rPr>
          <w:rFonts w:ascii="Arial" w:cs="Arial" w:eastAsia="Arial" w:hAnsi="Arial"/>
          <w:sz w:val="16"/>
          <w:szCs w:val="16"/>
          <w:color w:val="auto"/>
        </w:rPr>
        <w:t>. With an open API technology framework and integrations with third-party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40"/>
          </w:cols>
          <w:pgMar w:left="320" w:top="459"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Our Solution Works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nCino Bank Operating System connects financial institution employees, clients and third parties on a single, cloud-based platform, eliminating silos and bringing new levels of coordination and transparency to the institution. By utilizing a single platform across business lines, processes and channels, banks and credit unions are able to leverage the same data and information across their entire organization. This unified platform provides all of the functionality necessary to complete mission-critical workflow, enabling client onboarding, loan origination, deposit account opening, analytics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54603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86045"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40"/>
          </w:cols>
          <w:pgMar w:left="320" w:top="459"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Applications</w:t>
      </w:r>
    </w:p>
    <w:p>
      <w:pPr>
        <w:spacing w:after="0" w:line="229"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b w:val="1"/>
          <w:bCs w:val="1"/>
          <w:i w:val="1"/>
          <w:iCs w:val="1"/>
          <w:color w:val="auto"/>
        </w:rPr>
        <w:t xml:space="preserve">Client Onboarding. </w:t>
      </w:r>
      <w:r>
        <w:rPr>
          <w:rFonts w:ascii="Arial" w:cs="Arial" w:eastAsia="Arial" w:hAnsi="Arial"/>
          <w:sz w:val="17"/>
          <w:szCs w:val="17"/>
          <w:color w:val="auto"/>
        </w:rPr>
        <w:t>Built into the nCino Bank Operating System is client onboarding functionality that supports the front, middle and back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onboarding process, allowing financial institutions to effectively evaluate the risk of doing business with a client while providing clients an efficient and personalized user experience. Clients are able to upload documents directly into the nCino Bank Operating System, complete identity verification and provide information about themselves and their business, providing transparency to the financial institution that enables regulatory compliance, such as Know-Your-Customer (“KYC”). With enhanced onboarding reporting tools, banks and credit unions can generate customized reports and use real-time analytics and data from government watchlists and other third-party systems to achieve a holistic client view, enabling our customers to provide more value-added services and custom-tailored offerings.</w:t>
      </w:r>
    </w:p>
    <w:p>
      <w:pPr>
        <w:spacing w:after="0" w:line="17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b w:val="1"/>
          <w:bCs w:val="1"/>
          <w:i w:val="1"/>
          <w:iCs w:val="1"/>
          <w:color w:val="auto"/>
        </w:rPr>
        <w:t>Loan Origination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loan origination functionality embedded within the nCino Bank Operating System combines an innovative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intuitive framework with automated workflow, checklists, document management, analytics and real-time reporting to provide a complete, end-to-end loan origination system from application, to underwriting, to adjudication, 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financial institution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w:t>
      </w:r>
    </w:p>
    <w:p>
      <w:pPr>
        <w:spacing w:after="0" w:line="192"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Our loan origination functionality supports a wide range of lending products across commercial, small business and retail lines of business. The nCino Bank Operating System can facilitate the origination of an institution’s most complex commercial lending products, including syndicated loans, commercial and industrial loans, commercial real estate loans and construction loans, while also supporting the depth required for specific products such as agriculture lending, asset based lending, SBA loans and leasing. Our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spacing w:after="0" w:line="195" w:lineRule="exact"/>
        <w:rPr>
          <w:sz w:val="20"/>
          <w:szCs w:val="20"/>
          <w:color w:val="auto"/>
        </w:rPr>
      </w:pPr>
    </w:p>
    <w:p>
      <w:pPr>
        <w:ind w:left="120" w:right="220" w:firstLine="881"/>
        <w:spacing w:after="0" w:line="273" w:lineRule="auto"/>
        <w:rPr>
          <w:sz w:val="20"/>
          <w:szCs w:val="20"/>
          <w:color w:val="auto"/>
        </w:rPr>
      </w:pPr>
      <w:r>
        <w:rPr>
          <w:rFonts w:ascii="Arial" w:cs="Arial" w:eastAsia="Arial" w:hAnsi="Arial"/>
          <w:sz w:val="17"/>
          <w:szCs w:val="17"/>
          <w:b w:val="1"/>
          <w:bCs w:val="1"/>
          <w:i w:val="1"/>
          <w:iCs w:val="1"/>
          <w:color w:val="auto"/>
        </w:rPr>
        <w:t>Deposit Account Opening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nCino Bank Operating System’s deposit account opening application optimizes the process for opening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checking, savings, debit/ATM cards, money market, certificates of deposit and retirement accounts. Financial institutions can utilize the intuitive, scalable and flexible workflow to open retail, commercial or small business accounts efficiently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 deposit account digitally, across any device, in a branch, or through a call center, with speed and flexibility.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Platform</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client onboarding, loan origination and deposit account opening applications are built on the nCino platform, which contains common data sets and functionality including:</w:t>
      </w:r>
    </w:p>
    <w:p>
      <w:pPr>
        <w:spacing w:after="0" w:line="197" w:lineRule="exact"/>
        <w:rPr>
          <w:sz w:val="20"/>
          <w:szCs w:val="20"/>
          <w:color w:val="auto"/>
        </w:rPr>
      </w:pPr>
    </w:p>
    <w:p>
      <w:pPr>
        <w:ind w:left="1420" w:right="80" w:hanging="319"/>
        <w:spacing w:after="0" w:line="301" w:lineRule="auto"/>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Business process automation that provides workflow to define, streamline and connect the business processes associated with a financial institution’s front, middle and back office operations. Within the nCino platform, framework components use workflow to initiate and complete tasks in an efficient, reliable and effective manner which includes the ability to support complex processes and calculations across client onboarding, loan origination and deposit account opening, such as underwriting and automated decisioning.</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96" w:lineRule="auto"/>
        <w:tabs>
          <w:tab w:leader="none" w:pos="1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Compliance and risk management tools that provide financial institutions with audit, analytics and snapshot capabilities to more effectively manage internal regulation and risk, the examination process and overall compliance standards. The nCino Bank Operating System helps establish baseline performance metrics and sets standards and goals to achieve regulatory requirements and institution specific risk thresholds including with respect to CECL, Allowance for Loan and Lease Losses (“ALLL”) and fair lending. Because the nCino platform is highly configurable, it can adjust as regulations and the institution risk requirements evolve.</w:t>
      </w:r>
    </w:p>
    <w:p>
      <w:pPr>
        <w:spacing w:after="0" w:line="188" w:lineRule="exact"/>
        <w:rPr>
          <w:rFonts w:ascii="Arial" w:cs="Arial" w:eastAsia="Arial" w:hAnsi="Arial"/>
          <w:sz w:val="16"/>
          <w:szCs w:val="16"/>
          <w:color w:val="auto"/>
        </w:rPr>
      </w:pPr>
    </w:p>
    <w:p>
      <w:pPr>
        <w:ind w:left="1420" w:right="60" w:hanging="319"/>
        <w:spacing w:after="0" w:line="259"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intelligent enterprise content management system that includes a standardized filing system across applications, providing instant and ongoing access to digital documentation and checklists to help ensure that compliance and credit requirements are met. For example, client documents are associated with a unique identifier eliminating the need for repeat document collection and duplicative data input.</w:t>
      </w:r>
    </w:p>
    <w:p>
      <w:pPr>
        <w:spacing w:after="0" w:line="213" w:lineRule="exact"/>
        <w:rPr>
          <w:rFonts w:ascii="Arial" w:cs="Arial" w:eastAsia="Arial" w:hAnsi="Arial"/>
          <w:sz w:val="18"/>
          <w:szCs w:val="18"/>
          <w:color w:val="auto"/>
        </w:rPr>
      </w:pPr>
    </w:p>
    <w:p>
      <w:pPr>
        <w:ind w:left="1420" w:right="140" w:hanging="319"/>
        <w:spacing w:after="0" w:line="255"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360-degree client view and reporting capabilities that provide financial institutions the ability to break down internal business line silos and have visibility into the entire client banking relationship, making it easy to connect individuals and businesses to their accounts and products. The reporting capabilities in the nCino platform provide a view into a financial institution’s portfolio and pipeline to more effectively manage and measure operational performance and forecasting. Reports can be set to instantly display everything from loan, deposit and branch information to relationship data offering banks and credit unions greater transparency into their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IQ (nIQ)</w:t>
      </w:r>
    </w:p>
    <w:p>
      <w:pPr>
        <w:spacing w:after="0" w:line="229" w:lineRule="exact"/>
        <w:rPr>
          <w:sz w:val="20"/>
          <w:szCs w:val="20"/>
          <w:color w:val="auto"/>
        </w:rPr>
      </w:pPr>
    </w:p>
    <w:p>
      <w:pPr>
        <w:jc w:val="both"/>
        <w:ind w:left="120" w:right="260" w:firstLine="881"/>
        <w:spacing w:after="0" w:line="287" w:lineRule="auto"/>
        <w:rPr>
          <w:sz w:val="20"/>
          <w:szCs w:val="20"/>
          <w:color w:val="auto"/>
        </w:rPr>
      </w:pPr>
      <w:r>
        <w:rPr>
          <w:rFonts w:ascii="Arial" w:cs="Arial" w:eastAsia="Arial" w:hAnsi="Arial"/>
          <w:sz w:val="16"/>
          <w:szCs w:val="16"/>
          <w:color w:val="auto"/>
        </w:rPr>
        <w:t>nIQ uses AI/ML to increase efficiency through automation and provides insights through analytics across interactions and into portfolio management. As part of the nCino Bank Operating System, nIQ works across a financial institution’s front, middle and back office to empower bank and credit union employees to respond to client needs more quickly and remain compliant by providing increased visibility and actionable insights.</w:t>
      </w:r>
    </w:p>
    <w:p>
      <w:pPr>
        <w:spacing w:after="0" w:line="2" w:lineRule="exact"/>
        <w:rPr>
          <w:sz w:val="20"/>
          <w:szCs w:val="20"/>
          <w:color w:val="auto"/>
        </w:rPr>
      </w:pPr>
    </w:p>
    <w:p>
      <w:pPr>
        <w:ind w:left="120" w:right="240"/>
        <w:spacing w:after="0" w:line="292" w:lineRule="auto"/>
        <w:rPr>
          <w:sz w:val="20"/>
          <w:szCs w:val="20"/>
          <w:color w:val="auto"/>
        </w:rPr>
      </w:pPr>
      <w:r>
        <w:rPr>
          <w:rFonts w:ascii="Arial" w:cs="Arial" w:eastAsia="Arial" w:hAnsi="Arial"/>
          <w:sz w:val="16"/>
          <w:szCs w:val="16"/>
          <w:color w:val="auto"/>
        </w:rPr>
        <w:t>Leveraging optical character recognition technology, financial institutions can utilize nIQ to automate data extraction, such as extracting data from scanned tax returns and financial statements, providing new levels of automation in underwriting and greatly reducing loan origination timeframes. Financial institutions can also leverage predictive analytics to measure performance and monitor risk across the organization, including assessing the credit risk and cash flows of loans and supporting automated loan decisioning. nIQ provides information when it’s needed, at the point of interaction, allowing bank and credit union employees to focus on their client’s needs with increased levels of personalized, predictive data.</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APIs</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By leveraging open APIs and productized integrations, the nCino Bank Operating System creates an open ecosystem that brings together disparate data sources and systems, acting as a data hub that integrates with core systems, credit reporting agencies and other third-party applications to centralize a financial institution’s data creating an actionable single data platform and warehouse.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197" w:lineRule="exact"/>
        <w:rPr>
          <w:sz w:val="20"/>
          <w:szCs w:val="20"/>
          <w:color w:val="auto"/>
        </w:rPr>
      </w:pPr>
    </w:p>
    <w:p>
      <w:pPr>
        <w:ind w:left="1420" w:right="20" w:hanging="319"/>
        <w:spacing w:after="0" w:line="259"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9" w:lineRule="auto"/>
        <w:tabs>
          <w:tab w:leader="none" w:pos="142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Cloud Banking Technology Pioneer and Market Leader. </w:t>
      </w:r>
      <w:r>
        <w:rPr>
          <w:rFonts w:ascii="Arial" w:cs="Arial" w:eastAsia="Arial" w:hAnsi="Arial"/>
          <w:sz w:val="17"/>
          <w:szCs w:val="17"/>
          <w:color w:val="auto"/>
        </w:rPr>
        <w:t>The nCino Bank Operating System was developed from inception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98" w:lineRule="exact"/>
        <w:rPr>
          <w:rFonts w:ascii="Arial" w:cs="Arial" w:eastAsia="Arial" w:hAnsi="Arial"/>
          <w:sz w:val="17"/>
          <w:szCs w:val="17"/>
          <w:color w:val="auto"/>
        </w:rPr>
      </w:pPr>
    </w:p>
    <w:p>
      <w:pPr>
        <w:ind w:left="1420" w:right="120" w:hanging="319"/>
        <w:spacing w:after="0" w:line="259"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their employees and clients and a more comprehensive view of client relationships.</w:t>
      </w:r>
    </w:p>
    <w:p>
      <w:pPr>
        <w:spacing w:after="0" w:line="213" w:lineRule="exact"/>
        <w:rPr>
          <w:rFonts w:ascii="Arial" w:cs="Arial" w:eastAsia="Arial" w:hAnsi="Arial"/>
          <w:sz w:val="18"/>
          <w:szCs w:val="18"/>
          <w:color w:val="auto"/>
        </w:rPr>
      </w:pPr>
    </w:p>
    <w:p>
      <w:pPr>
        <w:ind w:left="1420" w:right="200" w:hanging="319"/>
        <w:spacing w:after="0" w:line="272" w:lineRule="auto"/>
        <w:tabs>
          <w:tab w:leader="none" w:pos="142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Measurable Return on Investment. </w:t>
      </w:r>
      <w:r>
        <w:rPr>
          <w:rFonts w:ascii="Arial" w:cs="Arial" w:eastAsia="Arial" w:hAnsi="Arial"/>
          <w:sz w:val="17"/>
          <w:szCs w:val="17"/>
          <w:color w:val="auto"/>
        </w:rPr>
        <w:t>The nCino Bank Operating System provides quantifiable results for our customers,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client growth and retention, loan volume and efficiency and reduced loan closing times, policy exceptions and operating costs. We enable our customers to digitally serve their clients across products and channels, providing increased client engagement, enhanced communication and increased opportunities to grow wallet share. Our solution allows our customers to operate more efficiently by increasing employee accountability and productivity and shortening the time it takes to onboard a client, make a loan and open an account. Our solution empowers our customers with data driven, real-time insights into their business performance, enabling them to better measure and manage their operations.</w:t>
      </w:r>
    </w:p>
    <w:p>
      <w:pPr>
        <w:spacing w:after="0" w:line="204" w:lineRule="exact"/>
        <w:rPr>
          <w:rFonts w:ascii="Arial" w:cs="Arial" w:eastAsia="Arial" w:hAnsi="Arial"/>
          <w:sz w:val="17"/>
          <w:szCs w:val="17"/>
          <w:color w:val="auto"/>
        </w:rPr>
      </w:pPr>
    </w:p>
    <w:p>
      <w:pPr>
        <w:ind w:left="1420" w:hanging="319"/>
        <w:spacing w:after="0" w:line="275" w:lineRule="auto"/>
        <w:tabs>
          <w:tab w:leader="none" w:pos="142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Empowering the Intelligent Enterprise. </w:t>
      </w:r>
      <w:r>
        <w:rPr>
          <w:rFonts w:ascii="Arial" w:cs="Arial" w:eastAsia="Arial" w:hAnsi="Arial"/>
          <w:sz w:val="17"/>
          <w:szCs w:val="17"/>
          <w:color w:val="auto"/>
        </w:rPr>
        <w:t>Through our nIQ applications, we leverage analytics and AI/ML to help financial institutions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203" w:lineRule="exact"/>
        <w:rPr>
          <w:rFonts w:ascii="Arial" w:cs="Arial" w:eastAsia="Arial" w:hAnsi="Arial"/>
          <w:sz w:val="17"/>
          <w:szCs w:val="17"/>
          <w:color w:val="auto"/>
        </w:rPr>
      </w:pPr>
    </w:p>
    <w:p>
      <w:pPr>
        <w:ind w:left="1420" w:hanging="319"/>
        <w:spacing w:after="0" w:line="291" w:lineRule="auto"/>
        <w:tabs>
          <w:tab w:leader="none" w:pos="142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Award-Winning Culture. </w:t>
      </w:r>
      <w:r>
        <w:rPr>
          <w:rFonts w:ascii="Arial" w:cs="Arial" w:eastAsia="Arial" w:hAnsi="Arial"/>
          <w:sz w:val="16"/>
          <w:szCs w:val="16"/>
          <w:color w:val="auto"/>
        </w:rPr>
        <w:t>We are in the business of fundamentally changing the way financial institutions operate. To transform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nCino Will Grow</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52" w:lineRule="exact"/>
        <w:rPr>
          <w:sz w:val="20"/>
          <w:szCs w:val="20"/>
          <w:color w:val="auto"/>
        </w:rPr>
      </w:pPr>
    </w:p>
    <w:p>
      <w:pPr>
        <w:ind w:left="1420" w:right="120" w:hanging="319"/>
        <w:spacing w:after="0" w:line="25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and Across our Existing Customers. </w:t>
      </w:r>
      <w:r>
        <w:rPr>
          <w:rFonts w:ascii="Arial" w:cs="Arial" w:eastAsia="Arial" w:hAnsi="Arial"/>
          <w:sz w:val="18"/>
          <w:szCs w:val="18"/>
          <w:color w:val="auto"/>
        </w:rPr>
        <w:t>We believe there is a significant opportunity to further expand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 base both vertically within business lines and horizontally across business lines. As an example, we formally launched our solution in retail lending in May 2018 and we now have 33 customers contracted to use both our commercial and retail loan origination applications. Our revenues from existing customers continue to grow as additional users are added, creating strong customer cohort dynamics.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54"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Customer Base. </w:t>
      </w:r>
      <w:r>
        <w:rPr>
          <w:rFonts w:ascii="Arial" w:cs="Arial" w:eastAsia="Arial" w:hAnsi="Arial"/>
          <w:sz w:val="18"/>
          <w:szCs w:val="18"/>
          <w:color w:val="auto"/>
        </w:rPr>
        <w:t>We believe the global market for cloud banking is large and underserved. With banks and credit unions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needing to replace legacy point products with more efficient technology and banking services continuing to shift to digital, we believe there is a significant opportunity to deliver our solution and expand our customer base to financial institutions of all sizes and complexity around the world. Currently deployed in 10 countries, we have made significant investments to expand our presence in EMEA and APAC, and our solution can currently support over 120 languages and over 140 currencies. We promote sales in North America out of our offices in the United States and Canada, in APAC out of our offices in Australia and Japan, and in EMEA out of our office in the UK.</w:t>
      </w:r>
    </w:p>
    <w:p>
      <w:pPr>
        <w:spacing w:after="0" w:line="221" w:lineRule="exact"/>
        <w:rPr>
          <w:rFonts w:ascii="Arial" w:cs="Arial" w:eastAsia="Arial" w:hAnsi="Arial"/>
          <w:sz w:val="18"/>
          <w:szCs w:val="18"/>
          <w:color w:val="auto"/>
        </w:rPr>
      </w:pPr>
    </w:p>
    <w:p>
      <w:pPr>
        <w:ind w:left="1420" w:right="20" w:hanging="319"/>
        <w:spacing w:after="0" w:line="271" w:lineRule="auto"/>
        <w:tabs>
          <w:tab w:leader="none" w:pos="142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Strengthening and Extending our Product Functionality. </w:t>
      </w:r>
      <w:r>
        <w:rPr>
          <w:rFonts w:ascii="Arial" w:cs="Arial" w:eastAsia="Arial" w:hAnsi="Arial"/>
          <w:sz w:val="17"/>
          <w:szCs w:val="17"/>
          <w:color w:val="auto"/>
        </w:rPr>
        <w:t>We plan to extend the depth and breadth of the nCino Bank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205" w:lineRule="exact"/>
        <w:rPr>
          <w:rFonts w:ascii="Arial" w:cs="Arial" w:eastAsia="Arial" w:hAnsi="Arial"/>
          <w:sz w:val="17"/>
          <w:szCs w:val="17"/>
          <w:color w:val="auto"/>
        </w:rPr>
      </w:pPr>
    </w:p>
    <w:p>
      <w:pPr>
        <w:ind w:left="1420" w:right="20" w:hanging="319"/>
        <w:spacing w:after="0" w:line="254"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Foster and Grow our SI and Technology Ecosystem. </w:t>
      </w:r>
      <w:r>
        <w:rPr>
          <w:rFonts w:ascii="Arial" w:cs="Arial" w:eastAsia="Arial" w:hAnsi="Arial"/>
          <w:sz w:val="18"/>
          <w:szCs w:val="18"/>
          <w:color w:val="auto"/>
        </w:rPr>
        <w:t>We have developed strong relationships with a number of leading SIs,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21" w:lineRule="exact"/>
        <w:rPr>
          <w:rFonts w:ascii="Arial" w:cs="Arial" w:eastAsia="Arial" w:hAnsi="Arial"/>
          <w:sz w:val="18"/>
          <w:szCs w:val="18"/>
          <w:color w:val="auto"/>
        </w:rPr>
      </w:pPr>
    </w:p>
    <w:p>
      <w:pPr>
        <w:ind w:left="1420" w:right="40" w:hanging="319"/>
        <w:spacing w:after="0" w:line="25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Strategic Transactions. </w:t>
      </w:r>
      <w:r>
        <w:rPr>
          <w:rFonts w:ascii="Arial" w:cs="Arial" w:eastAsia="Arial" w:hAnsi="Arial"/>
          <w:sz w:val="18"/>
          <w:szCs w:val="18"/>
          <w:color w:val="auto"/>
        </w:rPr>
        <w:t>In addition to developing our solution organically, we may selectively pursue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as such ConnectOne Bank, IBERIANBANK,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 a substantial level of ACV in its respective category. We ended fiscal 2020 with over 290 financial institutions that utilized the nCino Bank Operating System for client onboarding, loan origination and/or deposit account opening, of which 161 each generated more than $100,000 in annual subscription revenues in fiscal 2020. In addition, we have over 890 financial institutions that use the portfolio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analytics solution we acquired with the Visible Equity acquisition in fiscal 2020, which is now part of nIQ. In total, we had over 1,180 financial institution customers as of January 31, 2020. No single customer represented more than 10% of total revenues in fiscal 2020.</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Case Studies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TD Bank (Global Enterprise Bank)</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TD Bank, America’s Most Convenient Bank, is one of the 10 largest banks in the U.S. with $320 billion in assets as of December 31, 2019. Headquartered in Cherry Hill, New Jersey, TD Bank became an nCino customer in 2016. TD Bank was in need of an end-to-end solution that would modernize its technical framework, facilitate collaboration and information sharing across Corporate and Specialty Banking, Commercial Banking and Small Business Banking, and significantly reduce manual processes and lending decision times. The nCino Bank Operating System enabled TD Bank to streamline corporate, commercial and small business lending by consolidating the client relationship, underwriting and credit administration functions onto one platform.</w:t>
      </w:r>
    </w:p>
    <w:p>
      <w:pPr>
        <w:spacing w:after="0" w:line="219" w:lineRule="exact"/>
        <w:rPr>
          <w:sz w:val="20"/>
          <w:szCs w:val="20"/>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Improved communication and data transfer across business units, allowing TD Bank to better serve its clients.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the implementation of nCino, TD retired multiple legacy applications, checklist documents and spreadsheets.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“TD Bank’s investment into the nCino platform ultimately will enable us to provide a seamless experience to our clients and an improved employee experience—both critical to the success of the organization. Through nCino, TD Bank is consolidating numerous legacy systems into one top-tier, foundational platform that allows for better communication, credit administration and processes, and through data, advanced visibility into the lifecycle of relationships and future opportunities.” —Chris Giamo, Head of Commercial Banking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Santander UK (Global Enterprise Bank)</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A wholly owned subsidiary of Banco Santander, Santander UK is one of the largest retail and commercial banks based in the UK with assets of more than £281 billion as of December 31, 2019 and approximately 23,500 employees. Santander UK became an nCino customer in 2018 as part of a multi-year transformation program to replace outdated legacy systems and increase speed and efficiency across their front, middle and back office operations. nCino provides Santander UK employees with a holistic view of the client, allowing staff to be better-informed and deliver an improved client experience. This experience will continue to improve as the bank rolls out additional phases of the nCino project through 2020, including implementing nCino’s Customer Portal features.</w:t>
      </w:r>
    </w:p>
    <w:p>
      <w:pPr>
        <w:spacing w:after="0" w:line="219" w:lineRule="exact"/>
        <w:rPr>
          <w:sz w:val="20"/>
          <w:szCs w:val="20"/>
          <w:color w:val="auto"/>
        </w:rPr>
      </w:pPr>
    </w:p>
    <w:p>
      <w:pPr>
        <w:jc w:val="both"/>
        <w:ind w:left="1420" w:right="240" w:hanging="319"/>
        <w:spacing w:after="0" w:line="342" w:lineRule="auto"/>
        <w:tabs>
          <w:tab w:leader="none" w:pos="1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By leveraging the nCino Bank Operating System’s loan origination functionality for both commercial and small and medium sized business banking, Santander UK has been able to replace 13 disparate legacy systems in favor of a single loan origination platform.</w:t>
      </w:r>
    </w:p>
    <w:p>
      <w:pPr>
        <w:spacing w:after="0" w:line="150" w:lineRule="exact"/>
        <w:rPr>
          <w:rFonts w:ascii="Arial" w:cs="Arial" w:eastAsia="Arial" w:hAnsi="Arial"/>
          <w:sz w:val="16"/>
          <w:szCs w:val="16"/>
          <w:color w:val="auto"/>
        </w:rPr>
      </w:pPr>
    </w:p>
    <w:p>
      <w:pPr>
        <w:ind w:left="1420" w:right="26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use of nCino has helped the bank to streamline processes, increase transparency in lending workflows, and decrease lead cycle and credit decision times.</w:t>
      </w:r>
    </w:p>
    <w:p>
      <w:pPr>
        <w:spacing w:after="0" w:line="170"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i w:val="1"/>
          <w:iCs w:val="1"/>
          <w:color w:val="auto"/>
        </w:rPr>
        <w:t>“Santander UK has embarked on a transformation project to deliver a cutting-edge experience for our clients and nCino is a critical part of our strategy. With the nCino Bank Operating System in place, we no longer rely on siloed legacy systems that require rekeying information and result in prolonged turnaround times. Instead, we have a modern, flexible and scalable technology solution that allows us to offer our clients a faster, more efficient and more transparent onboarding and lending experience.” —Chris Fallis, Chief Operating Officer, Corporate &amp; Commercial Banking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ConnectOne Bank (Regional/Community Bank)</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With headquarters based in Englewood Cliffs, New Jersey, ConnectOne Bank, with an asset size of approximately $6 billion as of December 31, 2019, serves the highly competitive New York City metro market with branches throughout New York and New Jersey. ConnectOne became an nCino customer in 2017. ConnectOne challenged itself to find a single platform solution that could digitize and automate workflows across multiple lines of business, enable the bank to digitally maintain all of its clients’ information in one place, and provide real-time visibility into their loan portfolio and pipeline. nCino provides ConnectOne a single cloud-based platform for their commercial and retail lending operations that enables speed throughout the organization, eliminates bottlenecks, scales across multiple lines of business and helps enable future growth through an improved customer experience.</w:t>
      </w:r>
    </w:p>
    <w:p>
      <w:pPr>
        <w:spacing w:after="0" w:line="222" w:lineRule="exact"/>
        <w:rPr>
          <w:sz w:val="20"/>
          <w:szCs w:val="20"/>
          <w:color w:val="auto"/>
        </w:rPr>
      </w:pPr>
    </w:p>
    <w:p>
      <w:pPr>
        <w:ind w:left="1420" w:right="46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Since going live with the nCino Bank Operating System, ConnectOne has experienced major improvements in workflow, client experience and operational efficiency.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nCino helps ConnectOne attract and retain talent by providing state-of-the-art cloud technology for its employees to utilize.</w:t>
      </w:r>
    </w:p>
    <w:p>
      <w:pPr>
        <w:spacing w:after="0" w:line="23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“At ConnectOne, we’ve built our success through our sense of urgency and culture of efficiency. The nCino platform allows us to scale this culture by providing a fully digitized end to end experience. With nCino, it takes maybe a minute to put a lead’s information into the system and start the process. It’s a game changer. We were already processing loans pretty quickly, but with nCino it is cutting time from the process.”—Frank Sorrentino, CEO and Chairman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Wright-Patt Credit Union (Credit Union)</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Ohio based Wright-Patt Credit Union (“WPCU”), is one of the 50 largest credit unions in the U.S. with 400,000 members, 31 branches and $5.0 billion in assets as of December 31, 2019. WPCU became an nCino customer in 2015 when they were looking to digitize their commercial lending process to focus on growth and serving business clients. By selecting the nCino Bank Operating System, WPCU saw the vision for a single platform across the institution. Being a cloud system, nCino was seamlessly deployed and operational in the commercial lending organization within six months. WPCU has also implemented the nCino Bank Operating System treasury management application and is currently kicking off projects for online application and small business to further leverage the single platform across the credit union.</w:t>
      </w:r>
    </w:p>
    <w:p>
      <w:pPr>
        <w:spacing w:after="0" w:line="205" w:lineRule="exact"/>
        <w:rPr>
          <w:sz w:val="20"/>
          <w:szCs w:val="20"/>
          <w:color w:val="auto"/>
        </w:rPr>
      </w:pPr>
    </w:p>
    <w:p>
      <w:pPr>
        <w:ind w:left="1420" w:right="22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WPCU used to spend 22 minutes preparing paperwork for signing by the client and have now cut that time by 50% with the digital process.</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Lenders have also seen significant time savings. Previously, WPCU’s lenders spent on average 54 minutes conducting a loan closing, which now takes minimal effort on their part.</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“In the last two years, we have increased our capacity of lending per borrower from $5 million to $15 million. We’ve had a shift in what we can process on a monthly basis. We were processing 30—40 loans a month. Now, for several months running, we’ve had 100 loans in production in a month. Our volume and production is through the roof from a dollar standpoint, with the same core team. That’s from all of the efficiency gains we’ve had through the nCino Bank Operating System.”—Benjamin Miller, Commercial Portfolio Analyst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B-North (Challenger Bank)</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UK-based challenger B-North is based in Manchester, England, and was founded by financial industry veterans with decades of experience working at institutions including HSBC, Santander UK and Metro Bank. B-North was started with the goal of disrupting the £150 billion UK lending market for small and medium</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459"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businesses (“SMEs”). As a brand-new bank, B-North chose the nCino Bank Operating System in early 2019 to deliver a highly efficient and differentiated loan origination experience to its SME clients. Additionally, B-North plans to leverage nCino’s Partner Community functionality to more effectively collaborate and interact with a variety of third parties including brokers, regulators, attorneys and appraisers.</w:t>
      </w:r>
    </w:p>
    <w:p>
      <w:pPr>
        <w:spacing w:after="0" w:line="192" w:lineRule="exact"/>
        <w:rPr>
          <w:sz w:val="20"/>
          <w:szCs w:val="20"/>
          <w:color w:val="auto"/>
        </w:rPr>
      </w:pPr>
    </w:p>
    <w:p>
      <w:pPr>
        <w:ind w:left="1420" w:right="34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nCino Bank Operating System provides a flexible and scalable infrastructure that will allow it to scale and grow its assets and client base, while delivering maximum benefit to its clients.</w:t>
      </w:r>
    </w:p>
    <w:p>
      <w:pPr>
        <w:spacing w:after="0" w:line="197"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nCino’s Partner Community, B-North can grant specific and limited access to nCino functionality and records for external third parties to connect on a single platform for increased transparency, reduced costs and an overall better banking experience for all involved.</w:t>
      </w:r>
    </w:p>
    <w:p>
      <w:pPr>
        <w:spacing w:after="0" w:line="184"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i w:val="1"/>
          <w:iCs w:val="1"/>
          <w:color w:val="auto"/>
        </w:rPr>
        <w:t>“At B-North, we aim to facilitate SME lending, with market-leading technology and lead times, and to give our customers the best mix of the traditional and the modern. nCino has established itself as the world’s premier cloud-based lending, onboarding and account opening platform. Working with nCino early on in our development allows us to tailor our whole business around delivering an engaging and differentiated client experience, and nCino will be the perfect partner for our success in getting these elements right.”—Jonathan Thompson, Founder and CEO</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Salesforce</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From our inception, we built the nCino Bank Operating System on the Salesforce Platform to leverage its global infrastructure, reliability and scalability. Building on the Salesforce Platform has allowed us to benefit from Salesforce’s investment in the continual improvement of the Salesforce Platform. We believe we have a mutually beneficial strategic relationship with Salesforce.</w:t>
      </w:r>
    </w:p>
    <w:p>
      <w:pPr>
        <w:spacing w:after="0" w:line="184"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Salesforce Ventures, an affiliate of Salesforce, made investments in our common stock in January 2014, March 2015, July 2017, January 2018 and September 2019. As of April 30, 2020, Salesforce was our second largest stockholder and beneficially owned 10,760,469 shares of our common stock. See “Principal Stockholders” and “Certain Relationships and Related Party Transactions—Transactions with Salesforce” for additional information.</w:t>
      </w:r>
    </w:p>
    <w:p>
      <w:pPr>
        <w:spacing w:after="0" w:line="187"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Pursuant to the Salesforce Agreement,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financial institutions in the United States.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 See “Certain Relationships and Related Party Transactions—Transactions with Salesforce” for additional information.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Our sales team includes business development representatives, account executives, field sales engineers and customer success managers. This team is responsible for outbound lead generation, driving new business and helping to manage account relationships and renewals, further driving adoption of our solution within and across lines of business. These teams maintain close relationships with existing customers and act as an advisor to each financial institution to help identify and understand their unique needs, challenges, goals and opportunities.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881"/>
        <w:spacing w:after="0" w:line="259" w:lineRule="auto"/>
        <w:rPr>
          <w:sz w:val="20"/>
          <w:szCs w:val="20"/>
          <w:color w:val="auto"/>
        </w:rPr>
      </w:pPr>
      <w:r>
        <w:rPr>
          <w:rFonts w:ascii="Arial" w:cs="Arial" w:eastAsia="Arial" w:hAnsi="Arial"/>
          <w:sz w:val="18"/>
          <w:szCs w:val="18"/>
          <w:color w:val="auto"/>
        </w:rPr>
        <w:t>Our marketing team oversees all aspects of the nCino global brand including public relations, digital marketing, social media, product marketing, graphic design, conferences and events. Our marketing efforts are focused on promoting direct sales, inbound lead generation and brand building. We leverage online and offline marketing channels by sponsoring customer conferences, participating in trade shows, and using webinars, digital marketing and social media.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Success</w:t>
      </w:r>
    </w:p>
    <w:p>
      <w:pPr>
        <w:spacing w:after="0" w:line="22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Once a customer contracts for the nCino Bank Operating System, we either directly or working with SIs, provide configuration and implementation services to assist the customer in the deployment of our solution. Configuration and implementation engagements typically range in duration from three to 18 months, depending on scope. For enterprise financial institutions, we generally work with SIs such as Accenture, Deloitte and PwC. For regional financial institutions, we work with SIs such as West Monroe Partners, and for community banks we work with SIs such as Enforce or we perform configuration and implementation ourselves. Where we work with SIs, we generally field a small team of advisory consultants alongside the SIs to help ensure the success of the engagement.</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support our customers with 24/7 access to engineers and other technical support personnel, outcome based support offerings, release management, managed services and also offer technical support via online chat. To help our customers achieve success with the nCino Bank Operating System, we offer in-depth change management workshops, classroom and virtual end user and administrator training, consultative functionality adoption services and best practices. The nCino Customer Success Management team is the customer’s central touch point, whose primary job is to manage the long-term health and success of each customer.</w:t>
      </w:r>
    </w:p>
    <w:p>
      <w:pPr>
        <w:spacing w:after="0" w:line="188"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Over 35,000 of our customers’ employees, representing over 95% of our financial institution customers utilizing our client onboarding, loan origination and/or deposit account opening applications, participate in our online nCino User Community. In this community, users can access over 6,500 product guides and technical documents, engage and share best practices with other users and nCino subject matter experts through over 25 unique user groups, suggest and vote for future product development ideas and access training videos, materials and product certifications.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Our research and development organization is responsible for the design, development and testing of the nCino Bank Operating System. We utilize Agile software development methodologies and industry best practices, such as continuous integration/continuous deployment, automated testing and distributed version control, to develop new functionality and enhance our existing solution. We provide opportunities for innovation through hackathons and new technology pilots, and we encourage customers to participate in our Product Design Programs to provide us with input on our product development roadmap. Our research and development spend was $35.3 million or 25.5% of total revenues in fiscal 2020.</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primary competition for our solution has historically been point solution vendors and, to a lesser extent, systems internally developed by financial institutions. We believe our ability to provide client onboarding, loan origination, deposit account opening, analytics and AI/ML on a single platform across commercial, small business and retail lines of business, our deep banking domain expertise, our reputation for high-quality professional services and customer support and the culture of our company distinguish us from our competition. We believe our success in growing our business will depend on our ability to demonstrate to financial institutions that our solution provides superior business outcomes to those of third-party vendors or internally developed systems. In this regard, we are likely to be assessed on a number of factors, including:</w:t>
      </w:r>
    </w:p>
    <w:p>
      <w:pPr>
        <w:spacing w:after="0" w:line="191" w:lineRule="exact"/>
        <w:rPr>
          <w:sz w:val="20"/>
          <w:szCs w:val="20"/>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breadth and depth of functionality;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cost of ownership and return on investment;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cloud-based technology platform and pricing model;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quality of implementation and customer support services;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domain expertise in banking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ability of our solution to support compliance with legal and regulatory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quickly;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ability to integrate with third-party applications and systems.</w:t>
      </w:r>
    </w:p>
    <w:p>
      <w:pPr>
        <w:spacing w:after="0" w:line="225" w:lineRule="exact"/>
        <w:rPr>
          <w:sz w:val="20"/>
          <w:szCs w:val="20"/>
          <w:color w:val="auto"/>
        </w:rPr>
      </w:pPr>
    </w:p>
    <w:p>
      <w:pPr>
        <w:ind w:left="120" w:right="180" w:firstLine="881"/>
        <w:spacing w:after="0" w:line="275" w:lineRule="auto"/>
        <w:rPr>
          <w:sz w:val="20"/>
          <w:szCs w:val="20"/>
          <w:color w:val="auto"/>
        </w:rPr>
      </w:pPr>
      <w:r>
        <w:rPr>
          <w:rFonts w:ascii="Arial" w:cs="Arial" w:eastAsia="Arial" w:hAnsi="Arial"/>
          <w:sz w:val="17"/>
          <w:szCs w:val="17"/>
          <w:color w:val="auto"/>
        </w:rPr>
        <w:t>We believe we compete favorably with respect to these factors but we expect competition to increase as existing competitors evolve their offerings and as new companies enter our market. Our ability to remain competitive will depend on our ongoing efforts in research and development, sales and marketing, professional services, customer support and our business operations generally. For additional information, see the section titled “Risk Factors—The markets in which we participate are intensely competitive and highly fragmented, and pricing pressure, new technologies or other competitive dynamics could adversely affect our business and results of operations.”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of our key innovations, protocols, processes and other inventions. We pursue the registration of our trademarks, service marks and domain names in the United States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192"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As of April 30, 2020, we had 12 issued U.S. patents as well as one patent application pending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As of April 30, 2020, we had 934 employees. Of these employees, 810 are based in the United States and 124 are based internationally. None of our employees are represented by a labor union or covered by a collective bargaining agreement. We believe our employee relations are good and we have not experienced any work stoppages.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headquarters are located in Wilmington, North Carolina where we occupy facilities encompassing approximately 147,000 square feet. Our leases range in expiration from November 2023 to July 2028 each with a right of renewal. We also have offices in Salt Lake City, Charlotte, London, Sydney, Melbourne, Toronto and Tokyo. All of our offices are leased and we do not own any real property. We believe that our current facilities are adequate to meet our current needs.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business. We are not presently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information concerning our executive officers and directors as of June 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80" w:type="dxa"/>
            <w:vAlign w:val="bottom"/>
          </w:tcPr>
          <w:p>
            <w:pPr>
              <w:spacing w:after="0"/>
              <w:rPr>
                <w:sz w:val="14"/>
                <w:szCs w:val="14"/>
                <w:color w:val="auto"/>
              </w:rPr>
            </w:pPr>
          </w:p>
        </w:tc>
        <w:tc>
          <w:tcPr>
            <w:tcW w:w="448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Pierre Naudé</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Sean Desmond</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Chief Customer Success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Joshua Glover</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Chief Revenue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Greg Orenstein</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w w:val="91"/>
              </w:rPr>
              <w:t>Chief Corporate Development &amp; Legal Officer and Secretary</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Trisha Price</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David Rudow</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Chief Financial Officer &amp; Treasurer</w:t>
            </w:r>
          </w:p>
        </w:tc>
      </w:tr>
      <w:tr>
        <w:trPr>
          <w:trHeight w:val="418"/>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Steven Collins</w:t>
            </w:r>
            <w:r>
              <w:rPr>
                <w:rFonts w:ascii="Arial" w:cs="Arial" w:eastAsia="Arial" w:hAnsi="Arial"/>
                <w:sz w:val="15"/>
                <w:szCs w:val="15"/>
                <w:color w:val="auto"/>
              </w:rPr>
              <w:t>(1)(3)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Jon Doyle</w:t>
            </w:r>
            <w:r>
              <w:rPr>
                <w:rFonts w:ascii="Arial" w:cs="Arial" w:eastAsia="Arial" w:hAnsi="Arial"/>
                <w:sz w:val="15"/>
                <w:szCs w:val="15"/>
                <w:color w:val="auto"/>
              </w:rPr>
              <w:t>(3)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Jeffrey Horing</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Pam Kilday</w:t>
            </w:r>
            <w:r>
              <w:rPr>
                <w:rFonts w:ascii="Arial" w:cs="Arial" w:eastAsia="Arial" w:hAnsi="Arial"/>
                <w:sz w:val="15"/>
                <w:szCs w:val="15"/>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Spencer Lake</w:t>
            </w:r>
            <w:r>
              <w:rPr>
                <w:rFonts w:ascii="Arial" w:cs="Arial" w:eastAsia="Arial" w:hAnsi="Arial"/>
                <w:sz w:val="15"/>
                <w:szCs w:val="15"/>
                <w:color w:val="auto"/>
              </w:rPr>
              <w:t>(2)(3)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Jeffrey Lunsford</w:t>
            </w:r>
            <w:r>
              <w:rPr>
                <w:rFonts w:ascii="Arial" w:cs="Arial" w:eastAsia="Arial" w:hAnsi="Arial"/>
                <w:sz w:val="15"/>
                <w:szCs w:val="15"/>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William Ruh</w:t>
            </w:r>
            <w:r>
              <w:rPr>
                <w:rFonts w:ascii="Arial" w:cs="Arial" w:eastAsia="Arial" w:hAnsi="Arial"/>
                <w:sz w:val="15"/>
                <w:szCs w:val="15"/>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8"/>
          <w:szCs w:val="18"/>
          <w:color w:val="auto"/>
        </w:rPr>
        <w:t>Member of our nominating and governance committee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are brief biographies describing the backgrounds of our executive officers and non-employee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 xml:space="preserve">Pierre Naudé </w:t>
      </w:r>
      <w:r>
        <w:rPr>
          <w:rFonts w:ascii="Arial" w:cs="Arial" w:eastAsia="Arial" w:hAnsi="Arial"/>
          <w:sz w:val="18"/>
          <w:szCs w:val="18"/>
          <w:color w:val="auto"/>
        </w:rPr>
        <w:t>played a key role in the founding of nCino and has served as our Chief Executive Officer,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nCino began operations. From October 2005 to its acquisition in February 2012, Mr. Naudé served as the Divisional President of S1 Corporation. Mr. Naudé served as Vice President and Managing Partner of Unisys, a global information technology company, from January 2004 to October 2005 and as Managing Partner from January 2000 to December 2003. Mr. Naudé holds a B.S. in Finance and Management from Upper Iowa University. As our President and Chief Executive Officer and one of the founders of the Company, we believe Mr. Naudé is qualified to serve on our board of directors due to his experience in all aspects of our business and his ability to provide an insider’s perspective in board discussions about the business and strategic direction of the Company. We believe that his experience gives him unique insights into our opportunities, challenges and operations.</w:t>
      </w:r>
    </w:p>
    <w:p>
      <w:pPr>
        <w:spacing w:after="0" w:line="192"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i w:val="1"/>
          <w:iCs w:val="1"/>
          <w:color w:val="auto"/>
        </w:rPr>
        <w:t xml:space="preserve">Sean Desmond </w:t>
      </w:r>
      <w:r>
        <w:rPr>
          <w:rFonts w:ascii="Arial" w:cs="Arial" w:eastAsia="Arial" w:hAnsi="Arial"/>
          <w:sz w:val="18"/>
          <w:szCs w:val="18"/>
          <w:color w:val="auto"/>
        </w:rPr>
        <w:t>has served as our Chief Customer Success Officer since July 2013. Prior to joining nCino, Mr. Desmond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from February 1999 to June 2013 at Informatica, an enterprise cloud data management provider, most recently serving as Vice President, Global Delivery from January 2012 to June 2013. Prior to that, Mr. Desmond served as a Business Analyst at Platinum Technologies, a database management software company, from August 1996 to January 1999. Mr. Desmond holds a B.B.A. in Business Administration from James Madison University.</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880"/>
          </w:cols>
          <w:pgMar w:left="320" w:top="459" w:right="6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i w:val="1"/>
          <w:iCs w:val="1"/>
          <w:color w:val="auto"/>
        </w:rPr>
        <w:t xml:space="preserve">Josh Glover </w:t>
      </w:r>
      <w:r>
        <w:rPr>
          <w:rFonts w:ascii="Arial" w:cs="Arial" w:eastAsia="Arial" w:hAnsi="Arial"/>
          <w:sz w:val="16"/>
          <w:szCs w:val="16"/>
          <w:color w:val="auto"/>
        </w:rPr>
        <w:t>has served as our Chief Revenue Officer since February 2019 and previously served as Executive Vice President, Americas</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2017 to February 2019, Senior Vice President, Community and Regional Financial Institutions from December 2014 to January 2017 and a member of nCino’s professional services organization from November 2012 to December 2014. Prior to joining nCino, Mr. Glover served as a Relationship Manager at Live Oak Bank, a banking and financial services institution, from January 2012 to November 2012. Mr. Glover is a decorated combat veteran who led Marines throughout four combat deployments during a decade of service as a Marine Corps Special Operations and Infantry Officer. Mr. Glover is a graduate of the U.S. Naval Academy and holds an MBA from Duke University’s Fuqua School of Business.</w:t>
      </w:r>
    </w:p>
    <w:p>
      <w:pPr>
        <w:spacing w:after="0" w:line="164"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i w:val="1"/>
          <w:iCs w:val="1"/>
          <w:color w:val="auto"/>
        </w:rPr>
        <w:t xml:space="preserve">Greg Orenstein </w:t>
      </w:r>
      <w:r>
        <w:rPr>
          <w:rFonts w:ascii="Arial" w:cs="Arial" w:eastAsia="Arial" w:hAnsi="Arial"/>
          <w:sz w:val="17"/>
          <w:szCs w:val="17"/>
          <w:color w:val="auto"/>
        </w:rPr>
        <w:t>has served as our Chief Corporate Development &amp; Legal Officer and Secretary since December 2019 and previously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Executive Vice President Corporate Development, Chief Legal Officer &amp; Secretary from October 2015 to November 2019. Prior to joining nCino, Mr. Orenstein was Of Counsel at the global law firm of DLA Piper from May 2014 to September 2015, and provided consulting services to various organizations, including nCino, from March 2012 to April 2014. From March 2000 until it was acquired in February 2012, Mr. Orenstein held various positions at S1 Corporation, a publicly traded provider of financial services software, most recently serving as Senior Vice President, Corporate Development, Chief Legal Officer and Secretary from April 2007 until February 2012. Mr. Orenstein holds a B.A. in Psychology from the University of Maryland and a J.D. from Emory University School of Law.</w:t>
      </w:r>
    </w:p>
    <w:p>
      <w:pPr>
        <w:spacing w:after="0" w:line="177"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i w:val="1"/>
          <w:iCs w:val="1"/>
          <w:color w:val="auto"/>
        </w:rPr>
        <w:t xml:space="preserve">Trisha Price </w:t>
      </w:r>
      <w:r>
        <w:rPr>
          <w:rFonts w:ascii="Arial" w:cs="Arial" w:eastAsia="Arial" w:hAnsi="Arial"/>
          <w:sz w:val="16"/>
          <w:szCs w:val="16"/>
          <w:color w:val="auto"/>
        </w:rPr>
        <w:t>has served as our Chief Product Officer since August 2019 and previously served as our Executive Vice President,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Engineering from July 2016 to August 2019 and our Vice President, Product Development and Engineering from April 2016 to June 2016. Ms. Price previously held various positions at Primatics Financial, a financial technology company, serving as Head of Global Sales from December 2015 to April 2016, Vice President, West Coast Sales and Operations from November 2014 to December 2015, Vice President, Products from May 2013 to November 2014 and Director, Product Management from August 2009 to May 2013. Ms. Price also held various positions at Fannie Mae, a U.S. government-sponsored financial services company, serving as Director, Securities Accounting from May 2008 to June 2009 and as Senior Project Manager, Accounting Operations from June 2006 to May 2008. Ms. Price holds a B.S. in Mathematics and Mathematics Education from North Carolina State University and an ALM in Extension Studies; Software Engineering from Harvard University.</w:t>
      </w:r>
    </w:p>
    <w:p>
      <w:pPr>
        <w:spacing w:after="0" w:line="16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 xml:space="preserve">David Rudow </w:t>
      </w:r>
      <w:r>
        <w:rPr>
          <w:rFonts w:ascii="Arial" w:cs="Arial" w:eastAsia="Arial" w:hAnsi="Arial"/>
          <w:sz w:val="18"/>
          <w:szCs w:val="18"/>
          <w:color w:val="auto"/>
        </w:rPr>
        <w:t>has served as our Chief Financial Officer since October 2019. Prior to joining nCino, Mr. Rudow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Finance at CentralSquare Technologies, a software company, from January 2018 to October 2019, where he was responsible for finance, treasury, facilities, M&amp;A integration and analytic reporting. Mr. Rudow was a Senior Equity Analyst at Thrivent Asset Management, an asset management firm, from May 2007 to April 2017. Prior to that, Mr. Rudow held Senior Analyst positions at various investment banking and financial services firms, including Piper Jaffray, J.P. Morgan and Diamondback Capital. Mr. Rudow is also a Certified Public Accountant and previously served as a Senior Tax Associate at global accounting and consulting firms KPMG in 1996 and PricewaterhouseCoopers from 1994 to 1996. Mr. Rudow holds a B.S. in Business Administration and Accounting from the University of Illinois, Chicago and an MBA in Finance and Accounting from the University of Chicago, Booth School of Business.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i w:val="1"/>
          <w:iCs w:val="1"/>
          <w:color w:val="auto"/>
        </w:rPr>
        <w:t xml:space="preserve">Steven Collins </w:t>
      </w:r>
      <w:r>
        <w:rPr>
          <w:rFonts w:ascii="Arial" w:cs="Arial" w:eastAsia="Arial" w:hAnsi="Arial"/>
          <w:sz w:val="16"/>
          <w:szCs w:val="16"/>
          <w:color w:val="auto"/>
        </w:rPr>
        <w:t>has served on our board of directors since December 2019. Mr. Collins serves on the board of Sprout Social, a social media</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software solutions company, a position he has held since July 2019. Mr. Collins also serves on the board of a number of private companies. From July 2011 to February 2014, Mr. Collins served as Executive Vice President and Chief Financial Officer of ExactTarget, a provider of digital marketing automation and analytics software and services, which was acquired by Salesforce in 2013. Mr. Collins served as Vice President Finance, Senior Vice President Finance and Accounting, and Senior Vice President and Chief Financial Officer of Navteq, a geographic information systems provider, which was acquired by Nokia in 2008, from July 2003 to June 2011. Mr. Collins holds a B.S. in Industrial Engineering from Iowa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State University and an MBA from the University of Pennsylvania Wharton School of Business. We believe Mr. Collins is qualified to serve on our board of directors based on his financial expertise and his experience in the technology industry, including his time spent serving on board of directors of various technology companies.</w:t>
      </w:r>
    </w:p>
    <w:p>
      <w:pPr>
        <w:spacing w:after="0" w:line="184"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i w:val="1"/>
          <w:iCs w:val="1"/>
          <w:color w:val="auto"/>
        </w:rPr>
        <w:t xml:space="preserve">Jon Doyle </w:t>
      </w:r>
      <w:r>
        <w:rPr>
          <w:rFonts w:ascii="Arial" w:cs="Arial" w:eastAsia="Arial" w:hAnsi="Arial"/>
          <w:sz w:val="16"/>
          <w:szCs w:val="16"/>
          <w:color w:val="auto"/>
        </w:rPr>
        <w:t>has served on our board of directors since December 2019. Mr. Doyle is currently a member of the board of directors of, and is</w:t>
      </w:r>
      <w:r>
        <w:rPr>
          <w:rFonts w:ascii="Arial" w:cs="Arial" w:eastAsia="Arial" w:hAnsi="Arial"/>
          <w:sz w:val="16"/>
          <w:szCs w:val="16"/>
          <w:i w:val="1"/>
          <w:iCs w:val="1"/>
          <w:color w:val="auto"/>
        </w:rPr>
        <w:t xml:space="preserve"> </w:t>
      </w:r>
      <w:r>
        <w:rPr>
          <w:rFonts w:ascii="Arial" w:cs="Arial" w:eastAsia="Arial" w:hAnsi="Arial"/>
          <w:sz w:val="16"/>
          <w:szCs w:val="16"/>
          <w:color w:val="auto"/>
        </w:rPr>
        <w:t>Vice Chairman, Senior Managing Principal and Head of the Financial Services Group at, Piper Sandler following the merger of Piper Jaffray with Sandler O’Neill + Partners in January 2020. From January 2002 to January 2020, Mr. Doyle served as the Senior Managing Principal of Sandler O’Neill</w:t>
      </w:r>
    </w:p>
    <w:p>
      <w:pPr>
        <w:spacing w:after="0" w:line="2" w:lineRule="exact"/>
        <w:rPr>
          <w:sz w:val="20"/>
          <w:szCs w:val="20"/>
          <w:color w:val="auto"/>
        </w:rPr>
      </w:pPr>
    </w:p>
    <w:p>
      <w:pPr>
        <w:ind w:left="120" w:right="60" w:hanging="4"/>
        <w:spacing w:after="0" w:line="323" w:lineRule="auto"/>
        <w:tabs>
          <w:tab w:leader="none" w:pos="266" w:val="left"/>
        </w:tabs>
        <w:numPr>
          <w:ilvl w:val="0"/>
          <w:numId w:val="60"/>
        </w:numPr>
        <w:rPr>
          <w:rFonts w:ascii="Arial" w:cs="Arial" w:eastAsia="Arial" w:hAnsi="Arial"/>
          <w:sz w:val="16"/>
          <w:szCs w:val="16"/>
          <w:color w:val="auto"/>
        </w:rPr>
      </w:pPr>
      <w:r>
        <w:rPr>
          <w:rFonts w:ascii="Arial" w:cs="Arial" w:eastAsia="Arial" w:hAnsi="Arial"/>
          <w:sz w:val="16"/>
          <w:szCs w:val="16"/>
          <w:color w:val="auto"/>
        </w:rPr>
        <w:t>Partners. Previously, Mr. Doyle held various positions in hardware sales and commercial banking. Mr. Doyle holds a B.S. in Finance from the College of William &amp; Mary. We believe Mr. Doyle is qualified to serve on our board of directors based on his experience in the financial services industry.</w:t>
      </w:r>
    </w:p>
    <w:p>
      <w:pPr>
        <w:spacing w:after="0" w:line="138"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i w:val="1"/>
          <w:iCs w:val="1"/>
          <w:color w:val="auto"/>
        </w:rPr>
        <w:t xml:space="preserve">Jeffrey Horing </w:t>
      </w:r>
      <w:r>
        <w:rPr>
          <w:rFonts w:ascii="Arial" w:cs="Arial" w:eastAsia="Arial" w:hAnsi="Arial"/>
          <w:sz w:val="17"/>
          <w:szCs w:val="17"/>
          <w:color w:val="auto"/>
        </w:rPr>
        <w:t>has served on our board of directors since February 2015. Mr. Horing is a Managing Director of Insight Partners, a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and venture capital firm, which he co-founded in 1995. Prior to founding Insight Partners, Mr. Horing held various positions at Warburg Pincus and Goldman Sachs. Mr. Horing serves on the board of Alteryx, Inc., a position he has held since September 2014, as well as the boards of a number of private companies. Mr. Horing is also a member of the University of Pennsylvania’s School of Engineering board of overseers. Mr. Horing holds a B.S. and B.A. from University of Pennsylvania’s Moore School of Engineering and the Wharton School, respectively. He also holds an MBA from the M.I.T. Sloan School of Management. Since 2015, Mr. Horing has served on our board as the designee of Insight Partners pursuant to the Investor Rights Agreement we entered into in connection with Insight Partners’ initial investment in us. Insight Partners’ right to name a director to our board will terminate upon completion of this offering. We believe Mr. Horing is qualified to serve on our board of directors because of his corporate finance and business expertise gained from his experience in the venture capital industry, including his time spent serving on boards of directors of various technology companies.</w:t>
      </w:r>
    </w:p>
    <w:p>
      <w:pPr>
        <w:spacing w:after="0" w:line="185" w:lineRule="exact"/>
        <w:rPr>
          <w:sz w:val="20"/>
          <w:szCs w:val="20"/>
          <w:color w:val="auto"/>
        </w:rPr>
      </w:pPr>
    </w:p>
    <w:p>
      <w:pPr>
        <w:ind w:left="120" w:right="200" w:firstLine="881"/>
        <w:spacing w:after="0" w:line="275" w:lineRule="auto"/>
        <w:rPr>
          <w:sz w:val="20"/>
          <w:szCs w:val="20"/>
          <w:color w:val="auto"/>
        </w:rPr>
      </w:pPr>
      <w:r>
        <w:rPr>
          <w:rFonts w:ascii="Arial" w:cs="Arial" w:eastAsia="Arial" w:hAnsi="Arial"/>
          <w:sz w:val="17"/>
          <w:szCs w:val="17"/>
          <w:i w:val="1"/>
          <w:iCs w:val="1"/>
          <w:color w:val="auto"/>
        </w:rPr>
        <w:t xml:space="preserve">Pam Kilday </w:t>
      </w:r>
      <w:r>
        <w:rPr>
          <w:rFonts w:ascii="Arial" w:cs="Arial" w:eastAsia="Arial" w:hAnsi="Arial"/>
          <w:sz w:val="17"/>
          <w:szCs w:val="17"/>
          <w:color w:val="auto"/>
        </w:rPr>
        <w:t>has served on our board of directors since December 2019. Ms. Kilday previously served as Head of Operations of Truist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(formerly known as SunTrust Bank), from May 2015 to April 2018. Prior to that, Ms. Kilday served as Wholesale Operations Executive of SunTrust from March 2013 to May 2015 and as Wholesale Relationship Executive of SunTrust from January 2012 to March 2013. Ms. Kilday holds a B.S. in Education from Tennessee Technological University and an M.S. from University of Illinois at Chicago. We believe Ms. Kilday is qualified to serve on our board of directors based on her experience in the financial services industry.</w:t>
      </w:r>
    </w:p>
    <w:p>
      <w:pPr>
        <w:spacing w:after="0" w:line="176"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i w:val="1"/>
          <w:iCs w:val="1"/>
          <w:color w:val="auto"/>
        </w:rPr>
        <w:t xml:space="preserve">Spencer Lake </w:t>
      </w:r>
      <w:r>
        <w:rPr>
          <w:rFonts w:ascii="Arial" w:cs="Arial" w:eastAsia="Arial" w:hAnsi="Arial"/>
          <w:sz w:val="17"/>
          <w:szCs w:val="17"/>
          <w:color w:val="auto"/>
        </w:rPr>
        <w:t>has served on our board of directors since April 2017. Mr. Lake is currently a Director at Nivaura, a digital capital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a position he has held since September 2018. Mr. Lake has been a founding partner of Elements Ventures, a UK based financial technology venture capital firm, since May 2017. Mr. Lake also currently serves as a Senior Advisor to the International Capital Market Association, a financial services membership organization, a position he has held since May 2017. Mr. Lake also serves on the board of a number of private companies, including as Vice Chairman of Fenergo, a financial technology company, since July 2016 and Duco, a data quality platform company, since September 2018. Mr. Lake previously held various positions at HSBC, a banking and financial services company, serving as Vice Chairman, Global Banking and Markets and Group General Manager from March 2016 to September 2016, Global Head, Capital Financing from August 2013 to March 2016, Global Co-head, Global Markets from January 2011 to August 2013 and Global Head, Debt Capital Markets and Acquisition Finance from October 2006 to January 2011. Mr. Lake holds a B.B.A. in Finance and Marketing from Suffolk University, as well as an MBA in International Finance from NYU Stern School of Business. We believe Mr. Lake is qualified to serve on our board of directors based on his expertise in the financial services and technology industries.</w:t>
      </w:r>
    </w:p>
    <w:p>
      <w:pPr>
        <w:spacing w:after="0" w:line="182"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i w:val="1"/>
          <w:iCs w:val="1"/>
          <w:color w:val="auto"/>
        </w:rPr>
        <w:t xml:space="preserve">Jeffrey Lunsford </w:t>
      </w:r>
      <w:r>
        <w:rPr>
          <w:rFonts w:ascii="Arial" w:cs="Arial" w:eastAsia="Arial" w:hAnsi="Arial"/>
          <w:sz w:val="18"/>
          <w:szCs w:val="18"/>
          <w:color w:val="auto"/>
        </w:rPr>
        <w:t>has served on our board of directors since inception. Mr. Lunsford is currently Chief Executive Officer and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Tealium, an enterprise software company that offers a trusted customer data orchestration platform, a position he has held since January 2013. Mr. Lunsford also serves on the boards of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number of private companies. A former naval officer and aviator, Mr. Lunsford holds a B.S. in Information and Computer Sciences from Georgia Institute of Technology. We believe Mr. Lunsford is qualified to serve on our board of directors based on his experience in the technology industry.</w:t>
      </w:r>
    </w:p>
    <w:p>
      <w:pPr>
        <w:spacing w:after="0" w:line="124"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i w:val="1"/>
          <w:iCs w:val="1"/>
          <w:color w:val="auto"/>
        </w:rPr>
        <w:t xml:space="preserve">William Ruh </w:t>
      </w:r>
      <w:r>
        <w:rPr>
          <w:rFonts w:ascii="Arial" w:cs="Arial" w:eastAsia="Arial" w:hAnsi="Arial"/>
          <w:sz w:val="17"/>
          <w:szCs w:val="17"/>
          <w:color w:val="auto"/>
        </w:rPr>
        <w:t>has served on our board of directors since May 2013. Mr. Ruh is currently President at Cairn Capital Management, a</w:t>
      </w:r>
      <w:r>
        <w:rPr>
          <w:rFonts w:ascii="Arial" w:cs="Arial" w:eastAsia="Arial" w:hAnsi="Arial"/>
          <w:sz w:val="17"/>
          <w:szCs w:val="17"/>
          <w:i w:val="1"/>
          <w:iCs w:val="1"/>
          <w:color w:val="auto"/>
        </w:rPr>
        <w:t xml:space="preserve"> </w:t>
      </w:r>
      <w:r>
        <w:rPr>
          <w:rFonts w:ascii="Arial" w:cs="Arial" w:eastAsia="Arial" w:hAnsi="Arial"/>
          <w:sz w:val="17"/>
          <w:szCs w:val="17"/>
          <w:color w:val="auto"/>
        </w:rPr>
        <w:t>credit asset management firm, a position he has held since October 2016. Mr. Ruh also currently serves as President of Ruh Advisory, a financial services consulting firm, a position he has held since January 2005. Mr. Ruh previously served as Managing Principal of CCM Capital Opportunities Fund, a financial technology company focused on private equity, from November 2013 to December 2015. Prior to that, Mr. Ruh served as Managing Principal of Castle Creek Capital from January 1994 to November 2013, a private equity firm, which he co-founded. Mr. Ruh also serves on the boards of a number of private companies and as the Chairman of the Board of the U.S. Sailing Foundation and as a board member of the U.S. Sailing Association. Mr. Ruh holds a B.S. in Marine Transportation from the State University of New York Maritime College and an MBA from the Duke University Fuqua School of Business. We believe Mr. Ruh is qualified to serve on our board of directors based on his expertise in the financial services and technology industries.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Upon the completion of this offering, our board of directors will consist of eight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84" w:lineRule="exact"/>
        <w:rPr>
          <w:sz w:val="20"/>
          <w:szCs w:val="20"/>
          <w:color w:val="auto"/>
        </w:rPr>
      </w:pPr>
    </w:p>
    <w:p>
      <w:pPr>
        <w:ind w:left="1420" w:right="40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 directors will be Pierre Naudé, William Ruh and Pam Kilday, and their terms will expire at the first annual meeting of stockholders to be held after the completion of this offering;</w:t>
      </w:r>
    </w:p>
    <w:p>
      <w:pPr>
        <w:spacing w:after="0" w:line="197"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II directors will be Jeffrey Lunsford and Spencer Lake, and their terms will expire at the second annual meeting of stockholders to be held after the completion of this offering; and</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III directors will be Jeffrey Horing, Steven Collins and Jon Doyle, and their terms will expire at the third annual meeting of stockholders to be held after the completion of this offering.</w:t>
      </w:r>
    </w:p>
    <w:p>
      <w:pPr>
        <w:spacing w:after="0" w:line="170"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Each director’s term continues until the election and qualification of his or her successor, or his or her earlier death, resignation or removal. Our certificate of incorporation and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In connection with this offering, we have applied to list our common stock on The Nasdaq Global Select Market. Under the rules of The Nasdaq Global Select Market, independent directors must comprise a majority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 listed company’s board of directors within a specified period after the completion of this offering. In addition, the rules of The Nasdaq Global Select Market require that, subject to specified exceptions, each member of a listed company’s audit, compensation and nominating and governance committees be independent.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8" w:lineRule="exact"/>
        <w:rPr>
          <w:sz w:val="20"/>
          <w:szCs w:val="20"/>
          <w:color w:val="auto"/>
        </w:rPr>
      </w:pPr>
    </w:p>
    <w:p>
      <w:pPr>
        <w:ind w:left="120" w:right="760" w:firstLine="881"/>
        <w:spacing w:after="0" w:line="277"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70"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76"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with the exception of our Chief Executive Officer, Pierre Naudé, each member of our board of directors is an “independent director” as defined under the applicable rules and regulations of the SEC and the listing requirements and rules of The Nasdaq Global Select Market.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Our corporate governance guidelines provide that the roles of chairperson of the board and chief executive officer may be separated or combined. In the event that the roles are combined, our corporate governance guidelines provide for the naming of a Lead Independent Director. Our board of directors has appointed Jeffrey Lunsford to serve as chairperson of the board.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prior to the completion of this offering, each of which will operate pursuant to a charter adopted by our board of directors and which will be effective prior to the consummation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Following the completion of this offering, copies of the charters for each committee will be available on our website. Reference to our website does not constitute incorporation by reference of the information contained at or accessible through our website into this prospectus or the registration statement of which it forms a part.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audit committee consists of Steven Collins, Pam Kilday and William Ruh, with Steven Collins serving as the chairperson. Our board of directors has determined that each member of our audit committee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independent within the meaning of Rule 10A-3 under the Exchange Act. Our board of directors has also determined that Steven Collins is an “audit committee financial expert” as defined by the applicable SEC rules.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audit committee will include:</w:t>
      </w:r>
    </w:p>
    <w:p>
      <w:pPr>
        <w:spacing w:after="0" w:line="252" w:lineRule="exact"/>
        <w:rPr>
          <w:sz w:val="20"/>
          <w:szCs w:val="20"/>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engaging and providing for the compensation of the independent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pre-approving audit and permitted non-audit and tax services to be provided to us by the independent public accounting firm;</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252"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w:t>
      </w:r>
    </w:p>
    <w:p>
      <w:pPr>
        <w:spacing w:after="0" w:line="210"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and the reviews of our quarterly financial statements;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approve any transaction between us and any related person (as defined by the Securities Act) in accordance with the Company’s related party transaction approval policy;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Nasdaq Global Select Market listing standards.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Our compensation committee consists of Pam Kilday, Spencer Lake and Jeffrey Lunsford, with Jeffrey Lunsford serving as the chairperson. Our board of directors has determined that each member of our compensation committee is independent under The Nasdaq Global Select Market listing standards and a “non-employee director” as defined in Rule 16b-3 promulgated under the Exchange Act.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compensation committee will include:</w:t>
      </w:r>
    </w:p>
    <w:p>
      <w:pPr>
        <w:spacing w:after="0" w:line="252" w:lineRule="exact"/>
        <w:rPr>
          <w:sz w:val="20"/>
          <w:szCs w:val="20"/>
          <w:color w:val="auto"/>
        </w:rPr>
      </w:pPr>
    </w:p>
    <w:p>
      <w:pPr>
        <w:ind w:left="1420" w:right="100" w:hanging="319"/>
        <w:spacing w:after="0" w:line="342"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recommending policies relating to compensation and benefits of our officers and employees, including reviewing and approving corporate goals and objectives relevant to compensation of the Chief Executive Officer and other senior officers;</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other senior officers in light of those goals and objectives;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setting compensation of the Chief Executive Officer and other senior officers based on such evaluations;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approving, for the Chief Executive Officer and other senior officers, employment agreements, severance agreements, consulting agreements and change in control or termination agreements;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such other matters that are specifically designated to the compensation committee by our board of directors from time to time.</w:t>
      </w:r>
    </w:p>
    <w:p>
      <w:pPr>
        <w:spacing w:after="0" w:line="237"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Nasdaq Global Select Market listing standards.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nominating and corporate governance committee consists of Jon Doyle, Steven Collins and Spencer Lake, with Spencer Lake serving as the chairperson. Our board of directors has determined that each member of our nominating and corporate governance committee is independent under the applicable Nasdaq Global Select Market listing standards.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252" w:lineRule="exact"/>
        <w:rPr>
          <w:sz w:val="20"/>
          <w:szCs w:val="20"/>
          <w:color w:val="auto"/>
        </w:rPr>
      </w:pPr>
    </w:p>
    <w:p>
      <w:pPr>
        <w:ind w:left="1420" w:right="10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changes to the size and composition of our board of directors;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252"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procedures to exercise oversight of, and oversee the performance evaluation process of, our board of directors and management;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Nasdaq Global Select Market listing standards.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have adopted a code of conduct applicable to our principal executive, financial and accounting officers and all persons performing similar functions. Upon the effectiveness of the registration statement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which this prospectus forms a part, our code of conduct will be available on our principal corporate website at www.ncino.com. Information contained on our website or connected thereto does not constitute a part of, and is not incorporated by reference into, this prospectus or the registration statement of which it forms a part.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During fiscal 2020, none of our non-employee directors received retainers or equity awards with respect to service on our board of directors or any of its committees. Spencer Lake receives compensation for consulting services provided to the Company pursuant to a consulting agreement entered into between the Company and Mr. Lake in fiscal 2018. Under the consulting agreement, Mr. Lake receives an annual consulting fee of $30,000. Additionally, Mr. Lake was granted an option to purchase 16,000 shares of our common stock that vests as to 25% of the shares underlying the option on each of the first four anniversaries of the grant date, and an option to purchase 50,000 shares of our common stock that vests as to 1,250 shares underlying the option for each $1,000,000 of ACV contracted for the Company outside of the Americas between May 1, 2017 and May 1, 2021.</w:t>
      </w:r>
    </w:p>
    <w:p>
      <w:pPr>
        <w:spacing w:after="0" w:line="164" w:lineRule="exact"/>
        <w:rPr>
          <w:sz w:val="20"/>
          <w:szCs w:val="20"/>
          <w:color w:val="auto"/>
        </w:rPr>
      </w:pPr>
    </w:p>
    <w:p>
      <w:pPr>
        <w:jc w:val="both"/>
        <w:ind w:left="120" w:right="160" w:firstLine="881"/>
        <w:spacing w:after="0" w:line="286" w:lineRule="auto"/>
        <w:rPr>
          <w:sz w:val="20"/>
          <w:szCs w:val="20"/>
          <w:color w:val="auto"/>
        </w:rPr>
      </w:pPr>
      <w:r>
        <w:rPr>
          <w:rFonts w:ascii="Arial" w:cs="Arial" w:eastAsia="Arial" w:hAnsi="Arial"/>
          <w:sz w:val="17"/>
          <w:szCs w:val="17"/>
          <w:color w:val="auto"/>
        </w:rPr>
        <w:t>In connection with this offering, the board of directors engaged Radford, an independent executive compensation consultant that is part of the Rewards Solutions practice at Aon plc, to provide advice on non-employee director compensation. Following a review of market data presented by Radford, in February 2020, the board of directors approved the following non-employee director compensation program:</w:t>
      </w:r>
    </w:p>
    <w:p>
      <w:pPr>
        <w:spacing w:after="0" w:line="71"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130" w:lineRule="exact"/>
        <w:rPr>
          <w:rFonts w:ascii="Arial" w:cs="Arial" w:eastAsia="Arial" w:hAnsi="Arial"/>
          <w:sz w:val="18"/>
          <w:szCs w:val="18"/>
          <w:color w:val="auto"/>
        </w:rPr>
      </w:pPr>
    </w:p>
    <w:p>
      <w:pPr>
        <w:ind w:left="1420" w:right="220" w:hanging="319"/>
        <w:spacing w:after="0" w:line="277" w:lineRule="auto"/>
        <w:tabs>
          <w:tab w:leader="none" w:pos="14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Annual restricted stock unit (“RSU”) award with a grant date fair value of $150,000 granted at each annual meeting of stockholders and vesting on the one-year anniversary of the grant date, subject to the director’s continued service.</w:t>
      </w:r>
    </w:p>
    <w:p>
      <w:pPr>
        <w:spacing w:after="0" w:line="75" w:lineRule="exact"/>
        <w:rPr>
          <w:rFonts w:ascii="Arial" w:cs="Arial" w:eastAsia="Arial" w:hAnsi="Arial"/>
          <w:sz w:val="15"/>
          <w:szCs w:val="15"/>
          <w:color w:val="auto"/>
        </w:rPr>
      </w:pPr>
    </w:p>
    <w:p>
      <w:pPr>
        <w:ind w:left="1420" w:right="620" w:hanging="319"/>
        <w:spacing w:after="0" w:line="342" w:lineRule="auto"/>
        <w:tabs>
          <w:tab w:leader="none" w:pos="1420" w:val="left"/>
        </w:tabs>
        <w:numPr>
          <w:ilvl w:val="1"/>
          <w:numId w:val="66"/>
        </w:numPr>
        <w:rPr>
          <w:rFonts w:ascii="Arial" w:cs="Arial" w:eastAsia="Arial" w:hAnsi="Arial"/>
          <w:sz w:val="13"/>
          <w:szCs w:val="13"/>
          <w:color w:val="auto"/>
        </w:rPr>
      </w:pPr>
      <w:r>
        <w:rPr>
          <w:rFonts w:ascii="Arial" w:cs="Arial" w:eastAsia="Arial" w:hAnsi="Arial"/>
          <w:sz w:val="16"/>
          <w:szCs w:val="16"/>
          <w:color w:val="auto"/>
        </w:rPr>
        <w:t>One-time “initial” RSU award with a grant date fair value of $300,000 granted to new non-employee members of the board of directors and vesting annually over three years, subject to the director’s continued service on the applicable vesting date.</w:t>
      </w:r>
    </w:p>
    <w:p>
      <w:pPr>
        <w:spacing w:after="0" w:line="150" w:lineRule="exact"/>
        <w:rPr>
          <w:rFonts w:ascii="Arial" w:cs="Arial" w:eastAsia="Arial" w:hAnsi="Arial"/>
          <w:sz w:val="13"/>
          <w:szCs w:val="13"/>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Compensation</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Annual Cash Retainer – Chair: $55,000; Member: $30,000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Audit Committee – Chair: $20,000; Member: $10,000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Compensation Committee – Chair: $12,000; Member: $6,000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Nominating &amp; Corporate Governance Committee – Chair: $8,000; Member: $4,000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Pursuant to the non-employee director compensation program described above, on June 8, 2020,</w:t>
      </w:r>
    </w:p>
    <w:p>
      <w:pPr>
        <w:spacing w:after="0" w:line="23"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compensation committee of the board of directors approved equity awards to the non-employee directors as follows: Messrs. Collins and Doyle and Ms. Kilday received initial RSU awards with a grant date fair value equal to $300,000; and each of the Company’s non-employee directors received a pro-rated annual RSU award with a grant date fair value of $50,000, reflecting service from February 2020 to May 2020, and an annual equity award with a grant date fair value of $150,000. The initial RSU award granted to Messrs. Collins and Doyle and Ms. Kilday will vest annually over three years from February 1, 2020, the annual equity grant awarded to each of the non-employee directors will vest on the one-year anniversary of the grant date, and the pro-rated equity award granted to each of the non-employee directors will vest upon the occurrence of this offering, in each case, subject to the director’s continued service on the applicable vesting date. The RSUs granted to the non-employee directors on June 8, 2020 are also subject to a liquidity event-based vesting condition, which requires that a liquidity event occur prior to the seventh anniversary of the grant date.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2020 Director Compensation Table</w:t>
      </w:r>
    </w:p>
    <w:p>
      <w:pPr>
        <w:spacing w:after="0" w:line="225"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The following table sets forth information for the fiscal year ended January 31, 2020 regarding the compensation awarded to, earned by or paid to our non-employee directors. As noted above, the only compensation received by our non-employee directors in fiscal 2020 was the consulting fee paid to Mr. Lake pursuant to the consulting agreement.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Fees</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Earned</w:t>
            </w: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or Paid</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900" w:type="dxa"/>
            <w:vAlign w:val="bottom"/>
            <w:vMerge w:val="restart"/>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in Cash</w:t>
            </w: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4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Steven Collins</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Jon Doyle</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Horing</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Pam Kilday</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Lake</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30,000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30,000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Jeffrey Lunsford</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Ruh</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258" w:lineRule="auto"/>
        <w:tabs>
          <w:tab w:leader="none" w:pos="5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As of January 31, 2020, Mr. Lake held outstanding options with respect to 66,000 shares of our common stock. As of such date, none of our other non-employee directors held outstanding stock options or any other equity awards with respect to the Company.</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Consists of consulting fees received by Mr. Lake pursuant to his consulting agreement with the Company.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Director and Officer Liability and Indemnification</w:t>
      </w:r>
    </w:p>
    <w:p>
      <w:pPr>
        <w:spacing w:after="0" w:line="229"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Our amended and restated certificate of incorporation that will become effective in connection with this offering will contain provisions that will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Our amended and restated certificate of incorporation and our bylaws that will become effective in connection with this offering will require us to indemnify our directors and officers, and allow us to indemnify other employees and agents, to the fullest extent permitted by the DGCL. Subject to certain limitations and limited exceptions, our amended and restated certificate of incorporation will also require us to advance expenses incurred by our directors and officers for the defense of any action for which indemnification is required or permitted.</w:t>
      </w:r>
    </w:p>
    <w:p>
      <w:pPr>
        <w:spacing w:after="0" w:line="171"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will provide that we will indemnify each of our directors and such officers to the fullest extent permitted by law and our amended and restated certificate of incorporation.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believe that these provisions in our amended and restated certificate of incorporation, bylaws and indemnification agreements are necessary to attract and retain qualified persons such as directors, officers and key employees. We also maintain directors’ and officers’ liability insurance. The limitation of liability and indemnification provisions in our amended and restated certificate of incorporation and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The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external audit function.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Our current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fiscal 2020, the material elements of our executive compensation program were base salary, an annual cash bonus, and restricted stock units ("RSUs").</w:t>
      </w:r>
    </w:p>
    <w:p>
      <w:pPr>
        <w:spacing w:after="0" w:line="192"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Following this offering, we expect that our executive compensation program will evolve to reflect our status as a newly publicly-traded company, while still supporting our overall business and compensation objectives. In anticipation of this offering, the board of directors established a compensation committee in December 2019 to oversee our executive compensation program, which had previously been overseen by our board of directors. In addition, in connection with this offering, we have retained Radford, an independent executive compensation consultant that is part of the Rewards Solutions practice at Aon plc, to help advise on our executive compensation program. This section provides a discussion of the compensation paid or awarded to our President &amp; Chief Executive Officer and our two other most highly compensated executive officers serving as of January 31, 2020, the end of fiscal 2020. We refer to these individuals as our “named executive officers.” For fiscal 2020, our named executive officers were:</w:t>
      </w:r>
    </w:p>
    <w:p>
      <w:pPr>
        <w:spacing w:after="0" w:line="193" w:lineRule="exact"/>
        <w:rPr>
          <w:sz w:val="20"/>
          <w:szCs w:val="20"/>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Pierre Naudé, President &amp;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Josh Glover, Chief Revenue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David Rudow, Chief Financial Officer &amp; Treasurer.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Fiscal 2020 Summary Compensation Table for the base salary amounts received by each named executive officer in fiscal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225"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actual business results and helps create a “pay for performance” culture. Our annual cash bonus program provides cash incentive award opportunities based on the achievement of performance goals approved by our board of directors at the beginning of each fiscal year.</w:t>
      </w:r>
    </w:p>
    <w:p>
      <w:pPr>
        <w:spacing w:after="0" w:line="146"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The payment of awards under the fiscal 2020 annual cash bonus program applicable to the named executive officers was subject to the attainment of goals relating to net ACV, determined based on bookings from contracts entered into during the fiscal year, and the Company’s total non-GAAP gross margin. Under the fiscal 2020 annual cash bonus program, net ACV was weighted 70%, and non-GAAP gross margin was weighted 30%.</w:t>
      </w:r>
    </w:p>
    <w:p>
      <w:pPr>
        <w:spacing w:after="0" w:line="14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fiscal 2020 bonus targets for Messrs. Naudé, Glover and Rudow were $206,250, $205,000 and $37,973, respectively, with Mr. Rudow’s bonus target representing a pro-rated target opportunity in light of his October 2019 hire date. Based on our fiscal 2020 performance, the Company awarded payouts under our annual cash bonus program in a total payout of 103.7% of the target bonus opportunity. Please see the “Non-Equity Incentive Plan Compensation” column in the Fiscal 2020 Summary Compensation Table for the amount of the annual bonus paid to each named executive officer with respect to fiscal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To further align the interests of our executive officers with the interests of our stockholders and to further focus our executive officers on our long-term performance, we provide equity compensation to our executive officers. In fiscal 2020, the equity component of our executive compensation program was delivered in the form of RSUs, with grants to each of Messrs. Naudé, Glover and Rudow made with respect to 100,000, 50,000 and 100,000 shares of our common stock, respectively. These RSUs vest on the later of the satisfaction of a service-based vesting condition and the occurrence of a liquidity event. The service-based vesting condition is satisfied with respect to 25% of the shares subject to the RSU award on each of the first four anniversaries of the vesting commencement date, subject to the executive officer’s continued employment through the applicable service-based vesting date. In order for the award to vest, a liquidity event must occur prior to the seventh anniversary of the grant date. In addition, on June 8, 2020, each of Messrs. Naudé, Glover and Rudow received an RSU grant with respect to 128,053, 54,375 and 54,375 shares of our common stock, respectively. Similar to the fiscal 2020 RSU grants, these RSUs vest in 25% annual increments over four years, subject to the executive officer’s continued service through the applicable service-based vesting date and the occurrence of a liquidity event. This offering will constitute a liquidity event for both the fiscal 2020 and fiscal 2021 RSU awards and, although that vesting condition will have been satisfied, the awards will remain subject to the service-based vesting condition under the terms of the award agreements.</w:t>
      </w:r>
    </w:p>
    <w:p>
      <w:pPr>
        <w:spacing w:after="0" w:line="16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Please see “Outstanding Equity Awards at Fiscal 2020 Year-End” for a summary of the outstanding equity awards held by each of the named executive officers as of fiscal 2020 year-end.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2020 Summary Compensation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shows information regarding the compensation of our named executive officers for services performed in fiscal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2"/>
                <w:szCs w:val="12"/>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Salary</w:t>
            </w: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40" w:type="dxa"/>
            <w:vAlign w:val="bottom"/>
            <w:vMerge w:val="restart"/>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 xml:space="preserve">Total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Naudé, President &amp; Chief Executive Officer</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412,500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2,175,000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213,881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11,676</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2,813,057</w:t>
            </w:r>
          </w:p>
        </w:tc>
        <w:tc>
          <w:tcPr>
            <w:tcW w:w="0" w:type="dxa"/>
            <w:vAlign w:val="bottom"/>
          </w:tcPr>
          <w:p>
            <w:pPr>
              <w:spacing w:after="0"/>
              <w:rPr>
                <w:sz w:val="1"/>
                <w:szCs w:val="1"/>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David Rudow, Chief Financial Officer &amp; Treasurer</w:t>
            </w:r>
            <w:r>
              <w:rPr>
                <w:rFonts w:ascii="Arial" w:cs="Arial" w:eastAsia="Arial" w:hAnsi="Arial"/>
                <w:sz w:val="15"/>
                <w:szCs w:val="15"/>
                <w:color w:val="auto"/>
              </w:rPr>
              <w:t>(4)</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75,072</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2,175,000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39,378</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115,986</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2,405,436</w:t>
            </w:r>
          </w:p>
        </w:tc>
        <w:tc>
          <w:tcPr>
            <w:tcW w:w="0" w:type="dxa"/>
            <w:vAlign w:val="bottom"/>
          </w:tcPr>
          <w:p>
            <w:pPr>
              <w:spacing w:after="0"/>
              <w:rPr>
                <w:sz w:val="1"/>
                <w:szCs w:val="1"/>
                <w:color w:val="auto"/>
              </w:rPr>
            </w:pPr>
          </w:p>
        </w:tc>
      </w:tr>
      <w:tr>
        <w:trPr>
          <w:trHeight w:val="54"/>
        </w:trPr>
        <w:tc>
          <w:tcPr>
            <w:tcW w:w="17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 Glover, Chief Revenue Officer</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205,000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1,087,500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212,585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6,887</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1,511,972</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240" w:hanging="424"/>
        <w:spacing w:after="0" w:line="271"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7"/>
          <w:szCs w:val="17"/>
          <w:color w:val="auto"/>
        </w:rPr>
        <w:t>The amounts reported represent the grant date fair value of RSUs calculated in accordance with Financial Accounting Standards Board Accounting Standards Codification Topic 718, Compensation-Stock Compensation, excluding the effect of estimated forfeitures. The grant date fair value was calculated based on the fair market value of a share of Company common stock as of the grant date.</w:t>
      </w:r>
    </w:p>
    <w:p>
      <w:pPr>
        <w:ind w:left="540" w:right="160" w:hanging="424"/>
        <w:spacing w:after="0" w:line="250" w:lineRule="auto"/>
        <w:tabs>
          <w:tab w:leader="none" w:pos="540" w:val="left"/>
        </w:tabs>
        <w:numPr>
          <w:ilvl w:val="0"/>
          <w:numId w:val="70"/>
        </w:numPr>
        <w:rPr>
          <w:rFonts w:ascii="Arial" w:cs="Arial" w:eastAsia="Arial" w:hAnsi="Arial"/>
          <w:sz w:val="15"/>
          <w:szCs w:val="15"/>
          <w:color w:val="auto"/>
        </w:rPr>
      </w:pPr>
      <w:r>
        <w:rPr>
          <w:rFonts w:ascii="Arial" w:cs="Arial" w:eastAsia="Arial" w:hAnsi="Arial"/>
          <w:sz w:val="18"/>
          <w:szCs w:val="18"/>
          <w:color w:val="auto"/>
        </w:rPr>
        <w:t>The amounts reported represent payouts under the Company’s annual cash bonus program based on performance with respect to goals relating to net ACV, determined based on bookings from contracts entered into during the fiscal year, weighted 70%, and the Company’s total non-GAAP gross margin, weighted 30%.</w:t>
      </w:r>
    </w:p>
    <w:p>
      <w:pPr>
        <w:spacing w:after="0" w:line="1" w:lineRule="exact"/>
        <w:rPr>
          <w:rFonts w:ascii="Arial" w:cs="Arial" w:eastAsia="Arial" w:hAnsi="Arial"/>
          <w:sz w:val="15"/>
          <w:szCs w:val="15"/>
          <w:color w:val="auto"/>
        </w:rPr>
      </w:pPr>
    </w:p>
    <w:p>
      <w:pPr>
        <w:ind w:left="540" w:right="340" w:hanging="424"/>
        <w:spacing w:after="0" w:line="281" w:lineRule="auto"/>
        <w:tabs>
          <w:tab w:leader="none" w:pos="540" w:val="left"/>
        </w:tabs>
        <w:numPr>
          <w:ilvl w:val="0"/>
          <w:numId w:val="70"/>
        </w:numPr>
        <w:rPr>
          <w:rFonts w:ascii="Arial" w:cs="Arial" w:eastAsia="Arial" w:hAnsi="Arial"/>
          <w:sz w:val="13"/>
          <w:szCs w:val="13"/>
          <w:color w:val="auto"/>
        </w:rPr>
      </w:pPr>
      <w:r>
        <w:rPr>
          <w:rFonts w:ascii="Arial" w:cs="Arial" w:eastAsia="Arial" w:hAnsi="Arial"/>
          <w:sz w:val="16"/>
          <w:szCs w:val="16"/>
          <w:color w:val="auto"/>
        </w:rPr>
        <w:t>The amounts reported in this column consist of (i) a cell phone allowance for each of the named executive officers, (ii) matching contributions under the Company’s 401(k) plan for Messrs. Naudé and Glover, (iii) life insurance premiums paid by the Company for Mr. Naudé and</w:t>
      </w:r>
    </w:p>
    <w:p>
      <w:pPr>
        <w:spacing w:after="0" w:line="1" w:lineRule="exact"/>
        <w:rPr>
          <w:rFonts w:ascii="Arial" w:cs="Arial" w:eastAsia="Arial" w:hAnsi="Arial"/>
          <w:sz w:val="13"/>
          <w:szCs w:val="13"/>
          <w:color w:val="auto"/>
        </w:rPr>
      </w:pPr>
    </w:p>
    <w:p>
      <w:pPr>
        <w:ind w:left="540" w:right="600"/>
        <w:spacing w:after="0" w:line="250" w:lineRule="auto"/>
        <w:rPr>
          <w:rFonts w:ascii="Arial" w:cs="Arial" w:eastAsia="Arial" w:hAnsi="Arial"/>
          <w:sz w:val="13"/>
          <w:szCs w:val="13"/>
          <w:color w:val="auto"/>
        </w:rPr>
      </w:pPr>
      <w:r>
        <w:rPr>
          <w:rFonts w:ascii="Arial" w:cs="Arial" w:eastAsia="Arial" w:hAnsi="Arial"/>
          <w:sz w:val="18"/>
          <w:szCs w:val="18"/>
          <w:color w:val="auto"/>
        </w:rPr>
        <w:t>(iv) relocation benefits paid to Mr. Rudow in connection with his commencement of employment with the Company, including related tax-reimbursements of $40,386.</w:t>
      </w:r>
    </w:p>
    <w:p>
      <w:pPr>
        <w:ind w:left="540" w:right="460" w:hanging="424"/>
        <w:spacing w:after="0" w:line="260" w:lineRule="auto"/>
        <w:tabs>
          <w:tab w:leader="none" w:pos="540" w:val="left"/>
        </w:tabs>
        <w:numPr>
          <w:ilvl w:val="0"/>
          <w:numId w:val="70"/>
        </w:numPr>
        <w:rPr>
          <w:rFonts w:ascii="Arial" w:cs="Arial" w:eastAsia="Arial" w:hAnsi="Arial"/>
          <w:sz w:val="15"/>
          <w:szCs w:val="15"/>
          <w:color w:val="auto"/>
        </w:rPr>
      </w:pPr>
      <w:r>
        <w:rPr>
          <w:rFonts w:ascii="Arial" w:cs="Arial" w:eastAsia="Arial" w:hAnsi="Arial"/>
          <w:sz w:val="18"/>
          <w:szCs w:val="18"/>
          <w:color w:val="auto"/>
        </w:rPr>
        <w:t>Mr. Rudow commenced employment with the Company in October 2019 and, accordingly, the amounts reported for his base salary and non-equity incentive compensation reflect pro-rated compensation for his service from his hire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following table presents information regarding the outstanding equity awards held by each of the named executive officers as of January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Incentive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Number</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Unearned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Units or</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Rights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That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760" w:type="dxa"/>
            <w:vAlign w:val="bottom"/>
            <w:vMerge w:val="restart"/>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 (#)</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 (#)</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Vested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2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Exercisable</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78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Naudé</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2/1/2017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500,000</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2/1/2027</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20" w:type="dxa"/>
            <w:vAlign w:val="bottom"/>
            <w:gridSpan w:val="3"/>
          </w:tcPr>
          <w:p>
            <w:pPr>
              <w:jc w:val="right"/>
              <w:ind w:right="260"/>
              <w:spacing w:after="0"/>
              <w:rPr>
                <w:sz w:val="20"/>
                <w:szCs w:val="20"/>
                <w:color w:val="auto"/>
              </w:rPr>
            </w:pPr>
            <w:r>
              <w:rPr>
                <w:rFonts w:ascii="Arial" w:cs="Arial" w:eastAsia="Arial" w:hAnsi="Arial"/>
                <w:sz w:val="18"/>
                <w:szCs w:val="18"/>
                <w:color w:val="auto"/>
              </w:rPr>
              <w:t>8/15/2019</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100,000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2,150,000</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Rudow</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11/1/2019</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100,000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2,150,000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Josh Glover</w:t>
            </w:r>
          </w:p>
        </w:tc>
        <w:tc>
          <w:tcPr>
            <w:tcW w:w="2120" w:type="dxa"/>
            <w:vAlign w:val="bottom"/>
            <w:gridSpan w:val="3"/>
          </w:tcPr>
          <w:p>
            <w:pPr>
              <w:jc w:val="right"/>
              <w:ind w:right="260"/>
              <w:spacing w:after="0"/>
              <w:rPr>
                <w:sz w:val="20"/>
                <w:szCs w:val="20"/>
                <w:color w:val="auto"/>
              </w:rPr>
            </w:pPr>
            <w:r>
              <w:rPr>
                <w:rFonts w:ascii="Arial" w:cs="Arial" w:eastAsia="Arial" w:hAnsi="Arial"/>
                <w:sz w:val="18"/>
                <w:szCs w:val="18"/>
                <w:color w:val="auto"/>
              </w:rPr>
              <w:t>8/1/2015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49,678</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2.45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8/1/2025</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2/1/2017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80,134</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160,267</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2/1/2027</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20" w:type="dxa"/>
            <w:vAlign w:val="bottom"/>
            <w:gridSpan w:val="3"/>
          </w:tcPr>
          <w:p>
            <w:pPr>
              <w:jc w:val="right"/>
              <w:ind w:right="260"/>
              <w:spacing w:after="0"/>
              <w:rPr>
                <w:sz w:val="20"/>
                <w:szCs w:val="20"/>
                <w:color w:val="auto"/>
              </w:rPr>
            </w:pPr>
            <w:r>
              <w:rPr>
                <w:rFonts w:ascii="Arial" w:cs="Arial" w:eastAsia="Arial" w:hAnsi="Arial"/>
                <w:sz w:val="18"/>
                <w:szCs w:val="18"/>
                <w:color w:val="auto"/>
              </w:rPr>
              <w:t>8/15/2019</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480" w:hanging="424"/>
        <w:spacing w:after="0" w:line="258"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options vest in 25% annual increments commencing on the first anniversary of the grant date, subject to the named executive officer’s continued employment through the applicable vesting date.</w:t>
      </w:r>
    </w:p>
    <w:p>
      <w:pPr>
        <w:spacing w:after="0" w:line="1" w:lineRule="exact"/>
        <w:rPr>
          <w:rFonts w:ascii="Arial" w:cs="Arial" w:eastAsia="Arial" w:hAnsi="Arial"/>
          <w:sz w:val="18"/>
          <w:szCs w:val="18"/>
          <w:color w:val="auto"/>
        </w:rPr>
      </w:pPr>
    </w:p>
    <w:p>
      <w:pPr>
        <w:jc w:val="both"/>
        <w:ind w:left="540" w:right="40" w:hanging="424"/>
        <w:spacing w:after="0" w:line="250"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RSUs vest with respect to 25% of the shares subject to the RSU award on each of the first four anniversaries of the grant date, subject to the executive officer’s continued employment through the applicable service-based vesting date and provided that a liquidity event occurs prior to the seventh anniversary of the grant date.</w:t>
      </w:r>
    </w:p>
    <w:p>
      <w:pPr>
        <w:spacing w:after="0" w:line="1" w:lineRule="exact"/>
        <w:rPr>
          <w:rFonts w:ascii="Arial" w:cs="Arial" w:eastAsia="Arial" w:hAnsi="Arial"/>
          <w:sz w:val="18"/>
          <w:szCs w:val="18"/>
          <w:color w:val="auto"/>
        </w:rPr>
      </w:pPr>
    </w:p>
    <w:p>
      <w:pPr>
        <w:ind w:left="540" w:right="160" w:hanging="424"/>
        <w:spacing w:after="0" w:line="255"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Company’s equity is not publicly traded and, therefore, there is no ascertainable public market value for the Company’s common stock as of January 31, 2020. For purposes of this table, the market value at year-end is calculated based on the valuation of fair market value of a share of Company common stock as of February 1, 2020.</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Narrative Disclosure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During fiscal 2020, each of Mr. Naudé and Mr. Rudow was party to an employment arrangement that included benefits payable upon certain qualifying terminations of employment. As of fiscal 2020 year-end, Mr. Glover was not subject to an employment or severance agreement entitling him to severance benefits upon a termination of employment.</w:t>
      </w:r>
    </w:p>
    <w:p>
      <w:pPr>
        <w:spacing w:after="0" w:line="184" w:lineRule="exact"/>
        <w:rPr>
          <w:sz w:val="20"/>
          <w:szCs w:val="20"/>
          <w:color w:val="auto"/>
        </w:rPr>
      </w:pPr>
    </w:p>
    <w:p>
      <w:pPr>
        <w:ind w:left="120" w:right="80" w:firstLine="881"/>
        <w:spacing w:after="0" w:line="287" w:lineRule="auto"/>
        <w:rPr>
          <w:sz w:val="20"/>
          <w:szCs w:val="20"/>
          <w:color w:val="auto"/>
        </w:rPr>
      </w:pPr>
      <w:r>
        <w:rPr>
          <w:rFonts w:ascii="Arial" w:cs="Arial" w:eastAsia="Arial" w:hAnsi="Arial"/>
          <w:sz w:val="16"/>
          <w:szCs w:val="16"/>
          <w:color w:val="auto"/>
        </w:rPr>
        <w:t>Under the employment agreements in effect during fiscal 2020, in the event the employment of either Mr. Naudé and Mr. Rudow had been terminated due to death or disability, the named executive officer would have been entitled to base salary through the date of termination and a pro-rata annual bonus for the year of termination, determined based on actual performance through the date of termination and budgeted performance thereafter, and pro-rated for the number of days employed by the Company during the year. Subject to the executive’s execution of a release of claims in favor of the Company, in the event of a termination by the Company without cause or by the executive due to good reason, each as defined in the applicable employment agreement, Mr. Naudé and Mr. Rudow would have been entitled to (i) severance payments over a specified severance period equal to the base salary the named executive officer would have received during such severance period, (ii) a pro-rata annual bonus for the year of termination, determined based on actual performance through the date of termination and budgeted performance thereafter, and pro-rated for the number of days employed by the Company during the year and (iii) reimbursements for healthcare continuation coverage during the severance period, subject to earlier termination in the event the executive officer became eligible for health coverage from a subsequent employer or the executive officer’s spouse. The severance period under the employment agreements in effect during fiscal 2020 equaled 12 months for Mr. Naudé and six months for Mr. Rudow.</w:t>
      </w:r>
    </w:p>
    <w:p>
      <w:pPr>
        <w:spacing w:after="0" w:line="172" w:lineRule="exact"/>
        <w:rPr>
          <w:sz w:val="20"/>
          <w:szCs w:val="20"/>
          <w:color w:val="auto"/>
        </w:rPr>
      </w:pPr>
    </w:p>
    <w:p>
      <w:pPr>
        <w:ind w:left="120" w:right="320" w:firstLine="881"/>
        <w:spacing w:after="0" w:line="342" w:lineRule="auto"/>
        <w:rPr>
          <w:sz w:val="20"/>
          <w:szCs w:val="20"/>
          <w:color w:val="auto"/>
        </w:rPr>
      </w:pPr>
      <w:r>
        <w:rPr>
          <w:rFonts w:ascii="Arial" w:cs="Arial" w:eastAsia="Arial" w:hAnsi="Arial"/>
          <w:sz w:val="16"/>
          <w:szCs w:val="16"/>
          <w:color w:val="auto"/>
        </w:rPr>
        <w:t>In connection with this offering, we will enter into new employment agreements with each of our named executive officers, the material terms of which are expected to be as set forth below. The severance terms were determined after a review of market data presented by Radford.</w:t>
      </w:r>
    </w:p>
    <w:p>
      <w:pPr>
        <w:spacing w:after="0" w:line="124"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The new employment agreements set forth each named executive officer’s current base salary and annual incentive target opportunity, with base salaries of $430,000, $280,000 and $230,000, and target opportunities as a percentage of base salary of 100%, 50% and 100% for Messrs. Naude, Rudow and Glover, respectively. Under the new employment agreements, in the event of a termination of employment due to the named executive officer’s death or disability, the named executive officer will be entitled to a pro-rated bonus for the year of termination, based on actual performance and pro-rated for the portion of the year the named executive officer was employed. Subject to the named executive officer’s execution of a release of claims in favor of the Company, in the event of a termination by the Company without cause or by the executive due to good reason prior to or more than one year following a change in control, each as defined in the applicable employment agreement, each named executive officer would be entitled to</w:t>
      </w:r>
    </w:p>
    <w:p>
      <w:pPr>
        <w:spacing w:after="0" w:line="2" w:lineRule="exact"/>
        <w:rPr>
          <w:sz w:val="20"/>
          <w:szCs w:val="20"/>
          <w:color w:val="auto"/>
        </w:rPr>
      </w:pPr>
    </w:p>
    <w:p>
      <w:pPr>
        <w:ind w:left="120" w:right="60" w:hanging="4"/>
        <w:spacing w:after="0" w:line="286"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severance payments over a specified severance period equal to the base salary the named executive officer would have received during such severance period, (ii) a pro-rated bonus for the year of termination, based on actual performance and pro-rated for the portion of the year the named executive officer was employed, and (iii) reimbursements for healthcare continuation coverage during the severance period, subject to earlier termination in the event the executive officer becomes eligible for alternative health coverage. The severance period is 12 months for Mr. Naudé and six months for Messrs. Rudow and Glover. If the named executive officer experiences a termination of employment on or during the one-year period following a change in control of the Company, then, in lieu of the benefits set forth above, the executive will receive a severance payment equal to a severance multiple multiplied by the sum of the executive’s annual base salary and target bonus, and the healthcare continuation coverage described above will be extended to up to 18 months for Mr. Naudé and 12 months for Messrs. Rudow and Glover. The severance multiple for a termination of employment within one-year following a change in control of the Company is one and a half for Mr. Naudé and one for Messrs. Rudow and Glover. In addition, under the terms of the employment agreements, if the payments and benefits to a named executive officer under his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employment agreement or another plan, arrangement or agreement would subject the named executive officer to the excise tax imposed by Section 4999 of the Internal Revenue Code, then such payments will be reduced by the minimum amount necessary to avoid such excise tax, but only if such reduction will result in the named executive officer receiving a higher net after-tax amount. This offering will not constitute a change in control for purposes of the employment agreements with our named executive officers.</w:t>
      </w:r>
    </w:p>
    <w:p>
      <w:pPr>
        <w:spacing w:after="0" w:line="18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addition, consistent with the terms of certain of the Company’s pre-existing compensation arrangements, in the event that either (i) the named executive officer is employed by the Company as of a change in control of the Company or (ii) the employment of the named executive officer is terminated by the Company without cause or by the executive due to good reason within six months prior to such change in control, any equity awards held by the named executive officer as of the effective date of the new employment agreements described above will vest upon such change in control. For equity awards granted following the effective date of the new employment agreements and unless otherwise provided for in an award agreement, such equity awards will vest in the event of a termination of employment by the Company without cause or due to good reason on or within one year following a change in control.</w:t>
      </w:r>
    </w:p>
    <w:p>
      <w:pPr>
        <w:spacing w:after="0" w:line="195" w:lineRule="exact"/>
        <w:rPr>
          <w:sz w:val="20"/>
          <w:szCs w:val="20"/>
          <w:color w:val="auto"/>
        </w:rPr>
      </w:pPr>
    </w:p>
    <w:p>
      <w:pPr>
        <w:ind w:left="120" w:right="300" w:firstLine="881"/>
        <w:spacing w:after="0" w:line="279" w:lineRule="auto"/>
        <w:rPr>
          <w:sz w:val="20"/>
          <w:szCs w:val="20"/>
          <w:color w:val="auto"/>
        </w:rPr>
      </w:pPr>
      <w:r>
        <w:rPr>
          <w:rFonts w:ascii="Arial" w:cs="Arial" w:eastAsia="Arial" w:hAnsi="Arial"/>
          <w:sz w:val="17"/>
          <w:szCs w:val="17"/>
          <w:color w:val="auto"/>
        </w:rPr>
        <w:t>At the time the named executive officer enters into the above-described employment agreement with the Company, the named executive officer will also be required to enter into a non-disclosure, restrictive covenants and assignment of invention agreement with restrictive covenants relating to non-competition and non-solicitation of customers and employees, during employment and for 12 months following a termination of employment for Mr. Naudé and for six months following a termination of employment for Messrs. Rudow and Glover.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The Company maintains a tax-qualified 401(k) savings plan which allows participants to defer eligible compensation up to the maximum amount allowed under Internal Revenue Service guidelines and provides for a discretionary matching contributions by the Company. In fiscal 2020, the Company matched each employee’s contributions at 40% up to 6% of eligible compensation, up to applicable Internal Revenue Service limits.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In 2019, our board of directors adopted the nCino, Inc. 2019 Incentive Plan. In connection with this offering, our board of directors expects to adopt, and our current stockholders expect to approve, an amended and restated 2019 Incentive Plan to, among other items, increase the available shares under the 2019 Incentive Plan. The following summary describes what we expect to be the material terms of the 2019 Incentive Plan, as amended and restated. This summary is not a complete description of all provisions of the 2019 Incentive Plan and is qualified in its entirety by reference to the 2019 Incentive Plan, which will be filed as an exhibit to the registration statement of which this prospectus is a part.</w:t>
      </w:r>
    </w:p>
    <w:p>
      <w:pPr>
        <w:spacing w:after="0" w:line="161"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purpose of the 2019 Incentive Plan is to advance the interests of the Company and its stockholders by providing an incentive to attract, retain and reward persons performing services to the Company and its participating affiliates and subsidiaries and by motivating such persons to contribute to the growth and profitability of the Company and its participating affiliates and subsidiaries. The 2019 Incentive Plan provides for the grant of incentive stock options (within the meaning of Section 422 of the Code), nonstatutory stock options, stock appreciation rights, restricted stock awards, restricted stock units, performance shares, performance units, cash-based awards and other-stock based awards. Only directors, officers, employees and consultants who provide services to us, or to any parent, subsidiary or affiliate of ours, are eligible to receive such awards.</w:t>
      </w:r>
    </w:p>
    <w:p>
      <w:pPr>
        <w:sectPr>
          <w:pgSz w:w="11900" w:h="16838" w:orient="portrait"/>
          <w:cols w:equalWidth="0" w:num="1">
            <w:col w:w="11100"/>
          </w:cols>
          <w:pgMar w:left="320" w:top="459" w:right="479" w:bottom="1440" w:gutter="0" w:footer="0" w:header="0"/>
        </w:sectPr>
      </w:pPr>
    </w:p>
    <w:p>
      <w:pPr>
        <w:spacing w:after="0" w:line="16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The number of shares reserved for issuance under the 2019 Incentive Plan is</w:t>
      </w:r>
      <w:r>
        <w:rPr>
          <w:rFonts w:ascii="Arial" w:cs="Arial" w:eastAsia="Arial" w:hAnsi="Arial"/>
          <w:sz w:val="18"/>
          <w:szCs w:val="18"/>
          <w:i w:val="1"/>
          <w:iCs w:val="1"/>
          <w:color w:val="auto"/>
        </w:rPr>
        <w:t xml:space="preserve"> </w:t>
      </w:r>
      <w:r>
        <w:rPr>
          <w:rFonts w:ascii="Arial" w:cs="Arial" w:eastAsia="Arial" w:hAnsi="Arial"/>
          <w:sz w:val="18"/>
          <w:szCs w:val="18"/>
          <w:color w:val="auto"/>
        </w:rPr>
        <w:t>added on the first day of each fiscal year, beginning with the fiscal year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plus an annual increase</w:t>
      </w:r>
    </w:p>
    <w:p>
      <w:pPr>
        <w:spacing w:after="0" w:line="396" w:lineRule="exact"/>
        <w:rPr>
          <w:sz w:val="20"/>
          <w:szCs w:val="20"/>
          <w:color w:val="auto"/>
        </w:rPr>
      </w:pPr>
    </w:p>
    <w:p>
      <w:pPr>
        <w:sectPr>
          <w:pgSz w:w="11900" w:h="16838" w:orient="portrait"/>
          <w:cols w:equalWidth="0" w:num="2">
            <w:col w:w="8420" w:space="720"/>
            <w:col w:w="19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00"/>
          </w:cols>
          <w:pgMar w:left="320" w:top="459" w:right="47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ending January 31, 2022, and continuing until, and including, the fiscal year ending January 31, 2031. The annual increase will be equal to the lesser of</w:t>
      </w:r>
    </w:p>
    <w:p>
      <w:pPr>
        <w:spacing w:after="0" w:line="2" w:lineRule="exact"/>
        <w:rPr>
          <w:sz w:val="20"/>
          <w:szCs w:val="20"/>
          <w:color w:val="auto"/>
        </w:rPr>
      </w:pPr>
    </w:p>
    <w:p>
      <w:pPr>
        <w:ind w:left="880" w:hanging="764"/>
        <w:spacing w:after="0"/>
        <w:tabs>
          <w:tab w:leader="none" w:pos="880" w:val="left"/>
        </w:tabs>
        <w:numPr>
          <w:ilvl w:val="0"/>
          <w:numId w:val="73"/>
        </w:numPr>
        <w:rPr>
          <w:rFonts w:ascii="Arial" w:cs="Arial" w:eastAsia="Arial" w:hAnsi="Arial"/>
          <w:sz w:val="4"/>
          <w:szCs w:val="4"/>
          <w:color w:val="auto"/>
        </w:rPr>
      </w:pPr>
      <w:r>
        <w:rPr>
          <w:rFonts w:ascii="Arial" w:cs="Arial" w:eastAsia="Arial" w:hAnsi="Arial"/>
          <w:sz w:val="4"/>
          <w:szCs w:val="4"/>
          <w:color w:val="auto"/>
        </w:rPr>
        <w:t>shares, (ii) 5% of the number of shares issued and outstanding as of the January 31st of the immediately preceding fiscal year and (iii) an</w:t>
      </w:r>
    </w:p>
    <w:p>
      <w:pPr>
        <w:spacing w:after="0" w:line="20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amount determined by the Board of Directors. Up to shares of our common stock that may be issued under the 2019 Incentive Plan may be issued in satisfaction of incentive stock option awards.</w:t>
      </w:r>
    </w:p>
    <w:p>
      <w:pPr>
        <w:spacing w:after="0" w:line="170"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To the extent an equity award granted under the 2019 Incentive Plan or the Company’s predecessor plan expires or otherwise terminates without having been exercised or settled in full, or is settled in cash, or the shares underlying an award are forfeited or repurchased by the Company for a price not exceeding the participant’s purchase price, the shares subject to such award will become available for future grant under the 2019 Incentive Plan. In addition, to the extent shares subject to an award are withheld to satisfy a participant’s tax withholding obligation upon the exercise or settlement of such award, are not issued upon the net settlement of a stock appreciation right or are withheld to pay the exercise price of a stock option, such shares will become available for future grant under the 2019 Incentive Plan.</w:t>
      </w:r>
    </w:p>
    <w:p>
      <w:pPr>
        <w:spacing w:after="0" w:line="178"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As of April 30, 2020, our officers, employees, directors and consultants hold outstanding stock options granted under the 2019 Incentive Plan for the purchase of up to 142,400 shares of our common stock, with none of those options vested as of such date, and outstanding RSUs with respect to 972,494 shares of our common stock.</w:t>
      </w:r>
    </w:p>
    <w:p>
      <w:pPr>
        <w:spacing w:after="0" w:line="18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compensation committee or a committee designated by our board of directors administers the 2019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If at any time our board of directors has not designated a committee to administer the 2019 Incentive Plan, then the plan will be administered by our board of directors. Subject to the terms of the 2019 Incentive Plan, our compensation committee will have the authority to determine the eligibility for awards and the terms, conditions, and restrictions, including vesting terms, the number of shares subject to an award, and any performance goals applicable to awards made under the 2019 Incentive Plan. The compensation committee also will have the authority, subject to the terms of the 2019 Incentive Plan, to construe and interpret the 2019 Incentive Plan and awards.</w:t>
      </w:r>
    </w:p>
    <w:p>
      <w:pPr>
        <w:spacing w:after="0" w:line="192"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Officers, employees, directors and consultants of the Company and our subsidiaries are eligible to participate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if selected for participation by the plan administrator.</w:t>
      </w:r>
    </w:p>
    <w:p>
      <w:pPr>
        <w:spacing w:after="0" w:line="170"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i w:val="1"/>
          <w:iCs w:val="1"/>
          <w:color w:val="auto"/>
        </w:rPr>
        <w:t xml:space="preserve">Non-Employee Director Compensation Limit. </w:t>
      </w:r>
      <w:r>
        <w:rPr>
          <w:rFonts w:ascii="Arial" w:cs="Arial" w:eastAsia="Arial" w:hAnsi="Arial"/>
          <w:sz w:val="16"/>
          <w:szCs w:val="16"/>
          <w:color w:val="auto"/>
        </w:rPr>
        <w:t>Under the terms of the 2019 Incentive Plan, the aggregate value of cash compensation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date fair value of shares that may be awarded or granted during any fiscal year of the Company to any non-employee director will not exceed</w:t>
      </w:r>
    </w:p>
    <w:p>
      <w:pPr>
        <w:ind w:left="120" w:right="300" w:hanging="4"/>
        <w:spacing w:after="0" w:line="260" w:lineRule="auto"/>
        <w:tabs>
          <w:tab w:leader="none" w:pos="75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provided, however, that the director compensation limit will be multiplied by two for the first fiscal year in which a non-employee director commences service on the board of directors.</w:t>
      </w:r>
    </w:p>
    <w:p>
      <w:pPr>
        <w:spacing w:after="0" w:line="18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Our compensation committee may grant incentive stock options, nonstatutory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stock appreciation rights under the 2019 Incentive Plan, provided that incentive stock options are granted only to employees of the Company, a parent corporation or a subsidiary corporation. The exercise price of stock options and stock appreciation rights under the 2019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2019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2019 Incentive Plan prohibits the repricing of options and stock appreciation rights without stockholder approval.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Our compensation committee will decide at the time of grant whether an award will be in the form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with any dividends subject to the same vesting conditions as the underlying restricted stock. The recipient of restricted stock units will not have voting rights, but his or her award agreement may provide for the receipt of dividend equivalents. Any dividend equivalents paid with respect to restricted stock units will be subject to the same vesting conditions as the underlying awards. Our compensation committee may grant other stock awards that are based on or related to shares of our common stock, such as awards of shares of common stock granted as bonus and not subject to any vesting conditions or stock equivalent units.</w:t>
      </w:r>
    </w:p>
    <w:p>
      <w:pPr>
        <w:spacing w:after="0" w:line="16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compensation committee will determine the value of any performance award, the vesting and nature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and whether the award is denominated or settled in cash or in shares of our common stock. The performance goals applicable to a particular award will be determined by our compensation committee at the time of grant.</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The 2019 Incentive Plan does not allow awards to be transferred other than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following the participant’s death, or as permitted by the compensation committee subject to the applicable limitations of the Securities Act and the Code.</w:t>
      </w:r>
    </w:p>
    <w:p>
      <w:pPr>
        <w:spacing w:after="0" w:line="184"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If any change is made in our common stock by means of an equity restructuring, such as a stock dividend,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rights offering or recapitalization through an extraordinary cash dividend, appropriate and proportionate adjustments will be made in the number, class and price of shares subject to each outstanding award and the number and kind of shares subject to the plan.</w:t>
      </w:r>
    </w:p>
    <w:p>
      <w:pPr>
        <w:spacing w:after="0" w:line="165" w:lineRule="exact"/>
        <w:rPr>
          <w:sz w:val="20"/>
          <w:szCs w:val="20"/>
          <w:color w:val="auto"/>
        </w:rPr>
      </w:pPr>
    </w:p>
    <w:p>
      <w:pPr>
        <w:jc w:val="both"/>
        <w:ind w:left="120" w:right="160" w:firstLine="881"/>
        <w:spacing w:after="0" w:line="311"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we experience a change in control under the terms of the 2019 Incentive Plan, the plan administrator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the cash settlement, vesting, assumption or substitution of outstanding awards, except that awards held by our non-employee directors will vest and become exercisable in full upon such change in control. This offering will not constitute a change in control under the plan.</w:t>
      </w:r>
    </w:p>
    <w:p>
      <w:pPr>
        <w:spacing w:after="0" w:line="14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granted under the 2019 Incentive Plan and any cash payment or shares of our common stock delivered pursuant to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may be subject to forfeiture, recovery, or other action pursuant to the applicable award agreement or any clawback or recoupment policy that we may adopt</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under the terms of the 2019 Incentive Plan, if the Company is required to prepare an accounting restatement due to the material noncompliance of the Company, as a result of misconduct, with any financial reporting requirement under the securities laws, any participant who knowingly or through gross negligence engaged in misconduct, or who knowingly or through gross negligence failed to prevent misconduct, will reimburse the Company for (i) the amount of any payment in settlement of an award received by such participant during the 12-month period following the first public issuance or filing with the SEC of the financial document embodying such financial reporting requirement and (ii) any profits realized by such participant from the sale of securities of the Company during such 12-month period.</w:t>
      </w:r>
    </w:p>
    <w:p>
      <w:pPr>
        <w:spacing w:after="0" w:line="17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The compensation committee has the discretion to grant awards under the 2019 Incentive Plan, and therefore it is not</w:t>
      </w:r>
      <w:r>
        <w:rPr>
          <w:rFonts w:ascii="Arial" w:cs="Arial" w:eastAsia="Arial" w:hAnsi="Arial"/>
          <w:sz w:val="17"/>
          <w:szCs w:val="17"/>
          <w:i w:val="1"/>
          <w:iCs w:val="1"/>
          <w:color w:val="auto"/>
        </w:rPr>
        <w:t xml:space="preserve"> </w:t>
      </w:r>
      <w:r>
        <w:rPr>
          <w:rFonts w:ascii="Arial" w:cs="Arial" w:eastAsia="Arial" w:hAnsi="Arial"/>
          <w:sz w:val="17"/>
          <w:szCs w:val="17"/>
          <w:color w:val="auto"/>
        </w:rPr>
        <w:t>possible at the time of filing of this prospectus to determine future awards that will be received by our named executive officers or others under the 2019 Incentive Plan. Only directors, employees and consultants are eligible for consideration to participate in the 2019 Incentive Plan.</w:t>
      </w:r>
    </w:p>
    <w:p>
      <w:pPr>
        <w:spacing w:after="0" w:line="16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has the authority to amend or terminate the 2019 Incentive Plan,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required by law or stock exchange rules.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2014 Omnibus Stock Ownership and Long-Term Incentive Plan</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following is a description of the material terms of the nCino, Inc. 2014 Omnibus Stock Ownership and Long-Term Incentive Plan (the “2014 Incentive Plan”). The summary below does not contain a complete description of all provisions of the 2014 Incentive Plan and is qualified in its entirety by reference to the plan, a copy of which will be filed as an exhibit to the registration statement of which this prospectus forms a part. See “Where You Can Find Additional Information.”</w:t>
      </w:r>
    </w:p>
    <w:p>
      <w:pPr>
        <w:spacing w:after="0" w:line="18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2014 Incentive Plan was replaced by the 2019 Incentive Plan. The 2014 Incentive Plan governs outstanding awards granted prior to the adoption of the 2019 Incentive Plan, but no further awards will be granted pursuant to the 2014 Incentive Plan.</w:t>
      </w:r>
    </w:p>
    <w:p>
      <w:pPr>
        <w:spacing w:after="0" w:line="170"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Under the 2014 Incentive Plan, 15,025,666 shares of our common stock were reserved for issuance,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for stock splits and other similar changes in capitalization. As of April 30, 2020, our employees, directors and consultants hold outstanding stock options granted under the 2014 Incentive Plan for the purchase of up to 7,602,322 shares of our common stock, with 5,512,951 of those options vested as of such date. No other equity awards are outstanding under the 2014 Incentive Plan as of such date.</w:t>
      </w:r>
    </w:p>
    <w:p>
      <w:pPr>
        <w:spacing w:after="0" w:line="171"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administers the 2014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our 2014 Incentive Plan, the plan administrator has the authority to, among other things, construe and interpret the 2014 Incentive Plan and all awards granted thereunder, to define the terms used in the 2014 Incentive Plan and award agreements thereunder, to prescribe, amend and rescind the rules, regulations and policies relating to the 2014 Incentive Plan and to make all determinations necessary or advisable for the administration of the 2014 Incentive Plan.</w:t>
      </w:r>
    </w:p>
    <w:p>
      <w:pPr>
        <w:spacing w:after="0" w:line="18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our subsidiaries were eligible to participate in the 2014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if selected for participation by the plan administrator.</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i w:val="1"/>
          <w:iCs w:val="1"/>
          <w:color w:val="auto"/>
        </w:rPr>
        <w:t xml:space="preserve">Types and Terms of Awards. </w:t>
      </w:r>
      <w:r>
        <w:rPr>
          <w:rFonts w:ascii="Arial" w:cs="Arial" w:eastAsia="Arial" w:hAnsi="Arial"/>
          <w:sz w:val="18"/>
          <w:szCs w:val="18"/>
          <w:color w:val="auto"/>
        </w:rPr>
        <w:t>Under the 2014 Incentive Plan, we were authorized to grant stock options, restricted stock,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units, and stock appreciation rights.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The terms relating to exercise, cancellation, other disposition, forfeiture, satisfaction of performance measures,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restriction periods or termination of performance periods upon termination of employment with or service to the Company, whether by reason of disability, cause, retirement, death or other termination, are set forth in the underlying award agreement approved by the plan administrator.</w:t>
      </w:r>
    </w:p>
    <w:p>
      <w:pPr>
        <w:spacing w:after="0" w:line="149"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Under the terms of the 2014 Incentive Plan, the number of shares subject to outstanding awards and the exercise or</w:t>
      </w:r>
      <w:r>
        <w:rPr>
          <w:rFonts w:ascii="Arial" w:cs="Arial" w:eastAsia="Arial" w:hAnsi="Arial"/>
          <w:sz w:val="18"/>
          <w:szCs w:val="18"/>
          <w:i w:val="1"/>
          <w:iCs w:val="1"/>
          <w:color w:val="auto"/>
        </w:rPr>
        <w:t xml:space="preserve"> </w:t>
      </w:r>
      <w:r>
        <w:rPr>
          <w:rFonts w:ascii="Arial" w:cs="Arial" w:eastAsia="Arial" w:hAnsi="Arial"/>
          <w:sz w:val="18"/>
          <w:szCs w:val="18"/>
          <w:color w:val="auto"/>
        </w:rPr>
        <w:t>base prices of those awards are subject to adjustment in the event of certain changes in our capital structure, reorganizations and other extraordinary events.</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we experience a change in control under the terms of the 2014 Incentive Plan, the plan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vesting of outstanding options. This offering will not constitute a change in control under the plan.</w:t>
      </w:r>
    </w:p>
    <w:p>
      <w:pPr>
        <w:spacing w:after="0" w:line="170" w:lineRule="exact"/>
        <w:rPr>
          <w:sz w:val="20"/>
          <w:szCs w:val="20"/>
          <w:color w:val="auto"/>
        </w:rPr>
      </w:pPr>
    </w:p>
    <w:p>
      <w:pPr>
        <w:ind w:left="120" w:right="400" w:firstLine="881"/>
        <w:spacing w:after="0" w:line="31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may, at any time, amend or terminate the 2014 Incentive Plan as it shall deem</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subject to stockholder approval for changes to the number of shares available under the 2014 Incentive Plan or changes to the eligibility provisions. No amendment may adversely affect the rights of a holder of an outstanding award without the consent of such holder.</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9"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In connection with this offering, our board of directors expects to adopt, and our current stockholders expect to approve the ESPP to be effective upon the completion of this offering. The following summary describes what we expect to be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87"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The purpose of the ESPP is to provide eligible employees of the Company and participating subsidiaries with a convenient means of acquiring an equity interest in the Company through payroll deductions or other contributions in order to enhance such employees’ sense of participation in the affairs of the Company. Generally, all of our employees (including those of our consolidated subsidiaries, other than those subsidiaries excluded from participation by our board of directors or compensation committee) are eligible to participate in the ESPP. The ESPP permits employees to purchase our common stock through payroll deductions during six-month offering periods, with the offering periods beginning each January 1 and July 1, or such other period or date determined by the compensation committee.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Under the terms of the ESPP, the purchase price per share with respect to an offering period will equal the lesser of (i) 85% of the fair market value of a share of our common stock on the first business day of such offering period and (ii) 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No participant may purchase more than 5,000 shares of our common stock during any offering period. Neither payroll deductions credited to a participant’s account nor any rights with regard to the exercise of an option or to receive shares under the ESPP may be assigned, transferred, pledged or otherwise disposed of in any way (other than by will, the laws of descent and distribution or pursuant to a valid beneficiary designation in the event of a participant’s death).</w:t>
      </w:r>
    </w:p>
    <w:p>
      <w:pPr>
        <w:spacing w:after="0" w:line="180" w:lineRule="exact"/>
        <w:rPr>
          <w:sz w:val="20"/>
          <w:szCs w:val="20"/>
          <w:color w:val="auto"/>
        </w:rPr>
      </w:pPr>
    </w:p>
    <w:p>
      <w:pPr>
        <w:ind w:left="120" w:right="340" w:firstLine="1421"/>
        <w:spacing w:after="0" w:line="286" w:lineRule="auto"/>
        <w:rPr>
          <w:sz w:val="20"/>
          <w:szCs w:val="20"/>
          <w:color w:val="auto"/>
        </w:rPr>
      </w:pPr>
      <w:r>
        <w:rPr>
          <w:rFonts w:ascii="Arial" w:cs="Arial" w:eastAsia="Arial" w:hAnsi="Arial"/>
          <w:sz w:val="16"/>
          <w:szCs w:val="16"/>
          <w:color w:val="auto"/>
        </w:rPr>
        <w:t>shares of our common stock, subject to adjustment for stock splits, stock dividends or other changes in our capital stock, initially may be issued under the ESPP. Subject to the adjustment provisions contained in the ESPP, the maximum number of shares of our common stock available under the ESPP will automatically increase on the first day of each fiscal year, beginning with the fiscal year ending January 31, 2022 and continuing until the fiscal year ended January 31, 2031, by an amount equal to the lesser of 1% of the shares of our common stock issued and</w:t>
      </w:r>
    </w:p>
    <w:p>
      <w:pPr>
        <w:spacing w:after="0" w:line="1" w:lineRule="exact"/>
        <w:rPr>
          <w:sz w:val="20"/>
          <w:szCs w:val="20"/>
          <w:color w:val="auto"/>
        </w:rPr>
      </w:pPr>
    </w:p>
    <w:p>
      <w:pPr>
        <w:ind w:left="120" w:right="520"/>
        <w:spacing w:after="0" w:line="255" w:lineRule="auto"/>
        <w:rPr>
          <w:sz w:val="20"/>
          <w:szCs w:val="20"/>
          <w:color w:val="auto"/>
        </w:rPr>
      </w:pPr>
      <w:r>
        <w:rPr>
          <w:rFonts w:ascii="Arial" w:cs="Arial" w:eastAsia="Arial" w:hAnsi="Arial"/>
          <w:sz w:val="18"/>
          <w:szCs w:val="18"/>
          <w:color w:val="auto"/>
        </w:rPr>
        <w:t>outstanding on January 31 of the immediately preceding fiscal year, shares of our common stock or an amount determined by our board of directors. The number of shares available under the ESPP will be subject to adjustment in the event of certain changes in our capital structure, reorganizations and other extraordinary events.</w:t>
      </w:r>
    </w:p>
    <w:p>
      <w:pPr>
        <w:spacing w:after="0" w:line="190"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lieu of such assumption or substitution, to either terminate all outstanding options and return to each participant the payroll deductions credited to such participant’s account or to provide for the offering period in progress to end on a date prior to the consummation of such sale or merger.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ESPP will be administered by the compensation committee or a designee of the compensation committee. The compensation committee will have the discretionary authority to do everything necessary and appropriate to administer the ESPP, including, without limitation, determining the time and frequency of granting options, the duration of offering periods, the terms and conditions of the options and the number of shares subject to each option, and interpreting the provisions of the ESPP.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to the compensation arrangements discussed in the section titled “Executive Compensation,” we describe below the transactions since February 1, 2017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sold shares of our common stock to an entity affiliated with Salesforce in July 2017, January 2018 and September 2019 for an aggregate purchase price of approximately $72.0 million. In January 2018, one of our stockholders also sold shares of our common stock to an entity affiliated with Salesforce for a purchase price of approximately $9.0 million.</w:t>
      </w:r>
    </w:p>
    <w:p>
      <w:pPr>
        <w:spacing w:after="0" w:line="184"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addition, certain holders of more than 5% of our capital stock acquired shares from selling stockholders, including certain of our directors and officers, pursuant to the tender offer as described below under “—Tender Offer.”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Offer</w:t>
      </w:r>
    </w:p>
    <w:p>
      <w:pPr>
        <w:spacing w:after="0" w:line="229"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Shares of our common stock have been the subject of two tender offers. The first was conducted by Insight Partners in January 2017 (the “January 2017 Tender Offer”) and the second was conducted by each of Insight Partners, Wellington and Bessemer Venture Partners (“Bessemer”) in July 2018 (the “July 2018 Tender Offer”). In connection with the January 2017 Tender Offer, Insight Partners acquired 23,796,085 shares of our common stock from selling stockholders, including certain of our directors and officers, at a purchase price of $8.00 per share, and in connection with the July 2018 Tender Offer, Wellington acquired 3,125,000 shares of our common stock, Bessemer acquired 1,562,500 shares of our common stock and Insight Partners acquired 551,382 shares of our common stock from selling stockholders, including certain of our directors and officers, at a purchase price of $16.00 per share.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We are party to an amended and restated investors’ rights agreement, dated as February 12, 2015, as amended (“IRA”), which provides, among other things, that such investors party thereto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 The IRA also provides Insight Partners with the right to appoint a designee to our board of directors and as a result, Insight Partners designated Jeffrey Horing to serve on our board of directors. This right will terminate upon completion of this offering.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Salesforce</w:t>
      </w:r>
    </w:p>
    <w:p>
      <w:pPr>
        <w:spacing w:after="0" w:line="229"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Salesforce, a software solution provider for the Company, is also an equity holder in the Company. Total expenses related to the Salesforce Agreement were approximately $9.5 million, $15.4 million and $22.8 million for fiscal years 2018, 2019 and 2020, and $5.1 million and $7.5 million for the three months ended April 30, 2019 and 2020, respectively. For a description of the Salesforce Agreement and other information, see “Risk Factors—Fundamental elements of the nCino Bank Operating System are built on the Salesforce Platform and we rely on our agreement with Salesforce to provide our solution to our customers” and “Business—Our Relationship with Salesforce”.</w:t>
      </w:r>
    </w:p>
    <w:p>
      <w:pPr>
        <w:spacing w:after="0" w:line="176"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Company also purchases services from Salesforce to assist in managing the sales cycle, customer relationship management and other internal business functions. Total payments to Salesforce for these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were $0.5 million, $0.8 million and $1.1 million for fiscal years 2018, 2019 and 2020, respectively, and $0.7 million and $1.1 million were in prepaid expenses and other current assets for fiscal 2019 and 2020, respectively. Accounts payable to Salesforce were $2.1 million and $3.3 million and were included in accounts payable, related parties for fiscal 2019 and 2020, respectively.</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Total payments to Salesforce for these services were $0.2 million and $0.3 million for the three months ended April 30, 2019 and 2020, respectively, and $0.8 million were in prepaid expenses and other current assets as of April 30, 2020. Accounts payable to Salesforce were $3.7 million at April 30, 2020, and were included in accounts payable, related parties.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 with an Immediate Family Member of our President, Chief Executive Officer and Director</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Corinne Naudé is a Sales Account Executive and the daughter-in-law of Pierre Naudé, our President and Chief Executive Officer. Her total compensation for fiscal 2019 and 2020 was approximately $248,204 and $436,521, respectively.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 and Executive Officers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bylaws will require us to indemnify our directors to the fullest extent not prohibited by DGCL. Subject to very limited exceptions, our bylaws will also require us to advance expenses incurred by our directors and officers. For more information regarding these agreements, see the section titled “Management— Limitations on Director and Officer Liability and Indemnification.”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120" w:right="180" w:firstLine="881"/>
        <w:spacing w:after="0" w:line="254"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completion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15, 2020 and as adjusted to reflect the sale of our common stock offered by us in this offering for:</w:t>
      </w:r>
    </w:p>
    <w:p>
      <w:pPr>
        <w:spacing w:after="0" w:line="197" w:lineRule="exact"/>
        <w:rPr>
          <w:sz w:val="20"/>
          <w:szCs w:val="20"/>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120" w:right="100" w:firstLine="881"/>
        <w:spacing w:after="0" w:line="284" w:lineRule="auto"/>
        <w:rPr>
          <w:sz w:val="20"/>
          <w:szCs w:val="20"/>
          <w:color w:val="auto"/>
        </w:rPr>
      </w:pPr>
      <w:r>
        <w:rPr>
          <w:rFonts w:ascii="Arial" w:cs="Arial" w:eastAsia="Arial" w:hAnsi="Arial"/>
          <w:sz w:val="16"/>
          <w:szCs w:val="16"/>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June 15, 2020,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 June 15, 2020 are deemed outstanding for purposes of calculating the percentage ownership of that person, but are not deemed outstanding for computing the percentage ownership of any other person. Subject to the foregoing, percentage of beneficial ownership is based on 81,641,981 shares of common stock outstanding as of June 15, 2020. Percentage of beneficial ownership after this offering (assuming no exercise of the underwriters’ option</w:t>
      </w:r>
    </w:p>
    <w:p>
      <w:pPr>
        <w:spacing w:after="0" w:line="2" w:lineRule="exact"/>
        <w:rPr>
          <w:sz w:val="20"/>
          <w:szCs w:val="20"/>
          <w:color w:val="auto"/>
        </w:rPr>
      </w:pPr>
    </w:p>
    <w:p>
      <w:pPr>
        <w:ind w:left="120"/>
        <w:spacing w:after="0"/>
        <w:tabs>
          <w:tab w:leader="none" w:pos="6020" w:val="left"/>
        </w:tabs>
        <w:rPr>
          <w:sz w:val="20"/>
          <w:szCs w:val="20"/>
          <w:color w:val="auto"/>
        </w:rPr>
      </w:pPr>
      <w:r>
        <w:rPr>
          <w:rFonts w:ascii="Arial" w:cs="Arial" w:eastAsia="Arial" w:hAnsi="Arial"/>
          <w:sz w:val="18"/>
          <w:szCs w:val="18"/>
          <w:color w:val="auto"/>
        </w:rPr>
        <w:t>to purchase additional shares) also assumes the issuance and sale by us of</w:t>
      </w:r>
      <w:r>
        <w:rPr>
          <w:sz w:val="20"/>
          <w:szCs w:val="20"/>
          <w:color w:val="auto"/>
        </w:rPr>
        <w:tab/>
      </w:r>
      <w:r>
        <w:rPr>
          <w:rFonts w:ascii="Arial" w:cs="Arial" w:eastAsia="Arial" w:hAnsi="Arial"/>
          <w:sz w:val="16"/>
          <w:szCs w:val="16"/>
          <w:color w:val="auto"/>
        </w:rPr>
        <w:t>shares of common stock in this offering.</w:t>
      </w:r>
    </w:p>
    <w:p>
      <w:pPr>
        <w:spacing w:after="0" w:line="211"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nCino, Inc., 6770 Parker Farm Drive, Wilmington, North Carolina 28405.</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7"/>
              </w:rPr>
              <w:t>Shares of</w:t>
            </w:r>
          </w:p>
        </w:tc>
        <w:tc>
          <w:tcPr>
            <w:tcW w:w="19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0"/>
              </w:rPr>
              <w:t>Percentage</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of</w:t>
            </w: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Common</w:t>
            </w:r>
          </w:p>
        </w:tc>
        <w:tc>
          <w:tcPr>
            <w:tcW w:w="19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5"/>
              </w:rPr>
              <w:t>Common</w:t>
            </w: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Stock</w:t>
            </w:r>
          </w:p>
        </w:tc>
        <w:tc>
          <w:tcPr>
            <w:tcW w:w="19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9"/>
              </w:rPr>
              <w:t>Stock</w:t>
            </w:r>
          </w:p>
        </w:tc>
        <w:tc>
          <w:tcPr>
            <w:tcW w:w="15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540" w:type="dxa"/>
            <w:vAlign w:val="bottom"/>
            <w:gridSpan w:val="3"/>
          </w:tcPr>
          <w:p>
            <w:pPr>
              <w:jc w:val="center"/>
              <w:ind w:left="331"/>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Owned</w:t>
            </w: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4"/>
              </w:rPr>
              <w:t>Owned</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Before and</w:t>
            </w: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Before</w:t>
            </w: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32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After this</w:t>
            </w:r>
          </w:p>
        </w:tc>
        <w:tc>
          <w:tcPr>
            <w:tcW w:w="19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8"/>
              </w:rPr>
              <w:t>this</w:t>
            </w: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7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2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this Offering</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Pierre Naudé</w:t>
            </w:r>
            <w:r>
              <w:rPr>
                <w:rFonts w:ascii="Arial" w:cs="Arial" w:eastAsia="Arial" w:hAnsi="Arial"/>
                <w:sz w:val="15"/>
                <w:szCs w:val="15"/>
                <w:color w:val="auto"/>
              </w:rPr>
              <w:t>(1)</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1,290,000</w:t>
            </w:r>
          </w:p>
        </w:tc>
        <w:tc>
          <w:tcPr>
            <w:tcW w:w="1960" w:type="dxa"/>
            <w:vAlign w:val="bottom"/>
            <w:gridSpan w:val="2"/>
          </w:tcPr>
          <w:p>
            <w:pPr>
              <w:jc w:val="right"/>
              <w:ind w:right="1020"/>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Rudow</w:t>
            </w:r>
          </w:p>
        </w:tc>
        <w:tc>
          <w:tcPr>
            <w:tcW w:w="1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Josh Glover</w:t>
            </w:r>
            <w:r>
              <w:rPr>
                <w:rFonts w:ascii="Arial" w:cs="Arial" w:eastAsia="Arial" w:hAnsi="Arial"/>
                <w:sz w:val="15"/>
                <w:szCs w:val="15"/>
                <w:color w:val="auto"/>
              </w:rPr>
              <w:t>(2)</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292,232</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Collins</w:t>
            </w:r>
            <w:r>
              <w:rPr>
                <w:rFonts w:ascii="Arial" w:cs="Arial" w:eastAsia="Arial" w:hAnsi="Arial"/>
                <w:sz w:val="15"/>
                <w:szCs w:val="15"/>
                <w:color w:val="auto"/>
              </w:rPr>
              <w:t>(3)</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2,500</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Jon Doyle</w:t>
            </w:r>
            <w:r>
              <w:rPr>
                <w:rFonts w:ascii="Arial" w:cs="Arial" w:eastAsia="Arial" w:hAnsi="Arial"/>
                <w:sz w:val="15"/>
                <w:szCs w:val="15"/>
                <w:color w:val="auto"/>
              </w:rPr>
              <w:t>(4)</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27,500</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Horing</w:t>
            </w:r>
            <w:r>
              <w:rPr>
                <w:rFonts w:ascii="Arial" w:cs="Arial" w:eastAsia="Arial" w:hAnsi="Arial"/>
                <w:sz w:val="15"/>
                <w:szCs w:val="15"/>
                <w:color w:val="auto"/>
              </w:rPr>
              <w:t>(5)</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38,018,651</w:t>
            </w:r>
          </w:p>
        </w:tc>
        <w:tc>
          <w:tcPr>
            <w:tcW w:w="19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46.6</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Pam Kilday</w:t>
            </w:r>
            <w:r>
              <w:rPr>
                <w:rFonts w:ascii="Arial" w:cs="Arial" w:eastAsia="Arial" w:hAnsi="Arial"/>
                <w:sz w:val="15"/>
                <w:szCs w:val="15"/>
                <w:color w:val="auto"/>
              </w:rPr>
              <w:t>(6)</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2,500</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Lake</w:t>
            </w:r>
            <w:r>
              <w:rPr>
                <w:rFonts w:ascii="Arial" w:cs="Arial" w:eastAsia="Arial" w:hAnsi="Arial"/>
                <w:sz w:val="15"/>
                <w:szCs w:val="15"/>
                <w:color w:val="auto"/>
              </w:rPr>
              <w:t>(7)</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35,750</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Jeffrey Lunsford</w:t>
            </w:r>
            <w:r>
              <w:rPr>
                <w:rFonts w:ascii="Arial" w:cs="Arial" w:eastAsia="Arial" w:hAnsi="Arial"/>
                <w:sz w:val="15"/>
                <w:szCs w:val="15"/>
                <w:color w:val="auto"/>
              </w:rPr>
              <w:t>(8)</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402,500</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Ruh</w:t>
            </w:r>
            <w:r>
              <w:rPr>
                <w:rFonts w:ascii="Arial" w:cs="Arial" w:eastAsia="Arial" w:hAnsi="Arial"/>
                <w:sz w:val="15"/>
                <w:szCs w:val="15"/>
                <w:color w:val="auto"/>
              </w:rPr>
              <w:t>(9)</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358,701</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w w:val="99"/>
              </w:rPr>
              <w:t>All executive officers and directors as a group (13 persons)</w:t>
            </w:r>
            <w:r>
              <w:rPr>
                <w:rFonts w:ascii="Arial" w:cs="Arial" w:eastAsia="Arial" w:hAnsi="Arial"/>
                <w:sz w:val="15"/>
                <w:szCs w:val="15"/>
                <w:color w:val="auto"/>
                <w:w w:val="99"/>
              </w:rPr>
              <w:t>(10)</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41,526,942</w:t>
            </w: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49.7</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Entities affiliated with Insight Partners</w:t>
            </w:r>
            <w:r>
              <w:rPr>
                <w:rFonts w:ascii="Arial" w:cs="Arial" w:eastAsia="Arial" w:hAnsi="Arial"/>
                <w:sz w:val="15"/>
                <w:szCs w:val="15"/>
                <w:color w:val="auto"/>
              </w:rPr>
              <w:t>(11)</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38,016,151</w:t>
            </w: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46.6</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Salesforce</w:t>
            </w:r>
            <w:r>
              <w:rPr>
                <w:rFonts w:ascii="Arial" w:cs="Arial" w:eastAsia="Arial" w:hAnsi="Arial"/>
                <w:sz w:val="15"/>
                <w:szCs w:val="15"/>
                <w:color w:val="auto"/>
              </w:rPr>
              <w:t>(12)</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10,760,469</w:t>
            </w:r>
          </w:p>
        </w:tc>
        <w:tc>
          <w:tcPr>
            <w:tcW w:w="19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13.2</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Entities affiliated with Wellington Management</w:t>
            </w:r>
            <w:r>
              <w:rPr>
                <w:rFonts w:ascii="Arial" w:cs="Arial" w:eastAsia="Arial" w:hAnsi="Arial"/>
                <w:sz w:val="15"/>
                <w:szCs w:val="15"/>
                <w:color w:val="auto"/>
              </w:rPr>
              <w:t>(13)</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7,715,323</w:t>
            </w: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9.5</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114</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outstanding shares of our common stock.</w:t>
      </w:r>
    </w:p>
    <w:p>
      <w:pPr>
        <w:spacing w:after="0" w:line="22" w:lineRule="exact"/>
        <w:rPr>
          <w:sz w:val="20"/>
          <w:szCs w:val="20"/>
          <w:color w:val="auto"/>
        </w:rPr>
      </w:pPr>
    </w:p>
    <w:p>
      <w:pPr>
        <w:ind w:left="540" w:hanging="424"/>
        <w:spacing w:after="0" w:line="250" w:lineRule="auto"/>
        <w:tabs>
          <w:tab w:leader="none" w:pos="540" w:val="left"/>
        </w:tabs>
        <w:numPr>
          <w:ilvl w:val="0"/>
          <w:numId w:val="77"/>
        </w:numPr>
        <w:rPr>
          <w:rFonts w:ascii="Arial" w:cs="Arial" w:eastAsia="Arial" w:hAnsi="Arial"/>
          <w:sz w:val="15"/>
          <w:szCs w:val="15"/>
          <w:color w:val="auto"/>
        </w:rPr>
      </w:pPr>
      <w:r>
        <w:rPr>
          <w:rFonts w:ascii="Arial" w:cs="Arial" w:eastAsia="Arial" w:hAnsi="Arial"/>
          <w:sz w:val="18"/>
          <w:szCs w:val="18"/>
          <w:color w:val="auto"/>
        </w:rPr>
        <w:t>Consists of (a) 765,000 shares of common stock held by Mr. Naudé, (b) 500,000 shares of common stock issuable upon exercise of options held by Mr. Naudé that are vested and exercisable as of June 15, 2020 or will become vested and exercisable within 60 days of such date and (c) 25,000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3" w:lineRule="exact"/>
        <w:rPr>
          <w:rFonts w:ascii="Arial" w:cs="Arial" w:eastAsia="Arial" w:hAnsi="Arial"/>
          <w:sz w:val="15"/>
          <w:szCs w:val="15"/>
          <w:color w:val="auto"/>
        </w:rPr>
      </w:pPr>
    </w:p>
    <w:p>
      <w:pPr>
        <w:ind w:left="540" w:right="40" w:hanging="424"/>
        <w:spacing w:after="0" w:line="250" w:lineRule="auto"/>
        <w:tabs>
          <w:tab w:leader="none" w:pos="540" w:val="left"/>
        </w:tabs>
        <w:numPr>
          <w:ilvl w:val="0"/>
          <w:numId w:val="77"/>
        </w:numPr>
        <w:rPr>
          <w:rFonts w:ascii="Arial" w:cs="Arial" w:eastAsia="Arial" w:hAnsi="Arial"/>
          <w:sz w:val="15"/>
          <w:szCs w:val="15"/>
          <w:color w:val="auto"/>
        </w:rPr>
      </w:pPr>
      <w:r>
        <w:rPr>
          <w:rFonts w:ascii="Arial" w:cs="Arial" w:eastAsia="Arial" w:hAnsi="Arial"/>
          <w:sz w:val="18"/>
          <w:szCs w:val="18"/>
          <w:color w:val="auto"/>
        </w:rPr>
        <w:t>Consists of (a) 69,787 shares of common stock held by Mr. Glover, (b) 209,945 shares of common stock issuable upon exercise of options held by Mr. Glover that are vested and exercisable as of June 15, 2020 or will become vested and exercisable within 60 days of such date, and (c) 12,500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5"/>
          <w:szCs w:val="15"/>
          <w:color w:val="auto"/>
        </w:rPr>
      </w:pPr>
    </w:p>
    <w:p>
      <w:pPr>
        <w:ind w:left="540" w:right="380" w:hanging="424"/>
        <w:spacing w:after="0" w:line="250" w:lineRule="auto"/>
        <w:tabs>
          <w:tab w:leader="none" w:pos="540" w:val="left"/>
        </w:tabs>
        <w:numPr>
          <w:ilvl w:val="0"/>
          <w:numId w:val="77"/>
        </w:numPr>
        <w:rPr>
          <w:rFonts w:ascii="Arial" w:cs="Arial" w:eastAsia="Arial" w:hAnsi="Arial"/>
          <w:sz w:val="15"/>
          <w:szCs w:val="15"/>
          <w:color w:val="auto"/>
        </w:rPr>
      </w:pPr>
      <w:r>
        <w:rPr>
          <w:rFonts w:ascii="Arial" w:cs="Arial" w:eastAsia="Arial" w:hAnsi="Arial"/>
          <w:sz w:val="18"/>
          <w:szCs w:val="18"/>
          <w:color w:val="auto"/>
        </w:rPr>
        <w:t>Consists of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5"/>
          <w:szCs w:val="15"/>
          <w:color w:val="auto"/>
        </w:rPr>
      </w:pPr>
    </w:p>
    <w:p>
      <w:pPr>
        <w:jc w:val="both"/>
        <w:ind w:left="540" w:right="80" w:hanging="424"/>
        <w:spacing w:after="0" w:line="250" w:lineRule="auto"/>
        <w:tabs>
          <w:tab w:leader="none" w:pos="540" w:val="left"/>
        </w:tabs>
        <w:numPr>
          <w:ilvl w:val="0"/>
          <w:numId w:val="77"/>
        </w:numPr>
        <w:rPr>
          <w:rFonts w:ascii="Arial" w:cs="Arial" w:eastAsia="Arial" w:hAnsi="Arial"/>
          <w:sz w:val="15"/>
          <w:szCs w:val="15"/>
          <w:color w:val="auto"/>
        </w:rPr>
      </w:pPr>
      <w:r>
        <w:rPr>
          <w:rFonts w:ascii="Arial" w:cs="Arial" w:eastAsia="Arial" w:hAnsi="Arial"/>
          <w:sz w:val="18"/>
          <w:szCs w:val="18"/>
          <w:color w:val="auto"/>
        </w:rPr>
        <w:t>Consists of (a) 25,000 shares of common stock held by Mr. Doyle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5"/>
          <w:szCs w:val="15"/>
          <w:color w:val="auto"/>
        </w:rPr>
      </w:pPr>
    </w:p>
    <w:p>
      <w:pPr>
        <w:ind w:left="540" w:right="20" w:hanging="424"/>
        <w:spacing w:after="0" w:line="265"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7"/>
          <w:szCs w:val="17"/>
          <w:color w:val="auto"/>
        </w:rPr>
        <w:t>Consists of (a) 38,016,151 shares of common stock beneficially held by entities affiliated with Insight Partners as set forth in footnote (11)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 Mr. Horing, a member of our board of directors, disclaims beneficial ownership of the shares held of record by each of the affiliated entities of Insight Partners, except to the extent of his pecuniary interest therein, if any.</w:t>
      </w:r>
    </w:p>
    <w:p>
      <w:pPr>
        <w:ind w:left="540" w:right="380" w:hanging="424"/>
        <w:spacing w:after="0" w:line="250" w:lineRule="auto"/>
        <w:tabs>
          <w:tab w:leader="none" w:pos="540" w:val="left"/>
        </w:tabs>
        <w:numPr>
          <w:ilvl w:val="0"/>
          <w:numId w:val="77"/>
        </w:numPr>
        <w:rPr>
          <w:rFonts w:ascii="Arial" w:cs="Arial" w:eastAsia="Arial" w:hAnsi="Arial"/>
          <w:sz w:val="15"/>
          <w:szCs w:val="15"/>
          <w:color w:val="auto"/>
        </w:rPr>
      </w:pPr>
      <w:r>
        <w:rPr>
          <w:rFonts w:ascii="Arial" w:cs="Arial" w:eastAsia="Arial" w:hAnsi="Arial"/>
          <w:sz w:val="18"/>
          <w:szCs w:val="18"/>
          <w:color w:val="auto"/>
        </w:rPr>
        <w:t>Consists of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5"/>
          <w:szCs w:val="15"/>
          <w:color w:val="auto"/>
        </w:rPr>
      </w:pPr>
    </w:p>
    <w:p>
      <w:pPr>
        <w:ind w:left="540" w:right="100" w:hanging="424"/>
        <w:spacing w:after="0" w:line="265"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7"/>
          <w:szCs w:val="17"/>
          <w:color w:val="auto"/>
        </w:rPr>
        <w:t>Consists of (a) 33,250 shares of common stock issuable upon exercise of options held by Mr. Lake that are vested and exercisable as of June 15, 2020 or will become vested and exercisable within 60 days of such date,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ind w:left="540" w:right="260" w:hanging="424"/>
        <w:spacing w:after="0" w:line="265"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7"/>
          <w:szCs w:val="17"/>
          <w:color w:val="auto"/>
        </w:rPr>
        <w:t>Consists of (a) 400,000 shares of common stock held by Mr. Lunsford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jc w:val="both"/>
        <w:ind w:left="540" w:right="120" w:hanging="424"/>
        <w:spacing w:after="0" w:line="265"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7"/>
          <w:szCs w:val="17"/>
          <w:color w:val="auto"/>
        </w:rPr>
        <w:t>Consists of (a) 356,201 shares of common stock held by Mr. Ruh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ind w:left="540" w:right="220" w:hanging="424"/>
        <w:spacing w:after="0" w:line="273"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7"/>
          <w:szCs w:val="17"/>
          <w:color w:val="auto"/>
        </w:rPr>
        <w:t>Consists of (a) 39,643,250 shares of common stock beneficially owned by our directors and executive officers, (b) 1,794,942 shares of common stock issuable upon exercise of options held by our directors and executive officers that are vested and exercisable as of June 15, 2020 or will become vested and exercisable within 60 days of such date and (c) 88,750 shares of common stock to be issued pursuant to RSUs for which the time-based vesting condition has been or will be met within 60 days of June 15, 2020 and for which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liquidity-based vesting condition will be satisfied upon the effectiveness of the registration statement of which this prospectus forms a part.</w:t>
      </w:r>
    </w:p>
    <w:p>
      <w:pPr>
        <w:spacing w:after="0" w:line="22" w:lineRule="exact"/>
        <w:rPr>
          <w:sz w:val="20"/>
          <w:szCs w:val="20"/>
          <w:color w:val="auto"/>
        </w:rPr>
      </w:pPr>
    </w:p>
    <w:p>
      <w:pPr>
        <w:ind w:left="540" w:hanging="424"/>
        <w:spacing w:after="0" w:line="281" w:lineRule="auto"/>
        <w:tabs>
          <w:tab w:leader="none" w:pos="540" w:val="left"/>
        </w:tabs>
        <w:numPr>
          <w:ilvl w:val="0"/>
          <w:numId w:val="78"/>
        </w:numPr>
        <w:rPr>
          <w:rFonts w:ascii="Arial" w:cs="Arial" w:eastAsia="Arial" w:hAnsi="Arial"/>
          <w:sz w:val="13"/>
          <w:szCs w:val="13"/>
          <w:color w:val="auto"/>
        </w:rPr>
      </w:pPr>
      <w:r>
        <w:rPr>
          <w:rFonts w:ascii="Arial" w:cs="Arial" w:eastAsia="Arial" w:hAnsi="Arial"/>
          <w:sz w:val="16"/>
          <w:szCs w:val="16"/>
          <w:color w:val="auto"/>
        </w:rPr>
        <w:t>Consists of (i) 12,562,994 shares held of record by Insight Venture Partners IX, L.P.; (ii) 6,242,246 shares held of record by Insight Venture Partners (Cayman) IX, L.P.; (iii) 1,331,048 shares held of record by Insight Venture Partners (Delaware) IX, L.P.; (iv) 250,770 shares held of record by Insight Venture Partners IX (Co-Investors), L.P.; (v) 5,105,462 shares held of record by Insight Venture Partners Growth-Buyout Coinvestment Fund, L.P.; (vi) 4,645,041 shares held of record by Insight Venture Partners Growth-Buyout Coinvestment Fund (B), L.P.; (vii) 4,104,494 shares held of record by Insight Venture Partners Growth-Buyout Coinvestment Fund (Cayman), L.P. and (viii) 3,774,096 shares held of record by Insight Venture Partners Growth-Buyout Coinvestment Fund (Delaware), L.P. Insight Holdings Group, LLC (“Holdings”) is the sole shareholder of each of Insight Venture Associates IX, Ltd. (“IVA IX Ltd”) and Insight Venture Associates Growth-Buyout Coinvestment, Ltd. (“IVA GBCF Ltd”). IVA IX Ltd is the general partner of Insight Venture Associates IX, L.P. (“IVA IX LP”), which is the general partner of Insight Venture Partners IX, L.P., Insight Venture Partners (Cayman) IX, L.P., Insight Venture Partners (Delaware) IX, L.P. and Insight Venture Partners IX (Co-Investors), L.P. (collectively “Fund IX”). IVA GBCF Ltd is the general partner of Insight Venture Associates Growth-Buyout Coinvestment, L.P. (“IVA GBCF LP”), which is the general partner of Insight Venture Partners Growth-Buyout Coinvestment Fund, L.P., Insight Venture Partners Growth-Buyout Coinvestment Fund (B), L.P., Insight Venture Partners Growth-Buyout Coinvestment Fund (Cayman), L.P. and Insight Venture Partners Growth-Buyout Coinvestment Fund (Delaware), L.P. (collectively “GBCF”). Each of Jeffrey L. Horing, Deven Parekh, Peter Sobiloff, Jeffrey Lieberman and Michael Triplett is a member of the board of managers of Holdings. Because Messrs. Horing, Parekh, Sobiloff, Lieberman and Triplett are members of the board of managers of Holdings, Holdings is the sole shareholder of each of IVA IX Ltd and IVA GBCF Ltd, IVA IX LP is the general partner of Fund IX and IVA GBCF LP is the general partner of GBCF, Messrs. Horing, Parekh, Sobiloff, Lieberman and Triplett may be deemed to share voting and dispositive power over the shares noted above. Mr. Horing, a member of our board of directors, disclaims beneficial ownership of the shares held of record by each of Fund IX and GBCF, except to the extent of his pecuniary interest therein, if any. The address for these entities is c/o Insight Partners, 1114 Avenue of the Americas, 36th Floor, New York, NY 10036.</w:t>
      </w:r>
    </w:p>
    <w:p>
      <w:pPr>
        <w:spacing w:after="0" w:line="12" w:lineRule="exact"/>
        <w:rPr>
          <w:rFonts w:ascii="Arial" w:cs="Arial" w:eastAsia="Arial" w:hAnsi="Arial"/>
          <w:sz w:val="13"/>
          <w:szCs w:val="13"/>
          <w:color w:val="auto"/>
        </w:rPr>
      </w:pPr>
    </w:p>
    <w:p>
      <w:pPr>
        <w:ind w:left="540" w:right="20" w:hanging="424"/>
        <w:spacing w:after="0" w:line="250" w:lineRule="auto"/>
        <w:tabs>
          <w:tab w:leader="none" w:pos="540" w:val="left"/>
        </w:tabs>
        <w:numPr>
          <w:ilvl w:val="0"/>
          <w:numId w:val="78"/>
        </w:numPr>
        <w:rPr>
          <w:rFonts w:ascii="Arial" w:cs="Arial" w:eastAsia="Arial" w:hAnsi="Arial"/>
          <w:sz w:val="15"/>
          <w:szCs w:val="15"/>
          <w:color w:val="auto"/>
        </w:rPr>
      </w:pPr>
      <w:r>
        <w:rPr>
          <w:rFonts w:ascii="Arial" w:cs="Arial" w:eastAsia="Arial" w:hAnsi="Arial"/>
          <w:sz w:val="18"/>
          <w:szCs w:val="18"/>
          <w:color w:val="auto"/>
        </w:rPr>
        <w:t>Consists of 10,760,469 shares of common stock held by Salesforce Ventures LLC (“Salesforce Ventures”). Salesforce may be deemed to have sole power to vote or dispose of the shares held by Salesforce Ventures. The address of Salesforce and Salesforce Ventures is Salesforce Tower, 415 Mission Street, 3rd Floor, San Francisco, California 94105.</w:t>
      </w:r>
    </w:p>
    <w:p>
      <w:pPr>
        <w:spacing w:after="0" w:line="1" w:lineRule="exact"/>
        <w:rPr>
          <w:rFonts w:ascii="Arial" w:cs="Arial" w:eastAsia="Arial" w:hAnsi="Arial"/>
          <w:sz w:val="15"/>
          <w:szCs w:val="15"/>
          <w:color w:val="auto"/>
        </w:rPr>
      </w:pPr>
    </w:p>
    <w:p>
      <w:pPr>
        <w:ind w:left="540" w:right="40" w:hanging="424"/>
        <w:spacing w:after="0" w:line="290" w:lineRule="auto"/>
        <w:tabs>
          <w:tab w:leader="none" w:pos="540" w:val="left"/>
        </w:tabs>
        <w:numPr>
          <w:ilvl w:val="0"/>
          <w:numId w:val="78"/>
        </w:numPr>
        <w:rPr>
          <w:rFonts w:ascii="Arial" w:cs="Arial" w:eastAsia="Arial" w:hAnsi="Arial"/>
          <w:sz w:val="13"/>
          <w:szCs w:val="13"/>
          <w:color w:val="auto"/>
        </w:rPr>
      </w:pPr>
      <w:r>
        <w:rPr>
          <w:rFonts w:ascii="Arial" w:cs="Arial" w:eastAsia="Arial" w:hAnsi="Arial"/>
          <w:sz w:val="16"/>
          <w:szCs w:val="16"/>
          <w:color w:val="auto"/>
        </w:rPr>
        <w:t>Wellington Management Company LLP is an investment adviser registered under the Investment Advisers Act of 1940, as amended, and is an indirect subsidiary of Wellington Management Group LLP. Wellington Management Company LLP and Wellington Management Group LLP may each be deemed to share beneficial ownership (within the meaning of Rule 13d-3 promulgated under the Exchange Act) of the shares indicated in the table, all of which are held of record by the entity named in the table or a nominee on its behalf. The business address of the entity named in the table is c/o Wellington Management Company LLP, 280 Congress Street, Boston, Massachusetts 02210. The business address of Wellington Management Company LLP and Wellington Management Group LLP is 280 Congress Street, Boston, Massachusetts 02210.</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This section contains a description of our capital stock and the material provisions of our amended and restated certificate of incorporation and bylaws that will be in effect upon the completion of this offering and is qualified by reference to the forms of our amended and restated certificate of incorporation and our bylaws filed as exhibits to the registration statement relating to this prospectus, and by the applicable provisions of Delaware law. The descriptions of our common stock and preferred stock reflect changes to our capital structure that will occur upon the closing of this offering.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120" w:firstLine="881"/>
        <w:spacing w:after="0" w:line="274"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shares of common stock, $0.0005 par value per share, and shares of undesignated preferred stock, $0.001 par value per share, the rights, preferences and privileges of</w:t>
      </w:r>
    </w:p>
    <w:p>
      <w:pPr>
        <w:ind w:left="120"/>
        <w:spacing w:after="0"/>
        <w:rPr>
          <w:sz w:val="20"/>
          <w:szCs w:val="20"/>
          <w:color w:val="auto"/>
        </w:rPr>
      </w:pPr>
      <w:r>
        <w:rPr>
          <w:rFonts w:ascii="Arial" w:cs="Arial" w:eastAsia="Arial" w:hAnsi="Arial"/>
          <w:sz w:val="18"/>
          <w:szCs w:val="18"/>
          <w:color w:val="auto"/>
        </w:rPr>
        <w:t>which may be designated from time to time by our board of directors.</w:t>
      </w:r>
    </w:p>
    <w:p>
      <w:pPr>
        <w:spacing w:after="0" w:line="211"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As of April 30, 2020, there were outstanding 81,583,127 shares of our common stock, held by approximately 374 stockholders of record, and 9,523,260 shares of our common stock issuable upon exercise of outstanding stock options and restricted stock units. As of April 30, 2020, there were no outstanding shares of our preferred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holders of our common stock are entitled to one vote per share. Stockholders do not have the ability to cumulate votes for the election of directors. Our amended and restated certificate of incorporation and bylaws that will be in effect upon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Pursuant to our amended and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As of April 30, 2020, we had outstanding options to purchase an aggregate of 7,744,722 shares of our common stock, with a weighted-average exercise price of $5.39 per share, pursuant to our equity incentive plans.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Following the completion of this offering, the holders of an aggregate of shares of our common stock, or their permitted transferees, will be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78"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registration rights terminate upon the fifth anniversary of the completion of this offering. See the section titled “Certain Relationships and Related Party Transactions—Investors Rights Agreement” for additional information regarding the IRA.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provisions of the DGCL, our amended and restated certificate of incorporation and our bylaws to be in effect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11" w:lineRule="exact"/>
        <w:rPr>
          <w:sz w:val="20"/>
          <w:szCs w:val="20"/>
          <w:color w:val="auto"/>
        </w:rPr>
      </w:pPr>
    </w:p>
    <w:p>
      <w:pPr>
        <w:ind w:left="1420" w:right="220" w:hanging="319"/>
        <w:spacing w:after="0" w:line="277"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1420" w:right="80" w:hanging="319"/>
        <w:spacing w:after="0" w:line="301" w:lineRule="auto"/>
        <w:tabs>
          <w:tab w:leader="none" w:pos="14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84" w:lineRule="exact"/>
        <w:rPr>
          <w:rFonts w:ascii="Arial" w:cs="Arial" w:eastAsia="Arial" w:hAnsi="Arial"/>
          <w:sz w:val="16"/>
          <w:szCs w:val="16"/>
          <w:color w:val="auto"/>
        </w:rPr>
      </w:pPr>
    </w:p>
    <w:p>
      <w:pPr>
        <w:ind w:left="1420" w:right="240" w:hanging="319"/>
        <w:spacing w:after="0" w:line="263"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203 defines a business combination to include:</w:t>
      </w:r>
    </w:p>
    <w:p>
      <w:pPr>
        <w:spacing w:after="0" w:line="252" w:lineRule="exact"/>
        <w:rPr>
          <w:sz w:val="20"/>
          <w:szCs w:val="20"/>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52" w:lineRule="exact"/>
        <w:rPr>
          <w:rFonts w:ascii="Arial" w:cs="Arial" w:eastAsia="Arial" w:hAnsi="Arial"/>
          <w:sz w:val="18"/>
          <w:szCs w:val="18"/>
          <w:color w:val="auto"/>
        </w:rPr>
      </w:pPr>
    </w:p>
    <w:p>
      <w:pPr>
        <w:ind w:left="1420" w:right="80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our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Board Vacancies</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Our amended and restated certificate of incorporation and bylaws will authorize generally only our board of directors to fill vacant directorships resulting from any cause or created by the expansion of our board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Classified Board</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bylaws will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Directors Removed Only for Cause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will provide that stockholders may remove directors only for cause.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Supermajority Requirements for Amendments of Our Amended and Restated Certificate of Incorporation and Bylaws</w:t>
      </w:r>
    </w:p>
    <w:p>
      <w:pPr>
        <w:spacing w:after="0" w:line="225"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Our amended and restated certificate of incorporation will further provide that the affirmative vote of holders of at least two-thirds of the voting power of our outstanding common stock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will be required to amend or repeal our bylaws, although our bylaws may be amended by a simple majority vote of our board of directors.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Stockholder Action; Special Meetings of Stockholders</w:t>
      </w:r>
    </w:p>
    <w:p>
      <w:pPr>
        <w:spacing w:after="0" w:line="225" w:lineRule="exact"/>
        <w:rPr>
          <w:sz w:val="20"/>
          <w:szCs w:val="20"/>
          <w:color w:val="auto"/>
        </w:rPr>
      </w:pPr>
    </w:p>
    <w:p>
      <w:pPr>
        <w:ind w:left="120" w:right="280" w:firstLine="881"/>
        <w:spacing w:after="0" w:line="254" w:lineRule="auto"/>
        <w:rPr>
          <w:sz w:val="20"/>
          <w:szCs w:val="20"/>
          <w:color w:val="auto"/>
        </w:rPr>
      </w:pPr>
      <w:r>
        <w:rPr>
          <w:rFonts w:ascii="Arial" w:cs="Arial" w:eastAsia="Arial" w:hAnsi="Arial"/>
          <w:sz w:val="18"/>
          <w:szCs w:val="18"/>
          <w:color w:val="auto"/>
        </w:rPr>
        <w:t>Our amended and restated certificate of incorporation will provide that our stockholders may not take action by written consent, but may only take action at annual or special meetings of our stockholders. As a result, holders of our capital stock would not be able to amend our bylaws or remove directors without holding a meeting of our stockholders called in accordance with our bylaws. Our amended and restated certificate of incorporation and our bylaws will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Our bylaws will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of stockholders. Our bylaws also will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w:t>
      </w:r>
    </w:p>
    <w:p>
      <w:pPr>
        <w:spacing w:after="0" w:line="214" w:lineRule="exact"/>
        <w:rPr>
          <w:sz w:val="20"/>
          <w:szCs w:val="20"/>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name and address of the proposing persons;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information as to the ownership by the proposing persons of our capital stock and any derivative interest or short interest in any of our securities held by the proposing persons;</w:t>
      </w:r>
    </w:p>
    <w:p>
      <w:pPr>
        <w:spacing w:after="0" w:line="197"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information as to any material relationships and interest between the proposing persons and us, any of our affiliates and any of our principal competitors;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197" w:lineRule="exact"/>
        <w:rPr>
          <w:rFonts w:ascii="Arial" w:cs="Arial" w:eastAsia="Arial" w:hAnsi="Arial"/>
          <w:sz w:val="18"/>
          <w:szCs w:val="18"/>
          <w:color w:val="auto"/>
        </w:rPr>
      </w:pPr>
    </w:p>
    <w:p>
      <w:pPr>
        <w:ind w:left="1420" w:right="340" w:hanging="319"/>
        <w:spacing w:after="0" w:line="342" w:lineRule="auto"/>
        <w:tabs>
          <w:tab w:leader="none" w:pos="1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24"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No Cumulative Voting</w:t>
      </w:r>
    </w:p>
    <w:p>
      <w:pPr>
        <w:spacing w:after="0" w:line="225"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The DGCL provides that stockholders are not entitled to the right to cumulate votes in the election of directors unless a corporation’s certificate of incorporation provides otherwise. Our amended and restated certificate of incorporation and bylaws will not provide for cumulative voting.</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anticipate that after the filing of our amended and restated certificate of incorporation, our board will have the authority, without further</w:t>
      </w:r>
    </w:p>
    <w:p>
      <w:pPr>
        <w:spacing w:after="0" w:line="46"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7"/>
          <w:szCs w:val="17"/>
          <w:color w:val="auto"/>
        </w:rPr>
        <w:t>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Exclusive Forum</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to the fullest extent permitted by law,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our amended and restated certificate of incorporation or bylaws, (4) any other action asserting a claim that is governed by the internal affairs doctrine shall be the Court of Chancery of the State of Delaware (or, if the Court of Chancery does not have jurisdiction, the federal district court for the District of Delaware) or (5) any other action asserting an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“internal corporate claim,” as defined in Section 115 of the Delaware General Corporation Law, in all cases subject to the court having jurisdiction over indispensable parties named as defendants.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 Computershare Trust Company, N.A.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agent’s address is 250 Royall Street, Canton, MA 02021, and its telephone number is (800) 962-4284.</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common stock on The Nasdaq Global Select Market under the symbol “NCNO.”</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Prior to this offering, there has been no public market for our common stock, and we cannot predict the effect, if any, that market sales of our common stock or the availability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Following the completion of this offering, based on the number shares of our common stock outstanding as of April 30, 2020, and assuming</w:t>
      </w:r>
    </w:p>
    <w:p>
      <w:pPr>
        <w:spacing w:after="0" w:line="46" w:lineRule="exact"/>
        <w:rPr>
          <w:sz w:val="20"/>
          <w:szCs w:val="20"/>
          <w:color w:val="auto"/>
        </w:rPr>
      </w:pPr>
    </w:p>
    <w:p>
      <w:pPr>
        <w:ind w:left="120"/>
        <w:spacing w:after="0"/>
        <w:tabs>
          <w:tab w:leader="none" w:pos="7400" w:val="left"/>
        </w:tabs>
        <w:rPr>
          <w:sz w:val="20"/>
          <w:szCs w:val="20"/>
          <w:color w:val="auto"/>
        </w:rPr>
      </w:pPr>
      <w:r>
        <w:rPr>
          <w:rFonts w:ascii="Arial" w:cs="Arial" w:eastAsia="Arial" w:hAnsi="Arial"/>
          <w:sz w:val="18"/>
          <w:szCs w:val="18"/>
          <w:color w:val="auto"/>
        </w:rPr>
        <w:t>no exercise of outstanding options or vesting of RSUs after such date, we will have a total of</w:t>
      </w:r>
      <w:r>
        <w:rPr>
          <w:sz w:val="20"/>
          <w:szCs w:val="20"/>
          <w:color w:val="auto"/>
        </w:rPr>
        <w:tab/>
      </w:r>
      <w:r>
        <w:rPr>
          <w:rFonts w:ascii="Arial" w:cs="Arial" w:eastAsia="Arial" w:hAnsi="Arial"/>
          <w:sz w:val="16"/>
          <w:szCs w:val="16"/>
          <w:color w:val="auto"/>
        </w:rPr>
        <w:t>shares of common stock outstanding.</w:t>
      </w:r>
    </w:p>
    <w:p>
      <w:pPr>
        <w:spacing w:after="0" w:line="211" w:lineRule="exact"/>
        <w:rPr>
          <w:sz w:val="20"/>
          <w:szCs w:val="20"/>
          <w:color w:val="auto"/>
        </w:rPr>
      </w:pPr>
    </w:p>
    <w:p>
      <w:pPr>
        <w:ind w:left="1000"/>
        <w:spacing w:after="0"/>
        <w:tabs>
          <w:tab w:leader="none" w:pos="3640" w:val="left"/>
        </w:tabs>
        <w:rPr>
          <w:sz w:val="20"/>
          <w:szCs w:val="20"/>
          <w:color w:val="auto"/>
        </w:rPr>
      </w:pPr>
      <w:r>
        <w:rPr>
          <w:rFonts w:ascii="Arial" w:cs="Arial" w:eastAsia="Arial" w:hAnsi="Arial"/>
          <w:sz w:val="18"/>
          <w:szCs w:val="18"/>
          <w:color w:val="auto"/>
        </w:rPr>
        <w:t>Of those outstanding shares,</w:t>
      </w:r>
      <w:r>
        <w:rPr>
          <w:sz w:val="20"/>
          <w:szCs w:val="20"/>
          <w:color w:val="auto"/>
        </w:rPr>
        <w:tab/>
      </w:r>
      <w:r>
        <w:rPr>
          <w:rFonts w:ascii="Arial" w:cs="Arial" w:eastAsia="Arial" w:hAnsi="Arial"/>
          <w:sz w:val="16"/>
          <w:szCs w:val="16"/>
          <w:color w:val="auto"/>
        </w:rPr>
        <w:t>shares of common stock sold in the offering will be freely tradeable, except that any shares purchased</w:t>
      </w:r>
    </w:p>
    <w:p>
      <w:pPr>
        <w:spacing w:after="0" w:line="2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in this offering by our affiliates, as that term is defined in Rule 144 under the Securities Act, would only be able to be sold in compliance with the Rule 144 limitations described below.</w:t>
      </w:r>
    </w:p>
    <w:p>
      <w:pPr>
        <w:spacing w:after="0" w:line="18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The remaining outstanding common stock will be, and shares subject to outstanding options will be upon issuance,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All of our executive officers, directors and holders of substantially all of our equity securities are subject to lock-up agreements under which they have agreed, subject to specific exceptions, not to sell any of our equity securities for 180 days following the date of this prospectus. As a result of these agreements and subject to the provisions of Rule 144 or Rule 701, shares of our common stock will be available for sale in the public market as follows:</w:t>
      </w:r>
    </w:p>
    <w:p>
      <w:pPr>
        <w:sectPr>
          <w:pgSz w:w="11900" w:h="16838" w:orient="portrait"/>
          <w:cols w:equalWidth="0" w:num="1">
            <w:col w:w="11120"/>
          </w:cols>
          <w:pgMar w:left="320" w:top="459" w:right="459" w:bottom="1440" w:gutter="0" w:footer="0" w:header="0"/>
        </w:sectPr>
      </w:pPr>
    </w:p>
    <w:p>
      <w:pPr>
        <w:spacing w:after="0" w:line="19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beginning on the date of this prospectus, all sale in the public market; and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sold in this offering will be immediately available for</w:t>
      </w:r>
    </w:p>
    <w:p>
      <w:pPr>
        <w:spacing w:after="0" w:line="490" w:lineRule="exact"/>
        <w:rPr>
          <w:sz w:val="20"/>
          <w:szCs w:val="20"/>
          <w:color w:val="auto"/>
        </w:rPr>
      </w:pPr>
    </w:p>
    <w:p>
      <w:pPr>
        <w:sectPr>
          <w:pgSz w:w="11900" w:h="16838" w:orient="portrait"/>
          <w:cols w:equalWidth="0" w:num="3">
            <w:col w:w="1160" w:space="260"/>
            <w:col w:w="3140" w:space="640"/>
            <w:col w:w="5920"/>
          </w:cols>
          <w:pgMar w:left="320" w:top="459" w:right="459" w:bottom="1440" w:gutter="0" w:footer="0" w:header="0"/>
          <w:type w:val="continuous"/>
        </w:sectPr>
      </w:pPr>
    </w:p>
    <w:p>
      <w:pPr>
        <w:ind w:left="1420" w:hanging="319"/>
        <w:spacing w:after="0"/>
        <w:tabs>
          <w:tab w:leader="none" w:pos="1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(subject to the terms of the lock-up and market standoff agreements described</w:t>
      </w:r>
    </w:p>
    <w:p>
      <w:pPr>
        <w:sectPr>
          <w:pgSz w:w="11900" w:h="16838" w:orient="portrait"/>
          <w:cols w:equalWidth="0" w:num="1">
            <w:col w:w="11120"/>
          </w:cols>
          <w:pgMar w:left="320" w:top="459" w:right="459" w:bottom="1440" w:gutter="0" w:footer="0" w:header="0"/>
          <w:type w:val="continuous"/>
        </w:sectPr>
      </w:pPr>
    </w:p>
    <w:p>
      <w:pPr>
        <w:spacing w:after="0" w:line="46" w:lineRule="exact"/>
        <w:rPr>
          <w:sz w:val="20"/>
          <w:szCs w:val="20"/>
          <w:color w:val="auto"/>
        </w:rPr>
      </w:pPr>
    </w:p>
    <w:p>
      <w:pPr>
        <w:ind w:left="1420" w:right="120"/>
        <w:spacing w:after="0" w:line="260" w:lineRule="auto"/>
        <w:rPr>
          <w:sz w:val="20"/>
          <w:szCs w:val="20"/>
          <w:color w:val="auto"/>
        </w:rPr>
      </w:pPr>
      <w:r>
        <w:rPr>
          <w:rFonts w:ascii="Arial" w:cs="Arial" w:eastAsia="Arial" w:hAnsi="Arial"/>
          <w:sz w:val="18"/>
          <w:szCs w:val="18"/>
          <w:color w:val="auto"/>
        </w:rPr>
        <w:t>below), additional shares will become eligible for sale in the public market, of which shares will be held by affiliates and subject to the volume and other restrictions of Rule 144, as described below.</w:t>
      </w:r>
    </w:p>
    <w:p>
      <w:pPr>
        <w:sectPr>
          <w:pgSz w:w="11900" w:h="16838" w:orient="portrait"/>
          <w:cols w:equalWidth="0" w:num="1">
            <w:col w:w="11120"/>
          </w:cols>
          <w:pgMar w:left="320" w:top="459" w:right="459" w:bottom="1440" w:gutter="0" w:footer="0" w:header="0"/>
          <w:type w:val="continuous"/>
        </w:sectPr>
      </w:pP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We, our directors and officers and holders of substantially all of our equity securities have agreed or will agree prior to the effective date of the registration statement of which this prospectus is a part, subject to certain exceptions, not to offer, pledge sell, contract to sell, transfer, lend or otherwise dispose of, directly or indirectly, any shares of our common stock or securities convertible into or exchangeable or exercisable for common stock, for 180 days after the date of this prospectus without first obtaining the written consent of the Representatives, on behalf of the underwriters. These agreements are described below under the section titled “Underwriting.”</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common stock proposed to be sold for at least six months is entitled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sell those shares without complying with the manner of sale, volume limitation or notice provisions of Rule 144, subject to compliance with the public information requirements of Rule 144. If such a person has beneficially owned the common stock proposed to be sold for at least one year, including the holding period of any prior owner other than our affiliates, then that person would be entitled to sell those shares without complying with any of the requirements of Rule 144.</w:t>
      </w:r>
    </w:p>
    <w:p>
      <w:pPr>
        <w:spacing w:after="0" w:line="187"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In general, Rule 144 provides that our affiliates or persons selling our common stock on behalf of our affiliates are entitled to sell upon expiration of the market standoff agreements and lock-up agreements described above, within any three-month period, a number of our common stock that does not exceed the greater of:</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our common stock then outstanding, which will equal offering; 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completion of this</w:t>
      </w:r>
    </w:p>
    <w:p>
      <w:pPr>
        <w:spacing w:after="0" w:line="490" w:lineRule="exact"/>
        <w:rPr>
          <w:sz w:val="20"/>
          <w:szCs w:val="20"/>
          <w:color w:val="auto"/>
        </w:rPr>
      </w:pPr>
    </w:p>
    <w:p>
      <w:pPr>
        <w:sectPr>
          <w:pgSz w:w="11900" w:h="16838" w:orient="portrait"/>
          <w:cols w:equalWidth="0" w:num="3">
            <w:col w:w="1160" w:space="260"/>
            <w:col w:w="5400" w:space="640"/>
            <w:col w:w="3660"/>
          </w:cols>
          <w:pgMar w:left="320" w:top="459" w:right="459" w:bottom="1440" w:gutter="0" w:footer="0" w:header="0"/>
          <w:type w:val="continuous"/>
        </w:sectPr>
      </w:pPr>
    </w:p>
    <w:p>
      <w:pPr>
        <w:ind w:left="1420" w:right="8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Sales of our common stock made in reliance upon Rule 144 by our affiliates or persons selling our common stock on behalf of our affiliates are also subject to certain manner of sale provisions and notice requirements and to the availability of current public information about us.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Rule 701 generally allows a stockholder who purchased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Following the completion of this offering, the holders of an aggregate of shares of our common stock, or their permitted transferees, will be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registration rights terminate upon the fifth anniversary of the completion of this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Under the terms of the IRA, if we receive a written request, at any time after 180 days following the effective date of this offering, from the holders of at least a majority of the registrable securities then outstanding that we file a registration statement under the Securities Act covering the registration of registrable securities and if the aggregate price to the public of the shares offered is at least $15.0 million, then we will be required to file as soon as practicable, and in any event no later than 60 days following such request, a registration statement covering all registrable securities requested to be registered for public resale. We may defer the filing of a registration statement for up to 60 days once in any 12-month period if our board of directors determines that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00"/>
        <w:spacing w:after="0" w:line="308" w:lineRule="auto"/>
        <w:rPr>
          <w:sz w:val="20"/>
          <w:szCs w:val="20"/>
          <w:color w:val="auto"/>
        </w:rPr>
      </w:pPr>
      <w:r>
        <w:rPr>
          <w:rFonts w:ascii="Arial" w:cs="Arial" w:eastAsia="Arial" w:hAnsi="Arial"/>
          <w:sz w:val="17"/>
          <w:szCs w:val="17"/>
          <w:color w:val="auto"/>
        </w:rPr>
        <w:t>filing would be seriously detrimental to us and our stockholders. We are not required to effect a demand registration under certain additional circumstances specified in the IRA, including at any time during the 180-day period after the effective date of this offering.</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holders of at least 20% of the then registrable securities can request that we register all or part of their shares on Form S-3 if we are eligible to file a registration statement on Form S-3 and if the aggregate price to the public of the shares offered is at least $3.0 million. Upon such a request, we would be required to file as soon as practicable, and in any event no later than 45 days following such a request, a registration statement covering all registrable securities requested to be registered for public resale. We are not required to file a registration on Form S-3 if we have filed two registrations on Form S-3 in the preceding 12-month period and may postpone the filing of a registration statement on Form S-3 for up to 60 days twice in any 12-month period if our board of directors determines that the filing would be seriously detrimental to us and our stockholders. We are not required to file a registration statement on Form S-3 under certain additional circumstances specified in the IRA.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right="260" w:firstLine="881"/>
        <w:spacing w:after="0" w:line="254" w:lineRule="auto"/>
        <w:rPr>
          <w:sz w:val="20"/>
          <w:szCs w:val="20"/>
          <w:color w:val="auto"/>
        </w:rPr>
      </w:pPr>
      <w:r>
        <w:rPr>
          <w:rFonts w:ascii="Arial" w:cs="Arial" w:eastAsia="Arial" w:hAnsi="Arial"/>
          <w:sz w:val="18"/>
          <w:szCs w:val="18"/>
          <w:color w:val="auto"/>
        </w:rPr>
        <w:t>If we register any of our securities for public sale, each holder of registrable securities has a right to request the inclusion of any then-outstanding registrable securities held by them on our registration statement. However, this right does not apply to a registration relating solely to employee benefit plans, a corporate reorganization or stock issuable upon conversion of debt securities. The Company has the right to terminate or withdraw any registration, whether or not any registrable securities has been elected to be included. If the underwriters of any underwritten offering determine in their reasonable discretion to limit the number of registrable securities to be included in such underwritten offering, the number of registrable securities to be registered will be apportioned pro rata among such holders, based on the number of registrable securities held by each holder. However, the number of registrable securities to be registered cannot be reduced unless all other securities are first entirely excluded from the underwriting.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effectiveness of this offering to register shares of our common stock subject to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Compensation—Equity Compensation Plans” for a description of our equity compensation plans.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ind w:left="120" w:right="200" w:firstLine="881"/>
        <w:spacing w:after="0" w:line="296" w:lineRule="auto"/>
        <w:rPr>
          <w:sz w:val="20"/>
          <w:szCs w:val="20"/>
          <w:color w:val="auto"/>
        </w:rPr>
      </w:pPr>
      <w:r>
        <w:rPr>
          <w:rFonts w:ascii="Arial" w:cs="Arial" w:eastAsia="Arial" w:hAnsi="Arial"/>
          <w:sz w:val="16"/>
          <w:szCs w:val="16"/>
          <w:color w:val="auto"/>
        </w:rPr>
        <w:t>The following is a summary of material U.S. federal income tax consequences of the ownership and disposition of shares of our common stock as of the date hereof. Except where noted, this summary deals only with common stock that is held as a capital asset by a non-U.S. holder (as defined below). This summary is based upon provisions of the Code and regulations, rulings and judicial decisions as of the date hereof. Those authorities may be changed, perhaps retroactively, so as to result in U.S. federal income tax consequences different from those summarized below. We cannot assure you that a change in law will not alter significantly the tax considerations that we describe in this summary.</w:t>
      </w:r>
    </w:p>
    <w:p>
      <w:pPr>
        <w:spacing w:after="0" w:line="161"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 “non-U.S. holder” means a beneficial owner of shares of our common stock (other than an entity treated as a partnership for U.S. federal income tax purposes) that is not, for U.S. federal income tax purposes, any of the following:</w:t>
      </w:r>
    </w:p>
    <w:p>
      <w:pPr>
        <w:spacing w:after="0" w:line="197" w:lineRule="exact"/>
        <w:rPr>
          <w:sz w:val="20"/>
          <w:szCs w:val="20"/>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(as defined under the Code)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summary does not address all aspects of U.S. federal income taxation that may be relevant to non-U.S. holders in light of their particular circumstances. In addition, this summary does not address the Medicare tax on certain net investment income, U.S. federal gift or estate tax laws, any state, local or non-U.S. tax laws or any tax treaties. This summary also does not address the U.S. federal income tax consequences applicable to non-U.S. holders that are subject to special treatment under the U.S. federal income tax laws, including (without limitation) former citizens or long-term residents of the United States, foreign pension funds, “controlled foreign corporations,” “passive foreign investment companies,” financial institutions, insurance companies, regulated investment companies, real estate investment trusts, mutual funds, broker-dealers, traders in securities or other persons that elect to use a mark-to-market method of accounting for their holdings in our common stock, persons who hold our common stock as “qualified small business stock” within the meaning of Section 1202 of the Code, persons who hold our common stock as a position in a hedging transaction, “straddle,” “conversion transaction,” or other risk reduction transaction or integrated investment, persons subject to the alternative minimum tax, persons who acquired our common stock through stock options or in other compensatory transactions or partnerships or other pass-through entities for U.S. federal income tax purposes.</w:t>
      </w:r>
    </w:p>
    <w:p>
      <w:pPr>
        <w:spacing w:after="0" w:line="182"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shares of our common stock, the tax treatment of a partner will generally depend upon the status of the partner, the activities of the partnership and certain determinations made at the partner level. Accordingly, partners in partnerships (including entities or arrangements treated as partnerships for U.S. federal income tax purposes) considering the purchase of our common stock should consult their tax advisors regarding the U.S. federal income tax considerations of the purchase, ownership and disposition of our common stock by such partnership.</w:t>
      </w:r>
    </w:p>
    <w:p>
      <w:pPr>
        <w:spacing w:after="0" w:line="176"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THIS DISCUSSION IS FOR INFORMATIONAL PURPOSES ONLY AND IS NOT TAX ADVICE. PROSPECTIVE INVESTORS ARE ENCOURAGED TO CONSULT THEIR TAX ADVISORS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RESPECT TO THE APPLICATION OF THE U.S. FEDERAL INCOME TAX LAWS TO THEIR PARTICULAR SITUATION, AS WELL AS ANY TAX CONSEQUENCES OF THE PURCHASE, OWNERSHIP AND DISPOSITION OF OUR COMMON STOCK ARISING UNDER THE U.S. FEDERAL GIFT OR ESTATE TAX LAWS OR UNDER THE LAWS OF ANY STATE, LOCAL, NON-U.S. OR OTHER TAXING JURISDICTION OR UNDER ANY APPLICABLE TAX TREATY.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Distributions of cash or property on our common stock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Please read “—Sales or other Taxable Dispositions.” Subject to the withholding rules discussed below under “—Backup Withholding and Information Reporting” and “—Additional Withholding Requirements under FATCA” and with respect to effectively connected dividends,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 properly executed IRS Form W-8BEN or IRS Form W-8BEN-E (or other applicable or successor form) certifying qualification for the reduced rate, and the non-U.S. holder will be required to update such forms and certifications from time to time as required by law. A non-U.S. holder eligible for a reduced rate of U.S. federal withholding tax pursuant to an applicable income tax treaty may be eligible to obtain a refund of any excess amounts withheld by timely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67"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If dividends paid to a non-U.S. holder are effectively connected with a trade or business conducted by the non-U.S. holder in the United States (and, if required by an applicable income tax treaty, are treated as attributable to a permanent establishment maintained by the non-U.S. holder in the United States), the non-U.S. holder will be exempt from the U.S. withholding tax described above, provided the non-U.S. holder satisfies certain certification requirements by providing the applicable withholding agent a properly executed IRS Form W-8ECI certifying eligibility for exemption, and the non-U.S. holder will be required to update such forms and certifications from time to time as required by law. Any such effectively connected dividends generally will be taxed on a net income basis at the rates and in the manner generally applicable to U.S. persons (as defined under the Code).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Non-U.S. holders should consult their tax advisors regarding any applicable income tax treaties that may provide for different rules.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or other Taxable Dispositions</w:t>
      </w:r>
    </w:p>
    <w:p>
      <w:pPr>
        <w:spacing w:after="0" w:line="22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Subject to the discussion below under “—Backup Withholding and Information Reporting”, any gain realized by a non-U.S. holder on the sale or other disposition of our common stock generally will not be subject to U.S. federal income tax unless:</w:t>
      </w:r>
    </w:p>
    <w:p>
      <w:pPr>
        <w:spacing w:after="0" w:line="197" w:lineRule="exact"/>
        <w:rPr>
          <w:sz w:val="20"/>
          <w:szCs w:val="20"/>
          <w:color w:val="auto"/>
        </w:rPr>
      </w:pPr>
    </w:p>
    <w:p>
      <w:pPr>
        <w:ind w:left="1420" w:right="60" w:hanging="319"/>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60" w:hanging="319"/>
        <w:spacing w:after="0" w:line="27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and certain other conditions are met.</w:t>
      </w:r>
    </w:p>
    <w:p>
      <w:pPr>
        <w:spacing w:after="0" w:line="170"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A non-U.S. holder described in the first bullet point immediately above will be subject to tax on the gain derived from the sale or other disposition on a net income tax basis at the U.S. federal income tax rates applicable to U.S. citizens, nonresident aliens or domestic corporations, as applicable.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7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Generally, a corporation is a “United States real property holding corporation”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that we are not currently and will not become a USRPHC, and the remainder of this discussion assumes this is the case. However, because the determination of whether we are a USRPHC depends on the fair market value of our U.S. real property interests relative to the fair market value of our other business assets, there can be no assurance that we will not become a USRPHC in the future. If we are or become a USRPHC, however, so long as our common stock is regularly traded on an established securities market during the calendar year in which the sale or other disposition occurs, only a non-U.S. holder who actually or constructively holds or held (at any time during the shorter of the five-year period preceding the date of disposition or the holder’s holding period) more than 5% of our common stock will be subject to U.S. federal income tax on the sale or other disposition of our common stock.</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IRS Form W-8BEN-E or other applicable or successor form.</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Payments of the proceeds from a sale or other disposition by a non-U.S. holder of our common stock effected by or through the office of a broker generally will be subject to information reporting and backup withholding (currently at the rate of 24%) unless the non-U.S. holder establishes an exemption by properly certifying its non-U.S. status on an IRS Form W-8BEN,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holder is not a U.S.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 Notwithstanding the foregoing, backup withholding and information reporting may apply if either we or our paying agent has actual knowledge, or reason to know, that the non-U.S. holder is a U.S. person who is not an exempt recipient under the Code and applicable Treasury regulations.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(1)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(2)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and provides certain information with respect to such United States owners; or (3) the foreign financial institution or non-financial foreign entity otherwise qualifies for an exemption from these rules and provides appropriate documentation (such as an IRS Form W-8BEN-E). The Treasury Secretary has issued proposed regulations providing that the withholding provisions under FATCA do not apply with respect to gross proceeds from a sale or other disposition of our common stock, which may be relied upon by taxpayers until final regulations are issued.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1"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TAX LAWS TO THEIR PARTICULAR SITUATIONS AND THE APPLICABILITY AND EFFECT OF U.S. FEDERAL GIFT AND ESTATE TAX LAWS AND ANY STATE, LOCAL OR NON-U.S. TAX LAWS AND TAX TREATIES.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BofA Securities, Inc. and Barclays Capital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5400" w:type="dxa"/>
            <w:vAlign w:val="bottom"/>
          </w:tcPr>
          <w:p>
            <w:pPr>
              <w:jc w:val="center"/>
              <w:ind w:left="466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5400" w:type="dxa"/>
            <w:vAlign w:val="bottom"/>
          </w:tcPr>
          <w:p>
            <w:pPr>
              <w:jc w:val="center"/>
              <w:ind w:left="466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BofA Securities, Inc.</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SunTrust Robinson Humphrey,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Raymond James and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Macquarie Capital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5715</wp:posOffset>
            </wp:positionV>
            <wp:extent cx="4540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14605</wp:posOffset>
            </wp:positionV>
            <wp:extent cx="4540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31750</wp:posOffset>
            </wp:positionV>
            <wp:extent cx="4540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59" w:lineRule="exact"/>
        <w:rPr>
          <w:sz w:val="20"/>
          <w:szCs w:val="20"/>
          <w:color w:val="auto"/>
        </w:rPr>
      </w:pPr>
    </w:p>
    <w:p>
      <w:pPr>
        <w:ind w:left="120" w:right="42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w:t>
      </w:r>
    </w:p>
    <w:p>
      <w:pPr>
        <w:spacing w:after="0" w:line="46"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8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5"/>
              </w:rPr>
              <w:t>Without</w:t>
            </w:r>
          </w:p>
        </w:tc>
        <w:tc>
          <w:tcPr>
            <w:tcW w:w="76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With</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Underwriting discount</w:t>
            </w:r>
          </w:p>
        </w:tc>
        <w:tc>
          <w:tcPr>
            <w:tcW w:w="23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jc w:val="right"/>
              <w:ind w:right="42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5"/>
          </w:tcPr>
          <w:p>
            <w:pPr>
              <w:spacing w:after="0"/>
              <w:rPr>
                <w:sz w:val="20"/>
                <w:szCs w:val="20"/>
                <w:color w:val="auto"/>
              </w:rPr>
            </w:pPr>
            <w:r>
              <w:rPr>
                <w:rFonts w:ascii="Arial" w:cs="Arial" w:eastAsia="Arial" w:hAnsi="Arial"/>
                <w:sz w:val="18"/>
                <w:szCs w:val="18"/>
                <w:color w:val="auto"/>
                <w:w w:val="92"/>
              </w:rPr>
              <w:t>The expenses of the offering, not including the underwriting discount, are estimated at $</w:t>
            </w:r>
          </w:p>
        </w:tc>
        <w:tc>
          <w:tcPr>
            <w:tcW w:w="240" w:type="dxa"/>
            <w:vAlign w:val="bottom"/>
          </w:tcPr>
          <w:p>
            <w:pPr>
              <w:spacing w:after="0"/>
              <w:rPr>
                <w:sz w:val="24"/>
                <w:szCs w:val="24"/>
                <w:color w:val="auto"/>
              </w:rPr>
            </w:pPr>
          </w:p>
        </w:tc>
        <w:tc>
          <w:tcPr>
            <w:tcW w:w="1880" w:type="dxa"/>
            <w:vAlign w:val="bottom"/>
            <w:gridSpan w:val="4"/>
          </w:tcPr>
          <w:p>
            <w:pPr>
              <w:ind w:left="200"/>
              <w:spacing w:after="0"/>
              <w:rPr>
                <w:sz w:val="20"/>
                <w:szCs w:val="20"/>
                <w:color w:val="auto"/>
              </w:rPr>
            </w:pPr>
            <w:r>
              <w:rPr>
                <w:rFonts w:ascii="Arial" w:cs="Arial" w:eastAsia="Arial" w:hAnsi="Arial"/>
                <w:sz w:val="18"/>
                <w:szCs w:val="18"/>
                <w:color w:val="auto"/>
                <w:w w:val="91"/>
              </w:rPr>
              <w:t>and are payable by us.</w:t>
            </w: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130</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000"/>
        <w:spacing w:after="0"/>
        <w:tabs>
          <w:tab w:leader="none" w:pos="1032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r>
        <w:rPr>
          <w:sz w:val="20"/>
          <w:szCs w:val="20"/>
          <w:color w:val="auto"/>
        </w:rPr>
        <w:tab/>
      </w:r>
      <w:r>
        <w:rPr>
          <w:rFonts w:ascii="Arial" w:cs="Arial" w:eastAsia="Arial" w:hAnsi="Arial"/>
          <w:sz w:val="16"/>
          <w:szCs w:val="16"/>
          <w:color w:val="auto"/>
        </w:rPr>
        <w:t>additional</w:t>
      </w:r>
    </w:p>
    <w:p>
      <w:pPr>
        <w:spacing w:after="0" w:line="23" w:lineRule="exact"/>
        <w:rPr>
          <w:sz w:val="20"/>
          <w:szCs w:val="20"/>
          <w:color w:val="auto"/>
        </w:rPr>
      </w:pPr>
    </w:p>
    <w:p>
      <w:pPr>
        <w:jc w:val="both"/>
        <w:ind w:left="120" w:right="240"/>
        <w:spacing w:after="0" w:line="255" w:lineRule="auto"/>
        <w:rPr>
          <w:sz w:val="20"/>
          <w:szCs w:val="20"/>
          <w:color w:val="auto"/>
        </w:rPr>
      </w:pPr>
      <w:r>
        <w:rPr>
          <w:rFonts w:ascii="Arial" w:cs="Arial" w:eastAsia="Arial" w:hAnsi="Arial"/>
          <w:sz w:val="18"/>
          <w:szCs w:val="18"/>
          <w:color w:val="auto"/>
        </w:rPr>
        <w:t>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Reserved Share Program</w:t>
      </w:r>
    </w:p>
    <w:p>
      <w:pPr>
        <w:spacing w:after="0" w:line="229"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color w:val="auto"/>
        </w:rPr>
        <w:t>At our request, an affiliate of BofA Securities, Inc., a participating Underwriter, has reserved for sale, at the initial public offering price, up to 5% of the shares offered by this prospectus to some of our directors, officers, employees, business associates and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Shares purchased by our directors and officers in the reserved share program will be subject to lock-up restrictions described in this prospectus.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our executive officers and directors and holders of substantially all of our common stock have agreed not to sell or transfer any common stock or securities convertible into, exchangeable for, exercisable for, or repayable with common stock, for 180 days after the date of this prospectus without first obtaining the written consent of the Representatives.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 or</w:t>
      </w:r>
    </w:p>
    <w:p>
      <w:pPr>
        <w:spacing w:after="0" w:line="263" w:lineRule="exact"/>
        <w:rPr>
          <w:rFonts w:ascii="Arial" w:cs="Arial" w:eastAsia="Arial" w:hAnsi="Arial"/>
          <w:sz w:val="17"/>
          <w:szCs w:val="17"/>
          <w:color w:val="auto"/>
        </w:rPr>
      </w:pPr>
    </w:p>
    <w:p>
      <w:pPr>
        <w:ind w:left="1420" w:right="320" w:hanging="319"/>
        <w:spacing w:after="0" w:line="342" w:lineRule="auto"/>
        <w:tabs>
          <w:tab w:leader="none" w:pos="14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24"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The Representatives in their sole discretion, may release the common stock subject to the lockup agreements in whole or in part at any time. At least three business days before the effectiveness of any release or waiver of any of the restrictions described above with respect to an officer or directors, the Representatives will notify us of the impended release or waiver and we have agreed to announce the impending release or waiver in accordance with applicable FINRA rules (which may include by press release through a major news service), except where the release or waiver is effected solely to permit a transfer of common stock that is not for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consideration and where the transferee has agreed in writing to be bound by the same terms as the lock-up agreements described above to the extent and for the duration that such terms remain in effect at the time of transfer.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common stock on The Nasdaq Global Select Market under the symbol “NCNO.”</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11" w:lineRule="exact"/>
        <w:rPr>
          <w:sz w:val="20"/>
          <w:szCs w:val="20"/>
          <w:color w:val="auto"/>
        </w:rPr>
      </w:pPr>
    </w:p>
    <w:p>
      <w:pPr>
        <w:ind w:left="1420" w:hanging="31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71"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including in some cases as our customers, in the ordinary course of business with us or our affiliates. They or we, as applicable, have received, or may in the future receive, customary fees and/or commissions for these transactions.</w:t>
      </w:r>
    </w:p>
    <w:p>
      <w:pPr>
        <w:spacing w:after="0" w:line="18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certain affiliates of the representatives are our customers and we have agreements with them in such capacity.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229"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and any offer if made subsequently is directed only at persons in Member States of the European Economic Area or in the United Kingdom (each, a “Relevant State”) who are “qualified investors” within the meaning of Article 2(e) of the Prospectus Regulation. This prospectus has been prepared on the basis that any offer of shares in any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underwriters to publish a prospectus pursuant to Article 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 The expression “Prospectus Regulation” means Regulation (EU) 2017/1129.</w:t>
      </w:r>
    </w:p>
    <w:p>
      <w:pPr>
        <w:spacing w:after="0" w:line="14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to the public may be made in that Relevant State other than:</w:t>
      </w:r>
    </w:p>
    <w:p>
      <w:pPr>
        <w:spacing w:after="0" w:line="197" w:lineRule="exact"/>
        <w:rPr>
          <w:sz w:val="20"/>
          <w:szCs w:val="20"/>
          <w:color w:val="auto"/>
        </w:rPr>
      </w:pPr>
    </w:p>
    <w:p>
      <w:pPr>
        <w:ind w:left="1420" w:hanging="427"/>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52" w:lineRule="exact"/>
        <w:rPr>
          <w:rFonts w:ascii="Arial" w:cs="Arial" w:eastAsia="Arial" w:hAnsi="Arial"/>
          <w:sz w:val="18"/>
          <w:szCs w:val="18"/>
          <w:color w:val="auto"/>
        </w:rPr>
      </w:pPr>
    </w:p>
    <w:p>
      <w:pPr>
        <w:ind w:left="1420" w:right="40" w:hanging="427"/>
        <w:spacing w:after="0" w:line="308" w:lineRule="auto"/>
        <w:tabs>
          <w:tab w:leader="none" w:pos="14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Regulation), subject to obtaining the prior consent of the relevant underwriter or underwriters nominated by the Company for any such offer; or</w:t>
      </w:r>
    </w:p>
    <w:p>
      <w:pPr>
        <w:spacing w:after="0" w:line="173" w:lineRule="exact"/>
        <w:rPr>
          <w:rFonts w:ascii="Arial" w:cs="Arial" w:eastAsia="Arial" w:hAnsi="Arial"/>
          <w:sz w:val="17"/>
          <w:szCs w:val="17"/>
          <w:color w:val="auto"/>
        </w:rPr>
      </w:pPr>
    </w:p>
    <w:p>
      <w:pPr>
        <w:ind w:left="1420" w:hanging="427"/>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Regulation.</w:t>
      </w:r>
    </w:p>
    <w:p>
      <w:pPr>
        <w:spacing w:after="0" w:line="170"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State means the communication in any form and by any means of sufficient information on the terms of the offer and the shares to be offered so as to enable an investor to decide to purchase or subscribe for the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United Kingdom’s Financial Services and Markets Act 2000, as amended (the “FSMA”)) in connection with the issue or sale of the shares may only be communicated or caused to be communicated in circumstances in which Section 21(1) of the FSMA does not apply to the Company.</w:t>
      </w:r>
    </w:p>
    <w:p>
      <w:pPr>
        <w:spacing w:after="0" w:line="18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in, from or otherwise involving the United Kingdom.</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left="120" w:right="460" w:firstLine="88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4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52" w:lineRule="exact"/>
        <w:rPr>
          <w:sz w:val="20"/>
          <w:szCs w:val="20"/>
          <w:color w:val="auto"/>
        </w:rPr>
      </w:pPr>
    </w:p>
    <w:p>
      <w:pPr>
        <w:ind w:left="1420" w:right="360" w:hanging="427"/>
        <w:spacing w:after="0" w:line="342" w:lineRule="auto"/>
        <w:tabs>
          <w:tab w:leader="none" w:pos="14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200" w:hanging="427"/>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11" w:lineRule="exact"/>
        <w:rPr>
          <w:sz w:val="20"/>
          <w:szCs w:val="20"/>
          <w:color w:val="auto"/>
        </w:rPr>
      </w:pPr>
    </w:p>
    <w:p>
      <w:pPr>
        <w:ind w:left="1420" w:right="940" w:hanging="427"/>
        <w:spacing w:after="0" w:line="277"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427"/>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jc w:val="both"/>
        <w:ind w:left="120" w:right="20" w:firstLine="881"/>
        <w:spacing w:after="0" w:line="311" w:lineRule="auto"/>
        <w:rPr>
          <w:sz w:val="20"/>
          <w:szCs w:val="20"/>
          <w:color w:val="auto"/>
        </w:rPr>
      </w:pPr>
      <w:r>
        <w:rPr>
          <w:rFonts w:ascii="Arial" w:cs="Arial" w:eastAsia="Arial" w:hAnsi="Arial"/>
          <w:sz w:val="16"/>
          <w:szCs w:val="16"/>
          <w:color w:val="auto"/>
        </w:rPr>
        <w:t>Notification under Section 309B of the Securities and Futures Act, Chapter 289 of Singapore: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320" w:top="459" w:right="5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Certain legal matters with respect to U.S. federal law in connection with this offering will be passed upon for us by Sidley Austin </w:t>
      </w:r>
      <w:r>
        <w:rPr>
          <w:rFonts w:ascii="Arial" w:cs="Arial" w:eastAsia="Arial" w:hAnsi="Arial"/>
          <w:sz w:val="13"/>
          <w:szCs w:val="13"/>
          <w:color w:val="auto"/>
        </w:rPr>
        <w:t>LLP</w:t>
      </w:r>
      <w:r>
        <w:rPr>
          <w:rFonts w:ascii="Arial" w:cs="Arial" w:eastAsia="Arial" w:hAnsi="Arial"/>
          <w:sz w:val="17"/>
          <w:szCs w:val="17"/>
          <w:color w:val="auto"/>
        </w:rPr>
        <w: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related to this offering will be passed upon for the underwriters by Ropes &amp; Gray LLP.</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consolidated financial statements of nCino, Inc. at January 31, 2019 and 2020, and for each of the three years in the period ended January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www.ncino.com.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9" w:right="5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0" w:type="dxa"/>
            <w:vAlign w:val="bottom"/>
            <w:gridSpan w:val="2"/>
            <w:vMerge w:val="restart"/>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Report of Independent Registered Public Accounting Firm</w:t>
              </w:r>
            </w:hyperlink>
          </w:p>
        </w:tc>
        <w:tc>
          <w:tcPr>
            <w:tcW w:w="586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800" w:type="dxa"/>
            <w:vAlign w:val="bottom"/>
            <w:gridSpan w:val="2"/>
            <w:vMerge w:val="continue"/>
          </w:tcPr>
          <w:p>
            <w:pPr>
              <w:spacing w:after="0"/>
              <w:rPr>
                <w:sz w:val="16"/>
                <w:szCs w:val="16"/>
                <w:color w:val="auto"/>
              </w:rPr>
            </w:pPr>
          </w:p>
        </w:tc>
        <w:tc>
          <w:tcPr>
            <w:tcW w:w="586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3"/>
        </w:trPr>
        <w:tc>
          <w:tcPr>
            <w:tcW w:w="1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Financial Statements</w:t>
            </w:r>
          </w:p>
        </w:tc>
        <w:tc>
          <w:tcPr>
            <w:tcW w:w="33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ind w:left="36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Consolidated Balance Sheets</w:t>
              </w:r>
            </w:hyperlink>
          </w:p>
        </w:tc>
        <w:tc>
          <w:tcPr>
            <w:tcW w:w="58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00" w:type="dxa"/>
            <w:vAlign w:val="bottom"/>
            <w:gridSpan w:val="2"/>
          </w:tcPr>
          <w:p>
            <w:pPr>
              <w:ind w:left="3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Consolidated Statements of Operations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00" w:type="dxa"/>
            <w:vAlign w:val="bottom"/>
            <w:gridSpan w:val="2"/>
          </w:tcPr>
          <w:p>
            <w:pPr>
              <w:ind w:left="36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Consolidated Statements of Comprehensive Loss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00" w:type="dxa"/>
            <w:vAlign w:val="bottom"/>
            <w:gridSpan w:val="2"/>
          </w:tcPr>
          <w:p>
            <w:pPr>
              <w:ind w:left="36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Consolidated Statements of Stockholders’ Equity</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00" w:type="dxa"/>
            <w:vAlign w:val="bottom"/>
            <w:gridSpan w:val="2"/>
          </w:tcPr>
          <w:p>
            <w:pPr>
              <w:ind w:left="36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Consolidated Statements of Cash Flows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800" w:type="dxa"/>
            <w:vAlign w:val="bottom"/>
            <w:gridSpan w:val="2"/>
          </w:tcPr>
          <w:p>
            <w:pPr>
              <w:ind w:left="36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Notes to Consolidated Financial Statements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64"/>
        </w:trPr>
        <w:tc>
          <w:tcPr>
            <w:tcW w:w="1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nCino,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consolidated balance sheets of nCino, Inc. as of January 31, 2019 and 2020, the related consolidated statements of operations, comprehensive loss, stockholders’ equity and cash flows for each of the three years in the period ended January 31, 2020, and the related notes (collectively referred to as the “consolidated financial statements”). In our opinion, the consolidated financial statements present fairly, in all material respects, the financial position of the Company at January 31, 2019 and 2020, and the results of its operations and its cash flows for each of the three years in the period ended January 31, 2020, in conformity with U.S. generally accepted accounting principles.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ASU No. 2014-09</w:t>
      </w:r>
    </w:p>
    <w:p>
      <w:pPr>
        <w:spacing w:after="0" w:line="121" w:lineRule="exact"/>
        <w:rPr>
          <w:sz w:val="20"/>
          <w:szCs w:val="20"/>
          <w:color w:val="auto"/>
        </w:rPr>
      </w:pPr>
    </w:p>
    <w:p>
      <w:pPr>
        <w:jc w:val="both"/>
        <w:ind w:left="120" w:right="80"/>
        <w:spacing w:after="0" w:line="342"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revenue recognition in 2019 due to the adoption of Accounting Standards Update (ASU) No. 2014-09, Revenue from Contracts with Customers (Topic 606), and the related amendments.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January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9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 (VIE: $0 and $8,892 at January 31, 2019 and 2020, respectively)</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Accounts receivable, less allowance for doubtful accounts of $123 and $0 at January 31, 2019 and 2020, respectively</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25,495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related parties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current portion,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109,167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noncurrent,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long-term assets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119,966</w:t>
            </w:r>
          </w:p>
        </w:tc>
        <w:tc>
          <w:tcPr>
            <w:tcW w:w="22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Accounts payable, related parties</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commissions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Other accrued expenses</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Deferred revenue, current portion</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34,172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current portion, related parties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52,409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 noncurrent</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Deferred rent, noncurrent</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noncurrent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9040" w:type="dxa"/>
            <w:vAlign w:val="bottom"/>
          </w:tcPr>
          <w:p>
            <w:pPr>
              <w:ind w:left="3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53,930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40" w:type="dxa"/>
            <w:vAlign w:val="bottom"/>
          </w:tcPr>
          <w:p>
            <w:pPr>
              <w:spacing w:after="0"/>
              <w:rPr>
                <w:sz w:val="20"/>
                <w:szCs w:val="20"/>
                <w:color w:val="auto"/>
              </w:rPr>
            </w:pPr>
            <w:r>
              <w:rPr>
                <w:rFonts w:ascii="Arial" w:cs="Arial" w:eastAsia="Arial" w:hAnsi="Arial"/>
                <w:sz w:val="16"/>
                <w:szCs w:val="16"/>
                <w:color w:val="auto"/>
              </w:rPr>
              <w:t>Commitments and Contingencies (Notes 9, 14 and 15)</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 (Note 3)</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$0.001 par value; 1,000,000 shares authorized and none issued and outstanding</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9040" w:type="dxa"/>
            <w:vAlign w:val="bottom"/>
          </w:tcPr>
          <w:p>
            <w:pPr>
              <w:ind w:left="320"/>
              <w:spacing w:after="0"/>
              <w:rPr>
                <w:sz w:val="20"/>
                <w:szCs w:val="20"/>
                <w:color w:val="auto"/>
              </w:rPr>
            </w:pPr>
            <w:r>
              <w:rPr>
                <w:rFonts w:ascii="Arial" w:cs="Arial" w:eastAsia="Arial" w:hAnsi="Arial"/>
                <w:sz w:val="16"/>
                <w:szCs w:val="16"/>
                <w:color w:val="auto"/>
              </w:rPr>
              <w:t>Voting common stock, $0.0005 par value; 89,708,247 and 99,708,247 shares authorized as of January 31, 2019 and 2020,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040" w:type="dxa"/>
            <w:vAlign w:val="bottom"/>
          </w:tcPr>
          <w:p>
            <w:pPr>
              <w:ind w:left="480"/>
              <w:spacing w:after="0"/>
              <w:rPr>
                <w:sz w:val="20"/>
                <w:szCs w:val="20"/>
                <w:color w:val="auto"/>
              </w:rPr>
            </w:pPr>
            <w:r>
              <w:rPr>
                <w:rFonts w:ascii="Arial" w:cs="Arial" w:eastAsia="Arial" w:hAnsi="Arial"/>
                <w:sz w:val="16"/>
                <w:szCs w:val="16"/>
                <w:color w:val="auto"/>
              </w:rPr>
              <w:t>respectively; 70,186,189 and 75,596,007 shares issued and outstanding as of January 31, 2019 and 2020, respectively</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Non-voting common stock, $0.0005 par value; 10,291,753 shares authorized as of January 31, 2019 and 2020; 5,701,435 and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5,931,319 shares issued and outstanding as of January 31, 2019 and 2020, respectively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Additional paid in capital</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170,771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288,564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6"/>
                <w:szCs w:val="16"/>
                <w:color w:val="auto"/>
                <w:w w:val="93"/>
              </w:rPr>
              <w:t>(104,752)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(120,924)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liabilities, redeemable non-controlling interest, and stockholders’ equity</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4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119,966</w:t>
            </w:r>
          </w:p>
        </w:tc>
        <w:tc>
          <w:tcPr>
            <w:tcW w:w="22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Fiscal Year Ended January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Subscription (related parties $5,411, $7,929 and $7,768,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38,048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64,458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103,265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34,915</w:t>
            </w:r>
          </w:p>
        </w:tc>
        <w:tc>
          <w:tcPr>
            <w:tcW w:w="0" w:type="dxa"/>
            <w:vAlign w:val="bottom"/>
          </w:tcPr>
          <w:p>
            <w:pPr>
              <w:spacing w:after="0"/>
              <w:rPr>
                <w:sz w:val="1"/>
                <w:szCs w:val="1"/>
                <w:color w:val="auto"/>
              </w:rPr>
            </w:pPr>
          </w:p>
        </w:tc>
      </w:tr>
      <w:tr>
        <w:trPr>
          <w:trHeight w:val="223"/>
        </w:trPr>
        <w:tc>
          <w:tcPr>
            <w:tcW w:w="69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Subscription (related party $9,530, $15,373 and $22,844, respectively)</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19,995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33,008</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45,083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16,559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22,230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(28,170)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before income tax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(22,112)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(27,735)</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 (Note 3)</w:t>
            </w: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(27,594)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nCino, Inc.: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68,290,570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74,593,709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78,316,794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8"/>
          </w:tcPr>
          <w:p>
            <w:pPr>
              <w:jc w:val="right"/>
              <w:ind w:right="441"/>
              <w:spacing w:after="0"/>
              <w:rPr>
                <w:sz w:val="20"/>
                <w:szCs w:val="20"/>
                <w:color w:val="auto"/>
              </w:rPr>
            </w:pPr>
            <w:r>
              <w:rPr>
                <w:rFonts w:ascii="Arial" w:cs="Arial" w:eastAsia="Arial" w:hAnsi="Arial"/>
                <w:sz w:val="14"/>
                <w:szCs w:val="14"/>
                <w:b w:val="1"/>
                <w:bCs w:val="1"/>
                <w:color w:val="auto"/>
              </w:rPr>
              <w:t>Fiscal Year Ended January 31,</w:t>
            </w: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$(18,589)</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$(22,306)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(27,735)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824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(18,583)</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(22,333)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(28,138)</w:t>
            </w: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24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(18,583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(22,333</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(27,981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Voting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vMerge w:val="restart"/>
          </w:tcPr>
          <w:p>
            <w:pPr>
              <w:jc w:val="center"/>
              <w:ind w:left="200"/>
              <w:spacing w:after="0"/>
              <w:rPr>
                <w:sz w:val="20"/>
                <w:szCs w:val="20"/>
                <w:color w:val="auto"/>
              </w:rPr>
            </w:pPr>
            <w:r>
              <w:rPr>
                <w:rFonts w:ascii="Arial" w:cs="Arial" w:eastAsia="Arial" w:hAnsi="Arial"/>
                <w:sz w:val="14"/>
                <w:szCs w:val="14"/>
                <w:color w:val="auto"/>
                <w:w w:val="97"/>
              </w:rPr>
              <w:t>Non-voting</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w w:val="97"/>
              </w:rPr>
              <w:t>Additional</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200" w:type="dxa"/>
            <w:vAlign w:val="bottom"/>
            <w:gridSpan w:val="4"/>
            <w:vMerge w:val="restart"/>
          </w:tcPr>
          <w:p>
            <w:pPr>
              <w:ind w:left="280"/>
              <w:spacing w:after="0"/>
              <w:rPr>
                <w:sz w:val="20"/>
                <w:szCs w:val="20"/>
                <w:color w:val="auto"/>
              </w:rPr>
            </w:pPr>
            <w:r>
              <w:rPr>
                <w:rFonts w:ascii="Arial" w:cs="Arial" w:eastAsia="Arial" w:hAnsi="Arial"/>
                <w:sz w:val="14"/>
                <w:szCs w:val="14"/>
                <w:color w:val="auto"/>
                <w:w w:val="94"/>
              </w:rPr>
              <w:t>Common Stock</w:t>
            </w: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4"/>
            <w:vMerge w:val="restart"/>
          </w:tcPr>
          <w:p>
            <w:pPr>
              <w:jc w:val="center"/>
              <w:ind w:left="200"/>
              <w:spacing w:after="0"/>
              <w:rPr>
                <w:sz w:val="20"/>
                <w:szCs w:val="20"/>
                <w:color w:val="auto"/>
              </w:rPr>
            </w:pPr>
            <w:r>
              <w:rPr>
                <w:rFonts w:ascii="Arial" w:cs="Arial" w:eastAsia="Arial" w:hAnsi="Arial"/>
                <w:sz w:val="14"/>
                <w:szCs w:val="14"/>
                <w:color w:val="auto"/>
                <w:w w:val="94"/>
              </w:rPr>
              <w:t>Common Stock</w:t>
            </w: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720" w:type="dxa"/>
            <w:vAlign w:val="bottom"/>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auto"/>
            </w:tcBorders>
            <w:gridSpan w:val="4"/>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20"/>
              <w:spacing w:after="0" w:line="149" w:lineRule="exact"/>
              <w:rPr>
                <w:sz w:val="20"/>
                <w:szCs w:val="20"/>
                <w:color w:val="auto"/>
              </w:rPr>
            </w:pPr>
            <w:r>
              <w:rPr>
                <w:rFonts w:ascii="Arial" w:cs="Arial" w:eastAsia="Arial" w:hAnsi="Arial"/>
                <w:sz w:val="14"/>
                <w:szCs w:val="14"/>
                <w:color w:val="auto"/>
                <w:w w:val="98"/>
              </w:rPr>
              <w:t>Paid in</w:t>
            </w:r>
          </w:p>
        </w:tc>
        <w:tc>
          <w:tcPr>
            <w:tcW w:w="220" w:type="dxa"/>
            <w:vAlign w:val="bottom"/>
          </w:tcPr>
          <w:p>
            <w:pPr>
              <w:spacing w:after="0"/>
              <w:rPr>
                <w:sz w:val="8"/>
                <w:szCs w:val="8"/>
                <w:color w:val="auto"/>
              </w:rPr>
            </w:pPr>
          </w:p>
        </w:tc>
        <w:tc>
          <w:tcPr>
            <w:tcW w:w="120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Comprehensive</w:t>
            </w: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7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Amount</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20"/>
              <w:spacing w:after="0"/>
              <w:rPr>
                <w:sz w:val="20"/>
                <w:szCs w:val="20"/>
                <w:color w:val="auto"/>
              </w:rPr>
            </w:pPr>
            <w:r>
              <w:rPr>
                <w:rFonts w:ascii="Arial" w:cs="Arial" w:eastAsia="Arial" w:hAnsi="Arial"/>
                <w:sz w:val="14"/>
                <w:szCs w:val="14"/>
                <w:color w:val="auto"/>
                <w:w w:val="96"/>
              </w:rPr>
              <w:t>Capital</w:t>
            </w: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Income (Loss)</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56,311,950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10,291,754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86,458</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(63,857)</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20"/>
              <w:spacing w:after="0"/>
              <w:rPr>
                <w:sz w:val="20"/>
                <w:szCs w:val="20"/>
                <w:color w:val="auto"/>
              </w:rPr>
            </w:pPr>
            <w:r>
              <w:rPr>
                <w:rFonts w:ascii="Arial" w:cs="Arial" w:eastAsia="Arial" w:hAnsi="Arial"/>
                <w:sz w:val="16"/>
                <w:szCs w:val="16"/>
                <w:color w:val="auto"/>
              </w:rPr>
              <w:t>Conversion of non-voting common stock to</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480"/>
              <w:spacing w:after="0"/>
              <w:rPr>
                <w:sz w:val="20"/>
                <w:szCs w:val="20"/>
                <w:color w:val="auto"/>
              </w:rPr>
            </w:pPr>
            <w:r>
              <w:rPr>
                <w:rFonts w:ascii="Arial" w:cs="Arial" w:eastAsia="Arial" w:hAnsi="Arial"/>
                <w:sz w:val="16"/>
                <w:szCs w:val="16"/>
                <w:color w:val="auto"/>
              </w:rPr>
              <w:t>voting common stock</w:t>
            </w:r>
          </w:p>
        </w:tc>
        <w:tc>
          <w:tcPr>
            <w:tcW w:w="780" w:type="dxa"/>
            <w:vAlign w:val="bottom"/>
          </w:tcPr>
          <w:p>
            <w:pPr>
              <w:jc w:val="right"/>
              <w:spacing w:after="0"/>
              <w:rPr>
                <w:sz w:val="20"/>
                <w:szCs w:val="20"/>
                <w:color w:val="auto"/>
              </w:rPr>
            </w:pPr>
            <w:r>
              <w:rPr>
                <w:rFonts w:ascii="Arial" w:cs="Arial" w:eastAsia="Arial" w:hAnsi="Arial"/>
                <w:sz w:val="16"/>
                <w:szCs w:val="16"/>
                <w:color w:val="auto"/>
              </w:rPr>
              <w:t>4,590,319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(4,590,319)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net of issuance costs of $109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5,743,054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695,384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Other comprehensive income</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(18,589)</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(18,589)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Balance, January 31, 2018</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67,340,707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5,701,435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160,418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(82,446)</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2,845,482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(22,306)</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(22,306)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70,186,189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5,701,435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170,771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(104,752)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20"/>
              <w:spacing w:after="0"/>
              <w:rPr>
                <w:sz w:val="20"/>
                <w:szCs w:val="20"/>
                <w:color w:val="auto"/>
              </w:rPr>
            </w:pPr>
            <w:r>
              <w:rPr>
                <w:rFonts w:ascii="Arial" w:cs="Arial" w:eastAsia="Arial" w:hAnsi="Arial"/>
                <w:sz w:val="16"/>
                <w:szCs w:val="16"/>
                <w:color w:val="auto"/>
              </w:rPr>
              <w:t>Cumulative-effect adjustment from adoption of</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480"/>
              <w:spacing w:after="0"/>
              <w:rPr>
                <w:sz w:val="20"/>
                <w:szCs w:val="20"/>
                <w:color w:val="auto"/>
              </w:rPr>
            </w:pPr>
            <w:r>
              <w:rPr>
                <w:rFonts w:ascii="Arial" w:cs="Arial" w:eastAsia="Arial" w:hAnsi="Arial"/>
                <w:sz w:val="16"/>
                <w:szCs w:val="16"/>
                <w:color w:val="auto"/>
              </w:rPr>
              <w:t>accounting standard</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11,422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11,422</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net of issuance costs of $52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3,448,276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229,885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w w:val="97"/>
              </w:rPr>
              <w:t>Stock issuance related to business combinations</w:t>
            </w:r>
          </w:p>
        </w:tc>
        <w:tc>
          <w:tcPr>
            <w:tcW w:w="780" w:type="dxa"/>
            <w:vAlign w:val="bottom"/>
          </w:tcPr>
          <w:p>
            <w:pPr>
              <w:jc w:val="right"/>
              <w:spacing w:after="0"/>
              <w:rPr>
                <w:sz w:val="20"/>
                <w:szCs w:val="20"/>
                <w:color w:val="auto"/>
              </w:rPr>
            </w:pPr>
            <w:r>
              <w:rPr>
                <w:rFonts w:ascii="Arial" w:cs="Arial" w:eastAsia="Arial" w:hAnsi="Arial"/>
                <w:sz w:val="16"/>
                <w:szCs w:val="16"/>
                <w:color w:val="auto"/>
              </w:rPr>
              <w:t>1,502,772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25,203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Contingent consideration related to business</w:t>
            </w: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combination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458,770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(387)</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(27,594)</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(27,594)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Balance, January 31, 2020</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75,596,007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5,931,319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288,564</w:t>
            </w:r>
          </w:p>
        </w:tc>
        <w:tc>
          <w:tcPr>
            <w:tcW w:w="42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(120,924)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167,273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Net loss attributable to nCino, 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(18,589)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(22,306)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(27,594)</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redeemable non-controlling interest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(18,589)</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(22,306)</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(27,735)</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1,458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costs capitalized to obtain revenue contracts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Stock-based compensation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3,826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Provision for (recovery of) bad debt</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 in operating assets and liabilities: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(7,512)</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(10,212)</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(9,289)</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receivable,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(4,919)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(4,867)</w:t>
            </w: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Costs capitalized to obtain revenue contracts</w:t>
            </w:r>
          </w:p>
        </w:tc>
        <w:tc>
          <w:tcPr>
            <w:tcW w:w="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 expenses and other assets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(2,124)</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(1,185)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Accounts payable and accrued expenses and other liabilities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2,252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3,922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payable,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Deferred rent</w:t>
            </w:r>
          </w:p>
        </w:tc>
        <w:tc>
          <w:tcPr>
            <w:tcW w:w="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14,214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20,873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Deferred revenue, related parties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3,702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Net cash used in operating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(15,958)</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(4,589)</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(8,998)</w:t>
            </w:r>
          </w:p>
        </w:tc>
        <w:tc>
          <w:tcPr>
            <w:tcW w:w="0" w:type="dxa"/>
            <w:vAlign w:val="bottom"/>
          </w:tcPr>
          <w:p>
            <w:pPr>
              <w:spacing w:after="0"/>
              <w:rPr>
                <w:sz w:val="1"/>
                <w:szCs w:val="1"/>
                <w:color w:val="auto"/>
              </w:rPr>
            </w:pPr>
          </w:p>
        </w:tc>
      </w:tr>
      <w:tr>
        <w:trPr>
          <w:trHeight w:val="206"/>
        </w:trPr>
        <w:tc>
          <w:tcPr>
            <w:tcW w:w="85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of businesses, net of cash acquired</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(52,267)</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(2,837)</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(7,965)</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5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Net cash used in investing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(2,837)</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(7,965)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(58,027)</w:t>
            </w: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from redeemable non-controlling interest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Proceeds from stock issuance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69,305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80,000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costs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6,260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of deferred costs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17"/>
        </w:trPr>
        <w:tc>
          <w:tcPr>
            <w:tcW w:w="8560" w:type="dxa"/>
            <w:vAlign w:val="bottom"/>
          </w:tcPr>
          <w:p>
            <w:pPr>
              <w:ind w:left="1300"/>
              <w:spacing w:after="0"/>
              <w:rPr>
                <w:sz w:val="20"/>
                <w:szCs w:val="20"/>
                <w:color w:val="auto"/>
              </w:rPr>
            </w:pPr>
            <w:r>
              <w:rPr>
                <w:rFonts w:ascii="Arial" w:cs="Arial" w:eastAsia="Arial" w:hAnsi="Arial"/>
                <w:sz w:val="16"/>
                <w:szCs w:val="16"/>
                <w:b w:val="1"/>
                <w:bCs w:val="1"/>
                <w:color w:val="auto"/>
              </w:rPr>
              <w:t>Net cash provided by financing activities</w:t>
            </w: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70,137</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84,091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Effect of foreign currency exchange rate changes on cash and cash equivalents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130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51,354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(6,329)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16,837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29,322</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80,676</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74,347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80,676</w:t>
            </w:r>
          </w:p>
        </w:tc>
        <w:tc>
          <w:tcPr>
            <w:tcW w:w="3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74,347</w:t>
            </w:r>
          </w:p>
        </w:tc>
        <w:tc>
          <w:tcPr>
            <w:tcW w:w="3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91,184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Cash paid during the year for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Purchase of property and equipment, accrued but not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costs, accrued but not paid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Fair value of common stock issued as consideration for business acquisition</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25,204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Fair value of contingent consideration in connection with business acquisition in other long-term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Fair value of contingent consideration in connection with business acquisition included in equity</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5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7" w:lineRule="exact"/>
        <w:rPr>
          <w:sz w:val="20"/>
          <w:szCs w:val="20"/>
          <w:color w:val="auto"/>
        </w:rPr>
      </w:pPr>
    </w:p>
    <w:p>
      <w:pPr>
        <w:ind w:left="120" w:right="200" w:firstLine="88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(“nCino” or the “Company”) is a software-as-a-service (SaaS) company that provides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to financial institutions to streamline customer and employee interactions. The Company is headquartered in Wilmington, North Carolina and has offices in Salt Lake City, London, Sydney, Melbourne, Toronto and Tokyo.</w:t>
      </w:r>
    </w:p>
    <w:p>
      <w:pPr>
        <w:spacing w:after="0" w:line="180"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The Company was organized as a North Carolina limited liability company named BANKR, LLC on December 13, 2011. On April 3, 2012, the Company was renamed nCino, LLC. The Company was re-incorporated in the State of Delaware on December 18, 2013.</w:t>
      </w:r>
    </w:p>
    <w:p>
      <w:pPr>
        <w:spacing w:after="0" w:line="146"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On September 27, 2016, the Company created a wholly-owned subsidiary called nCino GBU, Inc. to facilitate an agreement with a customer. nCino GBU, Inc. was dissolved on August 14, 2018.</w:t>
      </w:r>
    </w:p>
    <w:p>
      <w:pPr>
        <w:spacing w:after="0" w:line="170"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During the fiscal year ended January 31, 2018, the Company created wholly-owned subsidiaries nCino APAC PTY Ltd, nCino Canada, Inc., and nCino Global Ltd in Australia, Canada, and the United Kingdom, respectively, to expand to Canada, Asia Pacific, and Europe.</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7"/>
          <w:szCs w:val="17"/>
          <w:b w:val="1"/>
          <w:bCs w:val="1"/>
          <w:color w:val="auto"/>
        </w:rPr>
        <w:t xml:space="preserve">Principles of Consolidation and Basis of Presentation: </w:t>
      </w:r>
      <w:r>
        <w:rPr>
          <w:rFonts w:ascii="Arial" w:cs="Arial" w:eastAsia="Arial" w:hAnsi="Arial"/>
          <w:sz w:val="17"/>
          <w:szCs w:val="17"/>
          <w:color w:val="auto"/>
        </w:rPr>
        <w:t>These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accounting principles in the United States (U.S.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172"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Effective February 1, 2019, the Company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Adoption of the new revenue standard resulted in changes to accounting policies for revenue recognition and sales commissions.</w:t>
      </w:r>
    </w:p>
    <w:p>
      <w:pPr>
        <w:spacing w:after="0" w:line="184" w:lineRule="exact"/>
        <w:rPr>
          <w:sz w:val="20"/>
          <w:szCs w:val="20"/>
          <w:color w:val="auto"/>
        </w:rPr>
      </w:pPr>
    </w:p>
    <w:p>
      <w:pPr>
        <w:ind w:left="120" w:firstLine="881"/>
        <w:spacing w:after="0" w:line="258" w:lineRule="auto"/>
        <w:rPr>
          <w:sz w:val="20"/>
          <w:szCs w:val="20"/>
          <w:color w:val="auto"/>
        </w:rPr>
      </w:pPr>
      <w:r>
        <w:rPr>
          <w:rFonts w:ascii="Arial" w:cs="Arial" w:eastAsia="Arial" w:hAnsi="Arial"/>
          <w:sz w:val="18"/>
          <w:szCs w:val="18"/>
          <w:b w:val="1"/>
          <w:bCs w:val="1"/>
          <w:color w:val="auto"/>
        </w:rPr>
        <w:t xml:space="preserve">Variable Interest Entity: </w:t>
      </w:r>
      <w:r>
        <w:rPr>
          <w:rFonts w:ascii="Arial" w:cs="Arial" w:eastAsia="Arial" w:hAnsi="Arial"/>
          <w:sz w:val="18"/>
          <w:szCs w:val="18"/>
          <w:color w:val="auto"/>
        </w:rPr>
        <w:t>The Company holds an interest in a Japanese company (“nCino K.K.”) that is considered a variable interest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financial statements except for cash which is reflected on the consolidated balance sheets. Refer to Note 3 for additional information regarding the Company’s variable interest.</w:t>
      </w:r>
    </w:p>
    <w:p>
      <w:pPr>
        <w:spacing w:after="0" w:line="188"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nCino K.K. has a redeemable non-controlling interest. An agreement with the minority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166" w:lineRule="exact"/>
        <w:rPr>
          <w:sz w:val="20"/>
          <w:szCs w:val="20"/>
          <w:color w:val="auto"/>
        </w:rPr>
      </w:pPr>
    </w:p>
    <w:p>
      <w:pPr>
        <w:ind w:left="120" w:right="40" w:firstLine="881"/>
        <w:spacing w:after="0" w:line="292"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and stock-based compensation.</w:t>
      </w:r>
    </w:p>
    <w:p>
      <w:pPr>
        <w:spacing w:after="0" w:line="16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 assesses these estimates on a regular basis using historical experience and other factors. Actual results could differ from these estimates, which were based upon circumstances that existed as of the date of the consolidated financial statements, January 31, 2020. Subsequent to this date, there have been significant changes to the global economic environment as a consequence of the COVID-19 pandemic. It is possible that this could cause changes to estimates as a result of the financial circumstances of the markets in which the Company operates, the Company’s reporting unit’s fair value in comparison to the Company’s carrying value, and the health of the global economy. Such changes to estimates could potentially result in impacts that would be material to the consolidated financial statements, particularly with respect to the fair value of the Company’s reporting units in relation to potential goodwill impairment and the fair value of long-lived assets in relation to potential impairment.</w:t>
      </w:r>
    </w:p>
    <w:p>
      <w:pPr>
        <w:spacing w:after="0" w:line="162" w:lineRule="exact"/>
        <w:rPr>
          <w:sz w:val="20"/>
          <w:szCs w:val="20"/>
          <w:color w:val="auto"/>
        </w:rPr>
      </w:pPr>
    </w:p>
    <w:p>
      <w:pPr>
        <w:ind w:left="120" w:right="20" w:firstLine="881"/>
        <w:spacing w:after="0" w:line="282" w:lineRule="auto"/>
        <w:rPr>
          <w:sz w:val="20"/>
          <w:szCs w:val="20"/>
          <w:color w:val="auto"/>
        </w:rPr>
      </w:pPr>
      <w:r>
        <w:rPr>
          <w:rFonts w:ascii="Arial" w:cs="Arial" w:eastAsia="Arial" w:hAnsi="Arial"/>
          <w:sz w:val="18"/>
          <w:szCs w:val="18"/>
          <w:b w:val="1"/>
          <w:bCs w:val="1"/>
          <w:color w:val="auto"/>
        </w:rPr>
        <w:t xml:space="preserve">Operating Segments: </w:t>
      </w:r>
      <w:r>
        <w:rPr>
          <w:rFonts w:ascii="Arial" w:cs="Arial" w:eastAsia="Arial" w:hAnsi="Arial"/>
          <w:sz w:val="18"/>
          <w:szCs w:val="18"/>
          <w:color w:val="auto"/>
        </w:rPr>
        <w:t>The Company operates as one operating segment. Operating segments are defined as components of an enterprise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separate financial information is available and evaluated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180" w:lineRule="exact"/>
        <w:rPr>
          <w:sz w:val="20"/>
          <w:szCs w:val="20"/>
          <w:color w:val="auto"/>
        </w:rPr>
      </w:pPr>
    </w:p>
    <w:p>
      <w:pPr>
        <w:ind w:left="120" w:right="320" w:firstLine="881"/>
        <w:spacing w:after="0" w:line="314"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 the Federal deposit insurance limit at January 31, 2019 and 2020. The Company maintains its cash and cash equivalents with high-credit-quality financial institutions.</w:t>
      </w:r>
    </w:p>
    <w:p>
      <w:pPr>
        <w:spacing w:after="0" w:line="14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For the fiscal year ended January 31, 2018, three customers represented 20% of total revenues, 14% of which was from two customers who are also equity holders in the Company. These three customers also represented 58% of accounts receivable as of January 31, 2018, of which 40% was from the two customers who are also equity holders. For the fiscal year ended January 31, 2019, two customers represented 9% of total revenues, 4% of which was also from a customer who is an equity holder in the Company. These two customers also represented 29% of accounts receivable as of January 31, 2019, of which 14% was from the customer who is an equity holder. For the fiscal year ended January 31, 2020, two customers represented 6% of total revenues, 3% of which was also from a customer who is an equity holder in the Company. These two customers also represented 22% of accounts receivable as of January 31, 2020, of which 11% was from the customer who is an equity holder.</w:t>
      </w:r>
    </w:p>
    <w:p>
      <w:pPr>
        <w:spacing w:after="0" w:line="162" w:lineRule="exact"/>
        <w:rPr>
          <w:sz w:val="20"/>
          <w:szCs w:val="20"/>
          <w:color w:val="auto"/>
        </w:rPr>
      </w:pPr>
    </w:p>
    <w:p>
      <w:pPr>
        <w:ind w:left="120" w:firstLine="881"/>
        <w:spacing w:after="0" w:line="294"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 The Company derives revenues primarily from subscription services and professional services. Revenues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31" w:lineRule="exact"/>
        <w:rPr>
          <w:sz w:val="20"/>
          <w:szCs w:val="20"/>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Revenues</w:t>
      </w:r>
    </w:p>
    <w:p>
      <w:pPr>
        <w:spacing w:after="0" w:line="117"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Subscription revenues primarily consist of fees for providing customers access to the Company’s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cloud-based application service at any time and, as a result, are accounted for as a service contract. Generally, the Company’s subscription contracts are three years or longer in length, billed annually in advance, are non-cancelable and do not contain refund-type provisions. Any subscription arrangements that are cancelable generally have penalty clauses.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Professional Services Revenues</w:t>
      </w:r>
    </w:p>
    <w:p>
      <w:pPr>
        <w:spacing w:after="0" w:line="117"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the Company’s professional services contracts are billed on a fixed price basis, and revenues are recognized over time based on a proportional performance methodology which utilizes input methods. A portion of the Company’s professional services contracts are billed on a time and materials basis and revenues are recognized over time as the services are performed.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spacing w:after="0" w:line="164"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Costs Capitalized to Obtain Revenue Contracts</w:t>
      </w:r>
    </w:p>
    <w:p>
      <w:pPr>
        <w:spacing w:after="0" w:line="11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As part of its adoption of ASU 2014-09, the Company capitalizes incremental costs of obtaining a non-cancelable subscription and support revenue contract. The provisions of ASU 2014-09 codified and clarified the accounting guidance for contract acquisition costs. The new guidance resulted in the capitalization of additional contract acquisition costs, which are subsequently amortized over the estimated life of the contract. Under the prior accounting guidance, the Company expensed sales commissions as incurred.</w:t>
      </w:r>
    </w:p>
    <w:p>
      <w:pPr>
        <w:spacing w:after="0" w:line="187"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Under ASU 2014-09,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years, which,</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cost of revenues – professional services, sales and marketing and research and development expense in the accompanying consolidated statements of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Judgments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Contracts with customers may include multiple services requiring allocation of the transaction price across the different performance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spacing w:after="0" w:line="171" w:lineRule="exact"/>
        <w:rPr>
          <w:sz w:val="20"/>
          <w:szCs w:val="20"/>
          <w:color w:val="auto"/>
        </w:rPr>
      </w:pPr>
    </w:p>
    <w:p>
      <w:pPr>
        <w:ind w:left="120" w:right="280" w:firstLine="881"/>
        <w:spacing w:after="0" w:line="296" w:lineRule="auto"/>
        <w:rPr>
          <w:sz w:val="20"/>
          <w:szCs w:val="20"/>
          <w:color w:val="auto"/>
        </w:rPr>
      </w:pPr>
      <w:r>
        <w:rPr>
          <w:rFonts w:ascii="Arial" w:cs="Arial" w:eastAsia="Arial" w:hAnsi="Arial"/>
          <w:sz w:val="16"/>
          <w:szCs w:val="16"/>
          <w:color w:val="auto"/>
        </w:rPr>
        <w:t>Capitalized costs to obtain a contract are amortized over the expected period of benefit, which the Company has determined, based on analysis, to be approximately 4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year, the Company expenses the amount as incurred, utilizing the practical expedient. The Company regularly evaluates whether there have been changes in the underlying assumptions and data used to determine the amortization period.</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2020.</w:t>
      </w:r>
    </w:p>
    <w:p>
      <w:pPr>
        <w:spacing w:after="0" w:line="18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20" w:right="320" w:firstLine="881"/>
        <w:spacing w:after="0" w:line="285" w:lineRule="auto"/>
        <w:rPr>
          <w:sz w:val="20"/>
          <w:szCs w:val="20"/>
          <w:color w:val="auto"/>
        </w:rPr>
      </w:pPr>
      <w:r>
        <w:rPr>
          <w:rFonts w:ascii="Arial" w:cs="Arial" w:eastAsia="Arial" w:hAnsi="Arial"/>
          <w:sz w:val="16"/>
          <w:szCs w:val="16"/>
          <w:b w:val="1"/>
          <w:bCs w:val="1"/>
          <w:color w:val="auto"/>
        </w:rPr>
        <w:t xml:space="preserve">Deferred Revenue: </w:t>
      </w:r>
      <w:r>
        <w:rPr>
          <w:rFonts w:ascii="Arial" w:cs="Arial" w:eastAsia="Arial" w:hAnsi="Arial"/>
          <w:sz w:val="16"/>
          <w:szCs w:val="16"/>
          <w:color w:val="auto"/>
        </w:rPr>
        <w:t>Deferred revenue primarily consists of billings or payments received in advance of revenue recognition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w:t>
      </w:r>
    </w:p>
    <w:p>
      <w:pPr>
        <w:spacing w:after="0" w:line="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12-month period are recorded as deferred revenue, current portion, and the remaining portion is recorded as deferred revenue, net of current portion on the consolidated balance sheets.</w:t>
      </w:r>
    </w:p>
    <w:p>
      <w:pPr>
        <w:spacing w:after="0" w:line="18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spacing w:after="0" w:line="172" w:lineRule="exact"/>
        <w:rPr>
          <w:sz w:val="20"/>
          <w:szCs w:val="20"/>
          <w:color w:val="auto"/>
        </w:rPr>
      </w:pPr>
    </w:p>
    <w:p>
      <w:pPr>
        <w:ind w:left="120" w:right="60" w:firstLine="881"/>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investments purchased with an original maturity of three months or</w:t>
      </w:r>
      <w:r>
        <w:rPr>
          <w:rFonts w:ascii="Arial" w:cs="Arial" w:eastAsia="Arial" w:hAnsi="Arial"/>
          <w:sz w:val="18"/>
          <w:szCs w:val="18"/>
          <w:b w:val="1"/>
          <w:bCs w:val="1"/>
          <w:color w:val="auto"/>
        </w:rPr>
        <w:t xml:space="preserve"> </w:t>
      </w:r>
      <w:r>
        <w:rPr>
          <w:rFonts w:ascii="Arial" w:cs="Arial" w:eastAsia="Arial" w:hAnsi="Arial"/>
          <w:sz w:val="18"/>
          <w:szCs w:val="18"/>
          <w:color w:val="auto"/>
        </w:rPr>
        <w:t>less at the date of purchase to be cash equivalents. Cash and cash equivalents are stated at fair value.</w:t>
      </w:r>
    </w:p>
    <w:p>
      <w:pPr>
        <w:spacing w:after="0" w:line="162"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Under ASU 2014-09, the timing and amount of revenue recognition may differ in certain situations from the revenues recognized under previous accounting guidance that limited subscription and support revenues to the customer invoice amount for the period of service (collectively billings).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our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67"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47" w:lineRule="exact"/>
        <w:rPr>
          <w:sz w:val="20"/>
          <w:szCs w:val="20"/>
          <w:color w:val="auto"/>
        </w:rPr>
      </w:pPr>
    </w:p>
    <w:p>
      <w:pPr>
        <w:jc w:val="center"/>
        <w:ind w:left="6680"/>
        <w:spacing w:after="0"/>
        <w:rPr>
          <w:sz w:val="20"/>
          <w:szCs w:val="20"/>
          <w:color w:val="auto"/>
        </w:rPr>
      </w:pPr>
      <w:r>
        <w:rPr>
          <w:rFonts w:ascii="Arial" w:cs="Arial" w:eastAsia="Arial" w:hAnsi="Arial"/>
          <w:sz w:val="14"/>
          <w:szCs w:val="14"/>
          <w:color w:val="auto"/>
        </w:rPr>
        <w:t>Fiscal Year Ended</w:t>
      </w:r>
    </w:p>
    <w:p>
      <w:pPr>
        <w:jc w:val="center"/>
        <w:ind w:left="668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c>
          <w:tcPr>
            <w:tcW w:w="3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Write offs and 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881"/>
        <w:spacing w:after="0" w:line="292" w:lineRule="auto"/>
        <w:rPr>
          <w:sz w:val="20"/>
          <w:szCs w:val="20"/>
          <w:color w:val="auto"/>
        </w:rPr>
      </w:pPr>
      <w:r>
        <w:rPr>
          <w:rFonts w:ascii="Arial" w:cs="Arial" w:eastAsia="Arial" w:hAnsi="Arial"/>
          <w:sz w:val="16"/>
          <w:szCs w:val="16"/>
          <w:b w:val="1"/>
          <w:bCs w:val="1"/>
          <w:color w:val="auto"/>
        </w:rPr>
        <w:t xml:space="preserve">Costs Capitalized to Obtain Revenue Contracts: </w:t>
      </w:r>
      <w:r>
        <w:rPr>
          <w:rFonts w:ascii="Arial" w:cs="Arial" w:eastAsia="Arial" w:hAnsi="Arial"/>
          <w:sz w:val="16"/>
          <w:szCs w:val="16"/>
          <w:color w:val="auto"/>
        </w:rPr>
        <w:t>The Company recognizes an asset for the incremental costs of obtaining a contract with</w:t>
      </w:r>
      <w:r>
        <w:rPr>
          <w:rFonts w:ascii="Arial" w:cs="Arial" w:eastAsia="Arial" w:hAnsi="Arial"/>
          <w:sz w:val="16"/>
          <w:szCs w:val="16"/>
          <w:b w:val="1"/>
          <w:bCs w:val="1"/>
          <w:color w:val="auto"/>
        </w:rPr>
        <w:t xml:space="preserve"> </w:t>
      </w:r>
      <w:r>
        <w:rPr>
          <w:rFonts w:ascii="Arial" w:cs="Arial" w:eastAsia="Arial" w:hAnsi="Arial"/>
          <w:sz w:val="16"/>
          <w:szCs w:val="16"/>
          <w:color w:val="auto"/>
        </w:rPr>
        <w:t>a customer if the Company expects the benefit of those costs to be longer than one year. The Company has determined that certain sales incentive programs meet the requirements to be capitalized. The costs capitalized under ASU 2014-09 are primarily sales commissions paid to commissioned sales personnel. Capitalized costs also include portions of fringe benefits and payroll taxes associated with compensation for incremental costs to acquire customer contracts. Capitalized costs to obtain a contract are amortized over the expected period of benefit, which the Company has determined to be approximately 4 years. Amortization of capitalized costs are included in costs of revenues – professional services, research and development, and within sales and marketing expense in the Company’s consolidated statements of operations.</w:t>
      </w:r>
    </w:p>
    <w:p>
      <w:pPr>
        <w:spacing w:after="0" w:line="161" w:lineRule="exact"/>
        <w:rPr>
          <w:sz w:val="20"/>
          <w:szCs w:val="20"/>
          <w:color w:val="auto"/>
        </w:rPr>
      </w:pPr>
    </w:p>
    <w:p>
      <w:pPr>
        <w:ind w:left="120" w:right="160" w:firstLine="881"/>
        <w:spacing w:after="0" w:line="26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Depreciation is calculated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 over the estimated useful lives of the assets and commences once the asset is placed in service or is ready for its intended use. The estimated useful lives by asset classification are generally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5840" w:type="dxa"/>
            <w:vAlign w:val="bottom"/>
            <w:gridSpan w:val="2"/>
          </w:tcPr>
          <w:p>
            <w:pPr>
              <w:spacing w:after="0"/>
              <w:rPr>
                <w:sz w:val="20"/>
                <w:szCs w:val="20"/>
                <w:color w:val="auto"/>
              </w:rPr>
            </w:pPr>
            <w:r>
              <w:rPr>
                <w:rFonts w:ascii="Arial" w:cs="Arial" w:eastAsia="Arial" w:hAnsi="Arial"/>
                <w:sz w:val="14"/>
                <w:szCs w:val="14"/>
                <w:color w:val="auto"/>
              </w:rPr>
              <w:t>Asset Classification</w:t>
            </w:r>
          </w:p>
        </w:tc>
        <w:tc>
          <w:tcPr>
            <w:tcW w:w="5180" w:type="dxa"/>
            <w:vAlign w:val="bottom"/>
          </w:tcPr>
          <w:p>
            <w:pPr>
              <w:spacing w:after="0"/>
              <w:rPr>
                <w:sz w:val="20"/>
                <w:szCs w:val="20"/>
                <w:color w:val="auto"/>
              </w:rPr>
            </w:pPr>
            <w:r>
              <w:rPr>
                <w:rFonts w:ascii="Arial" w:cs="Arial" w:eastAsia="Arial" w:hAnsi="Arial"/>
                <w:sz w:val="14"/>
                <w:szCs w:val="14"/>
                <w:color w:val="auto"/>
              </w:rPr>
              <w:t>Estimated Useful Life</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3-7 years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Computers and equipment</w:t>
            </w:r>
          </w:p>
        </w:tc>
        <w:tc>
          <w:tcPr>
            <w:tcW w:w="5180" w:type="dxa"/>
            <w:vAlign w:val="bottom"/>
          </w:tcPr>
          <w:p>
            <w:pPr>
              <w:spacing w:after="0"/>
              <w:rPr>
                <w:sz w:val="20"/>
                <w:szCs w:val="20"/>
                <w:color w:val="auto"/>
              </w:rPr>
            </w:pPr>
            <w:r>
              <w:rPr>
                <w:rFonts w:ascii="Arial" w:cs="Arial" w:eastAsia="Arial" w:hAnsi="Arial"/>
                <w:sz w:val="18"/>
                <w:szCs w:val="18"/>
                <w:color w:val="auto"/>
              </w:rPr>
              <w:t>3 years</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80" w:type="dxa"/>
            <w:vAlign w:val="bottom"/>
          </w:tcPr>
          <w:p>
            <w:pPr>
              <w:spacing w:after="0"/>
              <w:rPr>
                <w:sz w:val="20"/>
                <w:szCs w:val="20"/>
                <w:color w:val="auto"/>
              </w:rPr>
            </w:pPr>
            <w:r>
              <w:rPr>
                <w:rFonts w:ascii="Arial" w:cs="Arial" w:eastAsia="Arial" w:hAnsi="Arial"/>
                <w:sz w:val="18"/>
                <w:szCs w:val="18"/>
                <w:color w:val="auto"/>
              </w:rPr>
              <w:t>Shorter of remaining life of the lease term or estimated useful life</w:t>
            </w:r>
          </w:p>
        </w:tc>
      </w:tr>
    </w:tbl>
    <w:p>
      <w:pPr>
        <w:spacing w:after="0" w:line="202"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When assets are retired or otherwise disposed of, the cost and accumulated depreciation or amortization are removed from their respective accounts, and any gain or loss on such retirement is reflected in operating expenses.</w:t>
      </w:r>
    </w:p>
    <w:p>
      <w:pPr>
        <w:spacing w:after="0" w:line="166" w:lineRule="exact"/>
        <w:rPr>
          <w:sz w:val="20"/>
          <w:szCs w:val="20"/>
          <w:color w:val="auto"/>
        </w:rPr>
      </w:pPr>
    </w:p>
    <w:p>
      <w:pPr>
        <w:ind w:left="120" w:right="120" w:firstLine="881"/>
        <w:spacing w:after="0" w:line="256" w:lineRule="auto"/>
        <w:rPr>
          <w:sz w:val="20"/>
          <w:szCs w:val="20"/>
          <w:color w:val="auto"/>
        </w:rPr>
      </w:pPr>
      <w:r>
        <w:rPr>
          <w:rFonts w:ascii="Arial" w:cs="Arial" w:eastAsia="Arial" w:hAnsi="Arial"/>
          <w:sz w:val="18"/>
          <w:szCs w:val="18"/>
          <w:b w:val="1"/>
          <w:bCs w:val="1"/>
          <w:color w:val="auto"/>
        </w:rPr>
        <w:t xml:space="preserve">Capitalized Software Costs: </w:t>
      </w:r>
      <w:r>
        <w:rPr>
          <w:rFonts w:ascii="Arial" w:cs="Arial" w:eastAsia="Arial" w:hAnsi="Arial"/>
          <w:sz w:val="18"/>
          <w:szCs w:val="18"/>
          <w:color w:val="auto"/>
        </w:rPr>
        <w:t>Costs related to software developed for internal use are capitalized during the application development stage.</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preliminary internal or external project activities and post implementation activities are expensed as incurred. Capitalized internal-use software is amortized on a straight-line basis over its estimated useful life, which is generally two to five years. Capitalized software costs useful lives are evaluated on an annual basis and tested for impairment whenever events or changes indicate that the carrying amount of an asset may not be recoverable. There were no costs capitalized during the fiscal years ended January 31, 2018, 2019 or 2020 and there were no unamortized capitalized software costs as of January 31, 2019 and 2020.</w:t>
      </w:r>
    </w:p>
    <w:p>
      <w:pPr>
        <w:spacing w:after="0" w:line="187" w:lineRule="exact"/>
        <w:rPr>
          <w:sz w:val="20"/>
          <w:szCs w:val="20"/>
          <w:color w:val="auto"/>
        </w:rPr>
      </w:pPr>
    </w:p>
    <w:p>
      <w:pPr>
        <w:ind w:left="120" w:right="440" w:firstLine="881"/>
        <w:spacing w:after="0" w:line="282"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Intangible assets are amortized over their estimated useful lives. Each period, the Company evaluates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useful life of its intangible assets and whether events or changes in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circumstances warrant a revision to the remaining period of amortization. Management tests for impairment whenever events or changes in circumstances occur that could impact the recoverability of these assets.</w:t>
      </w:r>
    </w:p>
    <w:p>
      <w:pPr>
        <w:spacing w:after="0" w:line="166"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b w:val="1"/>
          <w:bCs w:val="1"/>
          <w:color w:val="auto"/>
        </w:rPr>
        <w:t>Impairment Assessment</w:t>
      </w:r>
      <w:r>
        <w:rPr>
          <w:rFonts w:ascii="Arial" w:cs="Arial" w:eastAsia="Arial" w:hAnsi="Arial"/>
          <w:sz w:val="18"/>
          <w:szCs w:val="18"/>
          <w:color w:val="auto"/>
        </w:rPr>
        <w:t>: The Company evaluates intangible assets and long-lived assets for possible impairment whenever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2018, 2019 and 2020.</w:t>
      </w:r>
    </w:p>
    <w:p>
      <w:pPr>
        <w:spacing w:after="0" w:line="18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excess of the purchase price in a business combination over the fair value of net assets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Goodwill 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In the year ended January 31, 2020, the Company elected to early adopt ASU 2017-04,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Test for Goodwill Impairment” </w:t>
      </w:r>
      <w:r>
        <w:rPr>
          <w:rFonts w:ascii="Arial" w:cs="Arial" w:eastAsia="Arial" w:hAnsi="Arial"/>
          <w:sz w:val="16"/>
          <w:szCs w:val="16"/>
          <w:color w:val="auto"/>
        </w:rPr>
        <w:t>for its annual goodwill impairment test. ASU 2017-04 removes Step 2 of the goodwill impairment test requiring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purchase price allocation.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There is no goodwill impairment for the years ended January 31, 2018, 2019, and 2020.</w:t>
      </w:r>
    </w:p>
    <w:p>
      <w:pPr>
        <w:spacing w:after="0" w:line="163"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The Company determines the fair value of a reporting unit using a discounted cash flow analysis that is corroborated by a market-based approach. Determining fair value requires the exercise of significant judgment, including judgment about appropriate discount rates, perpetual growth rates and the amount and timing of expected future cash flows. The cash flows employed in the discounted cash flow analyses are based on the most recent budget and long-term forecast. The discount rates used in the discounted cash flow analyses are intended to reflect the risks inherent in the future cash flows of the respective reporting units. The market comparable approach estimates fair value using market multiples of various financial measures compared to a set of comparable public companies and recent comparable transactions.</w:t>
      </w:r>
    </w:p>
    <w:p>
      <w:pPr>
        <w:spacing w:after="0" w:line="17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Business Combinations</w:t>
      </w:r>
      <w:r>
        <w:rPr>
          <w:rFonts w:ascii="Arial" w:cs="Arial" w:eastAsia="Arial" w:hAnsi="Arial"/>
          <w:sz w:val="16"/>
          <w:szCs w:val="16"/>
          <w:color w:val="auto"/>
        </w:rPr>
        <w:t>: Several valuation methods may be used to determine the fair value of assets acquired and liabilities assumed.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uses its best estimates and assumptions to assign fair value to the tangible and intangible assets acquired and liabilities assumed at the acquisition date. The Company’s estimates are inherently uncertain and subject to refinement. For intangible assets, the Company typically uses the income method. This method starts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 Determining the useful life of an intangible asset also requires judgment as different types of intangible assets will have different useful lives and certain assets may even be considered to have indefinite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7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spacing w:after="0" w:line="188"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7"/>
          <w:szCs w:val="17"/>
          <w:b w:val="1"/>
          <w:bCs w:val="1"/>
          <w:color w:val="auto"/>
        </w:rPr>
        <w:t xml:space="preserve">Deferred Rent: </w:t>
      </w:r>
      <w:r>
        <w:rPr>
          <w:rFonts w:ascii="Arial" w:cs="Arial" w:eastAsia="Arial" w:hAnsi="Arial"/>
          <w:sz w:val="17"/>
          <w:szCs w:val="17"/>
          <w:color w:val="auto"/>
        </w:rPr>
        <w:t>Operating leases rent expense is recognized on a straight-line basis over the terms of the leases and the difference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cash rent payments and recognized rent expense is recorded as a deferred rent liability. Landlord-funded leasehold improvements are also recorded as deferred rent liabilities and amortized as a reduction of rent expense over the non-cancelable term of the related operating lease. The Company may receive rent holidays and other incentives. The Company recognizes lease costs on a straight-line basis once control of the space is achieved, without regard to deferred payments such as rent holidays that defer the commencement date of required payments.</w:t>
      </w:r>
    </w:p>
    <w:p>
      <w:pPr>
        <w:spacing w:after="0" w:line="168" w:lineRule="exact"/>
        <w:rPr>
          <w:sz w:val="20"/>
          <w:szCs w:val="20"/>
          <w:color w:val="auto"/>
        </w:rPr>
      </w:pPr>
    </w:p>
    <w:p>
      <w:pPr>
        <w:ind w:left="120" w:right="20" w:firstLine="881"/>
        <w:spacing w:after="0" w:line="274"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Cost of subscription and support revenues consist of costs related to hosting the Company’s software solution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spacing w:after="0" w:line="173" w:lineRule="exact"/>
        <w:rPr>
          <w:sz w:val="20"/>
          <w:szCs w:val="20"/>
          <w:color w:val="auto"/>
        </w:rPr>
      </w:pPr>
    </w:p>
    <w:p>
      <w:pPr>
        <w:ind w:left="120" w:right="320" w:firstLine="881"/>
        <w:spacing w:after="0" w:line="289" w:lineRule="auto"/>
        <w:rPr>
          <w:sz w:val="20"/>
          <w:szCs w:val="20"/>
          <w:color w:val="auto"/>
        </w:rPr>
      </w:pPr>
      <w:r>
        <w:rPr>
          <w:rFonts w:ascii="Arial" w:cs="Arial" w:eastAsia="Arial" w:hAnsi="Arial"/>
          <w:sz w:val="17"/>
          <w:szCs w:val="17"/>
          <w:b w:val="1"/>
          <w:bCs w:val="1"/>
          <w:color w:val="auto"/>
        </w:rPr>
        <w:t xml:space="preserve">Advertising: </w:t>
      </w:r>
      <w:r>
        <w:rPr>
          <w:rFonts w:ascii="Arial" w:cs="Arial" w:eastAsia="Arial" w:hAnsi="Arial"/>
          <w:sz w:val="17"/>
          <w:szCs w:val="17"/>
          <w:color w:val="auto"/>
        </w:rPr>
        <w:t>Advertising costs are expensed as incurred and consist of advertising, third-party marketing, branded marketing,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conference and event expenses. Advertising expenses are recorded in sales and marketing expenses in the consolidated statements of operations and were $1.2 million, $1.8 million and $3.7 million for the fiscal years ended January 31, 2018, 2019 and 2020, respectively.</w:t>
      </w:r>
    </w:p>
    <w:p>
      <w:pPr>
        <w:spacing w:after="0" w:line="158" w:lineRule="exact"/>
        <w:rPr>
          <w:sz w:val="20"/>
          <w:szCs w:val="20"/>
          <w:color w:val="auto"/>
        </w:rPr>
      </w:pPr>
    </w:p>
    <w:p>
      <w:pPr>
        <w:ind w:left="120" w:right="20" w:firstLine="881"/>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are determined using the asset and liability method, whereby deferred tax assets are recognized for</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 such as net operating losses. Deferred tax assets and liabilities are adjusted for the effects of the changes in tax laws and rates</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the date of enactment within income tax expense. The Company reflects the expected amount of income taxes to be paid or refunded during the year as current income tax expense or benefit, as applicable.</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more-likely-than-not that some portion or all of the deferred tax assets will not be realized.</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When and if applicable, potential interest and penalties are accrued as incurred, within income tax expense.</w:t>
      </w:r>
    </w:p>
    <w:p>
      <w:pPr>
        <w:spacing w:after="0" w:line="221" w:lineRule="exact"/>
        <w:rPr>
          <w:sz w:val="20"/>
          <w:szCs w:val="20"/>
          <w:color w:val="auto"/>
        </w:rPr>
      </w:pPr>
    </w:p>
    <w:p>
      <w:pPr>
        <w:ind w:left="120" w:right="460" w:firstLine="881"/>
        <w:spacing w:after="0" w:line="282"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Accumulated other comprehensive income (loss) is reported as a component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includes unrealized gains and losses on foreign currency translation adjustments.</w:t>
      </w:r>
    </w:p>
    <w:p>
      <w:pPr>
        <w:spacing w:after="0" w:line="162"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b w:val="1"/>
          <w:bCs w:val="1"/>
          <w:color w:val="auto"/>
        </w:rPr>
        <w:t xml:space="preserve">Foreign Currency Exchange: </w:t>
      </w:r>
      <w:r>
        <w:rPr>
          <w:rFonts w:ascii="Arial" w:cs="Arial" w:eastAsia="Arial" w:hAnsi="Arial"/>
          <w:sz w:val="17"/>
          <w:szCs w:val="17"/>
          <w:color w:val="auto"/>
        </w:rPr>
        <w:t>The functional currency of the Company’s foreign subsidiaries is generally the local currency. 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translating foreign functional currency financial statements into U.S. dollars are recorded as a separate component on the consolidated statements of comprehensive loss recorded in foreign currency translation line item. Foreign currency transaction gains and losses due to remeasurement are included in other expense in the consolidated statements of operations and were $0.005 million, $0.1 million, and $0.04 million for the fiscal years ended January 31, 2018, 2019 and 2020, respectively, primarily related to various intercompany loans.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72" w:lineRule="exact"/>
        <w:rPr>
          <w:sz w:val="20"/>
          <w:szCs w:val="20"/>
          <w:color w:val="auto"/>
        </w:rPr>
      </w:pPr>
    </w:p>
    <w:p>
      <w:pPr>
        <w:ind w:left="120" w:right="180" w:firstLine="881"/>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As further described in Note 11, the Company records compensation expense associated with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equity-based compensation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establishes fair value as the measurement objective in accounting for share-based payment transactions with employees and recognizes expense on a straight-line basis over the applicable vesting period.</w:t>
      </w:r>
    </w:p>
    <w:p>
      <w:pPr>
        <w:spacing w:after="0" w:line="180" w:lineRule="exact"/>
        <w:rPr>
          <w:sz w:val="20"/>
          <w:szCs w:val="20"/>
          <w:color w:val="auto"/>
        </w:rPr>
      </w:pPr>
    </w:p>
    <w:p>
      <w:pPr>
        <w:ind w:left="120" w:right="220" w:firstLine="881"/>
        <w:spacing w:after="0" w:line="282" w:lineRule="auto"/>
        <w:rPr>
          <w:sz w:val="20"/>
          <w:szCs w:val="20"/>
          <w:color w:val="auto"/>
        </w:rPr>
      </w:pPr>
      <w:r>
        <w:rPr>
          <w:rFonts w:ascii="Arial" w:cs="Arial" w:eastAsia="Arial" w:hAnsi="Arial"/>
          <w:sz w:val="18"/>
          <w:szCs w:val="18"/>
          <w:b w:val="1"/>
          <w:bCs w:val="1"/>
          <w:color w:val="auto"/>
        </w:rPr>
        <w:t xml:space="preserve">Basic and Diluted Loss per Common Share: </w:t>
      </w:r>
      <w:r>
        <w:rPr>
          <w:rFonts w:ascii="Arial" w:cs="Arial" w:eastAsia="Arial" w:hAnsi="Arial"/>
          <w:sz w:val="18"/>
          <w:szCs w:val="18"/>
          <w:color w:val="auto"/>
        </w:rPr>
        <w:t>Basic loss per share is calculated by dividing the net loss attributable to nCino, Inc. by the</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weighted-average number of shares of common stock outstanding for the period.</w:t>
      </w:r>
    </w:p>
    <w:p>
      <w:pPr>
        <w:spacing w:after="0" w:line="166"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Diluted loss per share is calculated by giving effect to all potentially dilutive common stock, which is comprised of stock options and restricted stock units, when determining the weighted-average number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common shares outstanding. For purposes of the diluted loss per share calculation, basic and diluted loss per share were the same, as the effect of all potentially dilutive securities would have been anti-dilutive.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On May 28, 2014, the FASB issued ASU 2014-09 requiring an entity to recognize the amount of revenues to which it expects to be entitled for the transfer of promised goods or services to customers. ASU 2014-09 also includes Subtopic 340-40, Other Assets and Deferred Costs – Contracts with Customers, which requires the capitalization of incremental costs to obtain a contract with a customer. The new revenue standard replaces most existing revenue recognition guidance in U.S. GAAP and permits the use of either the full retrospective or modified retrospective transition method.</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adopted the requirements of ASU 2014-09 as of February 1, 2019 and utilized the modified retrospective transition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recognized the following cumulative effects of initially applying the new revenue standard: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As of January 31,</w:t>
            </w:r>
          </w:p>
        </w:tc>
        <w:tc>
          <w:tcPr>
            <w:tcW w:w="34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color w:val="auto"/>
              </w:rPr>
              <w:t>Topic 606</w:t>
            </w:r>
          </w:p>
        </w:tc>
        <w:tc>
          <w:tcPr>
            <w:tcW w:w="36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As of February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Accounts receivable, less allowance for doubtful accounts </w:t>
            </w:r>
            <w:r>
              <w:rPr>
                <w:rFonts w:ascii="Arial" w:cs="Arial" w:eastAsia="Arial" w:hAnsi="Arial"/>
                <w:sz w:val="15"/>
                <w:szCs w:val="15"/>
                <w:color w:val="auto"/>
              </w:rPr>
              <w:t>(1)</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(1,978)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Costs capitalized to obtain revenue contracts, current portion, net</w:t>
            </w: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2,879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revenue contracts, noncurrent,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2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119,966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34,172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825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53,930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(5,191)</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48,739</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(104,752)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11,422</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Unbilled accounts receivable previously included in Accounts receivable, less allowance for doubtful accounts before the adoption of Topic 606.</w:t>
      </w:r>
    </w:p>
    <w:p>
      <w:pPr>
        <w:spacing w:after="0" w:line="24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Company recognized the cumulative effect of initially applying the new revenue standard as a positive adjustment to the opening balance of accumulated deficit on the consolidated balance sheet in the amount of $11.4 million, which reflects the acceleration of revenues and deferral of costs capitalized to obtain revenue contracts. The following is a summary of the adoption impacts of the new revenue standard:</w:t>
      </w:r>
    </w:p>
    <w:p>
      <w:pPr>
        <w:spacing w:after="0" w:line="71" w:lineRule="exact"/>
        <w:rPr>
          <w:sz w:val="20"/>
          <w:szCs w:val="20"/>
          <w:color w:val="auto"/>
        </w:rPr>
      </w:pPr>
    </w:p>
    <w:p>
      <w:pPr>
        <w:ind w:left="1420" w:right="320" w:hanging="319"/>
        <w:spacing w:after="0" w:line="263"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capitalized $8.2 million of contract acquisition costs comprised of sales commissions at the adoption date with a corresponding adjustment to accumulated deficit. The Company is amortizing these costs over their respective expected period of benefit.</w:t>
      </w:r>
    </w:p>
    <w:p>
      <w:pPr>
        <w:spacing w:after="0" w:line="89"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adoption, the Company recorded a decrease in deferred revenue of $5.2 million and a decrease of $2.0 million in receivables that were recorded to accumulated deficit.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Adoption of the new revenue standard impacted the Company’s consolidated statement of operations for the year ended January 31, 2020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follows:</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center"/>
              <w:ind w:left="119"/>
              <w:spacing w:after="0"/>
              <w:rPr>
                <w:sz w:val="20"/>
                <w:szCs w:val="20"/>
                <w:color w:val="auto"/>
              </w:rPr>
            </w:pPr>
            <w:r>
              <w:rPr>
                <w:rFonts w:ascii="Arial" w:cs="Arial" w:eastAsia="Arial" w:hAnsi="Arial"/>
                <w:sz w:val="14"/>
                <w:szCs w:val="14"/>
                <w:color w:val="auto"/>
                <w:w w:val="96"/>
              </w:rPr>
              <w:t>Amounts without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Topic 606</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Topic 606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rPr>
              <w:t>As reported</w:t>
            </w:r>
          </w:p>
        </w:tc>
        <w:tc>
          <w:tcPr>
            <w:tcW w:w="1420" w:type="dxa"/>
            <w:vAlign w:val="bottom"/>
            <w:gridSpan w:val="4"/>
          </w:tcPr>
          <w:p>
            <w:pPr>
              <w:jc w:val="right"/>
              <w:ind w:right="380"/>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adoption impact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103,265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34,915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138,180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Subscription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b w:val="1"/>
                <w:bCs w:val="1"/>
                <w:color w:val="auto"/>
              </w:rPr>
              <w:t>Total cost of revenues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102,280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nCino, Inc.</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(27,594)</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(30,433)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Adoption of the new revenue standard impacted the Company’s consolidated balance sheet as of January 31, 2020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4"/>
          </w:tcPr>
          <w:p>
            <w:pPr>
              <w:jc w:val="center"/>
              <w:ind w:left="188"/>
              <w:spacing w:after="0"/>
              <w:rPr>
                <w:sz w:val="20"/>
                <w:szCs w:val="20"/>
                <w:color w:val="auto"/>
              </w:rPr>
            </w:pPr>
            <w:r>
              <w:rPr>
                <w:rFonts w:ascii="Arial" w:cs="Arial" w:eastAsia="Arial" w:hAnsi="Arial"/>
                <w:sz w:val="14"/>
                <w:szCs w:val="14"/>
                <w:color w:val="auto"/>
                <w:w w:val="96"/>
              </w:rPr>
              <w:t>Amounts without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Topic 606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Topic 606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As reported</w:t>
            </w:r>
          </w:p>
        </w:tc>
        <w:tc>
          <w:tcPr>
            <w:tcW w:w="1520" w:type="dxa"/>
            <w:vAlign w:val="bottom"/>
            <w:gridSpan w:val="4"/>
          </w:tcPr>
          <w:p>
            <w:pPr>
              <w:ind w:left="360"/>
              <w:spacing w:after="0"/>
              <w:rPr>
                <w:sz w:val="20"/>
                <w:szCs w:val="20"/>
                <w:color w:val="auto"/>
              </w:rPr>
            </w:pPr>
            <w:r>
              <w:rPr>
                <w:rFonts w:ascii="Arial" w:cs="Arial" w:eastAsia="Arial" w:hAnsi="Arial"/>
                <w:sz w:val="14"/>
                <w:szCs w:val="14"/>
                <w:color w:val="auto"/>
              </w:rPr>
              <w:t>Adjustments</w:t>
            </w:r>
          </w:p>
        </w:tc>
        <w:tc>
          <w:tcPr>
            <w:tcW w:w="3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adoption impact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Accounts receivable, less allowance for doubtful accounts</w:t>
            </w:r>
          </w:p>
        </w:tc>
        <w:tc>
          <w:tcPr>
            <w:tcW w:w="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34,205</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Costs capitalized to obtain revenue contracts, current</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portion, net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3,608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(3,608)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Costs capitalized to obtain revenue contracts, noncurrent,</w:t>
            </w: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249,894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(10,348)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239,546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78,517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3,923</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920" w:type="dxa"/>
            <w:vAlign w:val="bottom"/>
            <w:gridSpan w:val="3"/>
          </w:tcPr>
          <w:p>
            <w:pPr>
              <w:jc w:val="right"/>
              <w:ind w:right="380"/>
              <w:spacing w:after="0"/>
              <w:rPr>
                <w:sz w:val="20"/>
                <w:szCs w:val="20"/>
                <w:color w:val="auto"/>
              </w:rPr>
            </w:pPr>
            <w:r>
              <w:rPr>
                <w:rFonts w:ascii="Arial" w:cs="Arial" w:eastAsia="Arial" w:hAnsi="Arial"/>
                <w:sz w:val="18"/>
                <w:szCs w:val="18"/>
                <w:color w:val="auto"/>
              </w:rPr>
              <w:t>(408)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(120,924)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(14,261)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(135,185)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20" w:type="dxa"/>
            <w:vAlign w:val="bottom"/>
            <w:gridSpan w:val="3"/>
          </w:tcPr>
          <w:p>
            <w:pPr>
              <w:jc w:val="right"/>
              <w:ind w:right="1440"/>
              <w:spacing w:after="0"/>
              <w:rPr>
                <w:sz w:val="20"/>
                <w:szCs w:val="20"/>
                <w:color w:val="auto"/>
              </w:rPr>
            </w:pPr>
            <w:r>
              <w:rPr>
                <w:rFonts w:ascii="Arial" w:cs="Arial" w:eastAsia="Arial" w:hAnsi="Arial"/>
                <w:sz w:val="18"/>
                <w:szCs w:val="18"/>
                <w:color w:val="auto"/>
              </w:rPr>
              <w:t>F-19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adoption of ASU 2014-09 had no impact on cash provided by or used in operating, investing, or financing activities in the Company’s consolidated statement of cash flows. Additionally, the adoption of ASU 2014-09 did not have a material impact on the Company’s consolidated statement of comprehensive loss or the provision for income taxes.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most significant impact of the new revenue standard relates to the capitalization of certain incremental costs to acquire contracts and the requirement to amortize these amounts over the expected period of benefit. Under the previous standard, the Company expensed costs related to the acquisition of revenue generating contracts as incurred. There was impact from arrangements with customers that include subscription services bundled with professional services driven by a change in allocation of transaction value amongst performance obligations under the new standard. Additionally, there was impact from the Company’s acquisitions which are not material to the Company’s overall revenues. These consisted of principal versus agent consideration (reporting revenues gross vs. net – approximately a $0.9 million decrease to subscription revenues and cost of revenues to present net under ASU 2014-09) and a perpetual license model (approximately $0.6 million increase impact to subscription revenues to accelerate revenues).</w:t>
      </w:r>
    </w:p>
    <w:p>
      <w:pPr>
        <w:spacing w:after="0" w:line="166"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Other impacts to policies and disclosures include deferred recognition of revenues for certain contracts, the requirement to estimate variable consideration for certain arrangements, increased allocation of revenues to and from professional services and other offerings and changes to financial statement disclosures such as new disclosures related to remaining performance obligations. However, the timing and pattern of revenue recognition related to professional services remain substantially unchanged.</w:t>
      </w:r>
    </w:p>
    <w:p>
      <w:pPr>
        <w:spacing w:after="0" w:line="187" w:lineRule="exact"/>
        <w:rPr>
          <w:sz w:val="20"/>
          <w:szCs w:val="20"/>
          <w:color w:val="auto"/>
        </w:rPr>
      </w:pPr>
    </w:p>
    <w:p>
      <w:pPr>
        <w:jc w:val="both"/>
        <w:ind w:left="120" w:right="180" w:firstLine="881"/>
        <w:spacing w:after="0" w:line="259" w:lineRule="auto"/>
        <w:rPr>
          <w:sz w:val="20"/>
          <w:szCs w:val="20"/>
          <w:color w:val="auto"/>
        </w:rPr>
      </w:pPr>
      <w:r>
        <w:rPr>
          <w:rFonts w:ascii="Arial" w:cs="Arial" w:eastAsia="Arial" w:hAnsi="Arial"/>
          <w:sz w:val="18"/>
          <w:szCs w:val="18"/>
          <w:color w:val="auto"/>
        </w:rPr>
        <w:t>The Company utilized the transitional practical expedient provisions in adopting ASU 2014-09 to apply the new revenue standard and the related changes retrospectively to contracts that were not completed contracts upon initial application. Additionally, the Company did not analyze and separately retrospectively restate each contract modification, but instead reflected the aggregate effect of all modifications occurring before the date of adoption consistent with the transition guidance.</w:t>
      </w:r>
    </w:p>
    <w:p>
      <w:pPr>
        <w:spacing w:after="0" w:line="187"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The Company also adopted the following ASUs effective February 1, 2019, none of which had a material impact on the Company’s consolidated financial statements.</w:t>
      </w:r>
    </w:p>
    <w:p>
      <w:pPr>
        <w:spacing w:after="0" w:line="76" w:lineRule="exact"/>
        <w:rPr>
          <w:sz w:val="20"/>
          <w:szCs w:val="20"/>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ASU 2016-15, </w:t>
      </w:r>
      <w:r>
        <w:rPr>
          <w:rFonts w:ascii="Arial" w:cs="Arial" w:eastAsia="Arial" w:hAnsi="Arial"/>
          <w:sz w:val="18"/>
          <w:szCs w:val="18"/>
          <w:i w:val="1"/>
          <w:iCs w:val="1"/>
          <w:color w:val="auto"/>
        </w:rPr>
        <w:t>Statement of Cash Flows (Topic 230): Classification of Certain Receipts and Cash Payments</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ASU No. 2016-16, </w:t>
      </w:r>
      <w:r>
        <w:rPr>
          <w:rFonts w:ascii="Arial" w:cs="Arial" w:eastAsia="Arial" w:hAnsi="Arial"/>
          <w:sz w:val="18"/>
          <w:szCs w:val="18"/>
          <w:i w:val="1"/>
          <w:iCs w:val="1"/>
          <w:color w:val="auto"/>
        </w:rPr>
        <w:t>Income Taxes (Topic 740): Intra-Entity Transfers of Assets Other Than Inventory</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ASU 2017-04, </w:t>
      </w:r>
      <w:r>
        <w:rPr>
          <w:rFonts w:ascii="Arial" w:cs="Arial" w:eastAsia="Arial" w:hAnsi="Arial"/>
          <w:sz w:val="18"/>
          <w:szCs w:val="18"/>
          <w:i w:val="1"/>
          <w:iCs w:val="1"/>
          <w:color w:val="auto"/>
        </w:rPr>
        <w:t>Intangibles – Goodwill and Other (Topic 350): Simplifying the Test for Goodwill Impairment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ASU 2018-07, </w:t>
      </w:r>
      <w:r>
        <w:rPr>
          <w:rFonts w:ascii="Arial" w:cs="Arial" w:eastAsia="Arial" w:hAnsi="Arial"/>
          <w:sz w:val="16"/>
          <w:szCs w:val="16"/>
          <w:i w:val="1"/>
          <w:iCs w:val="1"/>
          <w:color w:val="auto"/>
        </w:rPr>
        <w:t>Compensation – Stock Compensation (Topic 718): Improvements to Nonemployee Share-Based Payment Accounting</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the underlying asset available to the lessee. For lessors, accounting for leases is substantially the same as in prior periods.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2020, and interim periods within annual periods beginning after December 15, 2021,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66"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changes the impairment model for most financial assets. The new model uses a forward-looking expected loss method,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The Company is currently evaluating the impact of this standard to the consolidated financial statements.</w:t>
      </w:r>
    </w:p>
    <w:p>
      <w:pPr>
        <w:spacing w:after="0" w:line="161"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which eliminates certain disclosure requirements for fair value measurements for all entities, requires public</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currently evaluating the impact of this standard to the consolidated financial statements.</w:t>
      </w:r>
    </w:p>
    <w:p>
      <w:pPr>
        <w:spacing w:after="0" w:line="192"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standard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is currently evaluating the impact of this standard to the consolidated financial statements.</w:t>
      </w:r>
    </w:p>
    <w:p>
      <w:pPr>
        <w:spacing w:after="0" w:line="164" w:lineRule="exact"/>
        <w:rPr>
          <w:sz w:val="20"/>
          <w:szCs w:val="20"/>
          <w:color w:val="auto"/>
        </w:rPr>
      </w:pPr>
    </w:p>
    <w:p>
      <w:pPr>
        <w:ind w:left="120" w:right="160" w:firstLine="881"/>
        <w:spacing w:after="0" w:line="293" w:lineRule="auto"/>
        <w:rPr>
          <w:sz w:val="20"/>
          <w:szCs w:val="20"/>
          <w:color w:val="auto"/>
        </w:rPr>
      </w:pPr>
      <w:r>
        <w:rPr>
          <w:rFonts w:ascii="Arial" w:cs="Arial" w:eastAsia="Arial" w:hAnsi="Arial"/>
          <w:sz w:val="16"/>
          <w:szCs w:val="16"/>
          <w:color w:val="auto"/>
        </w:rPr>
        <w:t xml:space="preserve">In October 2018, the FASB issued Accounting Standards Update (“ASU”) 2018-17, </w:t>
      </w:r>
      <w:r>
        <w:rPr>
          <w:rFonts w:ascii="Arial" w:cs="Arial" w:eastAsia="Arial" w:hAnsi="Arial"/>
          <w:sz w:val="16"/>
          <w:szCs w:val="16"/>
          <w:i w:val="1"/>
          <w:iCs w:val="1"/>
          <w:color w:val="auto"/>
        </w:rPr>
        <w:t>Consolidation (Topic 810),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 which addresses the cost and complexity of financial reporting associated with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Company is evaluating the effect of adopting this new accounting guidance, but does not expect adoption will have a material impact on the Company’s financial statements.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In December 2019, the FASB issued ASU 2019-12, I</w:t>
      </w:r>
      <w:r>
        <w:rPr>
          <w:rFonts w:ascii="Arial" w:cs="Arial" w:eastAsia="Arial" w:hAnsi="Arial"/>
          <w:sz w:val="16"/>
          <w:szCs w:val="16"/>
          <w:i w:val="1"/>
          <w:iCs w:val="1"/>
          <w:color w:val="auto"/>
        </w:rPr>
        <w:t>ncome Taxes (Topic 740): Simplifying the Accounting for Income Taxes</w:t>
      </w:r>
      <w:r>
        <w:rPr>
          <w:rFonts w:ascii="Arial" w:cs="Arial" w:eastAsia="Arial" w:hAnsi="Arial"/>
          <w:sz w:val="16"/>
          <w:szCs w:val="16"/>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The Company is evaluating the effect of adopting this new accounting guidance, but does not expect adoption will have a material impact on the Company’s financial statements.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approximately $4.7 million in cash in exchange for 51% of the outstanding common stock of nCino K.K. As of January 31, 2020, the Company controls a majority stake in nCino K.K.</w:t>
      </w:r>
    </w:p>
    <w:p>
      <w:pPr>
        <w:spacing w:after="0" w:line="187"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upon certain contingent events. Should the call or put option be exercised, the redemption value would be determined based on a prescribed formula derived from the discrete revenues of nCino K.K. and the Company and may be settled, at the Company’s discretion, with Company stock, if the Company is public at that time, or cash. As a result of the put right available to the redeemable non-controlling interest holders in the future, the redeemable non-controlling interests in nCino</w:t>
      </w:r>
    </w:p>
    <w:p>
      <w:pPr>
        <w:spacing w:after="0" w:line="1" w:lineRule="exact"/>
        <w:rPr>
          <w:sz w:val="20"/>
          <w:szCs w:val="20"/>
          <w:color w:val="auto"/>
        </w:rPr>
      </w:pPr>
    </w:p>
    <w:p>
      <w:pPr>
        <w:ind w:left="120" w:right="80" w:hanging="4"/>
        <w:spacing w:after="0" w:line="295" w:lineRule="auto"/>
        <w:tabs>
          <w:tab w:leader="none" w:pos="51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are classified outside of permanent equity in the Company’s consolidated balance sheet at January 31, 2020,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$0 at January 31, 2020.</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Investment by redeemable non-controlling interest</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4,513</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as of January 31, 2019 and 2020 because of the relatively short duration of these instruments.</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2019 and 2020 and indicates the fair value hierarchy of the valuation: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jc w:val="center"/>
              <w:ind w:left="337"/>
              <w:spacing w:after="0"/>
              <w:rPr>
                <w:sz w:val="20"/>
                <w:szCs w:val="20"/>
                <w:color w:val="auto"/>
              </w:rPr>
            </w:pPr>
            <w:r>
              <w:rPr>
                <w:rFonts w:ascii="Arial" w:cs="Arial" w:eastAsia="Arial" w:hAnsi="Arial"/>
                <w:sz w:val="14"/>
                <w:szCs w:val="14"/>
                <w:color w:val="auto"/>
                <w:w w:val="91"/>
              </w:rPr>
              <w:t>Fair value measurements on a recurring basis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color w:val="auto"/>
                <w:w w:val="93"/>
              </w:rPr>
              <w:t>As of January 31, 2019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59,630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7"/>
          </w:tcPr>
          <w:p>
            <w:pPr>
              <w:jc w:val="center"/>
              <w:ind w:left="337"/>
              <w:spacing w:after="0"/>
              <w:rPr>
                <w:sz w:val="20"/>
                <w:szCs w:val="20"/>
                <w:color w:val="auto"/>
              </w:rPr>
            </w:pPr>
            <w:r>
              <w:rPr>
                <w:rFonts w:ascii="Arial" w:cs="Arial" w:eastAsia="Arial" w:hAnsi="Arial"/>
                <w:sz w:val="14"/>
                <w:szCs w:val="14"/>
                <w:color w:val="auto"/>
                <w:w w:val="91"/>
              </w:rPr>
              <w:t>Fair value measurements on a recurring basis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color w:val="auto"/>
                <w:w w:val="93"/>
              </w:rPr>
              <w:t>As of January 31, 2020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(included in other long-term</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Company added contingent consideration, a Level 3 measurement, on October 18, 2019 with the acquisition of FinSuite Pty Ltd. Changes in fair value of the contingent consideration are recorded in the consolidated statements of operations within other income. The Company’s contingent consideration is valued using a probability weighted discounted cash flow analysis. Refer to Note 7, Business Combinations, for additional detailed discussion. A reconciliation of the beginning and ending balances for contingent consideration obligations are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5"/>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88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Revenues</w:t>
            </w: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20" w:type="dxa"/>
            <w:vAlign w:val="bottom"/>
            <w:gridSpan w:val="3"/>
            <w:vMerge w:val="continue"/>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Revenue by Geographic Area</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ind w:left="880"/>
              <w:spacing w:after="0"/>
              <w:rPr>
                <w:sz w:val="20"/>
                <w:szCs w:val="20"/>
                <w:color w:val="auto"/>
              </w:rPr>
            </w:pPr>
            <w:r>
              <w:rPr>
                <w:rFonts w:ascii="Arial" w:cs="Arial" w:eastAsia="Arial" w:hAnsi="Arial"/>
                <w:sz w:val="18"/>
                <w:szCs w:val="18"/>
                <w:color w:val="auto"/>
              </w:rPr>
              <w:t>Revenue by geographic region were as follows: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80" w:type="dxa"/>
            <w:vAlign w:val="bottom"/>
            <w:gridSpan w:val="9"/>
          </w:tcPr>
          <w:p>
            <w:pPr>
              <w:ind w:left="46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2018</w:t>
            </w:r>
          </w:p>
        </w:tc>
        <w:tc>
          <w:tcPr>
            <w:tcW w:w="102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$58,075</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$87,328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$127,192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58,142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countries outside the United States represented 10% or more of total revenues.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00"/>
          </w:cols>
          <w:pgMar w:left="320" w:top="459" w:right="5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 (Continued)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Amounts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ind w:left="120" w:right="720" w:firstLine="881"/>
        <w:spacing w:after="0" w:line="277" w:lineRule="auto"/>
        <w:rPr>
          <w:sz w:val="20"/>
          <w:szCs w:val="20"/>
          <w:color w:val="auto"/>
        </w:rPr>
      </w:pPr>
      <w:r>
        <w:rPr>
          <w:rFonts w:ascii="Arial" w:cs="Arial" w:eastAsia="Arial" w:hAnsi="Arial"/>
          <w:sz w:val="18"/>
          <w:szCs w:val="18"/>
          <w:color w:val="auto"/>
        </w:rPr>
        <w:t>Unbilled accounts receivable were included in accounts receivable before the adoption of ASU 2014-09. Accounts receivable, less allowance for doubtful accounts, is as follows as of January 31, 2019 and 2020:</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color w:val="auto"/>
              </w:rPr>
              <w:t>As of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$21,999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$32,686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3,589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Allowances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25,495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7"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Significant movements in the deferred revenue balance during the period consisted of increases due to payments received prior to transfer of control of the underlying performance obligations to the customer and deferred revenue assumed through business combinations, which were offset by decreases due to revenue recognized in the period. During the year ended January 31, 2020, approximately $36.7 million of revenue was recognized that was included in the adjusted opening balance of deferred revenue as of February 1, 2019.</w:t>
      </w:r>
    </w:p>
    <w:p>
      <w:pPr>
        <w:spacing w:after="0" w:line="171"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deferred revenue and unbilled amounts that will be recognized as revenue in future periods. Transaction price allocated to the remaining performance obligation is influenced by several factors, including the timing of renewals, average contract terms and foreign currency exchange rates. The Company applied practical expedients to exclude amounts related to performance obligations that are billed and recognized as they are delivered, optional purchases that do not represent material rights, and any estimated amounts of variable consideration that are subject to constraint in accordance with the new revenue standard.</w:t>
      </w:r>
    </w:p>
    <w:p>
      <w:pPr>
        <w:spacing w:after="0" w:line="192"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Remaining performance obligations were approximately $431.5 million as of January 31, 2020. The Company expects to recognize approximately 59% of its remaining performance obligation as revenues in the next 24 months, approximately 34% more in the following 25 to 48 months, and the remainder thereafter.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Costs Capitalized to Obtain Revenue Contracts</w:t>
      </w:r>
    </w:p>
    <w:p>
      <w:pPr>
        <w:spacing w:after="0" w:line="11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During the fiscal year ended January 31, 2020, we amortized $0.01 million of capitalized contract acquisition costs into costs of revenues – professional services, $0.02 million within research and development and $3.2 million within sales and marketing expense. We did not incur any impairment losses.</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The opening balance of capitalized contract acquisition costs as of February 1, 2019 was $8.2 million. As of January 31, 2020, the balance of capitalized contract acquisition costs was $10.6 million, of which $7.0 million was long-term in the consolidated balance sheets. The remaining balance of the capitalized costs to obtain contracts was current.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gridSpan w:val="8"/>
          </w:tcPr>
          <w:p>
            <w:pPr>
              <w:jc w:val="right"/>
              <w:ind w:right="367"/>
              <w:spacing w:after="0"/>
              <w:rPr>
                <w:sz w:val="20"/>
                <w:szCs w:val="20"/>
                <w:color w:val="auto"/>
              </w:rPr>
            </w:pPr>
            <w:r>
              <w:rPr>
                <w:rFonts w:ascii="Arial" w:cs="Arial" w:eastAsia="Arial" w:hAnsi="Arial"/>
                <w:sz w:val="14"/>
                <w:szCs w:val="14"/>
                <w:color w:val="auto"/>
              </w:rPr>
              <w:t>As of January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2019</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right"/>
              <w:ind w:right="7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$ 4,407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5,279</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2080" w:type="dxa"/>
            <w:vAlign w:val="bottom"/>
            <w:gridSpan w:val="4"/>
          </w:tcPr>
          <w:p>
            <w:pPr>
              <w:jc w:val="right"/>
              <w:ind w:right="120"/>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w w:val="88"/>
              </w:rPr>
              <w:t>3,907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6,834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88"/>
              </w:rPr>
              <w:t>8,436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13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w w:val="88"/>
              </w:rPr>
              <w:t>2,055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14,026</w:t>
            </w:r>
          </w:p>
        </w:tc>
        <w:tc>
          <w:tcPr>
            <w:tcW w:w="1100" w:type="dxa"/>
            <w:vAlign w:val="bottom"/>
            <w:tcBorders>
              <w:right w:val="single" w:sz="8" w:color="CCEEFF"/>
            </w:tcBorders>
            <w:gridSpan w:val="5"/>
            <w:shd w:val="clear" w:color="auto" w:fill="CCEEFF"/>
          </w:tcPr>
          <w:p>
            <w:pPr>
              <w:jc w:val="right"/>
              <w:ind w:right="27"/>
              <w:spacing w:after="0"/>
              <w:rPr>
                <w:sz w:val="20"/>
                <w:szCs w:val="20"/>
                <w:color w:val="auto"/>
              </w:rPr>
            </w:pPr>
            <w:r>
              <w:rPr>
                <w:rFonts w:ascii="Arial" w:cs="Arial" w:eastAsia="Arial" w:hAnsi="Arial"/>
                <w:sz w:val="18"/>
                <w:szCs w:val="18"/>
                <w:color w:val="auto"/>
              </w:rPr>
              <w:t>19,677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(3,620)</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(6,200)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10,406</w:t>
            </w:r>
          </w:p>
        </w:tc>
        <w:tc>
          <w:tcPr>
            <w:tcW w:w="1100" w:type="dxa"/>
            <w:vAlign w:val="bottom"/>
            <w:tcBorders>
              <w:right w:val="single" w:sz="8" w:color="CCEEFF"/>
            </w:tcBorders>
            <w:gridSpan w:val="5"/>
            <w:shd w:val="clear" w:color="auto" w:fill="CCEEFF"/>
          </w:tcPr>
          <w:p>
            <w:pPr>
              <w:jc w:val="right"/>
              <w:ind w:right="27"/>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9"/>
        </w:trPr>
        <w:tc>
          <w:tcPr>
            <w:tcW w:w="5620" w:type="dxa"/>
            <w:vAlign w:val="bottom"/>
            <w:gridSpan w:val="3"/>
          </w:tcPr>
          <w:p>
            <w:pPr>
              <w:spacing w:after="0"/>
              <w:rPr>
                <w:sz w:val="20"/>
                <w:szCs w:val="20"/>
                <w:color w:val="auto"/>
              </w:rPr>
            </w:pPr>
            <w:r>
              <w:rPr>
                <w:rFonts w:ascii="Arial" w:cs="Arial" w:eastAsia="Arial" w:hAnsi="Arial"/>
                <w:sz w:val="18"/>
                <w:szCs w:val="18"/>
                <w:color w:val="auto"/>
              </w:rPr>
              <w:t>The Company recognized depreciation expense as follows:</w:t>
            </w:r>
          </w:p>
        </w:tc>
        <w:tc>
          <w:tcPr>
            <w:tcW w:w="13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gridSpan w:val="10"/>
          </w:tcPr>
          <w:p>
            <w:pPr>
              <w:ind w:left="220"/>
              <w:spacing w:after="0"/>
              <w:rPr>
                <w:sz w:val="20"/>
                <w:szCs w:val="20"/>
                <w:color w:val="auto"/>
              </w:rPr>
            </w:pPr>
            <w:r>
              <w:rPr>
                <w:rFonts w:ascii="Arial" w:cs="Arial" w:eastAsia="Arial" w:hAnsi="Arial"/>
                <w:sz w:val="14"/>
                <w:szCs w:val="14"/>
                <w:color w:val="auto"/>
              </w:rPr>
              <w:t>Fiscal Year Ended January 31,</w:t>
            </w: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3"/>
              </w:rPr>
              <w:t>2020</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8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534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1,458</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Subsequent to January 31, 2020, the Company entered into commitments in the amount of $1.2 million for additional furniture and fixtures and leasehold improvements.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Visible Equity, LLC</w:t>
      </w:r>
    </w:p>
    <w:p>
      <w:pPr>
        <w:spacing w:after="0" w:line="121" w:lineRule="exact"/>
        <w:rPr>
          <w:sz w:val="20"/>
          <w:szCs w:val="20"/>
          <w:color w:val="auto"/>
        </w:rPr>
      </w:pPr>
    </w:p>
    <w:p>
      <w:pPr>
        <w:jc w:val="both"/>
        <w:ind w:left="120" w:right="80" w:firstLine="881"/>
        <w:spacing w:after="0" w:line="275" w:lineRule="auto"/>
        <w:rPr>
          <w:sz w:val="20"/>
          <w:szCs w:val="20"/>
          <w:color w:val="auto"/>
        </w:rPr>
      </w:pPr>
      <w:r>
        <w:rPr>
          <w:rFonts w:ascii="Arial" w:cs="Arial" w:eastAsia="Arial" w:hAnsi="Arial"/>
          <w:sz w:val="17"/>
          <w:szCs w:val="17"/>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Company has included the financial results of Visible Equity in the consolidated statements of operations from the date of acquisition. The transaction costs associated with the acquisition were approximately $0.8 million and were primarily recorded in general and administrative expenses.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7"/>
              </w:rPr>
              <w:t>Consideration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3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49,428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0"/>
              </w:rPr>
              <w:t>Voting common stock issued (1,438,805 shares)</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w w:val="94"/>
              </w:rPr>
              <w:t>23,812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28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F-26</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fair value of the Company’s voting common stock was determined by management to be $16.55 per share with the assistance of a third-party valuation specialist.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Fair Value</w:t>
            </w:r>
          </w:p>
        </w:tc>
      </w:tr>
      <w:tr>
        <w:trPr>
          <w:trHeight w:val="209"/>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46,584</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6"/>
              </w:rPr>
              <w:t>Accounts payable, accrued expenses and other liabilities, current and noncurrent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(1,804)</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73,240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Fair Value</w:t>
            </w:r>
          </w:p>
        </w:tc>
        <w:tc>
          <w:tcPr>
            <w:tcW w:w="4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Useful Life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21,600</w:t>
            </w:r>
          </w:p>
        </w:tc>
        <w:tc>
          <w:tcPr>
            <w:tcW w:w="4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 years</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&lt; 1 year</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25,500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firstLine="881"/>
        <w:spacing w:after="0" w:line="308" w:lineRule="auto"/>
        <w:rPr>
          <w:sz w:val="20"/>
          <w:szCs w:val="20"/>
          <w:color w:val="auto"/>
        </w:rPr>
      </w:pPr>
      <w:r>
        <w:rPr>
          <w:rFonts w:ascii="Arial" w:cs="Arial" w:eastAsia="Arial" w:hAnsi="Arial"/>
          <w:sz w:val="17"/>
          <w:szCs w:val="17"/>
          <w:color w:val="auto"/>
        </w:rPr>
        <w:t>Developed technology represents the fair value of Visible Equity’s technology. Customer relationships represent the fair value of the underlying relationships with Visible Equity’s customers. Trademarks represent the fair value of Visible Equity’s company name.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Goodwill is mainly attributable to synergies expected from the acquisition and assembled workforce and is expected to be deductible for tax</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purposes.</w:t>
      </w:r>
    </w:p>
    <w:p>
      <w:pPr>
        <w:spacing w:after="0" w:line="211"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The results of operations of Visible Equity since the acquisition are included in our consolidated statements of operations for the year ended January 31, 2020. The revenues and results of operations attributable to Visible Equity for the period from the date of acquisition, July 8, 2019 through January 31, 2020 were $5.6 million and a $1.7 million loss,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Finsuite Pty Ltd</w:t>
      </w:r>
    </w:p>
    <w:p>
      <w:pPr>
        <w:spacing w:after="0" w:line="121"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enhance the Company’s data recognition capabilities, including complex, unstructured data. FinSuite is headquartered in Melbourne, Australia. The Company has included the financial results of FinSuite in the consolidated statement of operations from the date of acquisition. The transaction costs associated with the acquisition were approximately $0.3 million and are included in general and administrative expenses in the consolidated statement of operations for the fiscal year ended January 31, 2020.</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Total</w:t>
            </w:r>
          </w:p>
        </w:tc>
      </w:t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Consideration</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Contingent consideration – cash payment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 voting 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fair value of the Company’s voting common stock was determined by management to be $21.75 per share based upon the transaction price of the Company’s capital raise in September 2019, which is indicative of an observable price in the Company’s principal market at the time of acquisition.</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92"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fair value of the contingent consideration at the date of acquisition, approximately $6.0 million, was determined based upon a probability-weighted discounted cash flow model. The cash portion of the contingent consideration, $0.2 million, was recorded as of the acquisition date and is included in other long-term liabilities in the accompanying consolidated balance sheet as of January 31, 2020. The share portion of the contingent consideration was recorded as of the acquisition date and is reflected as a component of stockholders’ equity in the accompanying consolidated balance sheet as of January 31, 2020.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Fair Value</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9,405</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6"/>
              </w:rPr>
              <w:t>Accounts payable, accrued expenses and other liabilities, current and noncurrent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5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color w:val="auto"/>
              </w:rPr>
              <w:t>Fair Value</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Useful Life</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2,244</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107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 years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&lt; 1 year</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Developed technology represents the fair value of FinSuite’s technology. Customer relationships represent the fair value of the underlying relationships with FinSuite’s customers. Trademarks represent the fair value of FinSuite’s company name.</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not expected to be deductible for tax purposes.</w:t>
      </w:r>
    </w:p>
    <w:p>
      <w:pPr>
        <w:spacing w:after="0" w:line="170"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results of operations of FinSuite since the acquisition are included in the Company’s consolidated statements of operations for the year ended January 31, 2020. The revenues and results of operations attributable to FinSuite for the period from the date of acquisition, October 18, 2019 through January 31, 2020 were $0.8 million and $0.3 million income, respectively.</w:t>
      </w:r>
    </w:p>
    <w:p>
      <w:pPr>
        <w:spacing w:after="0" w:line="18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pro forma statements of operations for the years ended January 31, 2019 and January 31, 2020, shown in the table below, give effect to the Visible Equity and FinSuite acquisitions, described above, as if they had occurred on February 1, 2018. These amounts have been calculated after applying the Company’s accounting policies and adjusting the results of Visible Equity and FinSuite to reflect the intangible amortization, stock-based compensation, and related items, and the adjustments to acquired deferred revenue that would have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occurred assuming the fair value adjustments had been applied and incurred since February 1, 2018. This pro forma data is presented for informational purposes only and is not indicative of future results of operations. The table below shows the pro forma statements of operations for the respective years ending January 31:</w:t>
      </w:r>
    </w:p>
    <w:p>
      <w:pPr>
        <w:spacing w:after="0" w:line="206"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(Unaudited)</w:t>
      </w:r>
    </w:p>
    <w:p>
      <w:pPr>
        <w:ind w:left="8420"/>
        <w:spacing w:after="0" w:line="231" w:lineRule="auto"/>
        <w:rPr>
          <w:sz w:val="20"/>
          <w:szCs w:val="20"/>
          <w:color w:val="auto"/>
        </w:rPr>
      </w:pPr>
      <w:r>
        <w:rPr>
          <w:rFonts w:ascii="Arial" w:cs="Arial" w:eastAsia="Arial" w:hAnsi="Arial"/>
          <w:sz w:val="14"/>
          <w:szCs w:val="14"/>
          <w:color w:val="auto"/>
        </w:rPr>
        <w:t>January 31,</w:t>
      </w:r>
    </w:p>
    <w:tbl>
      <w:tblPr>
        <w:tblLayout w:type="fixed"/>
        <w:tblInd w:w="120"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10"/>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6"/>
          </w:tcPr>
          <w:p>
            <w:pPr>
              <w:jc w:val="right"/>
              <w:ind w:right="20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$102,244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$142,958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7"/>
          </w:tcPr>
          <w:p>
            <w:pPr>
              <w:jc w:val="right"/>
              <w:ind w:right="80"/>
              <w:spacing w:after="0"/>
              <w:rPr>
                <w:sz w:val="20"/>
                <w:szCs w:val="20"/>
                <w:color w:val="auto"/>
              </w:rPr>
            </w:pPr>
            <w:r>
              <w:rPr>
                <w:rFonts w:ascii="Arial" w:cs="Arial" w:eastAsia="Arial" w:hAnsi="Arial"/>
                <w:sz w:val="18"/>
                <w:szCs w:val="18"/>
                <w:color w:val="auto"/>
              </w:rPr>
              <w:t>(24,954)</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(27,647)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Note 8. Intangible Assets and Goodwill</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Intangible assets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Intangible assets, net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9"/>
          </w:tcPr>
          <w:p>
            <w:pPr>
              <w:jc w:val="right"/>
              <w:ind w:right="20"/>
              <w:spacing w:after="0"/>
              <w:rPr>
                <w:sz w:val="20"/>
                <w:szCs w:val="20"/>
                <w:color w:val="auto"/>
              </w:rPr>
            </w:pPr>
            <w:r>
              <w:rPr>
                <w:rFonts w:ascii="Arial" w:cs="Arial" w:eastAsia="Arial" w:hAnsi="Arial"/>
                <w:sz w:val="14"/>
                <w:szCs w:val="14"/>
                <w:color w:val="auto"/>
              </w:rPr>
              <w:t>As of January 31, 2020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3"/>
            <w:vMerge w:val="restart"/>
          </w:tcPr>
          <w:p>
            <w:pPr>
              <w:jc w:val="center"/>
              <w:ind w:right="60"/>
              <w:spacing w:after="0" w:line="130"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Remaining</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Gross</w:t>
            </w:r>
          </w:p>
        </w:tc>
        <w:tc>
          <w:tcPr>
            <w:tcW w:w="400" w:type="dxa"/>
            <w:vAlign w:val="bottom"/>
          </w:tcPr>
          <w:p>
            <w:pPr>
              <w:spacing w:after="0"/>
              <w:rPr>
                <w:sz w:val="12"/>
                <w:szCs w:val="12"/>
                <w:color w:val="auto"/>
              </w:rPr>
            </w:pPr>
          </w:p>
        </w:tc>
        <w:tc>
          <w:tcPr>
            <w:tcW w:w="1100" w:type="dxa"/>
            <w:vAlign w:val="bottom"/>
            <w:gridSpan w:val="8"/>
          </w:tcPr>
          <w:p>
            <w:pPr>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4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94"/>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100" w:type="dxa"/>
            <w:vAlign w:val="bottom"/>
            <w:gridSpan w:val="8"/>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840" w:type="dxa"/>
            <w:vAlign w:val="bottom"/>
            <w:gridSpan w:val="5"/>
          </w:tcPr>
          <w:p>
            <w:pPr>
              <w:jc w:val="center"/>
              <w:ind w:right="26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$ 5,313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21,706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5"/>
          </w:tcPr>
          <w:p>
            <w:pPr>
              <w:jc w:val="right"/>
              <w:ind w:right="50"/>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6"/>
          </w:tcPr>
          <w:p>
            <w:pPr>
              <w:jc w:val="right"/>
              <w:ind w:right="260"/>
              <w:spacing w:after="0"/>
              <w:rPr>
                <w:sz w:val="20"/>
                <w:szCs w:val="20"/>
                <w:color w:val="auto"/>
              </w:rPr>
            </w:pPr>
            <w:r>
              <w:rPr>
                <w:rFonts w:ascii="Arial" w:cs="Arial" w:eastAsia="Arial" w:hAnsi="Arial"/>
                <w:sz w:val="18"/>
                <w:szCs w:val="18"/>
                <w:color w:val="auto"/>
              </w:rPr>
              <w:t>20,769</w:t>
            </w:r>
          </w:p>
        </w:tc>
        <w:tc>
          <w:tcPr>
            <w:tcW w:w="1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27,839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26,093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840" w:type="dxa"/>
            <w:vAlign w:val="bottom"/>
            <w:gridSpan w:val="3"/>
            <w:vMerge w:val="restart"/>
          </w:tcPr>
          <w:p>
            <w:pPr>
              <w:ind w:left="440"/>
              <w:spacing w:after="0"/>
              <w:rPr>
                <w:sz w:val="20"/>
                <w:szCs w:val="20"/>
                <w:color w:val="auto"/>
              </w:rPr>
            </w:pPr>
            <w:r>
              <w:rPr>
                <w:rFonts w:ascii="Arial" w:cs="Arial" w:eastAsia="Arial" w:hAnsi="Arial"/>
                <w:sz w:val="18"/>
                <w:szCs w:val="18"/>
                <w:color w:val="auto"/>
              </w:rPr>
              <w:t>There were no intangible assets as of January 31, 2019.</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tcPr>
          <w:p>
            <w:pPr>
              <w:spacing w:after="0"/>
              <w:rPr>
                <w:sz w:val="24"/>
                <w:szCs w:val="24"/>
                <w:color w:val="auto"/>
              </w:rPr>
            </w:pPr>
          </w:p>
        </w:tc>
        <w:tc>
          <w:tcPr>
            <w:tcW w:w="5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The Company recognized amortization expense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6"/>
          </w:tcPr>
          <w:p>
            <w:pPr>
              <w:jc w:val="center"/>
              <w:spacing w:after="0"/>
              <w:rPr>
                <w:sz w:val="20"/>
                <w:szCs w:val="20"/>
                <w:color w:val="auto"/>
              </w:rPr>
            </w:pPr>
            <w:r>
              <w:rPr>
                <w:rFonts w:ascii="Arial" w:cs="Arial" w:eastAsia="Arial" w:hAnsi="Arial"/>
                <w:sz w:val="14"/>
                <w:szCs w:val="14"/>
                <w:color w:val="auto"/>
                <w:w w:val="90"/>
              </w:rPr>
              <w:t>Fiscal 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2"/>
              </w:rPr>
              <w:t>January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spacing w:after="0"/>
              <w:rPr>
                <w:sz w:val="12"/>
                <w:szCs w:val="12"/>
                <w:color w:val="auto"/>
              </w:rPr>
            </w:pPr>
          </w:p>
        </w:tc>
        <w:tc>
          <w:tcPr>
            <w:tcW w:w="3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6"/>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3"/>
              <w:spacing w:after="0" w:line="142" w:lineRule="exact"/>
              <w:rPr>
                <w:sz w:val="20"/>
                <w:szCs w:val="20"/>
                <w:color w:val="auto"/>
              </w:rPr>
            </w:pPr>
            <w:r>
              <w:rPr>
                <w:rFonts w:ascii="Arial" w:cs="Arial" w:eastAsia="Arial" w:hAnsi="Arial"/>
                <w:sz w:val="14"/>
                <w:szCs w:val="14"/>
                <w:color w:val="auto"/>
                <w:w w:val="83"/>
              </w:rPr>
              <w:t>2020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4"/>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Total amortization expense</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85"/>
              </w:rPr>
              <w:t>$—</w:t>
            </w:r>
          </w:p>
        </w:tc>
        <w:tc>
          <w:tcPr>
            <w:tcW w:w="4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1,748</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expected future amortization expense for intangible assets as of January 31, 2020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68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3,182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3,172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2,478</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1,670</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12,419</w:t>
            </w: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26,093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gridSpan w:val="2"/>
          </w:tcPr>
          <w:p>
            <w:pPr>
              <w:jc w:val="right"/>
              <w:ind w:right="2907"/>
              <w:spacing w:after="0"/>
              <w:rPr>
                <w:sz w:val="20"/>
                <w:szCs w:val="20"/>
                <w:color w:val="auto"/>
              </w:rPr>
            </w:pPr>
            <w:r>
              <w:rPr>
                <w:rFonts w:ascii="Arial" w:cs="Arial" w:eastAsia="Arial" w:hAnsi="Arial"/>
                <w:sz w:val="18"/>
                <w:szCs w:val="18"/>
                <w:color w:val="auto"/>
              </w:rPr>
              <w:t>F-30</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Intangible Assets and Goodwill (Continued)</w:t>
      </w:r>
    </w:p>
    <w:p>
      <w:pPr>
        <w:spacing w:after="0" w:line="13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assets acquired. Goodwill amounts are not amortized, but rather tested for impairment at least annually during the Company’s fourth quarter of each fiscal year. The change in the carrying amounts of goodwill was as follows: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as of January 31, 2019</w:t>
            </w:r>
          </w:p>
        </w:tc>
        <w:tc>
          <w:tcPr>
            <w:tcW w:w="2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55,989</w:t>
            </w: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Translation adjustments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2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55,840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Reseller Agreement</w:t>
      </w:r>
    </w:p>
    <w:p>
      <w:pPr>
        <w:spacing w:after="0" w:line="121" w:lineRule="exact"/>
        <w:rPr>
          <w:sz w:val="20"/>
          <w:szCs w:val="20"/>
          <w:color w:val="auto"/>
        </w:rPr>
      </w:pPr>
    </w:p>
    <w:p>
      <w:pPr>
        <w:ind w:left="120" w:right="240" w:firstLine="881"/>
        <w:spacing w:after="0" w:line="296"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This agreement expires in June 2022 unless renegotiated. Cost of subscription revenues in each of the fiscal years ended January 31, 2018, 2019 and 2020 substantially consists of fees paid for access to the related party’s platform, including their hosting infrastructure and data center operations. The Company has recorded expenses of $9.5 million, $15.4 million and $22.8 million for the fiscal years ended January 31, 2018, 2019, and 2020, respectively. See also Note 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On September 16, 2019, the Company amended the Certificate of Incorporation to change the designated number of voting shares of authorized common stock to 99,708,247 and the designated number of non-voting shares of authorized common stock to 10,291,753. On May 25, 2016, the Company amended the Certificate of Incorporation to change the designated number of voting shares of authorized common stock to 89,708,247 and the designated number of non-voting shares of authorized common stock to 10,291,753. During the fiscal years ended January 31, 2018 and 2019, no change was made to the total number of authorized common shares.</w:t>
      </w:r>
    </w:p>
    <w:p>
      <w:pPr>
        <w:spacing w:after="0" w:line="188"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In July 2017, January 2018, and September 2019 the Company completed a private placement common stock offering with accredited investors which raised $17.8 million, $51.4 million and $79.9 million, respectively, net of related expenses. During the July 2017 offering, 1,784,700 shares of voting common stock were issued, in January 2018, 3,958,354 shares of voting common stock were issued, and in September 2019, 3,678,161 shares of common stock were issued (3,448,276 shares of voting common stock and 229,885 shares of non-voting common stock).</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13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Also, during the fiscal years ended January 31, 2018, 2019 and 2020, certain employees exercised vested stock options resulting in 695,384, 2,845,482 and 458,770 shares, respectively, being issued.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During the fiscal year ended January 31, 2020, 1,502,772 shares of voting common stock were issued related to business combinations.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the rights and key provisions affecting each class of the Company’s stock as of January 31, 2020, is as follows:</w:t>
      </w:r>
    </w:p>
    <w:p>
      <w:pPr>
        <w:spacing w:after="0" w:line="221" w:lineRule="exact"/>
        <w:rPr>
          <w:sz w:val="20"/>
          <w:szCs w:val="20"/>
          <w:color w:val="auto"/>
        </w:rPr>
      </w:pPr>
    </w:p>
    <w:p>
      <w:pPr>
        <w:jc w:val="both"/>
        <w:ind w:left="120" w:right="320" w:firstLine="881"/>
        <w:spacing w:after="0" w:line="266"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Board of Directors is authorized to establish one or more series of preferred stock and to fix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such series and the designation of such series, including the voting powers, preferences, limitations, restrictions, and other special rights thereof.</w:t>
      </w:r>
    </w:p>
    <w:p>
      <w:pPr>
        <w:spacing w:after="0" w:line="176"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b w:val="1"/>
          <w:bCs w:val="1"/>
          <w:color w:val="auto"/>
        </w:rPr>
        <w:t xml:space="preserve">Common stock: </w:t>
      </w:r>
      <w:r>
        <w:rPr>
          <w:rFonts w:ascii="Arial" w:cs="Arial" w:eastAsia="Arial" w:hAnsi="Arial"/>
          <w:sz w:val="17"/>
          <w:szCs w:val="17"/>
          <w:color w:val="auto"/>
        </w:rPr>
        <w:t>Each holder of shares of voting common stock is entitled to attend all special and annual stockholder meetings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to cast one vote for each outstanding share of voting common stock held on any matter or thing properly considered and acted upon by the stockholders in accordance with the Company’s by-laws and applicable law. Non-voting common stockholders carry the same rights and privileges as voting common stockholders except they shall not be entitled to vote on any matter. Non-voting common stock can be converted to an equal number of shares of voting common stock provided that certain transfer provisions are met. The non-voting common stock will only be convertible after a transfer from the initial holder of the non-voting common stock to a third party unaffiliated with the initial holder through a permitted transfer. A permitted transfer is defined as being a transfer to an affiliate of the holder or the Company, transfer in a widespread public distribution, in transfers in which no transferee (or group of affiliated transferees) receives 2% or more of any class of the voting securities of the Company, or to a transferee that would control more than 50% of the voting securities of the Company without any transfer from the transferor.</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January 31, 2020, the Company committed a total of 9,579,061 shares of common stock for future issuance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7,837,023</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948,119</w:t>
            </w:r>
          </w:p>
        </w:tc>
        <w:tc>
          <w:tcPr>
            <w:tcW w:w="6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incentive plans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793,919</w:t>
            </w:r>
          </w:p>
        </w:tc>
        <w:tc>
          <w:tcPr>
            <w:tcW w:w="6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9,579,061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w:t>
      </w:r>
    </w:p>
    <w:p>
      <w:pPr>
        <w:spacing w:after="0" w:line="121" w:lineRule="exact"/>
        <w:rPr>
          <w:sz w:val="20"/>
          <w:szCs w:val="20"/>
          <w:color w:val="auto"/>
        </w:rPr>
      </w:pPr>
    </w:p>
    <w:p>
      <w:pPr>
        <w:jc w:val="both"/>
        <w:ind w:left="120" w:right="480" w:firstLine="881"/>
        <w:spacing w:after="0" w:line="275" w:lineRule="auto"/>
        <w:rPr>
          <w:sz w:val="20"/>
          <w:szCs w:val="20"/>
          <w:color w:val="auto"/>
        </w:rPr>
      </w:pPr>
      <w:r>
        <w:rPr>
          <w:rFonts w:ascii="Arial" w:cs="Arial" w:eastAsia="Arial" w:hAnsi="Arial"/>
          <w:sz w:val="17"/>
          <w:szCs w:val="17"/>
          <w:color w:val="auto"/>
        </w:rPr>
        <w:t>The Company has two equity incentive plans: the 2014 Stock Plan (“2014 Plan”) and the 2019 Equity Incentive Plan (“2019 Plan”), collectively referred to as the “Incentive Plans.” Under the 2014 Plan, the Board of Directors had allotted 15,025,666 shares of common stock for incentive options or non-qualified options as of January 31, 2020. Prior to fiscal 2018, the option pool was increased by an aggregate of 6,797,476 shares with approval from the Board of directors and stockholders. Non-qualified options may be granted to Company employees, non-employee directors, and consultants. The exercise price of options is determined by the Board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Directors, but cannot be less than 100% of the fair market value of the Company’s common stock on the date of the grant. The options generally vest in one of two ways:</w:t>
      </w:r>
    </w:p>
    <w:p>
      <w:pPr>
        <w:spacing w:after="0" w:line="76" w:lineRule="exact"/>
        <w:rPr>
          <w:sz w:val="20"/>
          <w:szCs w:val="20"/>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equal annual installments over four years from the grant date.</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a change in control transaction (with respect to certain Incentive Plan participants).</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All options expire ten years from the grant date and, with respect to certain Incentive Plan participants, provide for accelerated vesting if there is a change in control of the Company.</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In July 2019, the Company established the 2019 Plan. The 2019 Plan is allotted 1,500,000 shares that may be issued in the form of options, stock appreciation rights, restricted stock awards, restricted stock units, performance shares, performance units, cash-based awards and other stock-based awards. The allotted shares can be increased by shares available under the Company’s 2014 Plan, described above, however, not to exceed 7,500,000 shares from that 2014 Plan. The maximum number of incentive stock options cannot exceed 9,000,000 shares. All awards shall be granted within ten years from the effective date of the Plan and can only be granted to employees, non-employee directors and consultants and generally vest over four years.</w:t>
      </w:r>
    </w:p>
    <w:p>
      <w:pPr>
        <w:spacing w:after="0" w:line="192"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Restricted stock units (“RSU”) are subject to time-based and performance-based vesting conditions. RSUs are generally earned over a service period of four years, expire seven years from the grant date and will only vest upon an IPO or change in control. The compensation expense related to these awards is based on the grant date fair value of the RSUs and is recognized on a ratable basis over the applicable service period. No RSUs have vested as of January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calculated value of each option award is estimated at the date of grant using the Black-Scholes option valuation model that utilizes the assumptions included in the table below. The Company recognizes stock-based expenses related to stock option awards on a straight-line basis over the requisite service period of the awards, which is generally the vesting term of four years. Stock-based expenses are recognized net of estimated forfeiture activity. The estimated forfeiture rate applied is based on historical forfeiture rates. The expected term assumption, using the simplified method, reflects the period for which the Company believes the option will remain outstanding. The Company determined the volatility of its stock by looking at the historic volatility of its peer companies. The risk-free rate reflects the U.S. Treasury yield for a similar expected life instrument in effect at the time of the grant. The assumptions utilized for the fiscal years ended January 31, 2018, 2019, and 2020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2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2019</w:t>
            </w:r>
          </w:p>
        </w:tc>
        <w:tc>
          <w:tcPr>
            <w:tcW w:w="2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- 6.25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6.10 -6.25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820" w:type="dxa"/>
            <w:vAlign w:val="bottom"/>
          </w:tcPr>
          <w:p>
            <w:pPr>
              <w:ind w:left="40"/>
              <w:spacing w:after="0"/>
              <w:rPr>
                <w:sz w:val="20"/>
                <w:szCs w:val="20"/>
                <w:color w:val="auto"/>
              </w:rPr>
            </w:pPr>
            <w:r>
              <w:rPr>
                <w:rFonts w:ascii="Arial" w:cs="Arial" w:eastAsia="Arial" w:hAnsi="Arial"/>
                <w:sz w:val="18"/>
                <w:szCs w:val="18"/>
                <w:color w:val="auto"/>
              </w:rPr>
              <w:t>- 44%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800" w:type="dxa"/>
            <w:vAlign w:val="bottom"/>
          </w:tcPr>
          <w:p>
            <w:pPr>
              <w:ind w:left="20"/>
              <w:spacing w:after="0"/>
              <w:rPr>
                <w:sz w:val="20"/>
                <w:szCs w:val="20"/>
                <w:color w:val="auto"/>
              </w:rPr>
            </w:pPr>
            <w:r>
              <w:rPr>
                <w:rFonts w:ascii="Arial" w:cs="Arial" w:eastAsia="Arial" w:hAnsi="Arial"/>
                <w:sz w:val="18"/>
                <w:szCs w:val="18"/>
                <w:color w:val="auto"/>
              </w:rPr>
              <w:t>- 41%</w:t>
            </w:r>
          </w:p>
        </w:tc>
        <w:tc>
          <w:tcPr>
            <w:tcW w:w="2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5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Risk-free rate</w:t>
            </w: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820" w:type="dxa"/>
            <w:vAlign w:val="bottom"/>
          </w:tcPr>
          <w:p>
            <w:pPr>
              <w:ind w:left="40"/>
              <w:spacing w:after="0"/>
              <w:rPr>
                <w:sz w:val="20"/>
                <w:szCs w:val="20"/>
                <w:color w:val="auto"/>
              </w:rPr>
            </w:pPr>
            <w:r>
              <w:rPr>
                <w:rFonts w:ascii="Arial" w:cs="Arial" w:eastAsia="Arial" w:hAnsi="Arial"/>
                <w:sz w:val="18"/>
                <w:szCs w:val="18"/>
                <w:color w:val="auto"/>
              </w:rPr>
              <w:t>- 2.27%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800" w:type="dxa"/>
            <w:vAlign w:val="bottom"/>
          </w:tcPr>
          <w:p>
            <w:pPr>
              <w:ind w:left="20"/>
              <w:spacing w:after="0"/>
              <w:rPr>
                <w:sz w:val="20"/>
                <w:szCs w:val="20"/>
                <w:color w:val="auto"/>
              </w:rPr>
            </w:pPr>
            <w:r>
              <w:rPr>
                <w:rFonts w:ascii="Arial" w:cs="Arial" w:eastAsia="Arial" w:hAnsi="Arial"/>
                <w:sz w:val="18"/>
                <w:szCs w:val="18"/>
                <w:color w:val="auto"/>
              </w:rPr>
              <w:t>- 3.06%</w:t>
            </w:r>
          </w:p>
        </w:tc>
        <w:tc>
          <w:tcPr>
            <w:tcW w:w="2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1.63% - 2.59%</w:t>
            </w:r>
          </w:p>
        </w:tc>
      </w:tr>
    </w:tbl>
    <w:p>
      <w:pPr>
        <w:spacing w:after="0" w:line="18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grant date weighted average calculated fair value of options issued, net of forfeitures, was $2.13, $5.36, and $6.74 per share for the fiscal years ended January 31, 2018, 2019 and 2020,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recognized stock-based compensation expense related to the option grants under the Incentive Plans as follows: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20" w:type="dxa"/>
            <w:vAlign w:val="bottom"/>
            <w:gridSpan w:val="6"/>
          </w:tcPr>
          <w:p>
            <w:pPr>
              <w:ind w:left="300"/>
              <w:spacing w:after="0"/>
              <w:rPr>
                <w:sz w:val="20"/>
                <w:szCs w:val="20"/>
                <w:color w:val="auto"/>
              </w:rPr>
            </w:pPr>
            <w:r>
              <w:rPr>
                <w:rFonts w:ascii="Arial" w:cs="Arial" w:eastAsia="Arial" w:hAnsi="Arial"/>
                <w:sz w:val="14"/>
                <w:szCs w:val="14"/>
                <w:color w:val="auto"/>
              </w:rPr>
              <w:t>Fiscal Year Ended January 31,</w:t>
            </w: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2018</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2019</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$1,487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Sales and marketing</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00" w:hanging="424"/>
        <w:spacing w:after="0" w:line="311"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June 26, 2019, the Company entered into a separation agreement with an executive. The agreement resulted in a modification of the former employee’s 334,840 outstanding stock options to purchase voting common stock, which accelerated certain vesting and extended the exercise period, resulting in the recognition of $1.2 million of additional stock-based compensation expense for the year ended January 31, 2020.</w:t>
      </w:r>
    </w:p>
    <w:p>
      <w:pPr>
        <w:spacing w:after="0" w:line="14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Company granted 353,900 incentive stock options in the fiscal year ended January 31, 2020, which vest over four years and have a ten-year term.</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 summary of option activity under the Incentive Plans during the fiscal years ended January 31, 2018, 2019 and 2020 are as follows: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Weighted</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Average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Contractual</w:t>
            </w:r>
          </w:p>
        </w:tc>
        <w:tc>
          <w:tcPr>
            <w:tcW w:w="220" w:type="dxa"/>
            <w:vAlign w:val="bottom"/>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Value (In</w:t>
            </w:r>
          </w:p>
        </w:tc>
        <w:tc>
          <w:tcPr>
            <w:tcW w:w="0" w:type="dxa"/>
            <w:vAlign w:val="bottom"/>
          </w:tcPr>
          <w:p>
            <w:pPr>
              <w:spacing w:after="0"/>
              <w:rPr>
                <w:sz w:val="1"/>
                <w:szCs w:val="1"/>
                <w:color w:val="auto"/>
              </w:rPr>
            </w:pPr>
          </w:p>
        </w:tc>
      </w:tr>
      <w:tr>
        <w:trPr>
          <w:trHeight w:val="167"/>
        </w:trPr>
        <w:tc>
          <w:tcPr>
            <w:tcW w:w="4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w w:val="87"/>
              </w:rPr>
              <w:t>Term (Years)</w:t>
            </w:r>
          </w:p>
        </w:tc>
        <w:tc>
          <w:tcPr>
            <w:tcW w:w="2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thousands)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31, 2017</w:t>
            </w:r>
          </w:p>
        </w:tc>
        <w:tc>
          <w:tcPr>
            <w:tcW w:w="19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6,845,834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3080" w:type="dxa"/>
            <w:vAlign w:val="bottom"/>
            <w:gridSpan w:val="3"/>
          </w:tcPr>
          <w:p>
            <w:pPr>
              <w:jc w:val="right"/>
              <w:ind w:right="300"/>
              <w:spacing w:after="0"/>
              <w:rPr>
                <w:sz w:val="20"/>
                <w:szCs w:val="20"/>
                <w:color w:val="auto"/>
              </w:rPr>
            </w:pPr>
            <w:r>
              <w:rPr>
                <w:rFonts w:ascii="Arial" w:cs="Arial" w:eastAsia="Arial" w:hAnsi="Arial"/>
                <w:sz w:val="18"/>
                <w:szCs w:val="18"/>
                <w:color w:val="auto"/>
              </w:rPr>
              <w:t>4,267,151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5.17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(125,642)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(695,384)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1.35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2018</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10,291,959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969,762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4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(2,845,482)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32,365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2019</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8,206,926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360"/>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353,900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17.54</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(265,033)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(458,770)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7,837,023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126,245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Exercisable, January 31, 2020</w:t>
            </w: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4,832,586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Fully vested or expected to vest, January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7,053,321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113,620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3080" w:type="dxa"/>
            <w:vAlign w:val="bottom"/>
            <w:gridSpan w:val="3"/>
          </w:tcPr>
          <w:p>
            <w:pPr>
              <w:jc w:val="right"/>
              <w:ind w:right="1860"/>
              <w:spacing w:after="0"/>
              <w:rPr>
                <w:sz w:val="20"/>
                <w:szCs w:val="20"/>
                <w:color w:val="auto"/>
              </w:rPr>
            </w:pPr>
            <w:r>
              <w:rPr>
                <w:rFonts w:ascii="Arial" w:cs="Arial" w:eastAsia="Arial" w:hAnsi="Arial"/>
                <w:sz w:val="18"/>
                <w:szCs w:val="18"/>
                <w:color w:val="auto"/>
              </w:rPr>
              <w:t>F-34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spacing w:after="0" w:line="184"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As of January 31, 2020, there was $7.6 million of total unrecognized compensation cost related to unvested stock-based compensation arrangements under the Incentive Plans. That cost is expected to be recognized over a weighted average period of approximately 1.65 years.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granted 948,119 RSUs during the fiscal year ended January 31, 2020 with a weighted-average grant date fair value of $21.75 per RSU. No RSUs vested, were forfeited or cancelled. As of January 31, 2020, total unrecognized compensation expense cost related to non-vested RSUs was $19.6 million, adjusted for estimated forfeitures, based on the estimated fair value of the Company’s common stock at the time of grant. The weighted-average period to be recognized is indeterminable until an IPO or a change in control occurs. At January 31, 2020, the intrinsic value of unvested restricted stock units was $0.0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components of loss before income tax expense by domestic and foreign jurisdictions were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40" w:type="dxa"/>
            <w:vAlign w:val="bottom"/>
            <w:gridSpan w:val="8"/>
          </w:tcPr>
          <w:p>
            <w:pPr>
              <w:jc w:val="right"/>
              <w:ind w:right="72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$(18,757)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(4,779)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(18,539)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(22,112)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47" w:lineRule="exact"/>
        <w:rPr>
          <w:sz w:val="20"/>
          <w:szCs w:val="20"/>
          <w:color w:val="auto"/>
        </w:rPr>
      </w:pPr>
    </w:p>
    <w:p>
      <w:pPr>
        <w:jc w:val="center"/>
        <w:ind w:left="7200"/>
        <w:spacing w:after="0"/>
        <w:rPr>
          <w:sz w:val="20"/>
          <w:szCs w:val="20"/>
          <w:color w:val="auto"/>
        </w:rPr>
      </w:pPr>
      <w:r>
        <w:rPr>
          <w:rFonts w:ascii="Arial" w:cs="Arial" w:eastAsia="Arial" w:hAnsi="Arial"/>
          <w:sz w:val="14"/>
          <w:szCs w:val="14"/>
          <w:color w:val="auto"/>
        </w:rPr>
        <w:t>Fiscal Year Ended</w:t>
      </w:r>
    </w:p>
    <w:p>
      <w:pPr>
        <w:jc w:val="center"/>
        <w:ind w:left="720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2018</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2019</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Federal</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Foreign</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194</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Deferred:</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State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4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360" w:type="dxa"/>
            <w:vAlign w:val="bottom"/>
            <w:gridSpan w:val="2"/>
          </w:tcPr>
          <w:p>
            <w:pPr>
              <w:jc w:val="right"/>
              <w:ind w:right="2479"/>
              <w:spacing w:after="0"/>
              <w:rPr>
                <w:sz w:val="20"/>
                <w:szCs w:val="20"/>
                <w:color w:val="auto"/>
              </w:rPr>
            </w:pPr>
            <w:r>
              <w:rPr>
                <w:rFonts w:ascii="Arial" w:cs="Arial" w:eastAsia="Arial" w:hAnsi="Arial"/>
                <w:sz w:val="18"/>
                <w:szCs w:val="18"/>
                <w:color w:val="auto"/>
              </w:rPr>
              <w:t>F-35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The differences between income taxes expected at the US federal statutory income tax rate and the reported income tax expense are summarized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color w:val="auto"/>
                <w:w w:val="91"/>
              </w:rPr>
              <w:t>Fiscal Year Ended January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Income tax benefit at statutory rate of 21% for 2019 and 2020 (2018: 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shd w:val="clear" w:color="auto" w:fill="CCEEFF"/>
              </w:rPr>
              <w:t>(6,268)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33.8%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shd w:val="clear" w:color="auto" w:fill="CCEEFF"/>
              </w:rPr>
              <w:t>(4,644)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shd w:val="clear" w:color="auto" w:fill="CCEEFF"/>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shd w:val="clear" w:color="auto" w:fill="CCEEFF"/>
              </w:rPr>
              <w:t>(5,701)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21.0%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income tax benefit, net of federal impact</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(780)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(1,331)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(3,284)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11,627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Impacts of adoption of the new revenue standard</w:t>
            </w:r>
          </w:p>
        </w:tc>
        <w:tc>
          <w:tcPr>
            <w:tcW w:w="10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2,389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(5,753)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Remeasurement of deferred taxes due to Tax Cuts and Jobs Act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9,958</w:t>
            </w: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vMerge w:val="continue"/>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Significant components of the Company’s net deferred tax assets and liabilities were as follows:</w:t>
      </w:r>
    </w:p>
    <w:p>
      <w:pPr>
        <w:spacing w:after="0" w:line="247" w:lineRule="exact"/>
        <w:rPr>
          <w:sz w:val="20"/>
          <w:szCs w:val="20"/>
          <w:color w:val="auto"/>
        </w:rPr>
      </w:pPr>
    </w:p>
    <w:p>
      <w:pPr>
        <w:jc w:val="center"/>
        <w:ind w:left="6220"/>
        <w:spacing w:after="0"/>
        <w:rPr>
          <w:sz w:val="20"/>
          <w:szCs w:val="20"/>
          <w:color w:val="auto"/>
        </w:rPr>
      </w:pPr>
      <w:r>
        <w:rPr>
          <w:rFonts w:ascii="Arial" w:cs="Arial" w:eastAsia="Arial" w:hAnsi="Arial"/>
          <w:sz w:val="14"/>
          <w:szCs w:val="14"/>
          <w:color w:val="auto"/>
        </w:rPr>
        <w:t>As of</w:t>
      </w:r>
    </w:p>
    <w:p>
      <w:pPr>
        <w:jc w:val="center"/>
        <w:ind w:left="6220"/>
        <w:spacing w:after="0" w:line="231" w:lineRule="auto"/>
        <w:rPr>
          <w:sz w:val="20"/>
          <w:szCs w:val="20"/>
          <w:color w:val="auto"/>
        </w:rPr>
      </w:pPr>
      <w:r>
        <w:rPr>
          <w:rFonts w:ascii="Arial" w:cs="Arial" w:eastAsia="Arial" w:hAnsi="Arial"/>
          <w:sz w:val="14"/>
          <w:szCs w:val="14"/>
          <w:color w:val="auto"/>
        </w:rPr>
        <w:t>January 31,</w:t>
      </w:r>
    </w:p>
    <w:tbl>
      <w:tblPr>
        <w:tblLayout w:type="fixed"/>
        <w:tblInd w:w="1440" w:type="dxa"/>
        <w:tblCellMar>
          <w:top w:w="0" w:type="dxa"/>
          <w:left w:w="0" w:type="dxa"/>
          <w:bottom w:w="0" w:type="dxa"/>
          <w:right w:w="0" w:type="dxa"/>
        </w:tblCellMar>
      </w:tblPr>
      <w:tr>
        <w:trPr>
          <w:trHeight w:val="142"/>
        </w:trPr>
        <w:tc>
          <w:tcPr>
            <w:tcW w:w="39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31,765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35,608</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compensation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Reserves and accrueds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33,187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39,661</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(33,121)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(36,425)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w w:val="91"/>
              </w:rPr>
              <w:t>Total deferred tax assets, net of valuation allowances</w:t>
            </w: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Contract acquisition costs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Remaining perforamance obligations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(3,430)</w:t>
            </w:r>
          </w:p>
        </w:tc>
        <w:tc>
          <w:tcPr>
            <w:tcW w:w="10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0"/>
        </w:trPr>
        <w:tc>
          <w:tcPr>
            <w:tcW w:w="3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540" w:type="dxa"/>
            <w:vAlign w:val="bottom"/>
            <w:gridSpan w:val="2"/>
          </w:tcPr>
          <w:p>
            <w:pPr>
              <w:jc w:val="right"/>
              <w:ind w:right="1990"/>
              <w:spacing w:after="0"/>
              <w:rPr>
                <w:sz w:val="20"/>
                <w:szCs w:val="20"/>
                <w:color w:val="auto"/>
              </w:rPr>
            </w:pPr>
            <w:r>
              <w:rPr>
                <w:rFonts w:ascii="Arial" w:cs="Arial" w:eastAsia="Arial" w:hAnsi="Arial"/>
                <w:sz w:val="18"/>
                <w:szCs w:val="18"/>
                <w:color w:val="auto"/>
              </w:rPr>
              <w:t>F-36</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A valuation allowance has been provided in the U.S. federal and state as well as certain foreign jurisdictions to reduce deferred tax assets to the amount that is more likely than not to be realized. The valuation allowance increased/(decreased) by ($3.3 million), $11.6 million and $3.3 million for the fiscal years ended January 31, 2018, 2019 and 2020, respectively.</w:t>
      </w:r>
    </w:p>
    <w:p>
      <w:pPr>
        <w:spacing w:after="0" w:line="18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Company continually assesses the realizability of its deferred tax assets based on an evaluative process that considers all available positive and negative evidence. The Company has established a valuation allowance in the amount of $33.1 million and $36.4 million as of January 31, 2019 and 2020, respectively, because the Company believes it is not more likely than not the deferred tax asset in jurisdictions excluding Canada will be realized.</w:t>
      </w:r>
    </w:p>
    <w:p>
      <w:pPr>
        <w:spacing w:after="0" w:line="187"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On December 22, 2017, President Trump signed into law the statute named the “Tax Cuts and Jobs Act” (“TCJA”) which enacts a broad range of changes to the Internal Revenue Code. The TCJA, among other things, includes changes to U.S. federal tax rates, imposes significant additional limitations on the deductibility of interest and net operating losses, allows for the expensing of certain capital expenditures, and puts into effect a number of changes impacting operations outside of the United States including, but not limited to, the imposition of a one-time tax on accumulated post-1986 deferred foreign income that has not previously been subject to tax, and modifications to the treatment of certain intercompany transactions.</w:t>
      </w:r>
    </w:p>
    <w:p>
      <w:pPr>
        <w:spacing w:after="0" w:line="161"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decrease in the US corporate federal income tax rate to 21 percent was effective on January 1, 2018. For the tax year ended January 31, 2018, the blended federal income tax rate for the Company was 33.8%.</w:t>
      </w:r>
    </w:p>
    <w:p>
      <w:pPr>
        <w:spacing w:after="0" w:line="170"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The Company’s net deferred tax assets and liabilities were revalued at the newly enacted U.S. corporate rate of 21%, and the resulting increase to tax expense was offset by a related reduction of the Company’s valuation allowance.</w:t>
      </w:r>
    </w:p>
    <w:p>
      <w:pPr>
        <w:spacing w:after="0" w:line="170" w:lineRule="exact"/>
        <w:rPr>
          <w:sz w:val="20"/>
          <w:szCs w:val="20"/>
          <w:color w:val="auto"/>
        </w:rPr>
      </w:pPr>
    </w:p>
    <w:p>
      <w:pPr>
        <w:ind w:left="120" w:right="160" w:firstLine="881"/>
        <w:spacing w:after="0" w:line="269" w:lineRule="auto"/>
        <w:rPr>
          <w:sz w:val="20"/>
          <w:szCs w:val="20"/>
          <w:color w:val="auto"/>
        </w:rPr>
      </w:pPr>
      <w:r>
        <w:rPr>
          <w:rFonts w:ascii="Arial" w:cs="Arial" w:eastAsia="Arial" w:hAnsi="Arial"/>
          <w:sz w:val="17"/>
          <w:szCs w:val="17"/>
          <w:color w:val="auto"/>
        </w:rPr>
        <w:t>The TCJA also requires companies to pay a one-time transition tax on a mandatory deemed repatriation of earnings of certain foreign subsidiaries that were previously untaxed. The deemed repatriated earnings all relate to the fiscal year ending January 31, 2018 as it was the first year the Company had foreign operations. This deemed repatriation did not result in any additional income tax payable because the deemed repatriation amount was offset by net operating losses. The Company maintains its assertion of the Company’s intent for certain foreign earnings to be indefinitely reinvested. As of January 31, 2020, the Company has not recorded taxes on approximately $2.5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deferred tax liability will be recognized.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The Company has federal loss carryforwards totaling $267,652 that may be offset against future taxable income. If not used, the carryforwards will expire as follows: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2032 and before</w:t>
            </w:r>
          </w:p>
        </w:tc>
        <w:tc>
          <w:tcPr>
            <w:tcW w:w="4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40,606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2033</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2034</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18,355</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20,379</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2036</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2037</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51,551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2038</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25,766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2039</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13,900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2040</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76,710</w:t>
            </w: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267,652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Because of the change of ownership provisions of the Tax Reform Act of 1986, the use of the Company’s U.S. federal loss carryforwards may be limited in future periods. Further, a portion of the carryforwards may expire before being applied to reduce future income tax liabilities.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also has foreign net operating losses of $11.7 million that can be carried forward indefinitely, which are included in the table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Company is subject to taxation in the U.S. federal and various state and foreign jurisdictions. As of January 31, 2020, the Company is no longer subject to U.S. federal and state examinations by tax authorities for years prior to 2016. However, amounts reported as net operating losses and tax credit carryforwards from these tax periods remain subject to review by most tax authorities.</w:t>
      </w:r>
    </w:p>
    <w:p>
      <w:pPr>
        <w:spacing w:after="0" w:line="184" w:lineRule="exact"/>
        <w:rPr>
          <w:sz w:val="20"/>
          <w:szCs w:val="20"/>
          <w:color w:val="auto"/>
        </w:rPr>
      </w:pPr>
    </w:p>
    <w:p>
      <w:pPr>
        <w:jc w:val="both"/>
        <w:ind w:left="120" w:right="100" w:firstLine="881"/>
        <w:spacing w:after="0" w:line="311" w:lineRule="auto"/>
        <w:rPr>
          <w:sz w:val="20"/>
          <w:szCs w:val="20"/>
          <w:color w:val="auto"/>
        </w:rPr>
      </w:pPr>
      <w:r>
        <w:rPr>
          <w:rFonts w:ascii="Arial" w:cs="Arial" w:eastAsia="Arial" w:hAnsi="Arial"/>
          <w:sz w:val="16"/>
          <w:szCs w:val="16"/>
          <w:color w:val="auto"/>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2019 and 2020, the Company has not recognized any unrecognized tax benefits, interest or penalties for any income tax positions.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March 27, 2020, President Trump signed into law the “Coronavirus Aid, Relief and Economic Security (CARES) Act.”</w:t>
      </w:r>
    </w:p>
    <w:p>
      <w:pPr>
        <w:spacing w:after="0" w:line="23" w:lineRule="exact"/>
        <w:rPr>
          <w:sz w:val="20"/>
          <w:szCs w:val="20"/>
          <w:color w:val="auto"/>
        </w:rPr>
      </w:pPr>
    </w:p>
    <w:p>
      <w:pPr>
        <w:ind w:left="120" w:right="480"/>
        <w:spacing w:after="0" w:line="253" w:lineRule="auto"/>
        <w:rPr>
          <w:sz w:val="20"/>
          <w:szCs w:val="20"/>
          <w:color w:val="auto"/>
        </w:rPr>
      </w:pPr>
      <w:r>
        <w:rPr>
          <w:rFonts w:ascii="Arial" w:cs="Arial" w:eastAsia="Arial" w:hAnsi="Arial"/>
          <w:sz w:val="18"/>
          <w:szCs w:val="18"/>
          <w:color w:val="auto"/>
        </w:rPr>
        <w:t>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continues to examine the impacts the CARES Act may have on the Company’s business.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Defined Contribution Plan</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2018, 2019 and 2020 were $0, $0.1 million and $0.9 million,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7680" w:type="dxa"/>
            <w:vAlign w:val="bottom"/>
            <w:gridSpan w:val="3"/>
          </w:tcPr>
          <w:p>
            <w:pPr>
              <w:spacing w:after="0"/>
              <w:rPr>
                <w:sz w:val="20"/>
                <w:szCs w:val="20"/>
                <w:color w:val="auto"/>
              </w:rPr>
            </w:pPr>
            <w:r>
              <w:rPr>
                <w:rFonts w:ascii="Arial" w:cs="Arial" w:eastAsia="Arial" w:hAnsi="Arial"/>
                <w:sz w:val="18"/>
                <w:szCs w:val="18"/>
                <w:color w:val="auto"/>
                <w:w w:val="95"/>
              </w:rPr>
              <w:t>Future minimum lease payments required under operating leases at January 31, 2020 are as follows: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224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vMerge w:val="continue"/>
          </w:tcPr>
          <w:p>
            <w:pPr>
              <w:spacing w:after="0"/>
              <w:rPr>
                <w:sz w:val="17"/>
                <w:szCs w:val="17"/>
                <w:color w:val="auto"/>
              </w:rPr>
            </w:pPr>
          </w:p>
        </w:tc>
        <w:tc>
          <w:tcPr>
            <w:tcW w:w="6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Fiscal Year Ending January 31,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6,068</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2023</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2025</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22,725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70"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Total lease expense amounted to $3.4 million, $5.8 million, and $8.7 million for the fiscal years ended January 31, 2018, 2019 and 2020, respectively.</w:t>
      </w:r>
    </w:p>
    <w:p>
      <w:pPr>
        <w:spacing w:after="0" w:line="170"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have recognized liabilities for contingencies related to state sales and use tax deemed probable and estimable, including penalties and interest, totaling $0.9 million and $0.2 million at January 31, 2019 and 2020, respectively, which are included in other accrued expenses in the Company’s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Related-Party Transactions</w:t>
      </w:r>
    </w:p>
    <w:p>
      <w:pPr>
        <w:spacing w:after="0" w:line="12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Company’s main vendor is also an equity holder in the Company. Total payments related to the reseller agreement with the related party are disclosed in Note 9.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$0.5 million, $0.8 million and $1.1 million for the fiscal years ended January 31, 2018, 2019 and 2020, respectively, and $0.7 million and $1.1 million were in prepaid expenses and other current assets as of January 31, 2019 and 2020, respectively. Accounts payable to the related party were $2.1 million and $3.3 million at January 31, 2019 and 2020, respectively, included in accounts payable, related parties.</w:t>
      </w:r>
    </w:p>
    <w:p>
      <w:pPr>
        <w:spacing w:after="0" w:line="166"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As discussed in Note 2, there are equity holders who are also customers of the Company. Included in revenues are $8.1 million, $9.9 million and $8.4 million from three equity holder customers for the fiscal years ended January 31, 2018, 2019 and 2020, respectively. Related party balances in current deferred revenue, related parties were $6.9 million and $8.0 million as of January 31, 2019 and 2020, respectively.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Related-Party Transactions (Continued)</w:t>
      </w:r>
    </w:p>
    <w:p>
      <w:pPr>
        <w:spacing w:after="0" w:line="135"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 has a banking relationship with one of its equity holders. Included in interest income is $0.2 million, $0.9 million and $0.7 million for the fiscal years ended January 31, 2018, 2019 and 2020, respectively.</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made an agreement with one of its equity holders in May 2016 to spend an agreed-upon amount of funds over a three-year period to further the alliance between the two companies. As of fiscal year end January 31, 2020, the Company was in compliance with the terms of the agreement. Total consideration amounted to $0.3 million, $1.7 million, and $0.06 million for the fiscal years ended January 31, 2018, 2019 and 2020, respectively. In April 2019, the agreement was extended for an additional three years. As of January 31, 2020, there was a $0.2 million obligation remaining expected to be fulfilled within one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Basic and Diluted Loss per Share</w:t>
      </w:r>
    </w:p>
    <w:p>
      <w:pPr>
        <w:spacing w:after="0" w:line="12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fiscal years ended January 31, 2018, 2019, and 2020 is the same as the basic loss per share as there was a net loss for those periods, and inclusion of potentially issuable shares was anti-dilutive.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70" w:lineRule="exact"/>
        <w:rPr>
          <w:sz w:val="20"/>
          <w:szCs w:val="20"/>
          <w:color w:val="auto"/>
        </w:rPr>
      </w:pPr>
    </w:p>
    <w:p>
      <w:pPr>
        <w:jc w:val="center"/>
        <w:ind w:left="5740"/>
        <w:spacing w:after="0"/>
        <w:rPr>
          <w:sz w:val="20"/>
          <w:szCs w:val="20"/>
          <w:color w:val="auto"/>
        </w:rPr>
      </w:pPr>
      <w:r>
        <w:rPr>
          <w:rFonts w:ascii="Arial" w:cs="Arial" w:eastAsia="Arial" w:hAnsi="Arial"/>
          <w:sz w:val="14"/>
          <w:szCs w:val="14"/>
          <w:color w:val="auto"/>
        </w:rPr>
        <w:t>Fiscal Year Ended</w:t>
      </w:r>
    </w:p>
    <w:p>
      <w:pPr>
        <w:jc w:val="center"/>
        <w:ind w:left="5740"/>
        <w:spacing w:after="0" w:line="231" w:lineRule="auto"/>
        <w:rPr>
          <w:sz w:val="20"/>
          <w:szCs w:val="20"/>
          <w:color w:val="auto"/>
        </w:rPr>
      </w:pPr>
      <w:r>
        <w:rPr>
          <w:rFonts w:ascii="Arial" w:cs="Arial" w:eastAsia="Arial" w:hAnsi="Arial"/>
          <w:sz w:val="14"/>
          <w:szCs w:val="14"/>
          <w:color w:val="auto"/>
        </w:rPr>
        <w:t>January 31,</w:t>
      </w:r>
    </w:p>
    <w:tbl>
      <w:tblPr>
        <w:tblLayout w:type="fixed"/>
        <w:tblInd w:w="560" w:type="dxa"/>
        <w:tblCellMar>
          <w:top w:w="0" w:type="dxa"/>
          <w:left w:w="0" w:type="dxa"/>
          <w:bottom w:w="0" w:type="dxa"/>
          <w:right w:w="0" w:type="dxa"/>
        </w:tblCellMar>
      </w:tblPr>
      <w:tr>
        <w:trPr>
          <w:trHeight w:val="142"/>
        </w:trPr>
        <w:tc>
          <w:tcPr>
            <w:tcW w:w="44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2019</w:t>
            </w:r>
          </w:p>
        </w:tc>
        <w:tc>
          <w:tcPr>
            <w:tcW w:w="7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68,290,570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Basic loss per share attributable to nCino, Inc.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68,290,570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Dilutive loss per share attributable to nCino, Inc.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350"/>
        </w:trPr>
        <w:tc>
          <w:tcPr>
            <w:tcW w:w="4480" w:type="dxa"/>
            <w:vAlign w:val="bottom"/>
          </w:tcPr>
          <w:p>
            <w:pPr>
              <w:spacing w:after="0"/>
              <w:rPr>
                <w:sz w:val="24"/>
                <w:szCs w:val="2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F-40</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Basic and Diluted Loss per Share (Continued)</w:t>
      </w:r>
    </w:p>
    <w:p>
      <w:pPr>
        <w:spacing w:after="0" w:line="135"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The weighted-average number of shares outstanding used in the computation of diluted loss per share does not include the effect of the following potential outstanding common stock because the effect would have been anti-dilutive for the periods presented:</w:t>
      </w:r>
    </w:p>
    <w:p>
      <w:pPr>
        <w:spacing w:after="0" w:line="168" w:lineRule="exact"/>
        <w:rPr>
          <w:sz w:val="20"/>
          <w:szCs w:val="20"/>
          <w:color w:val="auto"/>
        </w:rPr>
      </w:pPr>
    </w:p>
    <w:p>
      <w:pPr>
        <w:jc w:val="center"/>
        <w:ind w:left="5640"/>
        <w:spacing w:after="0"/>
        <w:rPr>
          <w:sz w:val="20"/>
          <w:szCs w:val="20"/>
          <w:color w:val="auto"/>
        </w:rPr>
      </w:pPr>
      <w:r>
        <w:rPr>
          <w:rFonts w:ascii="Arial" w:cs="Arial" w:eastAsia="Arial" w:hAnsi="Arial"/>
          <w:sz w:val="14"/>
          <w:szCs w:val="14"/>
          <w:color w:val="auto"/>
        </w:rPr>
        <w:t>Fiscal Year Ended</w:t>
      </w:r>
    </w:p>
    <w:p>
      <w:pPr>
        <w:jc w:val="center"/>
        <w:ind w:left="564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57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10,291,959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8,206,926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7,837,023</w:t>
            </w:r>
          </w:p>
        </w:tc>
        <w:tc>
          <w:tcPr>
            <w:tcW w:w="80" w:type="dxa"/>
            <w:vAlign w:val="bottom"/>
            <w:shd w:val="clear" w:color="auto" w:fill="CCEEFF"/>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948,119</w:t>
            </w:r>
          </w:p>
        </w:tc>
        <w:tc>
          <w:tcPr>
            <w:tcW w:w="80" w:type="dxa"/>
            <w:vAlign w:val="bottom"/>
          </w:tcPr>
          <w:p>
            <w:pPr>
              <w:spacing w:after="0"/>
              <w:rPr>
                <w:sz w:val="20"/>
                <w:szCs w:val="20"/>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Selected summarized quarterly financial information for fiscal 2019 and 2020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January 31, 2019</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19,064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22,630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23,663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26,177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91,534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10,119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11,048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12,210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13,074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46,451</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11,582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5,833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7,909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7,844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9,692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2,922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4,217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14,791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13,350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17,067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16,473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21,409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(4,405)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(8,306)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(4,912)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(7,730)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Net loss attributable to nCino, Inc.</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(4,251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(5,324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(4,926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(7,805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(22,306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and diluted net loss per share attributable to nCino, Inc.</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January 31, 2020</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29,836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31,978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37,862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38,504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138,180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Cost of revenues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14,038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14,770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16,889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18,373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64,070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15,798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17,208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20,973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20,131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10,453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12,602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13,370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7,366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8,272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9,534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10,132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23"/>
        </w:trPr>
        <w:tc>
          <w:tcPr>
            <w:tcW w:w="48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19,290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27,693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880" w:type="dxa"/>
            <w:vAlign w:val="bottom"/>
          </w:tcPr>
          <w:p>
            <w:pPr>
              <w:spacing w:after="0"/>
              <w:rPr>
                <w:sz w:val="24"/>
                <w:szCs w:val="24"/>
                <w:color w:val="auto"/>
              </w:rPr>
            </w:pPr>
          </w:p>
        </w:tc>
        <w:tc>
          <w:tcPr>
            <w:tcW w:w="2200" w:type="dxa"/>
            <w:vAlign w:val="bottom"/>
            <w:gridSpan w:val="2"/>
          </w:tcPr>
          <w:p>
            <w:pPr>
              <w:jc w:val="right"/>
              <w:ind w:right="1327"/>
              <w:spacing w:after="0"/>
              <w:rPr>
                <w:sz w:val="20"/>
                <w:szCs w:val="20"/>
                <w:color w:val="auto"/>
              </w:rPr>
            </w:pPr>
            <w:r>
              <w:rPr>
                <w:rFonts w:ascii="Arial" w:cs="Arial" w:eastAsia="Arial" w:hAnsi="Arial"/>
                <w:sz w:val="18"/>
                <w:szCs w:val="18"/>
                <w:color w:val="auto"/>
              </w:rPr>
              <w:t>F-41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Selected Quarterly Financial Data (Unaudited) (Continued)</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0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0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(3,492)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(7,947)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(6,720)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(10,011)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(28,170)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(5,931)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(27,149)</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(3,419)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(6,089)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(27,735)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(3,419)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(8,502)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(6,029)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(27,594)</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attributable to nCino, Inc.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Subsequent Event</w:t>
      </w:r>
    </w:p>
    <w:p>
      <w:pPr>
        <w:spacing w:after="0" w:line="12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world. COVID-19 is having an unprecedented impact on the global economy as national, state and local governments react to this public health crisis. Due to the COVID-19 outbreak, there is significant uncertainty surrounding the potential impact on the Company’s results of operations and cash flows. Continued impacts of the pandemic could materially adversely affect the Company’s near-term and long-term revenues, earnings, liquidity and cash flows.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UNAUDITED INTERIM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sz w:val="20"/>
                <w:szCs w:val="20"/>
                <w:color w:val="auto"/>
              </w:rPr>
            </w:pPr>
            <w:r>
              <w:rPr>
                <w:rFonts w:ascii="Arial" w:cs="Arial" w:eastAsia="Arial" w:hAnsi="Arial"/>
                <w:sz w:val="18"/>
                <w:szCs w:val="18"/>
                <w:color w:val="auto"/>
              </w:rPr>
              <w:t>Unaudited Financial Statements</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Condensed Consolidated Balance Sheet as of January 31, 2020 and April 30,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F-44</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Unaudited Condensed Consolidated Statements of Operations for the three months ended April 30,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F-45</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Unaudited Condensed Consolidated Statements of Comprehensive Loss for the three months ended April 30,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F-46</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Unaudited Condensed Consolidated Statements of Stockholders’ Equity for the three months ended April 30,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F-47</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Unaudited Condensed Consolidated Statements of Cash Flows for the three months ended April 30,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F-48</w:t>
            </w:r>
          </w:p>
        </w:tc>
        <w:tc>
          <w:tcPr>
            <w:tcW w:w="0" w:type="dxa"/>
            <w:vAlign w:val="bottom"/>
          </w:tcPr>
          <w:p>
            <w:pPr>
              <w:spacing w:after="0"/>
              <w:rPr>
                <w:sz w:val="1"/>
                <w:szCs w:val="1"/>
                <w:color w:val="auto"/>
              </w:rPr>
            </w:pPr>
          </w:p>
        </w:tc>
      </w:tr>
      <w:tr>
        <w:trPr>
          <w:trHeight w:val="230"/>
        </w:trPr>
        <w:tc>
          <w:tcPr>
            <w:tcW w:w="10560" w:type="dxa"/>
            <w:vAlign w:val="bottom"/>
          </w:tcPr>
          <w:p>
            <w:pPr>
              <w:ind w:left="360"/>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F-49</w:t>
            </w:r>
          </w:p>
        </w:tc>
        <w:tc>
          <w:tcPr>
            <w:tcW w:w="0" w:type="dxa"/>
            <w:vAlign w:val="bottom"/>
          </w:tcPr>
          <w:p>
            <w:pPr>
              <w:spacing w:after="0"/>
              <w:rPr>
                <w:sz w:val="1"/>
                <w:szCs w:val="1"/>
                <w:color w:val="auto"/>
              </w:rPr>
            </w:pPr>
          </w:p>
        </w:tc>
      </w:tr>
      <w:tr>
        <w:trPr>
          <w:trHeight w:val="364"/>
        </w:trPr>
        <w:tc>
          <w:tcPr>
            <w:tcW w:w="10560" w:type="dxa"/>
            <w:vAlign w:val="bottom"/>
          </w:tcPr>
          <w:p>
            <w:pPr>
              <w:ind w:left="5340"/>
              <w:spacing w:after="0"/>
              <w:rPr>
                <w:sz w:val="20"/>
                <w:szCs w:val="20"/>
                <w:color w:val="auto"/>
              </w:rPr>
            </w:pPr>
            <w:r>
              <w:rPr>
                <w:rFonts w:ascii="Arial" w:cs="Arial" w:eastAsia="Arial" w:hAnsi="Arial"/>
                <w:sz w:val="18"/>
                <w:szCs w:val="18"/>
                <w:color w:val="auto"/>
              </w:rPr>
              <w:t>F-43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January 31, 2020 and April 30,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48"/>
        </w:trPr>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6"/>
        </w:trPr>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(VIE: $8,892 and $8,794 at January 31, 2020 and April 30, 2020, respectively)</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91,184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99,038</w:t>
            </w:r>
          </w:p>
        </w:tc>
        <w:tc>
          <w:tcPr>
            <w:tcW w:w="0" w:type="dxa"/>
            <w:vAlign w:val="bottom"/>
          </w:tcPr>
          <w:p>
            <w:pPr>
              <w:spacing w:after="0"/>
              <w:rPr>
                <w:sz w:val="1"/>
                <w:szCs w:val="1"/>
                <w:color w:val="auto"/>
              </w:rPr>
            </w:pP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6"/>
              </w:rPr>
              <w:t>Accounts receivable, less allowance for doubtful accounts of $0 and $167 at January 31, 2020 and April 30, 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34,205</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43,249</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30"/>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145,277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155,940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13,955</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Costs capitalized to obtain revenue contracts, noncurrent,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55,840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55,630</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25,244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261,089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Accounts payable, related parties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Deferred revenue,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50,929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69,359</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portion,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Deferred rent,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78,522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8, 11 and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Redeemable non-controlling interest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Preferred stock, $0.001 par value; 1,000,000 shares authorized and none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Voting common stock, $0.0005 par value; 99,708,247 shares authorized as of January 31, 2020 and April 30, 2020;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75,596,007 and 75,651,808 shares issued and outstanding as of January 31, 2020 and April 30, 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8"/>
              </w:rPr>
              <w:t>Non-voting common stock, $0.0005 par value; 10,291,753 shares authorized as of January 31, 2019 and 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rPr>
              <w:t>5,931,319 shares issued and outstanding as of January 31, 2020 and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April 30, 2020,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288,564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289,624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(120,924)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(125,580)</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167,273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163,898</w:t>
            </w:r>
          </w:p>
        </w:tc>
        <w:tc>
          <w:tcPr>
            <w:tcW w:w="0" w:type="dxa"/>
            <w:vAlign w:val="bottom"/>
          </w:tcPr>
          <w:p>
            <w:pPr>
              <w:spacing w:after="0"/>
              <w:rPr>
                <w:sz w:val="1"/>
                <w:szCs w:val="1"/>
                <w:color w:val="auto"/>
              </w:rPr>
            </w:pP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261,089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8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Subscription (related parties $1,755 and $2,439,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21,032</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34,831</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9,881</w:t>
            </w:r>
          </w:p>
        </w:tc>
      </w:tr>
      <w:tr>
        <w:trPr>
          <w:trHeight w:val="223"/>
        </w:trPr>
        <w:tc>
          <w:tcPr>
            <w:tcW w:w="84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44,712</w:t>
            </w:r>
          </w:p>
        </w:tc>
        <w:tc>
          <w:tcPr>
            <w:tcW w:w="12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Subscription (related party $5,059 and $7,510 respectively)</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6,502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10,099</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8,767</w:t>
            </w:r>
          </w:p>
        </w:tc>
      </w:tr>
      <w:tr>
        <w:trPr>
          <w:trHeight w:val="230"/>
        </w:trPr>
        <w:tc>
          <w:tcPr>
            <w:tcW w:w="840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18,866</w:t>
            </w:r>
          </w:p>
        </w:tc>
        <w:tc>
          <w:tcPr>
            <w:tcW w:w="120" w:type="dxa"/>
            <w:vAlign w:val="bottom"/>
          </w:tcPr>
          <w:p>
            <w:pPr>
              <w:spacing w:after="0"/>
              <w:rPr>
                <w:sz w:val="20"/>
                <w:szCs w:val="20"/>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25,846</w:t>
            </w: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12,226</w:t>
            </w: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7,366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10,965</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6,926</w:t>
            </w:r>
          </w:p>
        </w:tc>
      </w:tr>
      <w:tr>
        <w:trPr>
          <w:trHeight w:val="230"/>
        </w:trPr>
        <w:tc>
          <w:tcPr>
            <w:tcW w:w="84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30,117</w:t>
            </w:r>
          </w:p>
        </w:tc>
        <w:tc>
          <w:tcPr>
            <w:tcW w:w="120" w:type="dxa"/>
            <w:vAlign w:val="bottom"/>
          </w:tcPr>
          <w:p>
            <w:pPr>
              <w:spacing w:after="0"/>
              <w:rPr>
                <w:sz w:val="20"/>
                <w:szCs w:val="20"/>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(4,271)</w:t>
            </w: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r>
      <w:tr>
        <w:trPr>
          <w:trHeight w:val="27"/>
        </w:trPr>
        <w:tc>
          <w:tcPr>
            <w:tcW w:w="8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before income tax expense</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(4,635)</w:t>
            </w: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r>
      <w:tr>
        <w:trPr>
          <w:trHeight w:val="27"/>
        </w:trPr>
        <w:tc>
          <w:tcPr>
            <w:tcW w:w="8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(4,832)</w:t>
            </w: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Net loss attributable to redeemable non-controlling interest (Note 3)</w:t>
            </w:r>
          </w:p>
        </w:tc>
        <w:tc>
          <w:tcPr>
            <w:tcW w:w="8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attributable to redeemable non-controlling interest (Note 3)</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r>
      <w:tr>
        <w:trPr>
          <w:trHeight w:val="223"/>
        </w:trPr>
        <w:tc>
          <w:tcPr>
            <w:tcW w:w="8400" w:type="dxa"/>
            <w:vAlign w:val="bottom"/>
          </w:tcPr>
          <w:p>
            <w:pPr>
              <w:ind w:left="1080"/>
              <w:spacing w:after="0"/>
              <w:rPr>
                <w:sz w:val="20"/>
                <w:szCs w:val="20"/>
                <w:color w:val="auto"/>
              </w:rPr>
            </w:pPr>
            <w:r>
              <w:rPr>
                <w:rFonts w:ascii="Arial" w:cs="Arial" w:eastAsia="Arial" w:hAnsi="Arial"/>
                <w:sz w:val="18"/>
                <w:szCs w:val="18"/>
                <w:b w:val="1"/>
                <w:bCs w:val="1"/>
                <w:color w:val="auto"/>
              </w:rPr>
              <w:t>Net loss attributable to nCino,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nCino, Inc.:</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20"/>
        </w:trPr>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75,986,517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81,560,762</w:t>
            </w:r>
          </w:p>
        </w:tc>
      </w:tr>
      <w:tr>
        <w:trPr>
          <w:trHeight w:val="20"/>
        </w:trPr>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7"/>
          </w:tcPr>
          <w:p>
            <w:pPr>
              <w:jc w:val="right"/>
              <w:ind w:right="261"/>
              <w:spacing w:after="0"/>
              <w:rPr>
                <w:sz w:val="20"/>
                <w:szCs w:val="20"/>
                <w:color w:val="auto"/>
              </w:rPr>
            </w:pPr>
            <w:r>
              <w:rPr>
                <w:rFonts w:ascii="Arial" w:cs="Arial" w:eastAsia="Arial" w:hAnsi="Arial"/>
                <w:sz w:val="14"/>
                <w:szCs w:val="14"/>
                <w:b w:val="1"/>
                <w:bCs w:val="1"/>
                <w:color w:val="auto"/>
                <w:w w:val="98"/>
              </w:rPr>
              <w:t>Three Months Ended April 30,</w:t>
            </w:r>
          </w:p>
        </w:tc>
      </w:tr>
      <w:tr>
        <w:trPr>
          <w:trHeight w:val="142"/>
        </w:trPr>
        <w:tc>
          <w:tcPr>
            <w:tcW w:w="8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3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312</w:t>
            </w:r>
          </w:p>
        </w:tc>
      </w:tr>
      <w:tr>
        <w:trPr>
          <w:trHeight w:val="230"/>
        </w:trPr>
        <w:tc>
          <w:tcPr>
            <w:tcW w:w="856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91</w:t>
            </w: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856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UNAUDITED CONDENSED CONSOLIDATED STATEMENTS OF</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3"/>
          </w:tcPr>
          <w:p>
            <w:pPr>
              <w:ind w:left="680"/>
              <w:spacing w:after="0"/>
              <w:rPr>
                <w:sz w:val="20"/>
                <w:szCs w:val="20"/>
                <w:color w:val="auto"/>
              </w:rPr>
            </w:pPr>
            <w:r>
              <w:rPr>
                <w:rFonts w:ascii="Arial" w:cs="Arial" w:eastAsia="Arial" w:hAnsi="Arial"/>
                <w:sz w:val="14"/>
                <w:szCs w:val="14"/>
                <w:b w:val="1"/>
                <w:bCs w:val="1"/>
                <w:color w:val="auto"/>
              </w:rPr>
              <w:t>Three Months Ended April 30, 2019</w:t>
            </w: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8"/>
        </w:trPr>
        <w:tc>
          <w:tcPr>
            <w:tcW w:w="4060" w:type="dxa"/>
            <w:vAlign w:val="bottom"/>
          </w:tcPr>
          <w:p>
            <w:pPr>
              <w:spacing w:after="0"/>
              <w:rPr>
                <w:sz w:val="11"/>
                <w:szCs w:val="11"/>
                <w:color w:val="auto"/>
              </w:rPr>
            </w:pPr>
          </w:p>
        </w:tc>
        <w:tc>
          <w:tcPr>
            <w:tcW w:w="1020" w:type="dxa"/>
            <w:vAlign w:val="bottom"/>
            <w:gridSpan w:val="3"/>
          </w:tcPr>
          <w:p>
            <w:pPr>
              <w:jc w:val="center"/>
              <w:ind w:left="396"/>
              <w:spacing w:after="0" w:line="129" w:lineRule="exact"/>
              <w:rPr>
                <w:sz w:val="20"/>
                <w:szCs w:val="20"/>
                <w:color w:val="auto"/>
              </w:rPr>
            </w:pPr>
            <w:r>
              <w:rPr>
                <w:rFonts w:ascii="Arial" w:cs="Arial" w:eastAsia="Arial" w:hAnsi="Arial"/>
                <w:sz w:val="14"/>
                <w:szCs w:val="14"/>
                <w:color w:val="auto"/>
                <w:w w:val="95"/>
              </w:rPr>
              <w:t>Voting</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spacing w:after="0" w:line="129" w:lineRule="exact"/>
              <w:rPr>
                <w:sz w:val="20"/>
                <w:szCs w:val="20"/>
                <w:color w:val="auto"/>
              </w:rPr>
            </w:pPr>
            <w:r>
              <w:rPr>
                <w:rFonts w:ascii="Arial" w:cs="Arial" w:eastAsia="Arial" w:hAnsi="Arial"/>
                <w:sz w:val="14"/>
                <w:szCs w:val="14"/>
                <w:color w:val="auto"/>
                <w:w w:val="97"/>
              </w:rPr>
              <w:t>Non-voting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96"/>
              </w:rPr>
              <w:t>Other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406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216"/>
              <w:spacing w:after="0"/>
              <w:rPr>
                <w:sz w:val="20"/>
                <w:szCs w:val="20"/>
                <w:color w:val="auto"/>
              </w:rPr>
            </w:pPr>
            <w:r>
              <w:rPr>
                <w:rFonts w:ascii="Arial" w:cs="Arial" w:eastAsia="Arial" w:hAnsi="Arial"/>
                <w:sz w:val="14"/>
                <w:szCs w:val="14"/>
                <w:color w:val="auto"/>
                <w:w w:val="94"/>
              </w:rPr>
              <w:t>Common Stock</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4"/>
              </w:rPr>
              <w:t>Common Stock</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Paid in</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00" w:type="dxa"/>
            <w:vAlign w:val="bottom"/>
            <w:gridSpan w:val="2"/>
          </w:tcPr>
          <w:p>
            <w:pPr>
              <w:jc w:val="center"/>
              <w:ind w:right="41"/>
              <w:spacing w:after="0"/>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1020" w:type="dxa"/>
            <w:vAlign w:val="bottom"/>
            <w:gridSpan w:val="3"/>
          </w:tcPr>
          <w:p>
            <w:pPr>
              <w:ind w:left="240"/>
              <w:spacing w:after="0" w:line="142" w:lineRule="exact"/>
              <w:rPr>
                <w:sz w:val="20"/>
                <w:szCs w:val="20"/>
                <w:color w:val="auto"/>
              </w:rPr>
            </w:pPr>
            <w:r>
              <w:rPr>
                <w:rFonts w:ascii="Arial" w:cs="Arial" w:eastAsia="Arial" w:hAnsi="Arial"/>
                <w:sz w:val="14"/>
                <w:szCs w:val="14"/>
                <w:color w:val="auto"/>
              </w:rPr>
              <w:t>Shares</w:t>
            </w:r>
          </w:p>
        </w:tc>
        <w:tc>
          <w:tcPr>
            <w:tcW w:w="460" w:type="dxa"/>
            <w:vAlign w:val="bottom"/>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86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Shares</w:t>
            </w:r>
          </w:p>
        </w:tc>
        <w:tc>
          <w:tcPr>
            <w:tcW w:w="6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92"/>
              </w:rPr>
              <w:t>Income (Loss)</w:t>
            </w:r>
          </w:p>
        </w:tc>
        <w:tc>
          <w:tcPr>
            <w:tcW w:w="60" w:type="dxa"/>
            <w:vAlign w:val="bottom"/>
          </w:tcPr>
          <w:p>
            <w:pPr>
              <w:spacing w:after="0"/>
              <w:rPr>
                <w:sz w:val="12"/>
                <w:szCs w:val="12"/>
                <w:color w:val="auto"/>
              </w:rPr>
            </w:pPr>
          </w:p>
        </w:tc>
        <w:tc>
          <w:tcPr>
            <w:tcW w:w="900" w:type="dxa"/>
            <w:vAlign w:val="bottom"/>
            <w:gridSpan w:val="2"/>
          </w:tcPr>
          <w:p>
            <w:pPr>
              <w:jc w:val="center"/>
              <w:ind w:right="61"/>
              <w:spacing w:after="0" w:line="142" w:lineRule="exact"/>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70,186,189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35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5,701,435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$170,771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(104,752)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4060" w:type="dxa"/>
            <w:vAlign w:val="bottom"/>
          </w:tcPr>
          <w:p>
            <w:pPr>
              <w:ind w:left="360"/>
              <w:spacing w:after="0" w:line="201" w:lineRule="exact"/>
              <w:rPr>
                <w:sz w:val="20"/>
                <w:szCs w:val="20"/>
                <w:color w:val="auto"/>
              </w:rPr>
            </w:pPr>
            <w:r>
              <w:rPr>
                <w:rFonts w:ascii="Arial" w:cs="Arial" w:eastAsia="Arial" w:hAnsi="Arial"/>
                <w:sz w:val="18"/>
                <w:szCs w:val="18"/>
                <w:color w:val="auto"/>
                <w:w w:val="99"/>
              </w:rPr>
              <w:t>Cumulative-effect adjustment from adoption of</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060" w:type="dxa"/>
            <w:vAlign w:val="bottom"/>
          </w:tcPr>
          <w:p>
            <w:pPr>
              <w:ind w:left="540"/>
              <w:spacing w:after="0"/>
              <w:rPr>
                <w:sz w:val="20"/>
                <w:szCs w:val="20"/>
                <w:color w:val="auto"/>
              </w:rPr>
            </w:pPr>
            <w:r>
              <w:rPr>
                <w:rFonts w:ascii="Arial" w:cs="Arial" w:eastAsia="Arial" w:hAnsi="Arial"/>
                <w:sz w:val="18"/>
                <w:szCs w:val="18"/>
                <w:color w:val="auto"/>
              </w:rPr>
              <w:t>accounting standard</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11,422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11,422</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1,109</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(3,419)</w:t>
            </w:r>
          </w:p>
        </w:tc>
      </w:tr>
      <w:tr>
        <w:trPr>
          <w:trHeight w:val="27"/>
        </w:trPr>
        <w:tc>
          <w:tcPr>
            <w:tcW w:w="4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70,318,021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5,701,435</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172,152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(96,749)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75,478</w:t>
            </w:r>
          </w:p>
        </w:tc>
      </w:tr>
      <w:tr>
        <w:trPr>
          <w:trHeight w:val="20"/>
        </w:trPr>
        <w:tc>
          <w:tcPr>
            <w:tcW w:w="4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3"/>
          </w:tcPr>
          <w:p>
            <w:pPr>
              <w:ind w:left="680"/>
              <w:spacing w:after="0"/>
              <w:rPr>
                <w:sz w:val="20"/>
                <w:szCs w:val="20"/>
                <w:color w:val="auto"/>
              </w:rPr>
            </w:pPr>
            <w:r>
              <w:rPr>
                <w:rFonts w:ascii="Arial" w:cs="Arial" w:eastAsia="Arial" w:hAnsi="Arial"/>
                <w:sz w:val="14"/>
                <w:szCs w:val="14"/>
                <w:b w:val="1"/>
                <w:bCs w:val="1"/>
                <w:color w:val="auto"/>
              </w:rPr>
              <w:t>Three Months Ended April 30, 2020</w:t>
            </w: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8"/>
        </w:trPr>
        <w:tc>
          <w:tcPr>
            <w:tcW w:w="4060" w:type="dxa"/>
            <w:vAlign w:val="bottom"/>
          </w:tcPr>
          <w:p>
            <w:pPr>
              <w:spacing w:after="0"/>
              <w:rPr>
                <w:sz w:val="11"/>
                <w:szCs w:val="11"/>
                <w:color w:val="auto"/>
              </w:rPr>
            </w:pPr>
          </w:p>
        </w:tc>
        <w:tc>
          <w:tcPr>
            <w:tcW w:w="1020" w:type="dxa"/>
            <w:vAlign w:val="bottom"/>
            <w:gridSpan w:val="3"/>
          </w:tcPr>
          <w:p>
            <w:pPr>
              <w:jc w:val="center"/>
              <w:ind w:left="396"/>
              <w:spacing w:after="0" w:line="129" w:lineRule="exact"/>
              <w:rPr>
                <w:sz w:val="20"/>
                <w:szCs w:val="20"/>
                <w:color w:val="auto"/>
              </w:rPr>
            </w:pPr>
            <w:r>
              <w:rPr>
                <w:rFonts w:ascii="Arial" w:cs="Arial" w:eastAsia="Arial" w:hAnsi="Arial"/>
                <w:sz w:val="14"/>
                <w:szCs w:val="14"/>
                <w:color w:val="auto"/>
                <w:w w:val="95"/>
              </w:rPr>
              <w:t>Voting</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spacing w:after="0" w:line="129" w:lineRule="exact"/>
              <w:rPr>
                <w:sz w:val="20"/>
                <w:szCs w:val="20"/>
                <w:color w:val="auto"/>
              </w:rPr>
            </w:pPr>
            <w:r>
              <w:rPr>
                <w:rFonts w:ascii="Arial" w:cs="Arial" w:eastAsia="Arial" w:hAnsi="Arial"/>
                <w:sz w:val="14"/>
                <w:szCs w:val="14"/>
                <w:color w:val="auto"/>
                <w:w w:val="97"/>
              </w:rPr>
              <w:t>Non-voting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96"/>
              </w:rPr>
              <w:t>Other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406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216"/>
              <w:spacing w:after="0"/>
              <w:rPr>
                <w:sz w:val="20"/>
                <w:szCs w:val="20"/>
                <w:color w:val="auto"/>
              </w:rPr>
            </w:pPr>
            <w:r>
              <w:rPr>
                <w:rFonts w:ascii="Arial" w:cs="Arial" w:eastAsia="Arial" w:hAnsi="Arial"/>
                <w:sz w:val="14"/>
                <w:szCs w:val="14"/>
                <w:color w:val="auto"/>
                <w:w w:val="94"/>
              </w:rPr>
              <w:t>Common Stock</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4"/>
              </w:rPr>
              <w:t>Common Stock</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Paid in</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00" w:type="dxa"/>
            <w:vAlign w:val="bottom"/>
            <w:gridSpan w:val="2"/>
          </w:tcPr>
          <w:p>
            <w:pPr>
              <w:jc w:val="center"/>
              <w:ind w:right="41"/>
              <w:spacing w:after="0"/>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1020" w:type="dxa"/>
            <w:vAlign w:val="bottom"/>
            <w:gridSpan w:val="3"/>
          </w:tcPr>
          <w:p>
            <w:pPr>
              <w:ind w:left="240"/>
              <w:spacing w:after="0" w:line="142" w:lineRule="exact"/>
              <w:rPr>
                <w:sz w:val="20"/>
                <w:szCs w:val="20"/>
                <w:color w:val="auto"/>
              </w:rPr>
            </w:pPr>
            <w:r>
              <w:rPr>
                <w:rFonts w:ascii="Arial" w:cs="Arial" w:eastAsia="Arial" w:hAnsi="Arial"/>
                <w:sz w:val="14"/>
                <w:szCs w:val="14"/>
                <w:color w:val="auto"/>
              </w:rPr>
              <w:t>Shares</w:t>
            </w:r>
          </w:p>
        </w:tc>
        <w:tc>
          <w:tcPr>
            <w:tcW w:w="460" w:type="dxa"/>
            <w:vAlign w:val="bottom"/>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86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Shares</w:t>
            </w:r>
          </w:p>
        </w:tc>
        <w:tc>
          <w:tcPr>
            <w:tcW w:w="6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92"/>
              </w:rPr>
              <w:t>Income (Loss)</w:t>
            </w:r>
          </w:p>
        </w:tc>
        <w:tc>
          <w:tcPr>
            <w:tcW w:w="60" w:type="dxa"/>
            <w:vAlign w:val="bottom"/>
          </w:tcPr>
          <w:p>
            <w:pPr>
              <w:spacing w:after="0"/>
              <w:rPr>
                <w:sz w:val="12"/>
                <w:szCs w:val="12"/>
                <w:color w:val="auto"/>
              </w:rPr>
            </w:pPr>
          </w:p>
        </w:tc>
        <w:tc>
          <w:tcPr>
            <w:tcW w:w="900" w:type="dxa"/>
            <w:vAlign w:val="bottom"/>
            <w:gridSpan w:val="2"/>
          </w:tcPr>
          <w:p>
            <w:pPr>
              <w:jc w:val="center"/>
              <w:ind w:right="61"/>
              <w:spacing w:after="0" w:line="142" w:lineRule="exact"/>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75,596,007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38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5,931,319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$288,564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(120,924)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167,273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55,801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r>
      <w:tr>
        <w:trPr>
          <w:trHeight w:val="202"/>
        </w:trPr>
        <w:tc>
          <w:tcPr>
            <w:tcW w:w="4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loss attributable to nCino, Inc., including</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adjustment to redeemable non-controlling</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Balance, April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75,651,808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38</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5,931,319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289,624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(125,580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163,898</w:t>
            </w:r>
          </w:p>
        </w:tc>
        <w:tc>
          <w:tcPr>
            <w:tcW w:w="12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jc w:val="center"/>
        <w:ind w:left="8680"/>
        <w:spacing w:after="0" w:line="236" w:lineRule="auto"/>
        <w:rPr>
          <w:sz w:val="20"/>
          <w:szCs w:val="20"/>
          <w:color w:val="auto"/>
        </w:rPr>
      </w:pPr>
      <w:r>
        <w:rPr>
          <w:rFonts w:ascii="Arial" w:cs="Arial" w:eastAsia="Arial" w:hAnsi="Arial"/>
          <w:sz w:val="14"/>
          <w:szCs w:val="14"/>
          <w:b w:val="1"/>
          <w:bCs w:val="1"/>
          <w:color w:val="auto"/>
        </w:rPr>
        <w:t>April 30,</w:t>
      </w:r>
    </w:p>
    <w:tbl>
      <w:tblPr>
        <w:tblLayout w:type="fixed"/>
        <w:tblInd w:w="120" w:type="dxa"/>
        <w:tblCellMar>
          <w:top w:w="0" w:type="dxa"/>
          <w:left w:w="0" w:type="dxa"/>
          <w:bottom w:w="0" w:type="dxa"/>
          <w:right w:w="0" w:type="dxa"/>
        </w:tblCellMar>
      </w:tblPr>
      <w:tr>
        <w:trPr>
          <w:trHeight w:val="142"/>
        </w:trPr>
        <w:tc>
          <w:tcPr>
            <w:tcW w:w="89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(3,419)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(4,769)</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adjustment attributable to redeemable non-controlling interest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(3,419)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(4,832)</w:t>
            </w:r>
          </w:p>
        </w:tc>
        <w:tc>
          <w:tcPr>
            <w:tcW w:w="220" w:type="dxa"/>
            <w:vAlign w:val="bottom"/>
          </w:tcPr>
          <w:p>
            <w:pPr>
              <w:spacing w:after="0"/>
              <w:rPr>
                <w:sz w:val="19"/>
                <w:szCs w:val="19"/>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costs capitalized to obtain revenue contracts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Provision for (recovery of) bad debt</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(5,217)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(9,463)</w:t>
            </w:r>
          </w:p>
        </w:tc>
      </w:tr>
      <w:tr>
        <w:trPr>
          <w:trHeight w:val="216"/>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 related parties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6,395</w:t>
            </w:r>
          </w:p>
        </w:tc>
      </w:tr>
      <w:tr>
        <w:trPr>
          <w:trHeight w:val="216"/>
        </w:trPr>
        <w:tc>
          <w:tcPr>
            <w:tcW w:w="8900" w:type="dxa"/>
            <w:vAlign w:val="bottom"/>
          </w:tcPr>
          <w:p>
            <w:pPr>
              <w:ind w:left="1080"/>
              <w:spacing w:after="0"/>
              <w:rPr>
                <w:sz w:val="20"/>
                <w:szCs w:val="20"/>
                <w:color w:val="auto"/>
              </w:rPr>
            </w:pPr>
            <w:r>
              <w:rPr>
                <w:rFonts w:ascii="Arial" w:cs="Arial" w:eastAsia="Arial" w:hAnsi="Arial"/>
                <w:sz w:val="18"/>
                <w:szCs w:val="18"/>
                <w:color w:val="auto"/>
              </w:rPr>
              <w:t>Costs capitalized to obtain revenue contracts</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(2,436)</w:t>
            </w:r>
          </w:p>
        </w:tc>
      </w:tr>
      <w:tr>
        <w:trPr>
          <w:trHeight w:val="216"/>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r>
      <w:tr>
        <w:trPr>
          <w:trHeight w:val="216"/>
        </w:trPr>
        <w:tc>
          <w:tcPr>
            <w:tcW w:w="8900" w:type="dxa"/>
            <w:vAlign w:val="bottom"/>
          </w:tcPr>
          <w:p>
            <w:pPr>
              <w:ind w:left="1080"/>
              <w:spacing w:after="0"/>
              <w:rPr>
                <w:sz w:val="20"/>
                <w:szCs w:val="20"/>
                <w:color w:val="auto"/>
              </w:rPr>
            </w:pPr>
            <w:r>
              <w:rPr>
                <w:rFonts w:ascii="Arial" w:cs="Arial" w:eastAsia="Arial" w:hAnsi="Arial"/>
                <w:sz w:val="18"/>
                <w:szCs w:val="18"/>
                <w:color w:val="auto"/>
              </w:rPr>
              <w:t>Accounts payable and accrued expenses and other liabilities</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(4,180)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(4,774)</w:t>
            </w:r>
          </w:p>
        </w:tc>
      </w:tr>
      <w:tr>
        <w:trPr>
          <w:trHeight w:val="216"/>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related parties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r>
      <w:tr>
        <w:trPr>
          <w:trHeight w:val="216"/>
        </w:trPr>
        <w:tc>
          <w:tcPr>
            <w:tcW w:w="8900" w:type="dxa"/>
            <w:vAlign w:val="bottom"/>
          </w:tcPr>
          <w:p>
            <w:pPr>
              <w:ind w:left="108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11,492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18,630</w:t>
            </w:r>
          </w:p>
        </w:tc>
      </w:tr>
      <w:tr>
        <w:trPr>
          <w:trHeight w:val="223"/>
        </w:trPr>
        <w:tc>
          <w:tcPr>
            <w:tcW w:w="8900" w:type="dxa"/>
            <w:vAlign w:val="bottom"/>
          </w:tcPr>
          <w:p>
            <w:pPr>
              <w:ind w:left="1080"/>
              <w:spacing w:after="0"/>
              <w:rPr>
                <w:sz w:val="20"/>
                <w:szCs w:val="20"/>
                <w:color w:val="auto"/>
              </w:rPr>
            </w:pPr>
            <w:r>
              <w:rPr>
                <w:rFonts w:ascii="Arial" w:cs="Arial" w:eastAsia="Arial" w:hAnsi="Arial"/>
                <w:sz w:val="18"/>
                <w:szCs w:val="18"/>
                <w:color w:val="auto"/>
              </w:rPr>
              <w:t>Deferred revenue, related parties</w:t>
            </w:r>
          </w:p>
        </w:tc>
        <w:tc>
          <w:tcPr>
            <w:tcW w:w="14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(1,892)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r>
      <w:tr>
        <w:trPr>
          <w:trHeight w:val="216"/>
        </w:trPr>
        <w:tc>
          <w:tcPr>
            <w:tcW w:w="89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220" w:type="dxa"/>
            <w:vAlign w:val="bottom"/>
            <w:shd w:val="clear" w:color="auto" w:fill="CCEEFF"/>
          </w:tcPr>
          <w:p>
            <w:pPr>
              <w:spacing w:after="0"/>
              <w:rPr>
                <w:sz w:val="18"/>
                <w:szCs w:val="18"/>
                <w:color w:val="auto"/>
              </w:rPr>
            </w:pP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w:t>
            </w:r>
          </w:p>
        </w:tc>
      </w:tr>
      <w:tr>
        <w:trPr>
          <w:trHeight w:val="230"/>
        </w:trPr>
        <w:tc>
          <w:tcPr>
            <w:tcW w:w="8900" w:type="dxa"/>
            <w:vAlign w:val="bottom"/>
          </w:tcPr>
          <w:p>
            <w:pPr>
              <w:ind w:left="144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(1,075)</w:t>
            </w:r>
          </w:p>
        </w:tc>
        <w:tc>
          <w:tcPr>
            <w:tcW w:w="220" w:type="dxa"/>
            <w:vAlign w:val="bottom"/>
          </w:tcPr>
          <w:p>
            <w:pPr>
              <w:spacing w:after="0"/>
              <w:rPr>
                <w:sz w:val="20"/>
                <w:szCs w:val="20"/>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Exercise of stock options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Payments of deferred costs</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r>
      <w:tr>
        <w:trPr>
          <w:trHeight w:val="230"/>
        </w:trPr>
        <w:tc>
          <w:tcPr>
            <w:tcW w:w="8900" w:type="dxa"/>
            <w:vAlign w:val="bottom"/>
          </w:tcPr>
          <w:p>
            <w:pPr>
              <w:ind w:left="14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0"/>
                <w:szCs w:val="20"/>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r>
      <w:tr>
        <w:trPr>
          <w:trHeight w:val="223"/>
        </w:trPr>
        <w:tc>
          <w:tcPr>
            <w:tcW w:w="8900" w:type="dxa"/>
            <w:vAlign w:val="bottom"/>
          </w:tcPr>
          <w:p>
            <w:pPr>
              <w:ind w:left="1440"/>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7,854</w:t>
            </w:r>
          </w:p>
        </w:tc>
        <w:tc>
          <w:tcPr>
            <w:tcW w:w="220" w:type="dxa"/>
            <w:vAlign w:val="bottom"/>
          </w:tcPr>
          <w:p>
            <w:pPr>
              <w:spacing w:after="0"/>
              <w:rPr>
                <w:sz w:val="19"/>
                <w:szCs w:val="19"/>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74,347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91,184</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78,991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99,038</w:t>
            </w:r>
          </w:p>
        </w:tc>
        <w:tc>
          <w:tcPr>
            <w:tcW w:w="2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Cash paid during the year for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r>
      <w:tr>
        <w:trPr>
          <w:trHeight w:val="20"/>
        </w:trPr>
        <w:tc>
          <w:tcPr>
            <w:tcW w:w="8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Purchase of property and equipment, accrued but not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r>
      <w:tr>
        <w:trPr>
          <w:trHeight w:val="20"/>
        </w:trPr>
        <w:tc>
          <w:tcPr>
            <w:tcW w:w="8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7" w:lineRule="exact"/>
        <w:rPr>
          <w:sz w:val="20"/>
          <w:szCs w:val="20"/>
          <w:color w:val="auto"/>
        </w:rPr>
      </w:pPr>
    </w:p>
    <w:p>
      <w:pPr>
        <w:jc w:val="both"/>
        <w:ind w:left="120" w:firstLine="88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is a software-as-a-service (SaaS) company that provides software applications to financial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streamline employee and client interactions. The Company is headquartered in Wilmington, North Carolina and has offices in Salt Lake City, London, Sydney, Melbourne, Toronto and Tokyo.</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prepared in accordance with generally accepted accounting principles in the United States of America (“GAAP”) as set forth in the Financial Accounting Standards Board (“FASB”) Accounting Standards Codification (“ASC”) and applicable rules and regulations of the Securities and Exchange Commission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for the Company’s audited January 31, 2020 consolidated financial statements. The unaudited condensed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170"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condensed consolidated balance sheet as of January 31, 2020, included herein, was derived from the audited financial statements as of that date, but does not include all disclosures, including certain notes required by GAAP on an annual reporting basis.</w:t>
      </w:r>
    </w:p>
    <w:p>
      <w:pPr>
        <w:spacing w:after="0" w:line="170" w:lineRule="exact"/>
        <w:rPr>
          <w:sz w:val="20"/>
          <w:szCs w:val="20"/>
          <w:color w:val="auto"/>
        </w:rPr>
      </w:pPr>
    </w:p>
    <w:p>
      <w:pPr>
        <w:ind w:left="120" w:right="240" w:firstLine="881"/>
        <w:spacing w:after="0" w:line="286"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year 2021 or any future period.</w:t>
      </w:r>
    </w:p>
    <w:p>
      <w:pPr>
        <w:spacing w:after="0" w:line="161"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b w:val="1"/>
          <w:bCs w:val="1"/>
          <w:color w:val="auto"/>
        </w:rPr>
        <w:t xml:space="preserve">Variable Interest Entity: </w:t>
      </w:r>
      <w:r>
        <w:rPr>
          <w:rFonts w:ascii="Arial" w:cs="Arial" w:eastAsia="Arial" w:hAnsi="Arial"/>
          <w:sz w:val="17"/>
          <w:szCs w:val="17"/>
          <w:color w:val="auto"/>
        </w:rPr>
        <w:t>The Company holds an interest in a Japanese company (“nCino K.K.”) that is considered a variable interest entity</w:t>
      </w:r>
      <w:r>
        <w:rPr>
          <w:rFonts w:ascii="Arial" w:cs="Arial" w:eastAsia="Arial" w:hAnsi="Arial"/>
          <w:sz w:val="17"/>
          <w:szCs w:val="17"/>
          <w:b w:val="1"/>
          <w:bCs w:val="1"/>
          <w:color w:val="auto"/>
        </w:rPr>
        <w:t xml:space="preserve"> </w:t>
      </w:r>
      <w:r>
        <w:rPr>
          <w:rFonts w:ascii="Arial" w:cs="Arial" w:eastAsia="Arial" w:hAnsi="Arial"/>
          <w:sz w:val="17"/>
          <w:szCs w:val="17"/>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obligations of the VIE and the creditors of the VIE do not have recourse to the Company. The assets and liabilities of the VIE were not significant to the Company’s consolidated financial statements except for cash which is reflected on the condensed consolidated balance sheets. Refer to Note 3 for additional information regarding the Company’s variable interest.</w:t>
      </w:r>
    </w:p>
    <w:p>
      <w:pPr>
        <w:spacing w:after="0" w:line="180" w:lineRule="exact"/>
        <w:rPr>
          <w:sz w:val="20"/>
          <w:szCs w:val="20"/>
          <w:color w:val="auto"/>
        </w:rPr>
      </w:pPr>
    </w:p>
    <w:p>
      <w:pPr>
        <w:ind w:left="120" w:right="60" w:firstLine="881"/>
        <w:spacing w:after="0" w:line="289"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nCino K.K. has a redeemable non-controlling interest. An agreement with the minority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condensed consolidated balance sheets outside of equity under the caption “Redeemable non-controlling interest.”</w:t>
      </w:r>
    </w:p>
    <w:p>
      <w:pPr>
        <w:spacing w:after="0" w:line="166"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condensed consolidated financial statements in conformity with GAAP requires management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and stock-based compensation. The Company assesses these estimates on a regular basis using historical experience and other factors. Actual results could differ from these estimates.</w:t>
      </w:r>
    </w:p>
    <w:p>
      <w:pPr>
        <w:spacing w:after="0" w:line="178"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The extent to which COVID-19 impacts the Company’s business and financial results will depend on numerous evolving factors. The Company assessed certain accounting matters such as, but were not limited to, the allowance for doubtful accounts and the carrying value of goodwill and other long-lived assets at April 30, 2020 and through the date of this report. While there was no material impact as of and for the quarter ended April 30, 2020, it is possible that the Company’s future assessment of the magnitude and duration of COVID-19 could potentially result in impacts that would be material to the condensed consolidated financial statements, particularly with respect to the fair value of the Company’s reporting unit in relation to potential goodwill impairment and the fair value of long-lived assets in relation to potential impairment.</w:t>
      </w:r>
    </w:p>
    <w:p>
      <w:pPr>
        <w:spacing w:after="0" w:line="174" w:lineRule="exact"/>
        <w:rPr>
          <w:sz w:val="20"/>
          <w:szCs w:val="20"/>
          <w:color w:val="auto"/>
        </w:rPr>
      </w:pPr>
    </w:p>
    <w:p>
      <w:pPr>
        <w:ind w:left="120" w:right="380" w:firstLine="881"/>
        <w:spacing w:after="0" w:line="314"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 the Federal deposit insurance limit at January 31, 2020 and April 30, 2020. The Company maintains its cash and cash equivalents with high-credit-quality financial institutions.</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 of January 31, 2020, two customers represented 22% of accounts receivable, 11% of which was from a customer who is an equity holder.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April 30, 2020, two customers represented 30% of accounts receivable.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the three months ended April 30, 2019 and 2020, no individual customers represented more than 10% of the Company’s total revenues.</w:t>
      </w:r>
    </w:p>
    <w:p>
      <w:pPr>
        <w:spacing w:after="0" w:line="244"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47"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Three Months</w:t>
      </w:r>
    </w:p>
    <w:p>
      <w:pPr>
        <w:jc w:val="center"/>
        <w:ind w:left="6860"/>
        <w:spacing w:after="0" w:line="221" w:lineRule="auto"/>
        <w:rPr>
          <w:sz w:val="20"/>
          <w:szCs w:val="20"/>
          <w:color w:val="auto"/>
        </w:rPr>
      </w:pPr>
      <w:r>
        <w:rPr>
          <w:rFonts w:ascii="Arial" w:cs="Arial" w:eastAsia="Arial" w:hAnsi="Arial"/>
          <w:sz w:val="14"/>
          <w:szCs w:val="14"/>
          <w:color w:val="auto"/>
        </w:rPr>
        <w:t>Ended</w:t>
      </w:r>
    </w:p>
    <w:p>
      <w:pPr>
        <w:jc w:val="center"/>
        <w:ind w:left="6860"/>
        <w:spacing w:after="0" w:line="231" w:lineRule="auto"/>
        <w:rPr>
          <w:sz w:val="20"/>
          <w:szCs w:val="20"/>
          <w:color w:val="auto"/>
        </w:rPr>
      </w:pPr>
      <w:r>
        <w:rPr>
          <w:rFonts w:ascii="Arial" w:cs="Arial" w:eastAsia="Arial" w:hAnsi="Arial"/>
          <w:sz w:val="14"/>
          <w:szCs w:val="14"/>
          <w:color w:val="auto"/>
        </w:rPr>
        <w:t>April 30,</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left="179"/>
              <w:spacing w:after="0" w:line="142" w:lineRule="exact"/>
              <w:rPr>
                <w:sz w:val="20"/>
                <w:szCs w:val="20"/>
                <w:color w:val="auto"/>
              </w:rPr>
            </w:pPr>
            <w:r>
              <w:rPr>
                <w:rFonts w:ascii="Arial" w:cs="Arial" w:eastAsia="Arial" w:hAnsi="Arial"/>
                <w:sz w:val="14"/>
                <w:szCs w:val="14"/>
                <w:color w:val="auto"/>
                <w:w w:val="96"/>
              </w:rPr>
              <w:t>2020</w:t>
            </w:r>
          </w:p>
        </w:tc>
        <w:tc>
          <w:tcPr>
            <w:tcW w:w="4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(105)</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167</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Write off of uncollectible accounts</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0"/>
              </w:rPr>
              <w:t>$ —</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167</w:t>
            </w:r>
          </w:p>
        </w:tc>
        <w:tc>
          <w:tcPr>
            <w:tcW w:w="4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2018-13,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(Topic 820): Disclosure Framework – Changes to the Disclosure Requirements for Fair Value Measurement, </w:t>
      </w:r>
      <w:r>
        <w:rPr>
          <w:rFonts w:ascii="Arial" w:cs="Arial" w:eastAsia="Arial" w:hAnsi="Arial"/>
          <w:sz w:val="17"/>
          <w:szCs w:val="17"/>
          <w:color w:val="auto"/>
        </w:rPr>
        <w:t>which eliminates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disclosure requirements for fair value measurements for all entities, requires public 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adopted the standard effective February 1, 2020. The adoption of this standard did not have a material impact on the Company’s condensed consolidated financial statements. In August 2018, the FASB issued ASU 2018-15,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Other-Internal-Use Software (Subtopic 350-40): Customer’s Accounting for Implementation Costs Incurred in a Cloud Computing Arrangement That is a Service Contract. </w:t>
      </w:r>
      <w:r>
        <w:rPr>
          <w:rFonts w:ascii="Arial" w:cs="Arial" w:eastAsia="Arial" w:hAnsi="Arial"/>
          <w:sz w:val="17"/>
          <w:szCs w:val="17"/>
          <w:color w:val="auto"/>
        </w:rPr>
        <w:t>This standard aligns the requirements for capitalizing implementation costs incurred in a hosting arrangement that is a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the requirements for capitalizing implementation costs incurred to develop or</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9"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prospectively adopted the standard effective February 1, 2020. The adoption of this standard did not have a material impact on the Company’s condensed consolidated financial statements.</w:t>
      </w:r>
    </w:p>
    <w:p>
      <w:pPr>
        <w:spacing w:after="0" w:line="187"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 xml:space="preserve">In October 2018, the FASB issued Accounting Standards Update (“ASU”) 2018-17, </w:t>
      </w:r>
      <w:r>
        <w:rPr>
          <w:rFonts w:ascii="Arial" w:cs="Arial" w:eastAsia="Arial" w:hAnsi="Arial"/>
          <w:sz w:val="16"/>
          <w:szCs w:val="16"/>
          <w:i w:val="1"/>
          <w:iCs w:val="1"/>
          <w:color w:val="auto"/>
        </w:rPr>
        <w:t>Consolidation (Topic 810),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 which addresses the cost and complexity of financial reporting associated with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adoption of this standard did not impact the Company’s condensed consolidated financial statements or related disclosures upon adoption, because the Company did not, and currently does not, have any indirect interests through related parties under common control for which it receives decision-making fees.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2020, and interim periods within annual periods beginning after December 15, 2021,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85" w:lineRule="exact"/>
        <w:rPr>
          <w:sz w:val="20"/>
          <w:szCs w:val="20"/>
          <w:color w:val="auto"/>
        </w:rPr>
      </w:pPr>
    </w:p>
    <w:p>
      <w:pPr>
        <w:ind w:left="120" w:right="200" w:firstLine="881"/>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changes the impairment model for most financial assets. The new model uses a forward-looking expected loss method,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The Company is currently evaluating the impact of this standard to the condensed consolidated financial statements.</w:t>
      </w:r>
    </w:p>
    <w:p>
      <w:pPr>
        <w:spacing w:after="0" w:line="161"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In December 2019, the FASB issued ASU 2019-12, I</w:t>
      </w:r>
      <w:r>
        <w:rPr>
          <w:rFonts w:ascii="Arial" w:cs="Arial" w:eastAsia="Arial" w:hAnsi="Arial"/>
          <w:sz w:val="17"/>
          <w:szCs w:val="17"/>
          <w:i w:val="1"/>
          <w:iCs w:val="1"/>
          <w:color w:val="auto"/>
        </w:rPr>
        <w:t>ncome Taxes (Topic 740): Simplifying the Accounting for Income Taxes</w:t>
      </w:r>
      <w:r>
        <w:rPr>
          <w:rFonts w:ascii="Arial" w:cs="Arial" w:eastAsia="Arial" w:hAnsi="Arial"/>
          <w:sz w:val="17"/>
          <w:szCs w:val="17"/>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interim periods within annual periods beginning after December 15, 2022, with early adoption permitted, including adoption in an interim period. The Company is evaluating the effect of adopting this new accounting guidance, but does not expect adoption will have a material impact on the Company’s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2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April 30, 2020, the Company controls a majority of the outstanding common stock in nCino K.K.</w:t>
      </w:r>
    </w:p>
    <w:p>
      <w:pPr>
        <w:spacing w:after="0" w:line="171"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upon certain contingent events. Should the call or put option be exercised, the redemption value would be determined based on a prescribed formula derived from the discrete revenues of nCino K.K. and the Company and may be settled, at the Company’s discretion, with Company stock, if the Company is public at that time, or cash. As a result of the put right available to the redeemable non-controlling interest holders in the future, the redeemable non-controlling interests in nCino</w:t>
      </w:r>
    </w:p>
    <w:p>
      <w:pPr>
        <w:spacing w:after="0" w:line="1" w:lineRule="exact"/>
        <w:rPr>
          <w:sz w:val="20"/>
          <w:szCs w:val="20"/>
          <w:color w:val="auto"/>
        </w:rPr>
      </w:pPr>
    </w:p>
    <w:p>
      <w:pPr>
        <w:ind w:left="120" w:hanging="4"/>
        <w:spacing w:after="0" w:line="295" w:lineRule="auto"/>
        <w:tabs>
          <w:tab w:leader="none" w:pos="51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are classified outside of permanent equity in the Company’s condensed consolidated balance sheet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$0.1 million at April 30, 2020.</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color w:val="auto"/>
                <w:w w:val="94"/>
              </w:rPr>
              <w:t>Three Months</w:t>
            </w:r>
          </w:p>
        </w:tc>
      </w:tr>
      <w:tr>
        <w:trPr>
          <w:trHeight w:val="149"/>
        </w:trPr>
        <w:tc>
          <w:tcPr>
            <w:tcW w:w="5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3"/>
              </w:rPr>
              <w:t>Ended</w:t>
            </w:r>
          </w:p>
        </w:tc>
      </w:tr>
      <w:tr>
        <w:trPr>
          <w:trHeight w:val="167"/>
        </w:trPr>
        <w:tc>
          <w:tcPr>
            <w:tcW w:w="5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color w:val="auto"/>
              </w:rPr>
              <w:t>April 30,</w:t>
            </w:r>
          </w:p>
        </w:tc>
      </w:tr>
      <w:tr>
        <w:trPr>
          <w:trHeight w:val="142"/>
        </w:trPr>
        <w:tc>
          <w:tcPr>
            <w:tcW w:w="5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9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1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Adjustment to redeemable non-controlling interest</w:t>
            </w:r>
          </w:p>
        </w:tc>
        <w:tc>
          <w:tcPr>
            <w:tcW w:w="1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7"/>
        </w:trPr>
        <w:tc>
          <w:tcPr>
            <w:tcW w:w="5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4,384</w:t>
            </w:r>
          </w:p>
        </w:tc>
      </w:tr>
      <w:tr>
        <w:trPr>
          <w:trHeight w:val="20"/>
        </w:trPr>
        <w:tc>
          <w:tcPr>
            <w:tcW w:w="5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as of January 31, 2020 and April 30, 2020 because of the relatively short duration of these instruments.</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2020 and April 30, 2020 and indicates the fair value hierarchy of the valuation: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jc w:val="center"/>
              <w:ind w:left="336"/>
              <w:spacing w:after="0"/>
              <w:rPr>
                <w:sz w:val="20"/>
                <w:szCs w:val="20"/>
                <w:color w:val="auto"/>
              </w:rPr>
            </w:pPr>
            <w:r>
              <w:rPr>
                <w:rFonts w:ascii="Arial" w:cs="Arial" w:eastAsia="Arial" w:hAnsi="Arial"/>
                <w:sz w:val="14"/>
                <w:szCs w:val="14"/>
                <w:color w:val="auto"/>
                <w:w w:val="91"/>
              </w:rPr>
              <w:t>Fair value measurements on a recurring basis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color w:val="auto"/>
                <w:w w:val="93"/>
              </w:rPr>
              <w:t>As of January 31, 2020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(included in other long-term</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7"/>
          </w:tcPr>
          <w:p>
            <w:pPr>
              <w:jc w:val="center"/>
              <w:ind w:left="336"/>
              <w:spacing w:after="0"/>
              <w:rPr>
                <w:sz w:val="20"/>
                <w:szCs w:val="20"/>
                <w:color w:val="auto"/>
              </w:rPr>
            </w:pPr>
            <w:r>
              <w:rPr>
                <w:rFonts w:ascii="Arial" w:cs="Arial" w:eastAsia="Arial" w:hAnsi="Arial"/>
                <w:sz w:val="14"/>
                <w:szCs w:val="14"/>
                <w:color w:val="auto"/>
                <w:w w:val="91"/>
              </w:rPr>
              <w:t>Fair value measurements on a recurring basis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color w:val="auto"/>
                <w:w w:val="98"/>
              </w:rPr>
              <w:t>As of April 30, 2020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67,517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(included in other accrued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190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0"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The Company added contingent consideration, a Level 3 measurement, on October 18, 2019 with the acquisition of FinSuite Pty Ltd. Changes in fair value of the contingent consideration are recorded in the condensed consolidated statements of operations within other income. The Company’s contingent consideration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is valued using a probability weighted discounted cash flow analysis. A reconciliation of the balance for contingent consideration obligations for the three months ended April 30, 2020 is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$195</w:t>
            </w: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Translation adjustments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2020</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by Geographic Area</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Revenue by geographic region were as follows:</w:t>
      </w:r>
    </w:p>
    <w:p>
      <w:pPr>
        <w:spacing w:after="0" w:line="247" w:lineRule="exact"/>
        <w:rPr>
          <w:sz w:val="20"/>
          <w:szCs w:val="20"/>
          <w:color w:val="auto"/>
        </w:rPr>
      </w:pPr>
    </w:p>
    <w:p>
      <w:pPr>
        <w:jc w:val="center"/>
        <w:ind w:left="6520"/>
        <w:spacing w:after="0"/>
        <w:rPr>
          <w:sz w:val="20"/>
          <w:szCs w:val="20"/>
          <w:color w:val="auto"/>
        </w:rPr>
      </w:pPr>
      <w:r>
        <w:rPr>
          <w:rFonts w:ascii="Arial" w:cs="Arial" w:eastAsia="Arial" w:hAnsi="Arial"/>
          <w:sz w:val="14"/>
          <w:szCs w:val="14"/>
          <w:color w:val="auto"/>
        </w:rPr>
        <w:t>Three Months Ended</w:t>
      </w:r>
    </w:p>
    <w:p>
      <w:pPr>
        <w:jc w:val="center"/>
        <w:ind w:left="6520"/>
        <w:spacing w:after="0" w:line="231" w:lineRule="auto"/>
        <w:rPr>
          <w:sz w:val="20"/>
          <w:szCs w:val="20"/>
          <w:color w:val="auto"/>
        </w:rPr>
      </w:pPr>
      <w:r>
        <w:rPr>
          <w:rFonts w:ascii="Arial" w:cs="Arial" w:eastAsia="Arial" w:hAnsi="Arial"/>
          <w:sz w:val="14"/>
          <w:szCs w:val="14"/>
          <w:color w:val="auto"/>
        </w:rPr>
        <w:t>April 30,</w:t>
      </w:r>
    </w:p>
    <w:tbl>
      <w:tblPr>
        <w:tblLayout w:type="fixed"/>
        <w:tblInd w:w="1440" w:type="dxa"/>
        <w:tblCellMar>
          <w:top w:w="0" w:type="dxa"/>
          <w:left w:w="0" w:type="dxa"/>
          <w:bottom w:w="0" w:type="dxa"/>
          <w:right w:w="0" w:type="dxa"/>
        </w:tblCellMar>
      </w:tblPr>
      <w:tr>
        <w:trPr>
          <w:trHeight w:val="142"/>
        </w:trPr>
        <w:tc>
          <w:tcPr>
            <w:tcW w:w="37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left="159"/>
              <w:spacing w:after="0" w:line="142" w:lineRule="exact"/>
              <w:rPr>
                <w:sz w:val="20"/>
                <w:szCs w:val="20"/>
                <w:color w:val="auto"/>
              </w:rPr>
            </w:pPr>
            <w:r>
              <w:rPr>
                <w:rFonts w:ascii="Arial" w:cs="Arial" w:eastAsia="Arial" w:hAnsi="Arial"/>
                <w:sz w:val="14"/>
                <w:szCs w:val="14"/>
                <w:color w:val="auto"/>
                <w:w w:val="96"/>
              </w:rPr>
              <w:t>2020</w:t>
            </w:r>
          </w:p>
        </w:tc>
        <w:tc>
          <w:tcPr>
            <w:tcW w:w="60" w:type="dxa"/>
            <w:vAlign w:val="bottom"/>
          </w:tcPr>
          <w:p>
            <w:pPr>
              <w:spacing w:after="0"/>
              <w:rPr>
                <w:sz w:val="12"/>
                <w:szCs w:val="12"/>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$ 27,679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$ 40,471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3660" w:type="dxa"/>
            <w:vAlign w:val="bottom"/>
            <w:gridSpan w:val="3"/>
          </w:tcPr>
          <w:p>
            <w:pPr>
              <w:jc w:val="right"/>
              <w:ind w:right="240"/>
              <w:spacing w:after="0"/>
              <w:rPr>
                <w:sz w:val="20"/>
                <w:szCs w:val="20"/>
                <w:color w:val="auto"/>
              </w:rPr>
            </w:pPr>
            <w:r>
              <w:rPr>
                <w:rFonts w:ascii="Arial" w:cs="Arial" w:eastAsia="Arial" w:hAnsi="Arial"/>
                <w:sz w:val="18"/>
                <w:szCs w:val="18"/>
                <w:color w:val="auto"/>
              </w:rPr>
              <w:t>2,157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4,241</w:t>
            </w:r>
          </w:p>
        </w:tc>
      </w:tr>
      <w:tr>
        <w:trPr>
          <w:trHeight w:val="223"/>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29,836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44,712</w:t>
            </w:r>
          </w:p>
        </w:tc>
        <w:tc>
          <w:tcPr>
            <w:tcW w:w="6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countries outside the United States represented 10% or more of total revenues.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Amounts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Accounts receivable, less allowance for doubtful accounts, is as follows as of January 31, 2020 and 2020:</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As of</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4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rPr>
              <w:t>January 31,</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April 30,</w:t>
            </w:r>
          </w:p>
        </w:tc>
      </w:tr>
      <w:tr>
        <w:trPr>
          <w:trHeight w:val="167"/>
        </w:trPr>
        <w:tc>
          <w:tcPr>
            <w:tcW w:w="440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32,686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$40,925</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1,425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7"/>
        </w:trPr>
        <w:tc>
          <w:tcPr>
            <w:tcW w:w="4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34,205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43,249</w:t>
            </w:r>
          </w:p>
        </w:tc>
      </w:tr>
      <w:tr>
        <w:trPr>
          <w:trHeight w:val="20"/>
        </w:trPr>
        <w:tc>
          <w:tcPr>
            <w:tcW w:w="4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Significant movements in the deferred revenue balance during the period consisted of increases due to payments received prior to transfer of control of the underlying performance obligations to the customer, which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 (Continued)</w:t>
      </w:r>
    </w:p>
    <w:p>
      <w:pPr>
        <w:spacing w:after="0" w:line="13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were offset by decreases due to revenues recognized in the period. During the three months ended April 30, 2020, $24.2 million of revenues were recognized that were included in the balance of deferred revenue as of January 31, 2020.</w:t>
      </w:r>
    </w:p>
    <w:p>
      <w:pPr>
        <w:spacing w:after="0" w:line="170"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left="120" w:right="440" w:firstLine="881"/>
        <w:spacing w:after="0" w:line="342" w:lineRule="auto"/>
        <w:rPr>
          <w:sz w:val="20"/>
          <w:szCs w:val="20"/>
          <w:color w:val="auto"/>
        </w:rPr>
      </w:pPr>
      <w:r>
        <w:rPr>
          <w:rFonts w:ascii="Arial" w:cs="Arial" w:eastAsia="Arial" w:hAnsi="Arial"/>
          <w:sz w:val="16"/>
          <w:szCs w:val="16"/>
          <w:color w:val="auto"/>
        </w:rPr>
        <w:t>Remaining performance obligation were $434.2 million as of April 30, 2020. The Company expects to recognize 63% of its remaining performance obligation as revenues in the next 24 months, 31% more in the following 25 to 48 months, and the remainder thereafter.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Visible Equity, LLC</w:t>
      </w:r>
    </w:p>
    <w:p>
      <w:pPr>
        <w:spacing w:after="0" w:line="121"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acquisition-date fair value of the consideration transferred is as follows:</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7"/>
              </w:rPr>
              <w:t>Consideration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49,428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Voting common stock issued (1,438,805 shares)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w w:val="94"/>
              </w:rPr>
              <w:t>23,812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Finsuite Pty Ltd</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 enhance the Company’s data recognition capabilities, including of complex, unstructured data. FinSuite is headquartered in Melbourne, Australia.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Total</w:t>
            </w:r>
          </w:p>
        </w:tc>
      </w:t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Consideration</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Contingent consideration - cash payment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 voting 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w:t>
      </w:r>
    </w:p>
    <w:p>
      <w:pPr>
        <w:spacing w:after="0" w:line="184"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of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61"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cash portion of the contingent consideration of $0.2 million is included in other long-term liabilities and other accrued expenses in the accompanying condensed consolidated balance sheet as of January 31, 2020 and April 30, 2020, respectively. The $6.0 share portion of the contingent consideration was recorded as of the acquisition date and is reflected as a component of stockholders’ equity in the accompanying condensed consolidated balance sheet as of January 31, 2020 and April 30,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 and 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Intangible assets, net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w w:val="95"/>
              </w:rPr>
              <w:t>As of January 31, 2020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April 30, 2020</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22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4"/>
              </w:rPr>
              <w:t>Net Carrying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80"/>
              <w:spacing w:after="0" w:line="123" w:lineRule="exact"/>
              <w:rPr>
                <w:sz w:val="20"/>
                <w:szCs w:val="20"/>
                <w:color w:val="auto"/>
              </w:rPr>
            </w:pPr>
            <w:r>
              <w:rPr>
                <w:rFonts w:ascii="Arial" w:cs="Arial" w:eastAsia="Arial" w:hAnsi="Arial"/>
                <w:sz w:val="14"/>
                <w:szCs w:val="14"/>
                <w:color w:val="auto"/>
                <w:w w:val="85"/>
              </w:rPr>
              <w:t>Gross</w:t>
            </w:r>
          </w:p>
        </w:tc>
        <w:tc>
          <w:tcPr>
            <w:tcW w:w="18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0"/>
                <w:szCs w:val="10"/>
                <w:color w:val="auto"/>
              </w:rPr>
            </w:pPr>
          </w:p>
        </w:tc>
      </w:tr>
      <w:tr>
        <w:trPr>
          <w:trHeight w:val="167"/>
        </w:trPr>
        <w:tc>
          <w:tcPr>
            <w:tcW w:w="526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Amount</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Amount</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21,706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20,769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21,703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20,348</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27,839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27,785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25,244</w:t>
            </w:r>
          </w:p>
        </w:tc>
        <w:tc>
          <w:tcPr>
            <w:tcW w:w="6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260" w:type="dxa"/>
            <w:vAlign w:val="bottom"/>
          </w:tcPr>
          <w:p>
            <w:pPr>
              <w:spacing w:after="0"/>
              <w:rPr>
                <w:sz w:val="24"/>
                <w:szCs w:val="24"/>
                <w:color w:val="auto"/>
              </w:rPr>
            </w:pP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F-57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 and Goodwill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47" w:lineRule="exact"/>
        <w:rPr>
          <w:sz w:val="20"/>
          <w:szCs w:val="20"/>
          <w:color w:val="auto"/>
        </w:rPr>
      </w:pPr>
    </w:p>
    <w:p>
      <w:pPr>
        <w:jc w:val="center"/>
        <w:ind w:left="7040"/>
        <w:spacing w:after="0"/>
        <w:rPr>
          <w:sz w:val="20"/>
          <w:szCs w:val="20"/>
          <w:color w:val="auto"/>
        </w:rPr>
      </w:pPr>
      <w:r>
        <w:rPr>
          <w:rFonts w:ascii="Arial" w:cs="Arial" w:eastAsia="Arial" w:hAnsi="Arial"/>
          <w:sz w:val="14"/>
          <w:szCs w:val="14"/>
          <w:color w:val="auto"/>
        </w:rPr>
        <w:t>Three Months</w:t>
      </w:r>
    </w:p>
    <w:p>
      <w:pPr>
        <w:jc w:val="center"/>
        <w:ind w:left="7040"/>
        <w:spacing w:after="0" w:line="221" w:lineRule="auto"/>
        <w:rPr>
          <w:sz w:val="20"/>
          <w:szCs w:val="20"/>
          <w:color w:val="auto"/>
        </w:rPr>
      </w:pPr>
      <w:r>
        <w:rPr>
          <w:rFonts w:ascii="Arial" w:cs="Arial" w:eastAsia="Arial" w:hAnsi="Arial"/>
          <w:sz w:val="14"/>
          <w:szCs w:val="14"/>
          <w:color w:val="auto"/>
        </w:rPr>
        <w:t>Ended</w:t>
      </w:r>
    </w:p>
    <w:p>
      <w:pPr>
        <w:jc w:val="center"/>
        <w:ind w:left="7040"/>
        <w:spacing w:after="0" w:line="231" w:lineRule="auto"/>
        <w:rPr>
          <w:sz w:val="20"/>
          <w:szCs w:val="20"/>
          <w:color w:val="auto"/>
        </w:rPr>
      </w:pPr>
      <w:r>
        <w:rPr>
          <w:rFonts w:ascii="Arial" w:cs="Arial" w:eastAsia="Arial" w:hAnsi="Arial"/>
          <w:sz w:val="14"/>
          <w:szCs w:val="14"/>
          <w:color w:val="auto"/>
        </w:rPr>
        <w:t>April 30,</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2019</w:t>
            </w: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5"/>
              </w:rPr>
              <w:t>$—</w:t>
            </w: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80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Total depreciation expense</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85"/>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4"/>
            <w:vMerge w:val="restart"/>
          </w:tcPr>
          <w:p>
            <w:pPr>
              <w:spacing w:after="0"/>
              <w:rPr>
                <w:sz w:val="20"/>
                <w:szCs w:val="20"/>
                <w:color w:val="auto"/>
              </w:rPr>
            </w:pPr>
            <w:r>
              <w:rPr>
                <w:rFonts w:ascii="Arial" w:cs="Arial" w:eastAsia="Arial" w:hAnsi="Arial"/>
                <w:sz w:val="18"/>
                <w:szCs w:val="18"/>
                <w:color w:val="auto"/>
                <w:w w:val="94"/>
              </w:rPr>
              <w:t>The expected future amortization expense for intangible assets as of April 30, 2020 is as follows:</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22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6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Fiscal Year Ending January 31,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 (remaining)</w:t>
            </w:r>
          </w:p>
        </w:tc>
        <w:tc>
          <w:tcPr>
            <w:tcW w:w="4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5"/>
          </w:tcPr>
          <w:p>
            <w:pPr>
              <w:jc w:val="right"/>
              <w:ind w:right="60"/>
              <w:spacing w:after="0"/>
              <w:rPr>
                <w:sz w:val="20"/>
                <w:szCs w:val="20"/>
                <w:color w:val="auto"/>
              </w:rPr>
            </w:pPr>
            <w:r>
              <w:rPr>
                <w:rFonts w:ascii="Arial" w:cs="Arial" w:eastAsia="Arial" w:hAnsi="Arial"/>
                <w:sz w:val="18"/>
                <w:szCs w:val="18"/>
                <w:color w:val="auto"/>
              </w:rPr>
              <w:t>2,369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3,159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2023</w:t>
            </w:r>
          </w:p>
        </w:tc>
        <w:tc>
          <w:tcPr>
            <w:tcW w:w="4140" w:type="dxa"/>
            <w:vAlign w:val="bottom"/>
          </w:tcPr>
          <w:p>
            <w:pPr>
              <w:spacing w:after="0"/>
              <w:rPr>
                <w:sz w:val="18"/>
                <w:szCs w:val="18"/>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3,159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2,469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2025</w:t>
            </w:r>
          </w:p>
        </w:tc>
        <w:tc>
          <w:tcPr>
            <w:tcW w:w="4140" w:type="dxa"/>
            <w:vAlign w:val="bottom"/>
          </w:tcPr>
          <w:p>
            <w:pPr>
              <w:spacing w:after="0"/>
              <w:rPr>
                <w:sz w:val="18"/>
                <w:szCs w:val="18"/>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1,669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1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12,419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$ 25,244</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left="120" w:right="80" w:firstLine="881"/>
        <w:spacing w:after="0" w:line="342" w:lineRule="auto"/>
        <w:rPr>
          <w:sz w:val="20"/>
          <w:szCs w:val="20"/>
          <w:color w:val="auto"/>
        </w:rPr>
      </w:pPr>
      <w:r>
        <w:rPr>
          <w:rFonts w:ascii="Arial" w:cs="Arial" w:eastAsia="Arial" w:hAnsi="Arial"/>
          <w:sz w:val="16"/>
          <w:szCs w:val="16"/>
          <w:color w:val="auto"/>
        </w:rPr>
        <w:t>The carrying amount of goodwill was $55.8 million and $55.6 million as of January 31, 2020 and April 30, 2020, respectively. The change in goodwill is due to translation adjustments and was $0.0 million and $(0.2) million for the three months ended April 30, 2019 and 2020, respectively.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Reseller Agreement</w:t>
      </w:r>
    </w:p>
    <w:p>
      <w:pPr>
        <w:spacing w:after="0" w:line="121"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months ended April 30, 2019 and 2020 substantially consists of fees paid for access to the related party’s platform, including their hosting infrastructure and data center operations. The Company has recorded expenses of $5.1 million and $7.5 million for the three months ended April 30, 2019, and 2020, respectively. See also Note 12.</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60"/>
          </w:cols>
          <w:pgMar w:left="320" w:top="459"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April 30, 2020, the Company committed a total of 9,523,260 shares of common stock for future issuance as follows: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7,744,722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6"/>
          </w:tcPr>
          <w:p>
            <w:pPr>
              <w:jc w:val="right"/>
              <w:ind w:right="80"/>
              <w:spacing w:after="0"/>
              <w:rPr>
                <w:sz w:val="20"/>
                <w:szCs w:val="20"/>
                <w:color w:val="auto"/>
              </w:rPr>
            </w:pPr>
            <w:r>
              <w:rPr>
                <w:rFonts w:ascii="Arial" w:cs="Arial" w:eastAsia="Arial" w:hAnsi="Arial"/>
                <w:sz w:val="18"/>
                <w:szCs w:val="18"/>
                <w:color w:val="auto"/>
              </w:rPr>
              <w:t>972,494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stock plans</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806,044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9,523,260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 Stock-Based Compensation</w:t>
            </w: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3"/>
          </w:tcPr>
          <w:p>
            <w:pPr>
              <w:ind w:left="880"/>
              <w:spacing w:after="0"/>
              <w:rPr>
                <w:sz w:val="20"/>
                <w:szCs w:val="20"/>
                <w:color w:val="auto"/>
              </w:rPr>
            </w:pPr>
            <w:r>
              <w:rPr>
                <w:rFonts w:ascii="Arial" w:cs="Arial" w:eastAsia="Arial" w:hAnsi="Arial"/>
                <w:sz w:val="18"/>
                <w:szCs w:val="18"/>
                <w:color w:val="auto"/>
              </w:rPr>
              <w:t>The Company recognized stock-based compensation expense as follows: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8"/>
          </w:tcPr>
          <w:p>
            <w:pPr>
              <w:ind w:left="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color w:val="auto"/>
              </w:rPr>
              <w:t>April 30,</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76"/>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1,109</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1,051</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Stock Options</w:t>
            </w: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3"/>
          </w:tcPr>
          <w:p>
            <w:pPr>
              <w:ind w:left="880"/>
              <w:spacing w:after="0"/>
              <w:rPr>
                <w:sz w:val="20"/>
                <w:szCs w:val="20"/>
                <w:color w:val="auto"/>
              </w:rPr>
            </w:pPr>
            <w:r>
              <w:rPr>
                <w:rFonts w:ascii="Arial" w:cs="Arial" w:eastAsia="Arial" w:hAnsi="Arial"/>
                <w:sz w:val="18"/>
                <w:szCs w:val="18"/>
                <w:color w:val="auto"/>
                <w:w w:val="99"/>
              </w:rPr>
              <w:t>Stock option activity during the three months ended April 30, 2020 was as follows: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5"/>
          </w:tcPr>
          <w:p>
            <w:pPr>
              <w:jc w:val="center"/>
              <w:ind w:right="160"/>
              <w:spacing w:after="0"/>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840" w:type="dxa"/>
            <w:vAlign w:val="bottom"/>
            <w:gridSpan w:val="2"/>
          </w:tcPr>
          <w:p>
            <w:pPr>
              <w:jc w:val="right"/>
              <w:ind w:right="118"/>
              <w:spacing w:after="0" w:line="149" w:lineRule="exact"/>
              <w:rPr>
                <w:sz w:val="20"/>
                <w:szCs w:val="20"/>
                <w:color w:val="auto"/>
              </w:rPr>
            </w:pPr>
            <w:r>
              <w:rPr>
                <w:rFonts w:ascii="Arial" w:cs="Arial" w:eastAsia="Arial" w:hAnsi="Arial"/>
                <w:sz w:val="14"/>
                <w:szCs w:val="14"/>
                <w:color w:val="auto"/>
              </w:rPr>
              <w:t>Number of</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tcPr>
          <w:p>
            <w:pPr>
              <w:jc w:val="center"/>
              <w:ind w:right="16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40" w:type="dxa"/>
            <w:vAlign w:val="bottom"/>
            <w:gridSpan w:val="2"/>
          </w:tcPr>
          <w:p>
            <w:pPr>
              <w:jc w:val="right"/>
              <w:ind w:right="238"/>
              <w:spacing w:after="0"/>
              <w:rPr>
                <w:sz w:val="20"/>
                <w:szCs w:val="20"/>
                <w:color w:val="auto"/>
              </w:rPr>
            </w:pPr>
            <w:r>
              <w:rPr>
                <w:rFonts w:ascii="Arial" w:cs="Arial" w:eastAsia="Arial" w:hAnsi="Arial"/>
                <w:sz w:val="14"/>
                <w:szCs w:val="14"/>
                <w:color w:val="auto"/>
              </w:rPr>
              <w:t>Shares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6"/>
          </w:tcPr>
          <w:p>
            <w:pPr>
              <w:spacing w:after="0"/>
              <w:rPr>
                <w:sz w:val="20"/>
                <w:szCs w:val="20"/>
                <w:color w:val="auto"/>
              </w:rPr>
            </w:pPr>
            <w:r>
              <w:rPr>
                <w:rFonts w:ascii="Arial" w:cs="Arial" w:eastAsia="Arial" w:hAnsi="Arial"/>
                <w:sz w:val="14"/>
                <w:szCs w:val="14"/>
                <w:color w:val="auto"/>
                <w:w w:val="96"/>
              </w:rPr>
              <w:t>Exercise Price</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7,837,023</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Exercised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(55,801)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April 30, 2020</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7,744,722</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Exercisable, April 30, 2020</w:t>
            </w:r>
          </w:p>
        </w:tc>
        <w:tc>
          <w:tcPr>
            <w:tcW w:w="840" w:type="dxa"/>
            <w:vAlign w:val="bottom"/>
            <w:gridSpan w:val="2"/>
          </w:tcPr>
          <w:p>
            <w:pPr>
              <w:spacing w:after="0" w:line="20" w:lineRule="exact"/>
              <w:rPr>
                <w:sz w:val="1"/>
                <w:szCs w:val="1"/>
                <w:color w:val="auto"/>
              </w:rPr>
            </w:pPr>
          </w:p>
        </w:tc>
        <w:tc>
          <w:tcPr>
            <w:tcW w:w="720" w:type="dxa"/>
            <w:vAlign w:val="bottom"/>
            <w:gridSpan w:val="3"/>
            <w:vMerge w:val="restart"/>
          </w:tcPr>
          <w:p>
            <w:pPr>
              <w:ind w:left="6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5,512,951</w:t>
            </w:r>
          </w:p>
        </w:tc>
        <w:tc>
          <w:tcPr>
            <w:tcW w:w="6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Fully vested or expected to vest, April 30, 2020</w:t>
            </w:r>
          </w:p>
        </w:tc>
        <w:tc>
          <w:tcPr>
            <w:tcW w:w="8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4"/>
              </w:rPr>
              <w:t>6,970,250</w:t>
            </w:r>
          </w:p>
        </w:tc>
        <w:tc>
          <w:tcPr>
            <w:tcW w:w="7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As of April 30, 2020, there was $6.5 million of total unrecognized compensation cost related to unvested stock-based compensation arrangements under the Incentive Plans. That cost is expected to be recognized over a weighted average period of 1.60 years.</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0480"/>
          </w:cols>
          <w:pgMar w:left="320" w:top="459" w:right="10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Restricted stock unit (“RSU”) activity during the three months ended April 30, 2020 was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48"/>
        </w:trPr>
        <w:tc>
          <w:tcPr>
            <w:tcW w:w="5820" w:type="dxa"/>
            <w:vAlign w:val="bottom"/>
          </w:tcPr>
          <w:p>
            <w:pPr>
              <w:spacing w:after="0"/>
              <w:rPr>
                <w:sz w:val="12"/>
                <w:szCs w:val="12"/>
                <w:color w:val="auto"/>
              </w:rPr>
            </w:pP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8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Value</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948,119</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31,875</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21.50</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21.75</w:t>
            </w:r>
          </w:p>
        </w:tc>
      </w:tr>
      <w:tr>
        <w:trPr>
          <w:trHeight w:val="27"/>
        </w:trPr>
        <w:tc>
          <w:tcPr>
            <w:tcW w:w="5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Nonvested, April 30, 2020</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5"/>
              </w:rPr>
              <w:t>972,494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w:t>
            </w:r>
          </w:p>
        </w:tc>
      </w:tr>
      <w:tr>
        <w:trPr>
          <w:trHeight w:val="20"/>
        </w:trPr>
        <w:tc>
          <w:tcPr>
            <w:tcW w:w="5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As of April 30, 2020, total unrecognized compensation expense cost related to non-vested RSUs was $20.1 million, adjusted for estimated forfeitures, based on the estimated fair value of the Company’s common stock at the time of grant. The weighted-average period to be recognized is indeterminable until an IPO or a change in control occurs.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0"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Total lease expense amounted to $1.8 million and $2.7 million for the three months ended April 30, 2019 and 2020, respectively.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Related-Party Transactions</w:t>
      </w:r>
    </w:p>
    <w:p>
      <w:pPr>
        <w:spacing w:after="0" w:line="12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$0.2 million and $0.3 million for the three months ended April 30, 2019 and 2020, respectively, and $1.1 million and $0.8 million were in prepaid expenses and other current assets as of January 31, 2020 and April 30, 2020, respectively. Accounts payable to the related party were $3.3 million and $3.7 million at January 31, 2020 and April 30, 2020, respectively, included in accounts payable, related parties.</w:t>
      </w:r>
    </w:p>
    <w:p>
      <w:pPr>
        <w:spacing w:after="0" w:line="9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Related-Party Transactions (Continued)</w:t>
      </w:r>
    </w:p>
    <w:p>
      <w:pPr>
        <w:spacing w:after="0" w:line="135"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Included in revenues from three equity holders, who are also customers of the Company, are $2.2 million and $2.8 million for the three months ended April 30, 2019 and 2020, respectively. Deferred revenues, related parties were $8.0 million as of January 31, 2020 and April 30, 2020.</w:t>
      </w:r>
    </w:p>
    <w:p>
      <w:pPr>
        <w:spacing w:after="0" w:line="124"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Company has a banking relationship with one of its equity holders. Included in interest income is $0.2 million and $0.1 million for the three months ended April 30, 2019 and 2020, respectively.</w:t>
      </w:r>
    </w:p>
    <w:p>
      <w:pPr>
        <w:spacing w:after="0" w:line="170"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The Company made an agreement with one of its equity holders in May 2016 to spend an agreed-upon amount of funds over a three-year period to further the alliance between the two companies. In April 2019, the agreement was extended for an additional three years. As of April 30, 2020, the Company was in compliance with the terms of the agreement. Total amounts spent were $0.02 million and $0.0 million for the three months ended April 30, 2019 and 2020, respectively. As of April 30, 2020, there was a $0.2 million obligation remaining expected to be fulfilled within one year.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Basic and Diluted Loss per Share</w:t>
      </w:r>
    </w:p>
    <w:p>
      <w:pPr>
        <w:spacing w:after="0" w:line="121"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three months ended April 30, 2019 and 2020 is the same as the basic loss per share as there was a net loss for those periods, and inclusion of potentially issuable shares was anti-dilutive.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70" w:lineRule="exact"/>
        <w:rPr>
          <w:sz w:val="20"/>
          <w:szCs w:val="20"/>
          <w:color w:val="auto"/>
        </w:rPr>
      </w:pPr>
    </w:p>
    <w:p>
      <w:pPr>
        <w:jc w:val="center"/>
        <w:ind w:left="6360"/>
        <w:spacing w:after="0"/>
        <w:rPr>
          <w:sz w:val="20"/>
          <w:szCs w:val="20"/>
          <w:color w:val="auto"/>
        </w:rPr>
      </w:pPr>
      <w:r>
        <w:rPr>
          <w:rFonts w:ascii="Arial" w:cs="Arial" w:eastAsia="Arial" w:hAnsi="Arial"/>
          <w:sz w:val="14"/>
          <w:szCs w:val="14"/>
          <w:color w:val="auto"/>
        </w:rPr>
        <w:t>Three Months Ended</w:t>
      </w:r>
    </w:p>
    <w:p>
      <w:pPr>
        <w:jc w:val="center"/>
        <w:ind w:left="6360"/>
        <w:spacing w:after="0" w:line="231" w:lineRule="auto"/>
        <w:rPr>
          <w:sz w:val="20"/>
          <w:szCs w:val="20"/>
          <w:color w:val="auto"/>
        </w:rPr>
      </w:pPr>
      <w:r>
        <w:rPr>
          <w:rFonts w:ascii="Arial" w:cs="Arial" w:eastAsia="Arial" w:hAnsi="Arial"/>
          <w:sz w:val="14"/>
          <w:szCs w:val="14"/>
          <w:color w:val="auto"/>
        </w:rPr>
        <w:t>April 30,</w:t>
      </w:r>
    </w:p>
    <w:tbl>
      <w:tblPr>
        <w:tblLayout w:type="fixed"/>
        <w:tblInd w:w="1000" w:type="dxa"/>
        <w:tblCellMar>
          <w:top w:w="0" w:type="dxa"/>
          <w:left w:w="0" w:type="dxa"/>
          <w:bottom w:w="0" w:type="dxa"/>
          <w:right w:w="0" w:type="dxa"/>
        </w:tblCellMar>
      </w:tblPr>
      <w:tr>
        <w:trPr>
          <w:trHeight w:val="142"/>
        </w:trPr>
        <w:tc>
          <w:tcPr>
            <w:tcW w:w="42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Weighted-average common shares outstanding</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75,986,517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81,560,762</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Basic loss per share attributable to nCino,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Weighted-average common shares outstanding</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75,986,517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81,560,762</w:t>
            </w:r>
          </w:p>
        </w:tc>
        <w:tc>
          <w:tcPr>
            <w:tcW w:w="120" w:type="dxa"/>
            <w:vAlign w:val="bottom"/>
            <w:shd w:val="clear" w:color="auto" w:fill="CCEEFF"/>
          </w:tcPr>
          <w:p>
            <w:pPr>
              <w:spacing w:after="0"/>
              <w:rPr>
                <w:sz w:val="18"/>
                <w:szCs w:val="18"/>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Dilutive loss per share attributable to nCino,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350"/>
        </w:trPr>
        <w:tc>
          <w:tcPr>
            <w:tcW w:w="4260" w:type="dxa"/>
            <w:vAlign w:val="bottom"/>
          </w:tcPr>
          <w:p>
            <w:pPr>
              <w:spacing w:after="0"/>
              <w:rPr>
                <w:sz w:val="24"/>
                <w:szCs w:val="24"/>
                <w:color w:val="auto"/>
              </w:rPr>
            </w:pPr>
          </w:p>
        </w:tc>
        <w:tc>
          <w:tcPr>
            <w:tcW w:w="2320" w:type="dxa"/>
            <w:vAlign w:val="bottom"/>
            <w:gridSpan w:val="2"/>
          </w:tcPr>
          <w:p>
            <w:pPr>
              <w:jc w:val="right"/>
              <w:ind w:right="1780"/>
              <w:spacing w:after="0"/>
              <w:rPr>
                <w:sz w:val="20"/>
                <w:szCs w:val="20"/>
                <w:color w:val="auto"/>
              </w:rPr>
            </w:pPr>
            <w:r>
              <w:rPr>
                <w:rFonts w:ascii="Arial" w:cs="Arial" w:eastAsia="Arial" w:hAnsi="Arial"/>
                <w:sz w:val="18"/>
                <w:szCs w:val="18"/>
                <w:color w:val="auto"/>
              </w:rPr>
              <w:t>F-61</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Basic and Diluted Loss per Share (Continued)</w:t>
      </w:r>
    </w:p>
    <w:p>
      <w:pPr>
        <w:spacing w:after="0" w:line="13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 for the periods presented:</w:t>
      </w:r>
    </w:p>
    <w:p>
      <w:pPr>
        <w:spacing w:after="0" w:line="192" w:lineRule="exact"/>
        <w:rPr>
          <w:sz w:val="20"/>
          <w:szCs w:val="20"/>
          <w:color w:val="auto"/>
        </w:rPr>
      </w:pPr>
    </w:p>
    <w:p>
      <w:pPr>
        <w:jc w:val="center"/>
        <w:ind w:left="6000"/>
        <w:spacing w:after="0"/>
        <w:rPr>
          <w:sz w:val="20"/>
          <w:szCs w:val="20"/>
          <w:color w:val="auto"/>
        </w:rPr>
      </w:pPr>
      <w:r>
        <w:rPr>
          <w:rFonts w:ascii="Arial" w:cs="Arial" w:eastAsia="Arial" w:hAnsi="Arial"/>
          <w:sz w:val="14"/>
          <w:szCs w:val="14"/>
          <w:color w:val="auto"/>
        </w:rPr>
        <w:t>Three Months Ended</w:t>
      </w:r>
    </w:p>
    <w:p>
      <w:pPr>
        <w:jc w:val="center"/>
        <w:ind w:left="6000"/>
        <w:spacing w:after="0" w:line="231" w:lineRule="auto"/>
        <w:rPr>
          <w:sz w:val="20"/>
          <w:szCs w:val="20"/>
          <w:color w:val="auto"/>
        </w:rPr>
      </w:pPr>
      <w:r>
        <w:rPr>
          <w:rFonts w:ascii="Arial" w:cs="Arial" w:eastAsia="Arial" w:hAnsi="Arial"/>
          <w:sz w:val="14"/>
          <w:szCs w:val="14"/>
          <w:color w:val="auto"/>
        </w:rPr>
        <w:t>April 30,</w:t>
      </w:r>
    </w:p>
    <w:tbl>
      <w:tblPr>
        <w:tblLayout w:type="fixed"/>
        <w:tblInd w:w="1440" w:type="dxa"/>
        <w:tblCellMar>
          <w:top w:w="0" w:type="dxa"/>
          <w:left w:w="0" w:type="dxa"/>
          <w:bottom w:w="0" w:type="dxa"/>
          <w:right w:w="0" w:type="dxa"/>
        </w:tblCellMar>
      </w:tblPr>
      <w:tr>
        <w:trPr>
          <w:trHeight w:val="142"/>
        </w:trPr>
        <w:tc>
          <w:tcPr>
            <w:tcW w:w="6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8,064,569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7,744,722</w:t>
            </w:r>
          </w:p>
        </w:tc>
        <w:tc>
          <w:tcPr>
            <w:tcW w:w="80" w:type="dxa"/>
            <w:vAlign w:val="bottom"/>
            <w:shd w:val="clear" w:color="auto" w:fill="CCEEFF"/>
          </w:tcPr>
          <w:p>
            <w:pPr>
              <w:spacing w:after="0"/>
              <w:rPr>
                <w:sz w:val="18"/>
                <w:szCs w:val="18"/>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972,494</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Subsequent Event</w:t>
      </w:r>
    </w:p>
    <w:p>
      <w:pPr>
        <w:spacing w:after="0" w:line="121"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June 2020, the 2019 Equity Incentive Plan was amended to increase the allotted number of shares that may be issued from 1,500,000 shares to 2,500,000 shares.</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On June 8, 2020, the Company granted 1,068,429 RSUs subject to time-based and performance-based (IPO or change in control) vesting conditions. The grant date fair value was $20.00 per RSU based on the estimated fair value of the Company’s common stock at the time of grant. 115,000 of these RSUs were granted to the Company’s non-employee Board of Directors, some of which vest in less than a year, some annually and some of which vest over three years. 953,429 of these RSUs were awarded to executives and employees and are generally earned over a service period of four years.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0960"/>
          </w:cols>
          <w:pgMar w:left="320" w:top="459" w:right="619"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following table sets forth all expenses to be paid by the registrant, other than estimated underwriting discounts and commissions, in connection with this offering. All amounts shown are estimates except for the Securities and Exchange Commission registration fee, the FINRA filing fee and the exchange listing fee: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Pr>
          <w:p>
            <w:pPr>
              <w:jc w:val="right"/>
              <w:ind w:right="3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 be Paid</w:t>
            </w:r>
          </w:p>
        </w:tc>
        <w:tc>
          <w:tcPr>
            <w:tcW w:w="140" w:type="dxa"/>
            <w:vAlign w:val="bottom"/>
          </w:tcPr>
          <w:p>
            <w:pPr>
              <w:spacing w:after="0"/>
              <w:rPr>
                <w:sz w:val="14"/>
                <w:szCs w:val="14"/>
                <w:color w:val="auto"/>
              </w:rPr>
            </w:pPr>
          </w:p>
        </w:tc>
      </w:tr>
      <w:tr>
        <w:trPr>
          <w:trHeight w:val="209"/>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860" w:type="dxa"/>
            <w:vAlign w:val="bottom"/>
            <w:tcBorders>
              <w:right w:val="single" w:sz="8" w:color="CCEEFF"/>
            </w:tcBorders>
            <w:gridSpan w:val="2"/>
            <w:shd w:val="clear" w:color="auto" w:fill="CCEEFF"/>
          </w:tcPr>
          <w:p>
            <w:pPr>
              <w:jc w:val="right"/>
              <w:ind w:right="5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3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3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3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3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3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3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535"/>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8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5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0" w:type="dxa"/>
            <w:vAlign w:val="bottom"/>
            <w:gridSpan w:val="2"/>
          </w:tcPr>
          <w:p>
            <w:pPr>
              <w:ind w:left="200"/>
              <w:spacing w:after="0"/>
              <w:rPr>
                <w:sz w:val="20"/>
                <w:szCs w:val="20"/>
                <w:color w:val="auto"/>
              </w:rPr>
            </w:pPr>
            <w:r>
              <w:rPr>
                <w:rFonts w:ascii="Arial" w:cs="Arial" w:eastAsia="Arial" w:hAnsi="Arial"/>
                <w:sz w:val="18"/>
                <w:szCs w:val="18"/>
                <w:color w:val="auto"/>
              </w:rPr>
              <w:t>To be filed by amendment.</w:t>
            </w:r>
          </w:p>
        </w:tc>
        <w:tc>
          <w:tcPr>
            <w:tcW w:w="3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nCino, Inc. is incorporated under the laws of the State of Delaware. Reference is made to Section 102(b)(7) of the General Corporation Law of the State of Delaware, as amended (the “DGCL”), which enables a corporation in its original certificate of incorporation or an amendment thereto to eliminate or limit the personal liability of a director for violations of the director’s fiduciary duty, except (1) for any breach of the director’s duty of loyalty to the corporation or its stockholders, (2) for acts or omissions not in good faith or which involve intentional misconduct or a knowing violation of law, (3) pursuant to Section 174 of the DGCL, which provides for liability of directors for unlawful payments of dividends or unlawful stock purchase or redemptions or (4) for any transaction from which the director derived an improper personal benefit.</w:t>
      </w:r>
    </w:p>
    <w:p>
      <w:pPr>
        <w:spacing w:after="0" w:line="178"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right="160" w:firstLine="881"/>
        <w:spacing w:after="0" w:line="275" w:lineRule="auto"/>
        <w:rPr>
          <w:sz w:val="20"/>
          <w:szCs w:val="20"/>
          <w:color w:val="auto"/>
        </w:rPr>
      </w:pPr>
      <w:r>
        <w:rPr>
          <w:rFonts w:ascii="Arial" w:cs="Arial" w:eastAsia="Arial" w:hAnsi="Arial"/>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 circumstances of the case, he or she is fairly and reasonably entitled to indemnity for such expenses which the adjudicating court shall deem proper.</w:t>
      </w:r>
    </w:p>
    <w:p>
      <w:pPr>
        <w:spacing w:after="0" w:line="18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8"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We expect that the amended and restated certificate of incorporation adopted by us prior to the completion of this offering will provide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charter will provide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77"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We also expect our charter will further provide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8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expect that our amended and restated certificate of incorporation adopted by us prior to the completion of this offering, will provide that we shall indemnify each of our directors and executive officers, and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We expect the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84"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addition, we expect the amended and restated certificate of incorporation will provide that the right of each of our directors and officers to indemnification and advancement of expenses shall not be exclusive of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right now possessed or hereafter acquired under any statute, provision of the charter or bylaws, agreement, vote of stockholders or otherwise.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Furthermore, our amended and restated certificate of incorporation will authorize us to provide insurance for our directors, officers, employees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agents against any liability, whether or not we would have the power to indemnify such person against such liability under the DGCL or the bylaws.</w:t>
      </w:r>
    </w:p>
    <w:p>
      <w:pPr>
        <w:spacing w:after="0" w:line="23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will provide that we will indemnify each of our directors and such officers to the fullest extent permitted by law and our amended and restated certificate of incorporation.</w:t>
      </w:r>
    </w:p>
    <w:p>
      <w:pPr>
        <w:spacing w:after="0" w:line="18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In any underwriting agreement we will enter into in connection with the sale of the common stock being registered hereby, the underwriters will agree to indemnify, under certain conditions, us, our directors, our officers and persons who control us within the meaning of the Securities Act, against certain liabilities.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Issuances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the three years preceding the filing of this registration statement, the registrant has sold and issued the following unregistered securities: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Issuances</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In May 2016, we sold an aggregate of 3,482,399 shares of our common stock to 12 accredited investors at a purchase price of $4.50 per share for an aggregate purchase price of $15.7 million.</w:t>
      </w:r>
    </w:p>
    <w:p>
      <w:pPr>
        <w:spacing w:after="0" w:line="170"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 July 2017, we sold an aggregate of 1,784,700 shares of our common stock to three accredited investors at a purchase price of $10.00 per share for an aggregate purchase price of $17.8 million.</w:t>
      </w:r>
    </w:p>
    <w:p>
      <w:pPr>
        <w:spacing w:after="0" w:line="170"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January 2018, we sold an aggregate of 3,958,354 shares of our common stock to two accredited investors at a purchase price of $13.00 per share for an aggregate purchase price of $51.5 million.</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 September 2019, we sold an aggregate of 3,678,161 shares of our common stock to two accredited investors at a purchase price of $21.75 per share for an aggregate purchase price of $80.0 million.</w:t>
      </w:r>
    </w:p>
    <w:p>
      <w:pPr>
        <w:spacing w:after="0" w:line="170"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issuances described above were exempt from registration under the Securities Act (or Regulation D promulgated thereunder) by virtue of Section 4(a)(2) of the Securities Act as transactions by an issuer not involving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and RSU Issuances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From January 1, 2016 through the filing date of this registration statement, we granted to our directors, officers, employees, consultants and</w:t>
      </w:r>
    </w:p>
    <w:p>
      <w:pPr>
        <w:spacing w:after="0" w:line="46"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other service providers options to purchase an aggregate of shares of our common stock under our equity compensation plans at exercise prices ranging from approximately $ to $ per share.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The option and RSU issuances described above were exempt from registration under the Securities Act under either (1) Rule 701 in that the transactions were under compensatory benefit plans and 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equity compensation plans.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Schedules not listed have been omitted because the information required to be set forth therein is not applicable, not material or is shown in the financial statements or notes thereto.</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20" w:right="74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undersigned registrant hereby undertakes that:</w:t>
      </w:r>
    </w:p>
    <w:p>
      <w:pPr>
        <w:spacing w:after="0" w:line="252" w:lineRule="exact"/>
        <w:rPr>
          <w:sz w:val="20"/>
          <w:szCs w:val="20"/>
          <w:color w:val="auto"/>
        </w:rPr>
      </w:pPr>
    </w:p>
    <w:p>
      <w:pPr>
        <w:ind w:left="1420" w:hanging="427"/>
        <w:spacing w:after="0" w:line="291" w:lineRule="auto"/>
        <w:tabs>
          <w:tab w:leader="none" w:pos="14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w:t>
      </w:r>
    </w:p>
    <w:p>
      <w:pPr>
        <w:ind w:left="1420" w:right="360"/>
        <w:spacing w:after="0" w:line="260" w:lineRule="auto"/>
        <w:rPr>
          <w:rFonts w:ascii="Arial" w:cs="Arial" w:eastAsia="Arial" w:hAnsi="Arial"/>
          <w:sz w:val="16"/>
          <w:szCs w:val="16"/>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212" w:lineRule="exact"/>
        <w:rPr>
          <w:rFonts w:ascii="Arial" w:cs="Arial" w:eastAsia="Arial" w:hAnsi="Arial"/>
          <w:sz w:val="16"/>
          <w:szCs w:val="16"/>
          <w:color w:val="auto"/>
        </w:rPr>
      </w:pPr>
    </w:p>
    <w:p>
      <w:pPr>
        <w:ind w:left="1420" w:right="20" w:hanging="427"/>
        <w:spacing w:after="0" w:line="263"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40" w:type="dxa"/>
            <w:vAlign w:val="bottom"/>
            <w:gridSpan w:val="3"/>
          </w:tcPr>
          <w:p>
            <w:pPr>
              <w:ind w:left="2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Form of Amended and Restated Certificate of Incorporation of nCino, Inc., to be in effect on the completion of the offering.</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Form of Amended and Restated Bylaws of nCino, Inc., to be in effect on the completion of the offering.</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83"/>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8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15">
              <w:r>
                <w:rPr>
                  <w:rFonts w:ascii="Arial" w:cs="Arial" w:eastAsia="Arial" w:hAnsi="Arial"/>
                  <w:sz w:val="18"/>
                  <w:szCs w:val="18"/>
                  <w:color w:val="0000EE"/>
                  <w:w w:val="89"/>
                </w:rPr>
                <w:t>First Amended and Restated Investors’ Rights Agreement, dated February 12, 2015, as amended, among nCino, Inc. and certain holders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0" w:type="dxa"/>
            <w:vAlign w:val="bottom"/>
            <w:gridSpan w:val="4"/>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of its capital stock.</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 xml:space="preserve">Opinion of Sidley Austin </w:t>
            </w:r>
            <w:r>
              <w:rPr>
                <w:rFonts w:ascii="Arial" w:cs="Arial" w:eastAsia="Arial" w:hAnsi="Arial"/>
                <w:sz w:val="14"/>
                <w:szCs w:val="14"/>
                <w:color w:val="auto"/>
              </w:rPr>
              <w:t>LLP</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800" w:type="dxa"/>
            <w:vAlign w:val="bottom"/>
            <w:gridSpan w:val="4"/>
          </w:tcPr>
          <w:p>
            <w:pPr>
              <w:spacing w:after="0"/>
              <w:rPr>
                <w:rFonts w:ascii="Arial" w:cs="Arial" w:eastAsia="Arial" w:hAnsi="Arial"/>
                <w:sz w:val="18"/>
                <w:szCs w:val="18"/>
                <w:u w:val="single" w:color="auto"/>
                <w:color w:val="0000EE"/>
              </w:rPr>
            </w:pPr>
            <w:hyperlink w:anchor="page251">
              <w:r>
                <w:rPr>
                  <w:rFonts w:ascii="Arial" w:cs="Arial" w:eastAsia="Arial" w:hAnsi="Arial"/>
                  <w:sz w:val="18"/>
                  <w:szCs w:val="18"/>
                  <w:u w:val="single" w:color="auto"/>
                  <w:color w:val="0000EE"/>
                </w:rPr>
                <w:t>nCino, Inc. 2014 Omnibus Stock Ownership and Long Term Incentive Plan and related form agreements.</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nCino, Inc. 2019 Amended and Restated Equity Incentive Plan and related form agreements.</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nCino, Inc. Employee Stock Purchase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Amended and Restated Employment Agreement with Pierre Naudé.</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Amended and Restated Employment Agreement with David Rudow.</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Amended and Restated Employment Agreement with Joshua Glover.</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9"/>
              </w:rPr>
              <w:t>10.7++</w:t>
            </w:r>
          </w:p>
        </w:tc>
        <w:tc>
          <w:tcPr>
            <w:tcW w:w="520" w:type="dxa"/>
            <w:vAlign w:val="bottom"/>
          </w:tcPr>
          <w:p>
            <w:pPr>
              <w:spacing w:after="0"/>
              <w:rPr>
                <w:sz w:val="24"/>
                <w:szCs w:val="24"/>
                <w:color w:val="auto"/>
              </w:rPr>
            </w:pPr>
          </w:p>
        </w:tc>
        <w:tc>
          <w:tcPr>
            <w:tcW w:w="9800" w:type="dxa"/>
            <w:vAlign w:val="bottom"/>
            <w:gridSpan w:val="4"/>
          </w:tcPr>
          <w:p>
            <w:pPr>
              <w:spacing w:after="0"/>
              <w:rPr>
                <w:rFonts w:ascii="Arial" w:cs="Arial" w:eastAsia="Arial" w:hAnsi="Arial"/>
                <w:sz w:val="18"/>
                <w:szCs w:val="18"/>
                <w:u w:val="single" w:color="auto"/>
                <w:color w:val="0000EE"/>
                <w:w w:val="98"/>
              </w:rPr>
            </w:pPr>
            <w:hyperlink w:anchor="page286">
              <w:r>
                <w:rPr>
                  <w:rFonts w:ascii="Arial" w:cs="Arial" w:eastAsia="Arial" w:hAnsi="Arial"/>
                  <w:sz w:val="18"/>
                  <w:szCs w:val="18"/>
                  <w:u w:val="single" w:color="auto"/>
                  <w:color w:val="0000EE"/>
                  <w:w w:val="98"/>
                </w:rPr>
                <w:t>Partner Application Distribution Agreement by and between Salesforce and the Company, dated June 19, 2020, as amended.</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9800" w:type="dxa"/>
            <w:vAlign w:val="bottom"/>
            <w:gridSpan w:val="4"/>
          </w:tcPr>
          <w:p>
            <w:pPr>
              <w:spacing w:after="0"/>
              <w:rPr>
                <w:rFonts w:ascii="Arial" w:cs="Arial" w:eastAsia="Arial" w:hAnsi="Arial"/>
                <w:sz w:val="18"/>
                <w:szCs w:val="18"/>
                <w:u w:val="single" w:color="auto"/>
                <w:color w:val="0000EE"/>
              </w:rPr>
            </w:pPr>
            <w:hyperlink w:anchor="page322">
              <w:r>
                <w:rPr>
                  <w:rFonts w:ascii="Arial" w:cs="Arial" w:eastAsia="Arial" w:hAnsi="Arial"/>
                  <w:sz w:val="18"/>
                  <w:szCs w:val="18"/>
                  <w:u w:val="single" w:color="auto"/>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Consent of Sidley Austin LLP (included in Exhibit 5.1).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480" w:right="3140" w:hanging="5364"/>
        <w:spacing w:after="0" w:line="433" w:lineRule="auto"/>
        <w:tabs>
          <w:tab w:leader="none" w:pos="5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601(b)(10)(iv) of Regulation S-K. II-5</w:t>
      </w:r>
    </w:p>
    <w:p>
      <w:pPr>
        <w:sectPr>
          <w:pgSz w:w="11900" w:h="16838" w:orient="portrait"/>
          <w:cols w:equalWidth="0" w:num="1">
            <w:col w:w="11020"/>
          </w:cols>
          <w:pgMar w:left="320" w:top="459" w:right="5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Wilmington, North Carolina, on the 22nd day of June, 2020.</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nCino, Inc.</w:t>
      </w:r>
    </w:p>
    <w:p>
      <w:pPr>
        <w:spacing w:after="0" w:line="229" w:lineRule="exact"/>
        <w:rPr>
          <w:sz w:val="20"/>
          <w:szCs w:val="20"/>
          <w:color w:val="auto"/>
        </w:rPr>
      </w:pPr>
    </w:p>
    <w:p>
      <w:pPr>
        <w:ind w:left="67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4517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Pierre Naudé</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Pierre Naudé, David Rudow and Greg Orenstein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 promulgated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such person might or could do in person, hereby ratifying and confirming all that said attorneys-in-fact and agents, or any of them, or their or such person’s substitute or substitutes, may lawfully do or cause to be done by virtue hereof.</w:t>
      </w:r>
    </w:p>
    <w:p>
      <w:pPr>
        <w:spacing w:after="0" w:line="166"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020"/>
          </w:cols>
          <w:pgMar w:left="320" w:top="459" w:right="559" w:bottom="1440" w:gutter="0" w:footer="0" w:header="0"/>
        </w:sectPr>
      </w:pP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380" w:type="dxa"/>
            <w:vAlign w:val="bottom"/>
          </w:tcPr>
          <w:p>
            <w:pPr>
              <w:spacing w:after="0"/>
              <w:rPr>
                <w:sz w:val="14"/>
                <w:szCs w:val="14"/>
                <w:color w:val="auto"/>
              </w:rPr>
            </w:pPr>
          </w:p>
        </w:tc>
      </w:tr>
      <w:tr>
        <w:trPr>
          <w:trHeight w:val="426"/>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Pierre Naudé</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8"/>
              </w:rPr>
              <w:t>Pierre Naudé</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323"/>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David Rudow</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Treasurer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5"/>
              </w:rPr>
              <w:t>David Rudow</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Jeanette Sellers</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Vice President of Accounting</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5"/>
              </w:rPr>
              <w:t>Jeanette Sellers</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/s/Steven Collins</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Steven Collins</w:t>
            </w: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Jon Doyle</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Jon Doyle</w:t>
            </w: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Jeffrey Horing</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4"/>
              </w:rPr>
              <w:t>Jeffrey Horing</w:t>
            </w: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Pam Kilday</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4"/>
              </w:rPr>
              <w:t>Pam Kilday</w:t>
            </w: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Spencer Lake</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8"/>
              </w:rPr>
              <w:t>Spencer Lake</w:t>
            </w: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Jeffrey Lunsford</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Jeffrey Lunsford</w:t>
            </w: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William Ruh</w:t>
            </w:r>
          </w:p>
        </w:tc>
        <w:tc>
          <w:tcPr>
            <w:tcW w:w="3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7"/>
              </w:rPr>
              <w:t>William Ruh</w:t>
            </w: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64"/>
        </w:trPr>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60" w:type="dxa"/>
            <w:vAlign w:val="bottom"/>
            <w:gridSpan w:val="3"/>
          </w:tcPr>
          <w:p>
            <w:pPr>
              <w:ind w:left="1740"/>
              <w:spacing w:after="0"/>
              <w:rPr>
                <w:sz w:val="20"/>
                <w:szCs w:val="20"/>
                <w:color w:val="auto"/>
              </w:rPr>
            </w:pPr>
            <w:r>
              <w:rPr>
                <w:rFonts w:ascii="Arial" w:cs="Arial" w:eastAsia="Arial" w:hAnsi="Arial"/>
                <w:sz w:val="18"/>
                <w:szCs w:val="18"/>
                <w:color w:val="auto"/>
              </w:rPr>
              <w:t>II-6</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22, 2020</w:t>
      </w:r>
    </w:p>
    <w:p>
      <w:pPr>
        <w:sectPr>
          <w:pgSz w:w="11900" w:h="16838" w:orient="portrait"/>
          <w:cols w:equalWidth="0" w:num="2">
            <w:col w:w="9180" w:space="720"/>
            <w:col w:w="1120"/>
          </w:cols>
          <w:pgMar w:left="320" w:top="459" w:right="559" w:bottom="1440"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FIRST AMENDED AND RESTATED INVESTORS’ RIGHTS AGREEMENT</w:t>
      </w:r>
    </w:p>
    <w:p>
      <w:pPr>
        <w:sectPr>
          <w:pgSz w:w="11900" w:h="16838" w:orient="portrait"/>
          <w:cols w:equalWidth="0" w:num="1">
            <w:col w:w="10020"/>
          </w:cols>
          <w:pgMar w:left="1440" w:top="121" w:right="4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600" w:type="dxa"/>
            <w:vAlign w:val="bottom"/>
            <w:gridSpan w:val="3"/>
          </w:tcPr>
          <w:p>
            <w:pPr>
              <w:ind w:left="220"/>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391"/>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1.</w:t>
            </w:r>
          </w:p>
        </w:tc>
        <w:tc>
          <w:tcPr>
            <w:tcW w:w="4200" w:type="dxa"/>
            <w:vAlign w:val="bottom"/>
            <w:gridSpan w:val="2"/>
            <w:vMerge w:val="restart"/>
          </w:tcPr>
          <w:p>
            <w:pPr>
              <w:ind w:left="40"/>
              <w:spacing w:after="0"/>
              <w:rPr>
                <w:sz w:val="20"/>
                <w:szCs w:val="20"/>
                <w:color w:val="auto"/>
              </w:rPr>
            </w:pPr>
            <w:r>
              <w:rPr>
                <w:rFonts w:ascii="Arial" w:cs="Arial" w:eastAsia="Arial" w:hAnsi="Arial"/>
                <w:sz w:val="18"/>
                <w:szCs w:val="18"/>
                <w:color w:val="auto"/>
              </w:rPr>
              <w:t>Definitions</w:t>
            </w:r>
          </w:p>
        </w:tc>
        <w:tc>
          <w:tcPr>
            <w:tcW w:w="630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8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630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4200" w:type="dxa"/>
            <w:vAlign w:val="bottom"/>
            <w:gridSpan w:val="2"/>
          </w:tcPr>
          <w:p>
            <w:pPr>
              <w:ind w:left="40"/>
              <w:spacing w:after="0"/>
              <w:rPr>
                <w:sz w:val="20"/>
                <w:szCs w:val="20"/>
                <w:color w:val="auto"/>
              </w:rPr>
            </w:pPr>
            <w:r>
              <w:rPr>
                <w:rFonts w:ascii="Arial" w:cs="Arial" w:eastAsia="Arial" w:hAnsi="Arial"/>
                <w:sz w:val="18"/>
                <w:szCs w:val="18"/>
                <w:color w:val="auto"/>
              </w:rPr>
              <w:t>Registration Rights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w:t>
            </w:r>
          </w:p>
        </w:tc>
        <w:tc>
          <w:tcPr>
            <w:tcW w:w="3780" w:type="dxa"/>
            <w:vAlign w:val="bottom"/>
          </w:tcPr>
          <w:p>
            <w:pPr>
              <w:ind w:left="60"/>
              <w:spacing w:after="0"/>
              <w:rPr>
                <w:sz w:val="20"/>
                <w:szCs w:val="20"/>
                <w:color w:val="auto"/>
              </w:rPr>
            </w:pPr>
            <w:r>
              <w:rPr>
                <w:rFonts w:ascii="Arial" w:cs="Arial" w:eastAsia="Arial" w:hAnsi="Arial"/>
                <w:sz w:val="18"/>
                <w:szCs w:val="18"/>
                <w:color w:val="auto"/>
              </w:rPr>
              <w:t>Demand Registration</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2.2</w:t>
            </w:r>
          </w:p>
        </w:tc>
        <w:tc>
          <w:tcPr>
            <w:tcW w:w="3780" w:type="dxa"/>
            <w:vAlign w:val="bottom"/>
          </w:tcPr>
          <w:p>
            <w:pPr>
              <w:ind w:left="60"/>
              <w:spacing w:after="0"/>
              <w:rPr>
                <w:sz w:val="20"/>
                <w:szCs w:val="20"/>
                <w:color w:val="auto"/>
              </w:rPr>
            </w:pPr>
            <w:r>
              <w:rPr>
                <w:rFonts w:ascii="Arial" w:cs="Arial" w:eastAsia="Arial" w:hAnsi="Arial"/>
                <w:sz w:val="18"/>
                <w:szCs w:val="18"/>
                <w:color w:val="auto"/>
              </w:rPr>
              <w:t>Company Registration</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2.3</w:t>
            </w:r>
          </w:p>
        </w:tc>
        <w:tc>
          <w:tcPr>
            <w:tcW w:w="3780" w:type="dxa"/>
            <w:vAlign w:val="bottom"/>
          </w:tcPr>
          <w:p>
            <w:pPr>
              <w:ind w:left="60"/>
              <w:spacing w:after="0"/>
              <w:rPr>
                <w:sz w:val="20"/>
                <w:szCs w:val="20"/>
                <w:color w:val="auto"/>
              </w:rPr>
            </w:pPr>
            <w:r>
              <w:rPr>
                <w:rFonts w:ascii="Arial" w:cs="Arial" w:eastAsia="Arial" w:hAnsi="Arial"/>
                <w:sz w:val="18"/>
                <w:szCs w:val="18"/>
                <w:color w:val="auto"/>
              </w:rPr>
              <w:t>Underwriting Requirements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2.4</w:t>
            </w:r>
          </w:p>
        </w:tc>
        <w:tc>
          <w:tcPr>
            <w:tcW w:w="3780" w:type="dxa"/>
            <w:vAlign w:val="bottom"/>
          </w:tcPr>
          <w:p>
            <w:pPr>
              <w:ind w:left="60"/>
              <w:spacing w:after="0"/>
              <w:rPr>
                <w:sz w:val="20"/>
                <w:szCs w:val="20"/>
                <w:color w:val="auto"/>
              </w:rPr>
            </w:pPr>
            <w:r>
              <w:rPr>
                <w:rFonts w:ascii="Arial" w:cs="Arial" w:eastAsia="Arial" w:hAnsi="Arial"/>
                <w:sz w:val="18"/>
                <w:szCs w:val="18"/>
                <w:color w:val="auto"/>
              </w:rPr>
              <w:t>Obligations of the Company</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2.5</w:t>
            </w:r>
          </w:p>
        </w:tc>
        <w:tc>
          <w:tcPr>
            <w:tcW w:w="3780" w:type="dxa"/>
            <w:vAlign w:val="bottom"/>
          </w:tcPr>
          <w:p>
            <w:pPr>
              <w:ind w:left="60"/>
              <w:spacing w:after="0"/>
              <w:rPr>
                <w:sz w:val="20"/>
                <w:szCs w:val="20"/>
                <w:color w:val="auto"/>
              </w:rPr>
            </w:pPr>
            <w:r>
              <w:rPr>
                <w:rFonts w:ascii="Arial" w:cs="Arial" w:eastAsia="Arial" w:hAnsi="Arial"/>
                <w:sz w:val="18"/>
                <w:szCs w:val="18"/>
                <w:color w:val="auto"/>
              </w:rPr>
              <w:t>Furnish Information</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2.6</w:t>
            </w:r>
          </w:p>
        </w:tc>
        <w:tc>
          <w:tcPr>
            <w:tcW w:w="3780" w:type="dxa"/>
            <w:vAlign w:val="bottom"/>
          </w:tcPr>
          <w:p>
            <w:pPr>
              <w:ind w:left="60"/>
              <w:spacing w:after="0"/>
              <w:rPr>
                <w:sz w:val="20"/>
                <w:szCs w:val="20"/>
                <w:color w:val="auto"/>
              </w:rPr>
            </w:pPr>
            <w:r>
              <w:rPr>
                <w:rFonts w:ascii="Arial" w:cs="Arial" w:eastAsia="Arial" w:hAnsi="Arial"/>
                <w:sz w:val="18"/>
                <w:szCs w:val="18"/>
                <w:color w:val="auto"/>
              </w:rPr>
              <w:t>Expenses of Registration</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2. 7</w:t>
            </w:r>
          </w:p>
        </w:tc>
        <w:tc>
          <w:tcPr>
            <w:tcW w:w="3780" w:type="dxa"/>
            <w:vAlign w:val="bottom"/>
          </w:tcPr>
          <w:p>
            <w:pPr>
              <w:ind w:left="60"/>
              <w:spacing w:after="0"/>
              <w:rPr>
                <w:sz w:val="20"/>
                <w:szCs w:val="20"/>
                <w:color w:val="auto"/>
              </w:rPr>
            </w:pPr>
            <w:r>
              <w:rPr>
                <w:rFonts w:ascii="Arial" w:cs="Arial" w:eastAsia="Arial" w:hAnsi="Arial"/>
                <w:sz w:val="18"/>
                <w:szCs w:val="18"/>
                <w:color w:val="auto"/>
              </w:rPr>
              <w:t>Delay of Registration</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2. 8</w:t>
            </w:r>
          </w:p>
        </w:tc>
        <w:tc>
          <w:tcPr>
            <w:tcW w:w="378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2.9</w:t>
            </w:r>
          </w:p>
        </w:tc>
        <w:tc>
          <w:tcPr>
            <w:tcW w:w="3780" w:type="dxa"/>
            <w:vAlign w:val="bottom"/>
          </w:tcPr>
          <w:p>
            <w:pPr>
              <w:ind w:left="60"/>
              <w:spacing w:after="0"/>
              <w:rPr>
                <w:sz w:val="20"/>
                <w:szCs w:val="20"/>
                <w:color w:val="auto"/>
              </w:rPr>
            </w:pPr>
            <w:r>
              <w:rPr>
                <w:rFonts w:ascii="Arial" w:cs="Arial" w:eastAsia="Arial" w:hAnsi="Arial"/>
                <w:sz w:val="18"/>
                <w:szCs w:val="18"/>
                <w:color w:val="auto"/>
              </w:rPr>
              <w:t>Reports Under Exchange Act</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2.10</w:t>
            </w:r>
          </w:p>
        </w:tc>
        <w:tc>
          <w:tcPr>
            <w:tcW w:w="3780" w:type="dxa"/>
            <w:vAlign w:val="bottom"/>
          </w:tcPr>
          <w:p>
            <w:pPr>
              <w:ind w:left="60"/>
              <w:spacing w:after="0"/>
              <w:rPr>
                <w:sz w:val="20"/>
                <w:szCs w:val="20"/>
                <w:color w:val="auto"/>
              </w:rPr>
            </w:pPr>
            <w:r>
              <w:rPr>
                <w:rFonts w:ascii="Arial" w:cs="Arial" w:eastAsia="Arial" w:hAnsi="Arial"/>
                <w:sz w:val="18"/>
                <w:szCs w:val="18"/>
                <w:color w:val="auto"/>
              </w:rPr>
              <w:t>Limitations on Subsequent Registration Rights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2.11</w:t>
            </w:r>
          </w:p>
        </w:tc>
        <w:tc>
          <w:tcPr>
            <w:tcW w:w="3780" w:type="dxa"/>
            <w:vAlign w:val="bottom"/>
          </w:tcPr>
          <w:p>
            <w:pPr>
              <w:ind w:left="60"/>
              <w:spacing w:after="0"/>
              <w:rPr>
                <w:sz w:val="20"/>
                <w:szCs w:val="20"/>
                <w:color w:val="auto"/>
              </w:rPr>
            </w:pPr>
            <w:r>
              <w:rPr>
                <w:rFonts w:ascii="Arial" w:cs="Arial" w:eastAsia="Arial" w:hAnsi="Arial"/>
                <w:sz w:val="18"/>
                <w:szCs w:val="18"/>
                <w:color w:val="auto"/>
              </w:rPr>
              <w:t>“Market Stand-off” Agreement</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2.12</w:t>
            </w:r>
          </w:p>
        </w:tc>
        <w:tc>
          <w:tcPr>
            <w:tcW w:w="3780" w:type="dxa"/>
            <w:vAlign w:val="bottom"/>
          </w:tcPr>
          <w:p>
            <w:pPr>
              <w:ind w:left="60"/>
              <w:spacing w:after="0"/>
              <w:rPr>
                <w:sz w:val="20"/>
                <w:szCs w:val="20"/>
                <w:color w:val="auto"/>
              </w:rPr>
            </w:pPr>
            <w:r>
              <w:rPr>
                <w:rFonts w:ascii="Arial" w:cs="Arial" w:eastAsia="Arial" w:hAnsi="Arial"/>
                <w:sz w:val="18"/>
                <w:szCs w:val="18"/>
                <w:color w:val="auto"/>
              </w:rPr>
              <w:t>Restrictions on Transfer</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2.13</w:t>
            </w:r>
          </w:p>
        </w:tc>
        <w:tc>
          <w:tcPr>
            <w:tcW w:w="3780" w:type="dxa"/>
            <w:vAlign w:val="bottom"/>
          </w:tcPr>
          <w:p>
            <w:pPr>
              <w:ind w:left="60"/>
              <w:spacing w:after="0"/>
              <w:rPr>
                <w:sz w:val="20"/>
                <w:szCs w:val="20"/>
                <w:color w:val="auto"/>
              </w:rPr>
            </w:pPr>
            <w:r>
              <w:rPr>
                <w:rFonts w:ascii="Arial" w:cs="Arial" w:eastAsia="Arial" w:hAnsi="Arial"/>
                <w:sz w:val="18"/>
                <w:szCs w:val="18"/>
                <w:color w:val="auto"/>
              </w:rPr>
              <w:t>Termination of Registration Rights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4200" w:type="dxa"/>
            <w:vAlign w:val="bottom"/>
            <w:gridSpan w:val="2"/>
          </w:tcPr>
          <w:p>
            <w:pPr>
              <w:ind w:left="40"/>
              <w:spacing w:after="0"/>
              <w:rPr>
                <w:sz w:val="20"/>
                <w:szCs w:val="20"/>
                <w:color w:val="auto"/>
              </w:rPr>
            </w:pPr>
            <w:r>
              <w:rPr>
                <w:rFonts w:ascii="Arial" w:cs="Arial" w:eastAsia="Arial" w:hAnsi="Arial"/>
                <w:sz w:val="18"/>
                <w:szCs w:val="18"/>
                <w:color w:val="auto"/>
              </w:rPr>
              <w:t>Information and Observer Rights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3.1</w:t>
            </w:r>
          </w:p>
        </w:tc>
        <w:tc>
          <w:tcPr>
            <w:tcW w:w="3780" w:type="dxa"/>
            <w:vAlign w:val="bottom"/>
          </w:tcPr>
          <w:p>
            <w:pPr>
              <w:ind w:left="60"/>
              <w:spacing w:after="0"/>
              <w:rPr>
                <w:sz w:val="20"/>
                <w:szCs w:val="20"/>
                <w:color w:val="auto"/>
              </w:rPr>
            </w:pPr>
            <w:r>
              <w:rPr>
                <w:rFonts w:ascii="Arial" w:cs="Arial" w:eastAsia="Arial" w:hAnsi="Arial"/>
                <w:sz w:val="18"/>
                <w:szCs w:val="18"/>
                <w:color w:val="auto"/>
              </w:rPr>
              <w:t>Delivery of Financial Statements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3.2</w:t>
            </w:r>
          </w:p>
        </w:tc>
        <w:tc>
          <w:tcPr>
            <w:tcW w:w="3780" w:type="dxa"/>
            <w:vAlign w:val="bottom"/>
          </w:tcPr>
          <w:p>
            <w:pPr>
              <w:ind w:left="60"/>
              <w:spacing w:after="0"/>
              <w:rPr>
                <w:sz w:val="20"/>
                <w:szCs w:val="20"/>
                <w:color w:val="auto"/>
              </w:rPr>
            </w:pPr>
            <w:r>
              <w:rPr>
                <w:rFonts w:ascii="Arial" w:cs="Arial" w:eastAsia="Arial" w:hAnsi="Arial"/>
                <w:sz w:val="18"/>
                <w:szCs w:val="18"/>
                <w:color w:val="auto"/>
              </w:rPr>
              <w:t>Inspection</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3.3</w:t>
            </w:r>
          </w:p>
        </w:tc>
        <w:tc>
          <w:tcPr>
            <w:tcW w:w="3780" w:type="dxa"/>
            <w:vAlign w:val="bottom"/>
          </w:tcPr>
          <w:p>
            <w:pPr>
              <w:ind w:left="60"/>
              <w:spacing w:after="0"/>
              <w:rPr>
                <w:sz w:val="20"/>
                <w:szCs w:val="20"/>
                <w:color w:val="auto"/>
              </w:rPr>
            </w:pPr>
            <w:r>
              <w:rPr>
                <w:rFonts w:ascii="Arial" w:cs="Arial" w:eastAsia="Arial" w:hAnsi="Arial"/>
                <w:sz w:val="18"/>
                <w:szCs w:val="18"/>
                <w:color w:val="auto"/>
              </w:rPr>
              <w:t>Observer Rights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3.4</w:t>
            </w:r>
          </w:p>
        </w:tc>
        <w:tc>
          <w:tcPr>
            <w:tcW w:w="3780" w:type="dxa"/>
            <w:vAlign w:val="bottom"/>
          </w:tcPr>
          <w:p>
            <w:pPr>
              <w:ind w:left="60"/>
              <w:spacing w:after="0"/>
              <w:rPr>
                <w:sz w:val="20"/>
                <w:szCs w:val="20"/>
                <w:color w:val="auto"/>
              </w:rPr>
            </w:pPr>
            <w:r>
              <w:rPr>
                <w:rFonts w:ascii="Arial" w:cs="Arial" w:eastAsia="Arial" w:hAnsi="Arial"/>
                <w:sz w:val="18"/>
                <w:szCs w:val="18"/>
                <w:color w:val="auto"/>
                <w:w w:val="97"/>
              </w:rPr>
              <w:t>Termination of Information and Observer Rights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3.5</w:t>
            </w:r>
          </w:p>
        </w:tc>
        <w:tc>
          <w:tcPr>
            <w:tcW w:w="378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4200" w:type="dxa"/>
            <w:vAlign w:val="bottom"/>
            <w:gridSpan w:val="2"/>
          </w:tcPr>
          <w:p>
            <w:pPr>
              <w:ind w:left="40"/>
              <w:spacing w:after="0"/>
              <w:rPr>
                <w:sz w:val="20"/>
                <w:szCs w:val="20"/>
                <w:color w:val="auto"/>
              </w:rPr>
            </w:pPr>
            <w:r>
              <w:rPr>
                <w:rFonts w:ascii="Arial" w:cs="Arial" w:eastAsia="Arial" w:hAnsi="Arial"/>
                <w:sz w:val="18"/>
                <w:szCs w:val="18"/>
                <w:color w:val="auto"/>
              </w:rPr>
              <w:t>Rights to Future Stock Issuances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4.1</w:t>
            </w:r>
          </w:p>
        </w:tc>
        <w:tc>
          <w:tcPr>
            <w:tcW w:w="3780" w:type="dxa"/>
            <w:vAlign w:val="bottom"/>
          </w:tcPr>
          <w:p>
            <w:pPr>
              <w:ind w:left="60"/>
              <w:spacing w:after="0"/>
              <w:rPr>
                <w:sz w:val="20"/>
                <w:szCs w:val="20"/>
                <w:color w:val="auto"/>
              </w:rPr>
            </w:pPr>
            <w:r>
              <w:rPr>
                <w:rFonts w:ascii="Arial" w:cs="Arial" w:eastAsia="Arial" w:hAnsi="Arial"/>
                <w:sz w:val="18"/>
                <w:szCs w:val="18"/>
                <w:color w:val="auto"/>
              </w:rPr>
              <w:t>Right of First Offer</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4.2</w:t>
            </w:r>
          </w:p>
        </w:tc>
        <w:tc>
          <w:tcPr>
            <w:tcW w:w="378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4200" w:type="dxa"/>
            <w:vAlign w:val="bottom"/>
            <w:gridSpan w:val="2"/>
          </w:tcPr>
          <w:p>
            <w:pPr>
              <w:ind w:left="40"/>
              <w:spacing w:after="0"/>
              <w:rPr>
                <w:sz w:val="20"/>
                <w:szCs w:val="20"/>
                <w:color w:val="auto"/>
              </w:rPr>
            </w:pPr>
            <w:r>
              <w:rPr>
                <w:rFonts w:ascii="Arial" w:cs="Arial" w:eastAsia="Arial" w:hAnsi="Arial"/>
                <w:sz w:val="18"/>
                <w:szCs w:val="18"/>
                <w:color w:val="auto"/>
              </w:rPr>
              <w:t>Additional Covenants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5.1</w:t>
            </w:r>
          </w:p>
        </w:tc>
        <w:tc>
          <w:tcPr>
            <w:tcW w:w="37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5.2</w:t>
            </w:r>
          </w:p>
        </w:tc>
        <w:tc>
          <w:tcPr>
            <w:tcW w:w="3780" w:type="dxa"/>
            <w:vAlign w:val="bottom"/>
          </w:tcPr>
          <w:p>
            <w:pPr>
              <w:ind w:left="60"/>
              <w:spacing w:after="0"/>
              <w:rPr>
                <w:sz w:val="20"/>
                <w:szCs w:val="20"/>
                <w:color w:val="auto"/>
              </w:rPr>
            </w:pPr>
            <w:r>
              <w:rPr>
                <w:rFonts w:ascii="Arial" w:cs="Arial" w:eastAsia="Arial" w:hAnsi="Arial"/>
                <w:sz w:val="18"/>
                <w:szCs w:val="18"/>
                <w:color w:val="auto"/>
              </w:rPr>
              <w:t>Employee Agreements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5.3</w:t>
            </w:r>
          </w:p>
        </w:tc>
        <w:tc>
          <w:tcPr>
            <w:tcW w:w="3780" w:type="dxa"/>
            <w:vAlign w:val="bottom"/>
          </w:tcPr>
          <w:p>
            <w:pPr>
              <w:ind w:left="60"/>
              <w:spacing w:after="0"/>
              <w:rPr>
                <w:sz w:val="20"/>
                <w:szCs w:val="20"/>
                <w:color w:val="auto"/>
              </w:rPr>
            </w:pPr>
            <w:r>
              <w:rPr>
                <w:rFonts w:ascii="Arial" w:cs="Arial" w:eastAsia="Arial" w:hAnsi="Arial"/>
                <w:sz w:val="18"/>
                <w:szCs w:val="18"/>
                <w:color w:val="auto"/>
              </w:rPr>
              <w:t>Employee Stock</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5.4</w:t>
            </w:r>
          </w:p>
        </w:tc>
        <w:tc>
          <w:tcPr>
            <w:tcW w:w="3780" w:type="dxa"/>
            <w:vAlign w:val="bottom"/>
          </w:tcPr>
          <w:p>
            <w:pPr>
              <w:ind w:left="60"/>
              <w:spacing w:after="0"/>
              <w:rPr>
                <w:sz w:val="20"/>
                <w:szCs w:val="20"/>
                <w:color w:val="auto"/>
              </w:rPr>
            </w:pPr>
            <w:r>
              <w:rPr>
                <w:rFonts w:ascii="Arial" w:cs="Arial" w:eastAsia="Arial" w:hAnsi="Arial"/>
                <w:sz w:val="18"/>
                <w:szCs w:val="18"/>
                <w:color w:val="auto"/>
              </w:rPr>
              <w:t>Qualified Small Business Stock</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5.5</w:t>
            </w:r>
          </w:p>
        </w:tc>
        <w:tc>
          <w:tcPr>
            <w:tcW w:w="3780" w:type="dxa"/>
            <w:vAlign w:val="bottom"/>
          </w:tcPr>
          <w:p>
            <w:pPr>
              <w:ind w:left="60"/>
              <w:spacing w:after="0"/>
              <w:rPr>
                <w:sz w:val="20"/>
                <w:szCs w:val="20"/>
                <w:color w:val="auto"/>
              </w:rPr>
            </w:pPr>
            <w:r>
              <w:rPr>
                <w:rFonts w:ascii="Arial" w:cs="Arial" w:eastAsia="Arial" w:hAnsi="Arial"/>
                <w:sz w:val="18"/>
                <w:szCs w:val="18"/>
                <w:color w:val="auto"/>
              </w:rPr>
              <w:t>Matters Requiring Approval of the Investors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5.6</w:t>
            </w:r>
          </w:p>
        </w:tc>
        <w:tc>
          <w:tcPr>
            <w:tcW w:w="3780" w:type="dxa"/>
            <w:vAlign w:val="bottom"/>
          </w:tcPr>
          <w:p>
            <w:pPr>
              <w:ind w:left="60"/>
              <w:spacing w:after="0"/>
              <w:rPr>
                <w:sz w:val="20"/>
                <w:szCs w:val="20"/>
                <w:color w:val="auto"/>
              </w:rPr>
            </w:pPr>
            <w:r>
              <w:rPr>
                <w:rFonts w:ascii="Arial" w:cs="Arial" w:eastAsia="Arial" w:hAnsi="Arial"/>
                <w:sz w:val="18"/>
                <w:szCs w:val="18"/>
                <w:color w:val="auto"/>
              </w:rPr>
              <w:t>Board Matters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5. 7</w:t>
            </w:r>
          </w:p>
        </w:tc>
        <w:tc>
          <w:tcPr>
            <w:tcW w:w="3780" w:type="dxa"/>
            <w:vAlign w:val="bottom"/>
          </w:tcPr>
          <w:p>
            <w:pPr>
              <w:ind w:left="60"/>
              <w:spacing w:after="0"/>
              <w:rPr>
                <w:sz w:val="20"/>
                <w:szCs w:val="20"/>
                <w:color w:val="auto"/>
              </w:rPr>
            </w:pPr>
            <w:r>
              <w:rPr>
                <w:rFonts w:ascii="Arial" w:cs="Arial" w:eastAsia="Arial" w:hAnsi="Arial"/>
                <w:sz w:val="18"/>
                <w:szCs w:val="18"/>
                <w:color w:val="auto"/>
              </w:rPr>
              <w:t>Successor Indemnification</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5.8</w:t>
            </w:r>
          </w:p>
        </w:tc>
        <w:tc>
          <w:tcPr>
            <w:tcW w:w="3780" w:type="dxa"/>
            <w:vAlign w:val="bottom"/>
          </w:tcPr>
          <w:p>
            <w:pPr>
              <w:ind w:left="60"/>
              <w:spacing w:after="0"/>
              <w:rPr>
                <w:sz w:val="20"/>
                <w:szCs w:val="20"/>
                <w:color w:val="auto"/>
              </w:rPr>
            </w:pPr>
            <w:r>
              <w:rPr>
                <w:rFonts w:ascii="Arial" w:cs="Arial" w:eastAsia="Arial" w:hAnsi="Arial"/>
                <w:sz w:val="18"/>
                <w:szCs w:val="18"/>
                <w:color w:val="auto"/>
              </w:rPr>
              <w:t>Expenses of Counsel</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5.9</w:t>
            </w:r>
          </w:p>
        </w:tc>
        <w:tc>
          <w:tcPr>
            <w:tcW w:w="3780" w:type="dxa"/>
            <w:vAlign w:val="bottom"/>
          </w:tcPr>
          <w:p>
            <w:pPr>
              <w:ind w:left="60"/>
              <w:spacing w:after="0"/>
              <w:rPr>
                <w:sz w:val="20"/>
                <w:szCs w:val="20"/>
                <w:color w:val="auto"/>
              </w:rPr>
            </w:pPr>
            <w:r>
              <w:rPr>
                <w:rFonts w:ascii="Arial" w:cs="Arial" w:eastAsia="Arial" w:hAnsi="Arial"/>
                <w:sz w:val="18"/>
                <w:szCs w:val="18"/>
                <w:color w:val="auto"/>
              </w:rPr>
              <w:t>FCPA</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5.10</w:t>
            </w:r>
          </w:p>
        </w:tc>
        <w:tc>
          <w:tcPr>
            <w:tcW w:w="3780" w:type="dxa"/>
            <w:vAlign w:val="bottom"/>
          </w:tcPr>
          <w:p>
            <w:pPr>
              <w:ind w:left="60"/>
              <w:spacing w:after="0"/>
              <w:rPr>
                <w:sz w:val="20"/>
                <w:szCs w:val="20"/>
                <w:color w:val="auto"/>
              </w:rPr>
            </w:pPr>
            <w:r>
              <w:rPr>
                <w:rFonts w:ascii="Arial" w:cs="Arial" w:eastAsia="Arial" w:hAnsi="Arial"/>
                <w:sz w:val="18"/>
                <w:szCs w:val="18"/>
                <w:color w:val="auto"/>
              </w:rPr>
              <w:t>Termination of Covenants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0"/>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420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6.1</w:t>
            </w:r>
          </w:p>
        </w:tc>
        <w:tc>
          <w:tcPr>
            <w:tcW w:w="378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6.2</w:t>
            </w:r>
          </w:p>
        </w:tc>
        <w:tc>
          <w:tcPr>
            <w:tcW w:w="378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216" w:name="page217"/>
    <w:bookmarkEnd w:id="216"/>
    <w:tbl>
      <w:tblPr>
        <w:tblLayout w:type="fixed"/>
        <w:tblInd w:w="10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6.3</w:t>
            </w:r>
          </w:p>
        </w:tc>
        <w:tc>
          <w:tcPr>
            <w:tcW w:w="614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4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6.4</w:t>
            </w:r>
          </w:p>
        </w:tc>
        <w:tc>
          <w:tcPr>
            <w:tcW w:w="6140" w:type="dxa"/>
            <w:vAlign w:val="bottom"/>
          </w:tcPr>
          <w:p>
            <w:pPr>
              <w:ind w:left="60"/>
              <w:spacing w:after="0"/>
              <w:rPr>
                <w:sz w:val="20"/>
                <w:szCs w:val="20"/>
                <w:color w:val="auto"/>
              </w:rPr>
            </w:pPr>
            <w:r>
              <w:rPr>
                <w:rFonts w:ascii="Arial" w:cs="Arial" w:eastAsia="Arial" w:hAnsi="Arial"/>
                <w:sz w:val="18"/>
                <w:szCs w:val="18"/>
                <w:color w:val="auto"/>
              </w:rPr>
              <w:t>Titles and Subtitles</w:t>
            </w:r>
          </w:p>
        </w:tc>
        <w:tc>
          <w:tcPr>
            <w:tcW w:w="4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6.5</w:t>
            </w:r>
          </w:p>
        </w:tc>
        <w:tc>
          <w:tcPr>
            <w:tcW w:w="6140" w:type="dxa"/>
            <w:vAlign w:val="bottom"/>
          </w:tcPr>
          <w:p>
            <w:pPr>
              <w:ind w:left="60"/>
              <w:spacing w:after="0"/>
              <w:rPr>
                <w:sz w:val="20"/>
                <w:szCs w:val="20"/>
                <w:color w:val="auto"/>
              </w:rPr>
            </w:pPr>
            <w:r>
              <w:rPr>
                <w:rFonts w:ascii="Arial" w:cs="Arial" w:eastAsia="Arial" w:hAnsi="Arial"/>
                <w:sz w:val="18"/>
                <w:szCs w:val="18"/>
                <w:color w:val="auto"/>
              </w:rPr>
              <w:t>Notices</w:t>
            </w:r>
          </w:p>
        </w:tc>
        <w:tc>
          <w:tcPr>
            <w:tcW w:w="4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6.6</w:t>
            </w:r>
          </w:p>
        </w:tc>
        <w:tc>
          <w:tcPr>
            <w:tcW w:w="614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4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6.7</w:t>
            </w:r>
          </w:p>
        </w:tc>
        <w:tc>
          <w:tcPr>
            <w:tcW w:w="614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4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6.8</w:t>
            </w:r>
          </w:p>
        </w:tc>
        <w:tc>
          <w:tcPr>
            <w:tcW w:w="6140" w:type="dxa"/>
            <w:vAlign w:val="bottom"/>
          </w:tcPr>
          <w:p>
            <w:pPr>
              <w:ind w:left="60"/>
              <w:spacing w:after="0"/>
              <w:rPr>
                <w:sz w:val="20"/>
                <w:szCs w:val="20"/>
                <w:color w:val="auto"/>
              </w:rPr>
            </w:pPr>
            <w:r>
              <w:rPr>
                <w:rFonts w:ascii="Arial" w:cs="Arial" w:eastAsia="Arial" w:hAnsi="Arial"/>
                <w:sz w:val="18"/>
                <w:szCs w:val="18"/>
                <w:color w:val="auto"/>
              </w:rPr>
              <w:t>Aggregation of Stock</w:t>
            </w:r>
          </w:p>
        </w:tc>
        <w:tc>
          <w:tcPr>
            <w:tcW w:w="4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6.9</w:t>
            </w:r>
          </w:p>
        </w:tc>
        <w:tc>
          <w:tcPr>
            <w:tcW w:w="614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4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6.10</w:t>
            </w:r>
          </w:p>
        </w:tc>
        <w:tc>
          <w:tcPr>
            <w:tcW w:w="614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4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6.11</w:t>
            </w:r>
          </w:p>
        </w:tc>
        <w:tc>
          <w:tcPr>
            <w:tcW w:w="6140" w:type="dxa"/>
            <w:vAlign w:val="bottom"/>
          </w:tcPr>
          <w:p>
            <w:pPr>
              <w:ind w:left="60"/>
              <w:spacing w:after="0"/>
              <w:rPr>
                <w:sz w:val="20"/>
                <w:szCs w:val="20"/>
                <w:color w:val="auto"/>
              </w:rPr>
            </w:pPr>
            <w:r>
              <w:rPr>
                <w:rFonts w:ascii="Arial" w:cs="Arial" w:eastAsia="Arial" w:hAnsi="Arial"/>
                <w:sz w:val="18"/>
                <w:szCs w:val="18"/>
                <w:color w:val="auto"/>
              </w:rPr>
              <w:t>Delays or Omissions</w:t>
            </w:r>
          </w:p>
        </w:tc>
        <w:tc>
          <w:tcPr>
            <w:tcW w:w="4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6.12</w:t>
            </w:r>
          </w:p>
        </w:tc>
        <w:tc>
          <w:tcPr>
            <w:tcW w:w="6140" w:type="dxa"/>
            <w:vAlign w:val="bottom"/>
          </w:tcPr>
          <w:p>
            <w:pPr>
              <w:ind w:left="60"/>
              <w:spacing w:after="0"/>
              <w:rPr>
                <w:sz w:val="20"/>
                <w:szCs w:val="20"/>
                <w:color w:val="auto"/>
              </w:rPr>
            </w:pPr>
            <w:r>
              <w:rPr>
                <w:rFonts w:ascii="Arial" w:cs="Arial" w:eastAsia="Arial" w:hAnsi="Arial"/>
                <w:sz w:val="18"/>
                <w:szCs w:val="18"/>
                <w:color w:val="auto"/>
              </w:rPr>
              <w:t>Acknowledgment</w:t>
            </w:r>
          </w:p>
        </w:tc>
        <w:tc>
          <w:tcPr>
            <w:tcW w:w="4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6.13</w:t>
            </w:r>
          </w:p>
        </w:tc>
        <w:tc>
          <w:tcPr>
            <w:tcW w:w="6140" w:type="dxa"/>
            <w:vAlign w:val="bottom"/>
          </w:tcPr>
          <w:p>
            <w:pPr>
              <w:ind w:left="60"/>
              <w:spacing w:after="0"/>
              <w:rPr>
                <w:sz w:val="20"/>
                <w:szCs w:val="20"/>
                <w:color w:val="auto"/>
              </w:rPr>
            </w:pPr>
            <w:r>
              <w:rPr>
                <w:rFonts w:ascii="Arial" w:cs="Arial" w:eastAsia="Arial" w:hAnsi="Arial"/>
                <w:sz w:val="18"/>
                <w:szCs w:val="18"/>
                <w:color w:val="auto"/>
              </w:rPr>
              <w:t>Additional Investors</w:t>
            </w:r>
          </w:p>
        </w:tc>
        <w:tc>
          <w:tcPr>
            <w:tcW w:w="436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Schedule A - Schedule of Investors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FIRST AMENDED AND RESTATED INVESTORS’ RIGHTS AGREEMENT</w:t>
      </w:r>
    </w:p>
    <w:p>
      <w:pPr>
        <w:spacing w:after="0" w:line="225" w:lineRule="exact"/>
        <w:rPr>
          <w:sz w:val="20"/>
          <w:szCs w:val="20"/>
          <w:color w:val="auto"/>
        </w:rPr>
      </w:pPr>
    </w:p>
    <w:p>
      <w:pPr>
        <w:jc w:val="both"/>
        <w:ind w:right="280" w:firstLine="991"/>
        <w:spacing w:after="0" w:line="266" w:lineRule="auto"/>
        <w:rPr>
          <w:sz w:val="20"/>
          <w:szCs w:val="20"/>
          <w:color w:val="auto"/>
        </w:rPr>
      </w:pPr>
      <w:r>
        <w:rPr>
          <w:rFonts w:ascii="Arial" w:cs="Arial" w:eastAsia="Arial" w:hAnsi="Arial"/>
          <w:sz w:val="18"/>
          <w:szCs w:val="18"/>
          <w:color w:val="auto"/>
        </w:rPr>
        <w:t xml:space="preserve">THIS FIRST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12 day of February, 2015, by and among nCino,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certain holders of the Company’s common stock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20" w:firstLine="991"/>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certain of the Investors had previously entered into that certain Investors’ Rights Agreement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January 28, 2014 (the </w:t>
      </w:r>
      <w:r>
        <w:rPr>
          <w:rFonts w:ascii="Arial" w:cs="Arial" w:eastAsia="Arial" w:hAnsi="Arial"/>
          <w:sz w:val="17"/>
          <w:szCs w:val="17"/>
          <w:b w:val="1"/>
          <w:bCs w:val="1"/>
          <w:color w:val="auto"/>
        </w:rPr>
        <w:t>“2014 Rights Agreement”)</w:t>
      </w:r>
      <w:r>
        <w:rPr>
          <w:rFonts w:ascii="Arial" w:cs="Arial" w:eastAsia="Arial" w:hAnsi="Arial"/>
          <w:sz w:val="17"/>
          <w:szCs w:val="17"/>
          <w:color w:val="auto"/>
        </w:rPr>
        <w:t xml:space="preserve"> pursuant to which the Company granted such Investors certain rights; and</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an amendment to the 2014 Rights Agreement was executed as of August 4, 2014;</w:t>
      </w:r>
    </w:p>
    <w:p>
      <w:pPr>
        <w:spacing w:after="0" w:line="225" w:lineRule="exact"/>
        <w:rPr>
          <w:sz w:val="20"/>
          <w:szCs w:val="20"/>
          <w:color w:val="auto"/>
        </w:rPr>
      </w:pPr>
    </w:p>
    <w:p>
      <w:pPr>
        <w:ind w:right="20" w:firstLine="991"/>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certain of the Investors are party to that certain Common Stock Purchase Agreement of even date herewith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b w:val="1"/>
          <w:bCs w:val="1"/>
          <w:color w:val="auto"/>
        </w:rPr>
        <w:t>“Purchase Agreement”),</w:t>
      </w:r>
      <w:r>
        <w:rPr>
          <w:rFonts w:ascii="Arial" w:cs="Arial" w:eastAsia="Arial" w:hAnsi="Arial"/>
          <w:sz w:val="17"/>
          <w:szCs w:val="17"/>
          <w:color w:val="auto"/>
        </w:rPr>
        <w:t xml:space="preserve"> pursuant to which such Investors are purchasing shares of Common Stock of the Company; and</w:t>
      </w:r>
    </w:p>
    <w:p>
      <w:pPr>
        <w:spacing w:after="0" w:line="140" w:lineRule="exact"/>
        <w:rPr>
          <w:sz w:val="20"/>
          <w:szCs w:val="20"/>
          <w:color w:val="auto"/>
        </w:rPr>
      </w:pPr>
    </w:p>
    <w:p>
      <w:pPr>
        <w:ind w:right="40" w:firstLine="991"/>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undersigned Investors desire to amend and restate in its entirety the 2014 Rights Agreement, to become party hereto, and</w:t>
      </w:r>
      <w:r>
        <w:rPr>
          <w:rFonts w:ascii="Arial" w:cs="Arial" w:eastAsia="Arial" w:hAnsi="Arial"/>
          <w:sz w:val="17"/>
          <w:szCs w:val="17"/>
          <w:b w:val="1"/>
          <w:bCs w:val="1"/>
          <w:color w:val="auto"/>
        </w:rPr>
        <w:t xml:space="preserve"> </w:t>
      </w:r>
      <w:r>
        <w:rPr>
          <w:rFonts w:ascii="Arial" w:cs="Arial" w:eastAsia="Arial" w:hAnsi="Arial"/>
          <w:sz w:val="17"/>
          <w:szCs w:val="17"/>
          <w:color w:val="auto"/>
        </w:rPr>
        <w:t>to accept the rights and obligations created pursuant hereto in lieu of the rights and obligations under the 2014 Rights Agreement.</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hereby agree as follows: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sz w:val="20"/>
          <w:szCs w:val="20"/>
          <w:color w:val="auto"/>
        </w:rPr>
      </w:pPr>
    </w:p>
    <w:p>
      <w:pPr>
        <w:jc w:val="both"/>
        <w:ind w:left="440" w:right="20" w:firstLine="952"/>
        <w:spacing w:after="0" w:line="28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entity now or hereafter existing that is controlled by one or more general partners or managing members of, or shares the same management company or investment adviser with, such Person.</w:t>
      </w:r>
    </w:p>
    <w:p>
      <w:pPr>
        <w:spacing w:after="0" w:line="5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means shares of the Company’s Voting Common Stock and Non-Voting Common Stock.</w:t>
      </w:r>
    </w:p>
    <w:p>
      <w:pPr>
        <w:spacing w:after="0" w:line="117" w:lineRule="exact"/>
        <w:rPr>
          <w:sz w:val="20"/>
          <w:szCs w:val="20"/>
          <w:color w:val="auto"/>
        </w:rPr>
      </w:pPr>
    </w:p>
    <w:p>
      <w:pPr>
        <w:ind w:left="440" w:firstLine="952"/>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color w:val="auto"/>
        </w:rPr>
        <w:t>“Competitor”</w:t>
      </w:r>
      <w:r>
        <w:rPr>
          <w:rFonts w:ascii="Arial" w:cs="Arial" w:eastAsia="Arial" w:hAnsi="Arial"/>
          <w:sz w:val="16"/>
          <w:szCs w:val="16"/>
          <w:color w:val="auto"/>
        </w:rPr>
        <w:t xml:space="preserve"> means a Person engaged, directly or indirectly (including through any partnership, limited liability company, corporation, joint venture or similar arrangement (whether now existing or formed hereafter)), in a business that competes with any business of the Company and/or its subsidiaries as reasonably determined in good faith by the Board of Directors; provided, however, that any venture capital firm, financial investment firm or collective investment vehicle that is in the business of investing in entities (or any employee, partner or member of such an entity) shall under no circumstances be deemed a “Competitor” solely as a result of such entity’s investments in such a business.</w:t>
      </w:r>
    </w:p>
    <w:p>
      <w:pPr>
        <w:sectPr>
          <w:pgSz w:w="11900" w:h="16838" w:orient="portrait"/>
          <w:cols w:equalWidth="0" w:num="1">
            <w:col w:w="11000"/>
          </w:cols>
          <w:pgMar w:left="440" w:top="270" w:right="459" w:bottom="1440" w:gutter="0" w:footer="0" w:header="0"/>
        </w:sectPr>
      </w:pPr>
    </w:p>
    <w:bookmarkStart w:id="218" w:name="page219"/>
    <w:bookmarkEnd w:id="218"/>
    <w:p>
      <w:pPr>
        <w:ind w:left="4" w:right="60" w:firstLine="95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1.4 </w:t>
      </w:r>
      <w:r>
        <w:rPr>
          <w:rFonts w:ascii="Arial" w:cs="Arial" w:eastAsia="Arial" w:hAnsi="Arial"/>
          <w:sz w:val="16"/>
          <w:szCs w:val="16"/>
          <w:b w:val="1"/>
          <w:bCs w:val="1"/>
          <w:color w:val="auto"/>
        </w:rPr>
        <w:t>“Damages”</w:t>
      </w:r>
      <w:r>
        <w:rPr>
          <w:rFonts w:ascii="Arial" w:cs="Arial" w:eastAsia="Arial" w:hAnsi="Arial"/>
          <w:sz w:val="16"/>
          <w:szCs w:val="16"/>
          <w:color w:val="auto"/>
        </w:rPr>
        <w:t xml:space="preserve"> means any loss, damage, claim or liability Goint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w:t>
      </w:r>
    </w:p>
    <w:p>
      <w:pPr>
        <w:spacing w:after="0" w:line="2" w:lineRule="exact"/>
        <w:rPr>
          <w:sz w:val="20"/>
          <w:szCs w:val="20"/>
          <w:color w:val="auto"/>
        </w:rPr>
      </w:pPr>
    </w:p>
    <w:p>
      <w:pPr>
        <w:ind w:left="4" w:right="260" w:hanging="4"/>
        <w:spacing w:after="0" w:line="290" w:lineRule="auto"/>
        <w:tabs>
          <w:tab w:leader="none" w:pos="31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49" w:lineRule="exact"/>
        <w:rPr>
          <w:sz w:val="20"/>
          <w:szCs w:val="20"/>
          <w:color w:val="auto"/>
        </w:rPr>
      </w:pPr>
    </w:p>
    <w:p>
      <w:pPr>
        <w:ind w:left="4" w:right="20" w:firstLine="952"/>
        <w:spacing w:after="0" w:line="282"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“Derivative Securities”</w:t>
      </w:r>
      <w:r>
        <w:rPr>
          <w:rFonts w:ascii="Arial" w:cs="Arial" w:eastAsia="Arial" w:hAnsi="Arial"/>
          <w:sz w:val="18"/>
          <w:szCs w:val="18"/>
          <w:color w:val="auto"/>
        </w:rPr>
        <w:t xml:space="preserve"> means any securities or rights convertible into, or exercisable or exchangeable for (in each case, directly or indirectly), Common Stock, including options and warrants.</w:t>
      </w:r>
    </w:p>
    <w:p>
      <w:pPr>
        <w:spacing w:after="0" w:line="54" w:lineRule="exact"/>
        <w:rPr>
          <w:sz w:val="20"/>
          <w:szCs w:val="20"/>
          <w:color w:val="auto"/>
        </w:rPr>
      </w:pPr>
    </w:p>
    <w:p>
      <w:pPr>
        <w:ind w:left="944"/>
        <w:spacing w:after="0"/>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means the Securities Exchange Act of 1934, as amended, and the rules and regulations promulgated thereunder.</w:t>
      </w:r>
    </w:p>
    <w:p>
      <w:pPr>
        <w:spacing w:after="0" w:line="140" w:lineRule="exact"/>
        <w:rPr>
          <w:sz w:val="20"/>
          <w:szCs w:val="20"/>
          <w:color w:val="auto"/>
        </w:rPr>
      </w:pPr>
    </w:p>
    <w:p>
      <w:pPr>
        <w:ind w:left="4" w:right="100" w:firstLine="948"/>
        <w:spacing w:after="0" w:line="258" w:lineRule="auto"/>
        <w:tabs>
          <w:tab w:leader="none" w:pos="11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“Excluded Registration”</w:t>
      </w:r>
      <w:r>
        <w:rPr>
          <w:rFonts w:ascii="Arial" w:cs="Arial" w:eastAsia="Arial" w:hAnsi="Arial"/>
          <w:sz w:val="18"/>
          <w:szCs w:val="18"/>
          <w:color w:val="auto"/>
        </w:rPr>
        <w:t xml:space="preserve">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75" w:lineRule="exact"/>
        <w:rPr>
          <w:sz w:val="20"/>
          <w:szCs w:val="20"/>
          <w:color w:val="auto"/>
        </w:rPr>
      </w:pPr>
    </w:p>
    <w:p>
      <w:pPr>
        <w:ind w:left="4" w:right="200" w:firstLine="952"/>
        <w:spacing w:after="0" w:line="25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“Exempted Securities”</w:t>
      </w:r>
      <w:r>
        <w:rPr>
          <w:rFonts w:ascii="Arial" w:cs="Arial" w:eastAsia="Arial" w:hAnsi="Arial"/>
          <w:sz w:val="18"/>
          <w:szCs w:val="18"/>
          <w:color w:val="auto"/>
        </w:rPr>
        <w:t xml:space="preserve"> means the following: (i) shares of Common Stock or Derivative Securities issued by reason of a dividend, stock split, split-up or other distribution on shares of Common Stock; (ii) shares of Common Stock or options to purchase Common Stock issued to employees or directors of, or consultants or advisors to, the Company or any of its subsidiaries pursuant to a plan, agreement or arrangement approved by the Board of Directors of the Company, including the Insight Director; or (iii) shares of Common Stock or Derivative Securities actually issued upon the exercise, conversion or exchange of Derivative Securities, in each case provided such issuance is pursuant to the terms of such Derivative Security.</w:t>
      </w:r>
    </w:p>
    <w:p>
      <w:pPr>
        <w:spacing w:after="0" w:line="79" w:lineRule="exact"/>
        <w:rPr>
          <w:sz w:val="20"/>
          <w:szCs w:val="20"/>
          <w:color w:val="auto"/>
        </w:rPr>
      </w:pPr>
    </w:p>
    <w:p>
      <w:pPr>
        <w:ind w:left="4" w:firstLine="952"/>
        <w:spacing w:after="0" w:line="28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“Form S-1”</w:t>
      </w:r>
      <w:r>
        <w:rPr>
          <w:rFonts w:ascii="Arial" w:cs="Arial" w:eastAsia="Arial" w:hAnsi="Arial"/>
          <w:sz w:val="18"/>
          <w:szCs w:val="18"/>
          <w:color w:val="auto"/>
        </w:rPr>
        <w:t xml:space="preserve"> means such form under the Securities Act as in effect on the date hereof or any successor registration form under the Securities Act subsequently adopted by the SEC.</w:t>
      </w:r>
    </w:p>
    <w:p>
      <w:pPr>
        <w:spacing w:after="0" w:line="54" w:lineRule="exact"/>
        <w:rPr>
          <w:sz w:val="20"/>
          <w:szCs w:val="20"/>
          <w:color w:val="auto"/>
        </w:rPr>
      </w:pPr>
    </w:p>
    <w:p>
      <w:pPr>
        <w:ind w:left="4" w:right="40" w:firstLine="952"/>
        <w:spacing w:after="0" w:line="266"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“Form S-3”</w:t>
      </w:r>
      <w:r>
        <w:rPr>
          <w:rFonts w:ascii="Arial" w:cs="Arial" w:eastAsia="Arial" w:hAnsi="Arial"/>
          <w:sz w:val="18"/>
          <w:szCs w:val="18"/>
          <w:color w:val="auto"/>
        </w:rPr>
        <w:t xml:space="preserve">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1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4"/>
          </w:cols>
          <w:pgMar w:left="876" w:top="270" w:right="459" w:bottom="1440" w:gutter="0" w:footer="0" w:header="0"/>
        </w:sectPr>
      </w:pPr>
    </w:p>
    <w:bookmarkStart w:id="219" w:name="page220"/>
    <w:bookmarkEnd w:id="219"/>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1.11 </w:t>
      </w:r>
      <w:r>
        <w:rPr>
          <w:rFonts w:ascii="Arial" w:cs="Arial" w:eastAsia="Arial" w:hAnsi="Arial"/>
          <w:sz w:val="18"/>
          <w:szCs w:val="18"/>
          <w:b w:val="1"/>
          <w:bCs w:val="1"/>
          <w:color w:val="auto"/>
        </w:rPr>
        <w:t>“GAAP”</w:t>
      </w:r>
      <w:r>
        <w:rPr>
          <w:rFonts w:ascii="Arial" w:cs="Arial" w:eastAsia="Arial" w:hAnsi="Arial"/>
          <w:sz w:val="18"/>
          <w:szCs w:val="18"/>
          <w:color w:val="auto"/>
        </w:rPr>
        <w:t xml:space="preserve"> means generally accepted accounting principles in the United States.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“Holder”</w:t>
      </w:r>
      <w:r>
        <w:rPr>
          <w:rFonts w:ascii="Arial" w:cs="Arial" w:eastAsia="Arial" w:hAnsi="Arial"/>
          <w:sz w:val="18"/>
          <w:szCs w:val="18"/>
          <w:color w:val="auto"/>
        </w:rPr>
        <w:t xml:space="preserve"> means any holder of Registrable Securities who is a party to this Agreement.</w:t>
      </w:r>
    </w:p>
    <w:p>
      <w:pPr>
        <w:spacing w:after="0" w:line="117" w:lineRule="exact"/>
        <w:rPr>
          <w:sz w:val="20"/>
          <w:szCs w:val="20"/>
          <w:color w:val="auto"/>
        </w:rPr>
      </w:pPr>
    </w:p>
    <w:p>
      <w:pPr>
        <w:ind w:right="200" w:firstLine="952"/>
        <w:spacing w:after="0" w:line="26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“Immediate Family Member”</w:t>
      </w:r>
      <w:r>
        <w:rPr>
          <w:rFonts w:ascii="Arial" w:cs="Arial" w:eastAsia="Arial" w:hAnsi="Arial"/>
          <w:sz w:val="18"/>
          <w:szCs w:val="18"/>
          <w:color w:val="auto"/>
        </w:rPr>
        <w:t xml:space="preserve"> means a child, stepchild, grandchild, parent, stepparent, grandparent, spouse, sibling, mother-in-law, father-in-law, son-in-law, daughter-in-law, brother-in-law, or sister-in-law, including, adoptive relationships, of a natural person referred to herein.</w:t>
      </w:r>
    </w:p>
    <w:p>
      <w:pPr>
        <w:spacing w:after="0" w:line="6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color w:val="auto"/>
        </w:rPr>
        <w:t>“Initiating Holders”</w:t>
      </w:r>
      <w:r>
        <w:rPr>
          <w:rFonts w:ascii="Arial" w:cs="Arial" w:eastAsia="Arial" w:hAnsi="Arial"/>
          <w:sz w:val="17"/>
          <w:szCs w:val="17"/>
          <w:color w:val="auto"/>
        </w:rPr>
        <w:t xml:space="preserve"> means, collectively, Holders who properly initiate a registration request under this Agreement.</w:t>
      </w:r>
    </w:p>
    <w:p>
      <w:pPr>
        <w:spacing w:after="0" w:line="12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b w:val="1"/>
          <w:bCs w:val="1"/>
          <w:color w:val="auto"/>
        </w:rPr>
        <w:t>“Insight Director”</w:t>
      </w:r>
      <w:r>
        <w:rPr>
          <w:rFonts w:ascii="Arial" w:cs="Arial" w:eastAsia="Arial" w:hAnsi="Arial"/>
          <w:sz w:val="16"/>
          <w:szCs w:val="16"/>
          <w:color w:val="auto"/>
        </w:rPr>
        <w:t xml:space="preserve"> means the director of the Company designated by the Insight Investors pursuant to the December IRA.</w:t>
      </w:r>
    </w:p>
    <w:p>
      <w:pPr>
        <w:spacing w:after="0" w:line="14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“IPO”</w:t>
      </w:r>
      <w:r>
        <w:rPr>
          <w:rFonts w:ascii="Arial" w:cs="Arial" w:eastAsia="Arial" w:hAnsi="Arial"/>
          <w:sz w:val="18"/>
          <w:szCs w:val="18"/>
          <w:color w:val="auto"/>
        </w:rPr>
        <w:t xml:space="preserve"> means the Company’s first underwritten public offering of its Common Stock under the Securities Act.</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“Insight Investors”</w:t>
      </w:r>
      <w:r>
        <w:rPr>
          <w:rFonts w:ascii="Arial" w:cs="Arial" w:eastAsia="Arial" w:hAnsi="Arial"/>
          <w:sz w:val="18"/>
          <w:szCs w:val="18"/>
          <w:color w:val="auto"/>
        </w:rPr>
        <w:t xml:space="preserve"> means the Investors advised by Insight Venture Management, LLC.</w:t>
      </w:r>
    </w:p>
    <w:p>
      <w:pPr>
        <w:spacing w:after="0" w:line="117" w:lineRule="exact"/>
        <w:rPr>
          <w:sz w:val="20"/>
          <w:szCs w:val="20"/>
          <w:color w:val="auto"/>
        </w:rPr>
      </w:pPr>
    </w:p>
    <w:p>
      <w:pPr>
        <w:ind w:right="40" w:firstLine="952"/>
        <w:spacing w:after="0" w:line="266"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“Key Employee”</w:t>
      </w:r>
      <w:r>
        <w:rPr>
          <w:rFonts w:ascii="Arial" w:cs="Arial" w:eastAsia="Arial" w:hAnsi="Arial"/>
          <w:sz w:val="18"/>
          <w:szCs w:val="18"/>
          <w:color w:val="auto"/>
        </w:rPr>
        <w:t xml:space="preserve">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68" w:lineRule="exact"/>
        <w:rPr>
          <w:sz w:val="20"/>
          <w:szCs w:val="20"/>
          <w:color w:val="auto"/>
        </w:rPr>
      </w:pPr>
    </w:p>
    <w:p>
      <w:pPr>
        <w:jc w:val="both"/>
        <w:ind w:firstLine="952"/>
        <w:spacing w:after="0" w:line="266"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“New Securities”</w:t>
      </w:r>
      <w:r>
        <w:rPr>
          <w:rFonts w:ascii="Arial" w:cs="Arial" w:eastAsia="Arial" w:hAnsi="Arial"/>
          <w:sz w:val="18"/>
          <w:szCs w:val="18"/>
          <w:color w:val="auto"/>
        </w:rPr>
        <w:t xml:space="preserve"> means, collectively, equity securities of the Company or any of its direct or indirect subsidiaries,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8"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xml:space="preserve">1.20 </w:t>
      </w:r>
      <w:r>
        <w:rPr>
          <w:rFonts w:ascii="Arial" w:cs="Arial" w:eastAsia="Arial" w:hAnsi="Arial"/>
          <w:sz w:val="16"/>
          <w:szCs w:val="16"/>
          <w:b w:val="1"/>
          <w:bCs w:val="1"/>
          <w:color w:val="auto"/>
        </w:rPr>
        <w:t>“Non-Voting Common Stock”</w:t>
      </w:r>
      <w:r>
        <w:rPr>
          <w:rFonts w:ascii="Arial" w:cs="Arial" w:eastAsia="Arial" w:hAnsi="Arial"/>
          <w:sz w:val="16"/>
          <w:szCs w:val="16"/>
          <w:color w:val="auto"/>
        </w:rPr>
        <w:t xml:space="preserve"> means shares of the Company’s Non-Voting Common Stock, par value $0.001 per share.</w:t>
      </w:r>
    </w:p>
    <w:p>
      <w:pPr>
        <w:spacing w:after="0" w:line="14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“Person”</w:t>
      </w:r>
      <w:r>
        <w:rPr>
          <w:rFonts w:ascii="Arial" w:cs="Arial" w:eastAsia="Arial" w:hAnsi="Arial"/>
          <w:sz w:val="17"/>
          <w:szCs w:val="17"/>
          <w:color w:val="auto"/>
        </w:rPr>
        <w:t xml:space="preserve"> means any individual, corporation, partnership, trust, limited liability company, association or other entity.</w:t>
      </w:r>
    </w:p>
    <w:p>
      <w:pPr>
        <w:spacing w:after="0" w:line="17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0"/>
          </w:cols>
          <w:pgMar w:left="880" w:top="270" w:right="559" w:bottom="1440" w:gutter="0" w:footer="0" w:header="0"/>
        </w:sectPr>
      </w:pPr>
    </w:p>
    <w:bookmarkStart w:id="220" w:name="page221"/>
    <w:bookmarkEnd w:id="220"/>
    <w:p>
      <w:pPr>
        <w:ind w:right="20" w:firstLine="95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1.22 </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(i) any Common Stock issued to, or purchased by, the Investors pursuant to (A) the Purchase Agreement, (B) that certain Purchase and Sale Agreement dated as of the date hereof by and among the Insight Investors, SunTrust Banks, Inc. (or any affiliates thereof), the Company and Live Oak Bancshares, Inc., or (C) that certain Common Stock Purchase Agreement, dated as of January 28, 2014, by and between the Company and the Investors listed on Exhibit A thereto; and (ii) any Common Stock issued as (or issuable upon the conversion or exercise of any warrant, right, or other security that is issued as) a dividend or other distribution with respect to, or in exchange for or in replacement of, the shares referenced in clause ill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of this Agreement.</w:t>
      </w:r>
    </w:p>
    <w:p>
      <w:pPr>
        <w:spacing w:after="0" w:line="51" w:lineRule="exact"/>
        <w:rPr>
          <w:sz w:val="20"/>
          <w:szCs w:val="20"/>
          <w:color w:val="auto"/>
        </w:rPr>
      </w:pPr>
    </w:p>
    <w:p>
      <w:pPr>
        <w:ind w:right="20" w:firstLine="952"/>
        <w:spacing w:after="0" w:line="266"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xml:space="preserve">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68"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2.12(b)</w:t>
      </w:r>
      <w:r>
        <w:rPr>
          <w:rFonts w:ascii="Arial" w:cs="Arial" w:eastAsia="Arial" w:hAnsi="Arial"/>
          <w:sz w:val="18"/>
          <w:szCs w:val="18"/>
          <w:color w:val="auto"/>
        </w:rPr>
        <w:t xml:space="preserve"> hereof.</w:t>
      </w:r>
    </w:p>
    <w:p>
      <w:pPr>
        <w:spacing w:after="0" w:line="99" w:lineRule="exact"/>
        <w:rPr>
          <w:sz w:val="20"/>
          <w:szCs w:val="20"/>
          <w:color w:val="auto"/>
        </w:rPr>
      </w:pPr>
    </w:p>
    <w:p>
      <w:pPr>
        <w:ind w:firstLine="952"/>
        <w:spacing w:after="0" w:line="287"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b w:val="1"/>
          <w:bCs w:val="1"/>
          <w:color w:val="auto"/>
        </w:rPr>
        <w:t>“Sale of the Company”</w:t>
      </w:r>
      <w:r>
        <w:rPr>
          <w:rFonts w:ascii="Arial" w:cs="Arial" w:eastAsia="Arial" w:hAnsi="Arial"/>
          <w:sz w:val="16"/>
          <w:szCs w:val="16"/>
          <w:color w:val="auto"/>
        </w:rPr>
        <w:t xml:space="preserve"> shall mean either: (i) a transaction or series of related transactions in which a Person, or a group of related Persons, acquires from stockholders of the Company shares representing more than fifty percent (50%) of the outstanding voting power of the Company; (ii) a merger or consolidation in which (A) the Company is a constituent party or (B) a subsidiary of the Company is a constituent party and the Company issues shares of its capital stock pursuant to such merger or consolidation, 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(iii)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“SEC”</w:t>
      </w:r>
      <w:r>
        <w:rPr>
          <w:rFonts w:ascii="Arial" w:cs="Arial" w:eastAsia="Arial" w:hAnsi="Arial"/>
          <w:sz w:val="18"/>
          <w:szCs w:val="18"/>
          <w:color w:val="auto"/>
        </w:rPr>
        <w:t xml:space="preserve"> means the Securities and Exchange Commission.</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“SEC Rule 144”</w:t>
      </w:r>
      <w:r>
        <w:rPr>
          <w:rFonts w:ascii="Arial" w:cs="Arial" w:eastAsia="Arial" w:hAnsi="Arial"/>
          <w:sz w:val="18"/>
          <w:szCs w:val="18"/>
          <w:color w:val="auto"/>
        </w:rPr>
        <w:t xml:space="preserve"> means Rule 144 promulgated by the SEC under the Securities Act.</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0" w:right="459" w:bottom="1440" w:gutter="0" w:footer="0" w:header="0"/>
        </w:sectPr>
      </w:pPr>
    </w:p>
    <w:bookmarkStart w:id="221" w:name="page222"/>
    <w:bookmarkEnd w:id="221"/>
    <w:p>
      <w:pPr>
        <w:ind w:left="13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1.28 </w:t>
      </w:r>
      <w:r>
        <w:rPr>
          <w:rFonts w:ascii="Arial" w:cs="Arial" w:eastAsia="Arial" w:hAnsi="Arial"/>
          <w:sz w:val="18"/>
          <w:szCs w:val="18"/>
          <w:b w:val="1"/>
          <w:bCs w:val="1"/>
          <w:color w:val="auto"/>
        </w:rPr>
        <w:t>“SEC Rule 145”</w:t>
      </w:r>
      <w:r>
        <w:rPr>
          <w:rFonts w:ascii="Arial" w:cs="Arial" w:eastAsia="Arial" w:hAnsi="Arial"/>
          <w:sz w:val="18"/>
          <w:szCs w:val="18"/>
          <w:color w:val="auto"/>
        </w:rPr>
        <w:t xml:space="preserve"> means Rule 145 promulgated by the SEC under the Securities Act.</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b w:val="1"/>
          <w:bCs w:val="1"/>
          <w:color w:val="auto"/>
        </w:rPr>
        <w:t>“Securities Act”</w:t>
      </w:r>
      <w:r>
        <w:rPr>
          <w:rFonts w:ascii="Arial" w:cs="Arial" w:eastAsia="Arial" w:hAnsi="Arial"/>
          <w:sz w:val="17"/>
          <w:szCs w:val="17"/>
          <w:color w:val="auto"/>
        </w:rPr>
        <w:t xml:space="preserve"> means the Securities Act of 1933, as amended, and the rules and regulations promulgated thereunder.</w:t>
      </w:r>
    </w:p>
    <w:p>
      <w:pPr>
        <w:spacing w:after="0" w:line="129" w:lineRule="exact"/>
        <w:rPr>
          <w:sz w:val="20"/>
          <w:szCs w:val="20"/>
          <w:color w:val="auto"/>
        </w:rPr>
      </w:pPr>
    </w:p>
    <w:p>
      <w:pPr>
        <w:ind w:left="444" w:right="60" w:firstLine="952"/>
        <w:spacing w:after="0" w:line="266" w:lineRule="auto"/>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68"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“Voting Common Stock”</w:t>
      </w:r>
      <w:r>
        <w:rPr>
          <w:rFonts w:ascii="Arial" w:cs="Arial" w:eastAsia="Arial" w:hAnsi="Arial"/>
          <w:sz w:val="18"/>
          <w:szCs w:val="18"/>
          <w:color w:val="auto"/>
        </w:rPr>
        <w:t xml:space="preserve"> means shares of the Company’s Voting Common Stock, par value $0.001 per share.</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“Wellington Investors”</w:t>
      </w:r>
      <w:r>
        <w:rPr>
          <w:rFonts w:ascii="Arial" w:cs="Arial" w:eastAsia="Arial" w:hAnsi="Arial"/>
          <w:sz w:val="18"/>
          <w:szCs w:val="18"/>
          <w:color w:val="auto"/>
        </w:rPr>
        <w:t xml:space="preserve"> means the Investors advised by Wellington Management Company, LLP.</w:t>
      </w:r>
    </w:p>
    <w:p>
      <w:pPr>
        <w:spacing w:after="0" w:line="121" w:lineRule="exact"/>
        <w:rPr>
          <w:sz w:val="20"/>
          <w:szCs w:val="20"/>
          <w:color w:val="auto"/>
        </w:rPr>
      </w:pPr>
    </w:p>
    <w:p>
      <w:pPr>
        <w:ind w:left="1424" w:right="5480" w:hanging="984"/>
        <w:spacing w:after="0" w:line="375" w:lineRule="auto"/>
        <w:tabs>
          <w:tab w:leader="none" w:pos="61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 w:right="20" w:firstLine="1428"/>
        <w:spacing w:after="0" w:line="253" w:lineRule="auto"/>
        <w:tabs>
          <w:tab w:leader="none" w:pos="1681" w:val="left"/>
        </w:tabs>
        <w:numPr>
          <w:ilvl w:val="2"/>
          <w:numId w:val="107"/>
        </w:numPr>
        <w:rPr>
          <w:rFonts w:ascii="Arial" w:cs="Arial" w:eastAsia="Arial" w:hAnsi="Arial"/>
          <w:sz w:val="18"/>
          <w:szCs w:val="18"/>
          <w:color w:val="auto"/>
        </w:rPr>
      </w:pPr>
      <w:r>
        <w:rPr>
          <w:rFonts w:ascii="Arial" w:cs="Arial" w:eastAsia="Arial" w:hAnsi="Arial"/>
          <w:sz w:val="18"/>
          <w:szCs w:val="18"/>
          <w:u w:val="single" w:color="auto"/>
          <w:color w:val="auto"/>
        </w:rPr>
        <w:t>Form S-1 Demand</w:t>
      </w:r>
      <w:r>
        <w:rPr>
          <w:rFonts w:ascii="Arial" w:cs="Arial" w:eastAsia="Arial" w:hAnsi="Arial"/>
          <w:sz w:val="18"/>
          <w:szCs w:val="18"/>
          <w:color w:val="auto"/>
        </w:rPr>
        <w:t xml:space="preserve">. If at any time after one hundred eighty (180) days after the effective date of the registration statement for the IPO, the Company receives a request from Holders of at least a majority of the Registrable Securities then outstanding that the Company file a Form S-1 registration statement covering the registration of Registrable Securities with an anticipated aggregate offering price of at least $15 million, then the Company shall (x) within ten (10) days after the date such request is given, give notice thereof (the </w:t>
      </w:r>
      <w:r>
        <w:rPr>
          <w:rFonts w:ascii="Arial" w:cs="Arial" w:eastAsia="Arial" w:hAnsi="Arial"/>
          <w:sz w:val="18"/>
          <w:szCs w:val="18"/>
          <w:b w:val="1"/>
          <w:bCs w:val="1"/>
          <w:color w:val="auto"/>
        </w:rPr>
        <w:t>“Demand Notice”)</w:t>
      </w:r>
      <w:r>
        <w:rPr>
          <w:rFonts w:ascii="Arial" w:cs="Arial" w:eastAsia="Arial" w:hAnsi="Arial"/>
          <w:sz w:val="18"/>
          <w:szCs w:val="18"/>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Subsections 2.l(c)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p>
    <w:p>
      <w:pPr>
        <w:spacing w:after="0" w:line="88" w:lineRule="exact"/>
        <w:rPr>
          <w:rFonts w:ascii="Arial" w:cs="Arial" w:eastAsia="Arial" w:hAnsi="Arial"/>
          <w:sz w:val="18"/>
          <w:szCs w:val="18"/>
          <w:color w:val="auto"/>
        </w:rPr>
      </w:pPr>
    </w:p>
    <w:p>
      <w:pPr>
        <w:ind w:left="4" w:right="240" w:firstLine="1428"/>
        <w:spacing w:after="0" w:line="286" w:lineRule="auto"/>
        <w:tabs>
          <w:tab w:leader="none" w:pos="1691" w:val="left"/>
        </w:tabs>
        <w:numPr>
          <w:ilvl w:val="2"/>
          <w:numId w:val="107"/>
        </w:numPr>
        <w:rPr>
          <w:rFonts w:ascii="Arial" w:cs="Arial" w:eastAsia="Arial" w:hAnsi="Arial"/>
          <w:sz w:val="16"/>
          <w:szCs w:val="16"/>
          <w:color w:val="auto"/>
        </w:rPr>
      </w:pPr>
      <w:r>
        <w:rPr>
          <w:rFonts w:ascii="Arial" w:cs="Arial" w:eastAsia="Arial" w:hAnsi="Arial"/>
          <w:sz w:val="16"/>
          <w:szCs w:val="16"/>
          <w:u w:val="single" w:color="auto"/>
          <w:color w:val="auto"/>
        </w:rPr>
        <w:t>Form S-3 Demand</w:t>
      </w:r>
      <w:r>
        <w:rPr>
          <w:rFonts w:ascii="Arial" w:cs="Arial" w:eastAsia="Arial" w:hAnsi="Arial"/>
          <w:sz w:val="16"/>
          <w:szCs w:val="16"/>
          <w:color w:val="auto"/>
        </w:rPr>
        <w:t>. 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of at least $3.0 million, then the Company shall (i) within ten (10) days after the date such request is given, give a Demand Notice to all Holders other than the Initiating Holders; and</w:t>
      </w:r>
    </w:p>
    <w:p>
      <w:pPr>
        <w:spacing w:after="0" w:line="1" w:lineRule="exact"/>
        <w:rPr>
          <w:rFonts w:ascii="Arial" w:cs="Arial" w:eastAsia="Arial" w:hAnsi="Arial"/>
          <w:sz w:val="16"/>
          <w:szCs w:val="16"/>
          <w:color w:val="auto"/>
        </w:rPr>
      </w:pPr>
    </w:p>
    <w:p>
      <w:pPr>
        <w:ind w:left="4" w:hanging="4"/>
        <w:spacing w:after="0" w:line="253" w:lineRule="auto"/>
        <w:tabs>
          <w:tab w:leader="none" w:pos="26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Subsections 2. l(c)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222" w:name="page223"/>
    <w:bookmarkEnd w:id="222"/>
    <w:p>
      <w:pPr>
        <w:ind w:left="4" w:right="20" w:firstLine="1428"/>
        <w:spacing w:after="0" w:line="288" w:lineRule="auto"/>
        <w:tabs>
          <w:tab w:leader="none" w:pos="1681" w:val="left"/>
        </w:tabs>
        <w:numPr>
          <w:ilvl w:val="1"/>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be filed and it is therefore necessary to defer the filing of such registration statement, then the Company shall have the right to defer taking action with respect to such filing for a period of not more than sixty ( 60)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sixty (60) day period other than pursuant to (A) a registration relating to the sale of securities to employees of the Company or a subsidiary pursuant to a stock option, stock purchase, or similar plan; (B) a registration on any form that does not include substantially the same information as would be required to be included in a registration statement covering the sale of the Registrable Securities; or (C) a registration in which the only Common Stock being registered is Common Stock issuable upon conversion of debt securities that are also being registered.</w:t>
      </w:r>
    </w:p>
    <w:p>
      <w:pPr>
        <w:spacing w:after="0" w:line="60" w:lineRule="exact"/>
        <w:rPr>
          <w:rFonts w:ascii="Arial" w:cs="Arial" w:eastAsia="Arial" w:hAnsi="Arial"/>
          <w:sz w:val="16"/>
          <w:szCs w:val="16"/>
          <w:color w:val="auto"/>
        </w:rPr>
      </w:pPr>
    </w:p>
    <w:p>
      <w:pPr>
        <w:ind w:left="4" w:firstLine="1428"/>
        <w:spacing w:after="0" w:line="291" w:lineRule="auto"/>
        <w:tabs>
          <w:tab w:leader="none" w:pos="169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 l(a)</w:t>
      </w:r>
      <w:r>
        <w:rPr>
          <w:rFonts w:ascii="Arial" w:cs="Arial" w:eastAsia="Arial" w:hAnsi="Arial"/>
          <w:sz w:val="16"/>
          <w:szCs w:val="16"/>
          <w:color w:val="auto"/>
        </w:rPr>
        <w:t xml:space="preserve"> (i) during the period that is sixty (60) days before the Company’s good faith estimate of the date of filing of, and ending on a date that is one hundred eighty</w:t>
      </w:r>
    </w:p>
    <w:p>
      <w:pPr>
        <w:ind w:left="4" w:right="200" w:hanging="4"/>
        <w:spacing w:after="0" w:line="281" w:lineRule="auto"/>
        <w:tabs>
          <w:tab w:leader="none" w:pos="43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one registration pursuant to </w:t>
      </w:r>
      <w:r>
        <w:rPr>
          <w:rFonts w:ascii="Arial" w:cs="Arial" w:eastAsia="Arial" w:hAnsi="Arial"/>
          <w:sz w:val="16"/>
          <w:szCs w:val="16"/>
          <w:u w:val="single" w:color="auto"/>
          <w:color w:val="auto"/>
        </w:rPr>
        <w:t>Subsection</w:t>
      </w:r>
    </w:p>
    <w:p>
      <w:pPr>
        <w:spacing w:after="0" w:line="1" w:lineRule="exact"/>
        <w:rPr>
          <w:rFonts w:ascii="Arial" w:cs="Arial" w:eastAsia="Arial" w:hAnsi="Arial"/>
          <w:sz w:val="16"/>
          <w:szCs w:val="16"/>
          <w:color w:val="auto"/>
        </w:rPr>
      </w:pPr>
    </w:p>
    <w:p>
      <w:pPr>
        <w:ind w:left="4" w:right="20"/>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2.1 (a)</w:t>
      </w:r>
      <w:r>
        <w:rPr>
          <w:rFonts w:ascii="Arial" w:cs="Arial" w:eastAsia="Arial" w:hAnsi="Arial"/>
          <w:sz w:val="17"/>
          <w:szCs w:val="17"/>
          <w:color w:val="auto"/>
        </w:rPr>
        <w:t xml:space="preserve">; or (iii) if the Initiating Holders propose to dispose of shares of Registrable Securities that may be immediately registered on Form S-3 pursuant to a request made pursuant to Subsection 2.l(b). The Company shall not be obligated to effect, or to take any action to effect, any registration pursuant to </w:t>
      </w:r>
      <w:r>
        <w:rPr>
          <w:rFonts w:ascii="Arial" w:cs="Arial" w:eastAsia="Arial" w:hAnsi="Arial"/>
          <w:sz w:val="17"/>
          <w:szCs w:val="17"/>
          <w:u w:val="single" w:color="auto"/>
          <w:color w:val="auto"/>
        </w:rPr>
        <w:t>Subsection 2.1 (b)</w:t>
      </w:r>
      <w:r>
        <w:rPr>
          <w:rFonts w:ascii="Arial" w:cs="Arial" w:eastAsia="Arial" w:hAnsi="Arial"/>
          <w:sz w:val="17"/>
          <w:szCs w:val="17"/>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Subsection 2.l(d)</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w:t>
      </w:r>
    </w:p>
    <w:p>
      <w:pPr>
        <w:spacing w:after="0" w:line="71" w:lineRule="exact"/>
        <w:rPr>
          <w:sz w:val="20"/>
          <w:szCs w:val="20"/>
          <w:color w:val="auto"/>
        </w:rPr>
      </w:pPr>
    </w:p>
    <w:p>
      <w:pPr>
        <w:jc w:val="both"/>
        <w:ind w:left="4" w:right="120" w:firstLine="1432"/>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23" w:name="page224"/>
    <w:bookmarkEnd w:id="22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8"/>
          <w:szCs w:val="18"/>
          <w:u w:val="single" w:color="auto"/>
          <w:color w:val="auto"/>
        </w:rPr>
        <w:t>Subsection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p>
    <w:p>
      <w:pPr>
        <w:spacing w:after="0" w:line="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86" w:lineRule="auto"/>
        <w:tabs>
          <w:tab w:leader="none" w:pos="167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the Initiating Holders holding at least a majority of the Registrable Securities covered by the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w:t>
      </w:r>
    </w:p>
    <w:p>
      <w:pPr>
        <w:spacing w:after="0" w:line="62" w:lineRule="exact"/>
        <w:rPr>
          <w:rFonts w:ascii="Arial" w:cs="Arial" w:eastAsia="Arial" w:hAnsi="Arial"/>
          <w:sz w:val="16"/>
          <w:szCs w:val="16"/>
          <w:color w:val="auto"/>
        </w:rPr>
      </w:pPr>
    </w:p>
    <w:p>
      <w:pPr>
        <w:ind w:firstLine="1428"/>
        <w:spacing w:after="0" w:line="291" w:lineRule="auto"/>
        <w:tabs>
          <w:tab w:leader="none" w:pos="168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24" w:name="page225"/>
    <w:bookmarkEnd w:id="22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Notwithstanding the foregoing, in no event shall the number of Registrable Securities included in the offering be reduced unless all other securities (other than securities to be sold by the Company) are first entirely excluded from the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60" w:lineRule="exact"/>
        <w:rPr>
          <w:sz w:val="20"/>
          <w:szCs w:val="20"/>
          <w:color w:val="auto"/>
        </w:rPr>
      </w:pPr>
    </w:p>
    <w:p>
      <w:pPr>
        <w:ind w:right="120" w:firstLine="1428"/>
        <w:spacing w:after="0" w:line="263" w:lineRule="auto"/>
        <w:tabs>
          <w:tab w:leader="none" w:pos="16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xml:space="preserve">. Whenever required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to effect the registration of any Registrable Securities,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3" w:lineRule="exact"/>
        <w:rPr>
          <w:sz w:val="20"/>
          <w:szCs w:val="20"/>
          <w:color w:val="auto"/>
        </w:rPr>
      </w:pPr>
    </w:p>
    <w:p>
      <w:pPr>
        <w:ind w:right="100" w:firstLine="1428"/>
        <w:spacing w:after="0" w:line="290" w:lineRule="auto"/>
        <w:tabs>
          <w:tab w:leader="none" w:pos="167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60 days, if necessary, to keep the registration statement effective until all such Registrable Securities are sold;</w:t>
      </w:r>
    </w:p>
    <w:p>
      <w:pPr>
        <w:spacing w:after="0" w:line="57" w:lineRule="exact"/>
        <w:rPr>
          <w:rFonts w:ascii="Arial" w:cs="Arial" w:eastAsia="Arial" w:hAnsi="Arial"/>
          <w:sz w:val="16"/>
          <w:szCs w:val="16"/>
          <w:color w:val="auto"/>
        </w:rPr>
      </w:pPr>
    </w:p>
    <w:p>
      <w:pPr>
        <w:ind w:right="320" w:firstLine="1428"/>
        <w:spacing w:after="0" w:line="263" w:lineRule="auto"/>
        <w:tabs>
          <w:tab w:leader="none" w:pos="168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25" w:name="page226"/>
    <w:bookmarkEnd w:id="225"/>
    <w:p>
      <w:pPr>
        <w:ind w:right="260" w:firstLine="1428"/>
        <w:spacing w:after="0" w:line="342" w:lineRule="auto"/>
        <w:tabs>
          <w:tab w:leader="none" w:pos="1677"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5" w:lineRule="exact"/>
        <w:rPr>
          <w:rFonts w:ascii="Arial" w:cs="Arial" w:eastAsia="Arial" w:hAnsi="Arial"/>
          <w:sz w:val="16"/>
          <w:szCs w:val="16"/>
          <w:color w:val="auto"/>
        </w:rPr>
      </w:pPr>
    </w:p>
    <w:p>
      <w:pPr>
        <w:jc w:val="both"/>
        <w:ind w:right="200" w:firstLine="1428"/>
        <w:spacing w:after="0" w:line="279" w:lineRule="auto"/>
        <w:tabs>
          <w:tab w:leader="none" w:pos="168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63" w:lineRule="exact"/>
        <w:rPr>
          <w:rFonts w:ascii="Arial" w:cs="Arial" w:eastAsia="Arial" w:hAnsi="Arial"/>
          <w:sz w:val="17"/>
          <w:szCs w:val="17"/>
          <w:color w:val="auto"/>
        </w:rPr>
      </w:pPr>
    </w:p>
    <w:p>
      <w:pPr>
        <w:ind w:right="20" w:firstLine="1428"/>
        <w:spacing w:after="0" w:line="277" w:lineRule="auto"/>
        <w:tabs>
          <w:tab w:leader="none" w:pos="167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62" w:lineRule="exact"/>
        <w:rPr>
          <w:rFonts w:ascii="Arial" w:cs="Arial" w:eastAsia="Arial" w:hAnsi="Arial"/>
          <w:sz w:val="18"/>
          <w:szCs w:val="18"/>
          <w:color w:val="auto"/>
        </w:rPr>
      </w:pPr>
    </w:p>
    <w:p>
      <w:pPr>
        <w:ind w:firstLine="1428"/>
        <w:spacing w:after="0" w:line="263" w:lineRule="auto"/>
        <w:tabs>
          <w:tab w:leader="none" w:pos="165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75" w:lineRule="exact"/>
        <w:rPr>
          <w:rFonts w:ascii="Arial" w:cs="Arial" w:eastAsia="Arial" w:hAnsi="Arial"/>
          <w:sz w:val="18"/>
          <w:szCs w:val="18"/>
          <w:color w:val="auto"/>
        </w:rPr>
      </w:pPr>
    </w:p>
    <w:p>
      <w:pPr>
        <w:ind w:right="200" w:firstLine="1428"/>
        <w:spacing w:after="0" w:line="277" w:lineRule="auto"/>
        <w:tabs>
          <w:tab w:leader="none" w:pos="16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62" w:lineRule="exact"/>
        <w:rPr>
          <w:rFonts w:ascii="Arial" w:cs="Arial" w:eastAsia="Arial" w:hAnsi="Arial"/>
          <w:sz w:val="18"/>
          <w:szCs w:val="18"/>
          <w:color w:val="auto"/>
        </w:rPr>
      </w:pPr>
    </w:p>
    <w:p>
      <w:pPr>
        <w:ind w:right="20" w:firstLine="1428"/>
        <w:spacing w:after="0" w:line="255" w:lineRule="auto"/>
        <w:tabs>
          <w:tab w:leader="none" w:pos="16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84" w:lineRule="exact"/>
        <w:rPr>
          <w:rFonts w:ascii="Arial" w:cs="Arial" w:eastAsia="Arial" w:hAnsi="Arial"/>
          <w:sz w:val="18"/>
          <w:szCs w:val="18"/>
          <w:color w:val="auto"/>
        </w:rPr>
      </w:pPr>
    </w:p>
    <w:p>
      <w:pPr>
        <w:ind w:right="80" w:firstLine="1428"/>
        <w:spacing w:after="0" w:line="308" w:lineRule="auto"/>
        <w:tabs>
          <w:tab w:leader="none" w:pos="164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38" w:lineRule="exact"/>
        <w:rPr>
          <w:rFonts w:ascii="Arial" w:cs="Arial" w:eastAsia="Arial" w:hAnsi="Arial"/>
          <w:sz w:val="17"/>
          <w:szCs w:val="17"/>
          <w:color w:val="auto"/>
        </w:rPr>
      </w:pPr>
    </w:p>
    <w:p>
      <w:pPr>
        <w:ind w:right="460" w:firstLine="1428"/>
        <w:spacing w:after="0" w:line="277" w:lineRule="auto"/>
        <w:tabs>
          <w:tab w:leader="none" w:pos="16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62"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26" w:name="page227"/>
    <w:bookmarkEnd w:id="226"/>
    <w:p>
      <w:pPr>
        <w:ind w:right="20" w:firstLine="14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79"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including all registration, filing, and qualification fees; printers’ and accounting fees; fees and disbursements of counsel for the Company; and the reasonable fees and disbursements, not to exceed $15,000, of one counsel for the selling Holders </w:t>
      </w:r>
      <w:r>
        <w:rPr>
          <w:rFonts w:ascii="Arial" w:cs="Arial" w:eastAsia="Arial" w:hAnsi="Arial"/>
          <w:sz w:val="17"/>
          <w:szCs w:val="17"/>
          <w:b w:val="1"/>
          <w:bCs w:val="1"/>
          <w:color w:val="auto"/>
        </w:rPr>
        <w:t>(“Selling Holder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Counsel”), </w:t>
      </w:r>
      <w:r>
        <w:rPr>
          <w:rFonts w:ascii="Arial" w:cs="Arial" w:eastAsia="Arial" w:hAnsi="Arial"/>
          <w:sz w:val="17"/>
          <w:szCs w:val="17"/>
          <w:color w:val="auto"/>
        </w:rPr>
        <w:t>shall be borne and paid by the Company;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for any expenses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registration proceeding begun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 )</w:t>
      </w:r>
      <w:r>
        <w:rPr>
          <w:rFonts w:ascii="Arial" w:cs="Arial" w:eastAsia="Arial" w:hAnsi="Arial"/>
          <w:sz w:val="17"/>
          <w:szCs w:val="17"/>
          <w:color w:val="auto"/>
        </w:rPr>
        <w:t xml:space="preserve">, as the case may be; provided further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2.l(b)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78" w:lineRule="exact"/>
        <w:rPr>
          <w:sz w:val="20"/>
          <w:szCs w:val="20"/>
          <w:color w:val="auto"/>
        </w:rPr>
      </w:pPr>
    </w:p>
    <w:p>
      <w:pPr>
        <w:jc w:val="both"/>
        <w:ind w:right="440" w:firstLine="1428"/>
        <w:spacing w:after="0" w:line="263" w:lineRule="auto"/>
        <w:tabs>
          <w:tab w:leader="none" w:pos="161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right="140" w:firstLine="1428"/>
        <w:spacing w:after="0" w:line="254" w:lineRule="auto"/>
        <w:tabs>
          <w:tab w:leader="none" w:pos="167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agreement contained in this </w:t>
      </w:r>
      <w:r>
        <w:rPr>
          <w:rFonts w:ascii="Arial" w:cs="Arial" w:eastAsia="Arial" w:hAnsi="Arial"/>
          <w:sz w:val="18"/>
          <w:szCs w:val="18"/>
          <w:u w:val="single" w:color="auto"/>
          <w:color w:val="auto"/>
        </w:rPr>
        <w:t>Subsection 2.8(a)</w:t>
      </w:r>
      <w:r>
        <w:rPr>
          <w:rFonts w:ascii="Arial" w:cs="Arial" w:eastAsia="Arial" w:hAnsi="Arial"/>
          <w:sz w:val="18"/>
          <w:szCs w:val="18"/>
          <w:color w:val="auto"/>
        </w:rPr>
        <w:t xml:space="preserve"> shall not apply to amounts paid in settlement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27" w:name="page228"/>
    <w:bookmarkEnd w:id="22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79" w:lineRule="exact"/>
        <w:rPr>
          <w:sz w:val="20"/>
          <w:szCs w:val="20"/>
          <w:color w:val="auto"/>
        </w:rPr>
      </w:pPr>
    </w:p>
    <w:p>
      <w:pPr>
        <w:ind w:right="120" w:firstLine="1428"/>
        <w:spacing w:after="0" w:line="287" w:lineRule="auto"/>
        <w:tabs>
          <w:tab w:leader="none" w:pos="168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59" w:lineRule="exact"/>
        <w:rPr>
          <w:rFonts w:ascii="Arial" w:cs="Arial" w:eastAsia="Arial" w:hAnsi="Arial"/>
          <w:sz w:val="16"/>
          <w:szCs w:val="16"/>
          <w:color w:val="auto"/>
        </w:rPr>
      </w:pPr>
    </w:p>
    <w:p>
      <w:pPr>
        <w:ind w:firstLine="1428"/>
        <w:spacing w:after="0" w:line="269" w:lineRule="auto"/>
        <w:tabs>
          <w:tab w:leader="none" w:pos="167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8" w:name="page229"/>
    <w:bookmarkEnd w:id="228"/>
    <w:p>
      <w:pPr>
        <w:jc w:val="both"/>
        <w:ind w:left="4" w:right="100" w:firstLine="1428"/>
        <w:spacing w:after="0" w:line="286" w:lineRule="auto"/>
        <w:tabs>
          <w:tab w:leader="none" w:pos="1691" w:val="left"/>
        </w:tabs>
        <w:numPr>
          <w:ilvl w:val="1"/>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4" w:hanging="4"/>
        <w:spacing w:after="0" w:line="267" w:lineRule="auto"/>
        <w:tabs>
          <w:tab w:leader="none" w:pos="26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contribution under the Securities Act may be required on the part of any party hereto for which indemnification is provided under this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 l(f)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when combined with the amounts paid or payable by such Holder pursuant to </w:t>
      </w:r>
      <w:r>
        <w:rPr>
          <w:rFonts w:ascii="Arial" w:cs="Arial" w:eastAsia="Arial" w:hAnsi="Arial"/>
          <w:sz w:val="17"/>
          <w:szCs w:val="17"/>
          <w:u w:val="single" w:color="auto"/>
          <w:color w:val="auto"/>
        </w:rPr>
        <w:t>Subsection 2.8(b)</w:t>
      </w:r>
      <w:r>
        <w:rPr>
          <w:rFonts w:ascii="Arial" w:cs="Arial" w:eastAsia="Arial" w:hAnsi="Arial"/>
          <w:sz w:val="17"/>
          <w:szCs w:val="17"/>
          <w:color w:val="auto"/>
        </w:rPr>
        <w:t>, exceed the proceeds from the offering received by such Holder (net of any Selling Expenses paid by such Holder), except in the case of willful misconduct or fraud by such Holder.</w:t>
      </w:r>
    </w:p>
    <w:p>
      <w:pPr>
        <w:spacing w:after="0" w:line="73" w:lineRule="exact"/>
        <w:rPr>
          <w:rFonts w:ascii="Arial" w:cs="Arial" w:eastAsia="Arial" w:hAnsi="Arial"/>
          <w:sz w:val="17"/>
          <w:szCs w:val="17"/>
          <w:color w:val="auto"/>
        </w:rPr>
      </w:pPr>
    </w:p>
    <w:p>
      <w:pPr>
        <w:ind w:left="4" w:right="140" w:firstLine="1428"/>
        <w:spacing w:after="0" w:line="263" w:lineRule="auto"/>
        <w:tabs>
          <w:tab w:leader="none" w:pos="168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5" w:lineRule="exact"/>
        <w:rPr>
          <w:rFonts w:ascii="Arial" w:cs="Arial" w:eastAsia="Arial" w:hAnsi="Arial"/>
          <w:sz w:val="18"/>
          <w:szCs w:val="18"/>
          <w:color w:val="auto"/>
        </w:rPr>
      </w:pPr>
    </w:p>
    <w:p>
      <w:pPr>
        <w:ind w:left="4" w:right="20" w:firstLine="1428"/>
        <w:spacing w:after="0" w:line="263" w:lineRule="auto"/>
        <w:tabs>
          <w:tab w:leader="none" w:pos="166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29" w:name="page230"/>
    <w:bookmarkEnd w:id="229"/>
    <w:p>
      <w:pPr>
        <w:ind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76" w:lineRule="exact"/>
        <w:rPr>
          <w:sz w:val="20"/>
          <w:szCs w:val="20"/>
          <w:color w:val="auto"/>
        </w:rPr>
      </w:pPr>
    </w:p>
    <w:p>
      <w:pPr>
        <w:ind w:right="120" w:firstLine="1428"/>
        <w:spacing w:after="0" w:line="277" w:lineRule="auto"/>
        <w:tabs>
          <w:tab w:leader="none" w:pos="1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62" w:lineRule="exact"/>
        <w:rPr>
          <w:rFonts w:ascii="Arial" w:cs="Arial" w:eastAsia="Arial" w:hAnsi="Arial"/>
          <w:sz w:val="18"/>
          <w:szCs w:val="18"/>
          <w:color w:val="auto"/>
        </w:rPr>
      </w:pPr>
    </w:p>
    <w:p>
      <w:pPr>
        <w:ind w:right="420" w:firstLine="1428"/>
        <w:spacing w:after="0" w:line="342" w:lineRule="auto"/>
        <w:tabs>
          <w:tab w:leader="none" w:pos="168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5" w:lineRule="exact"/>
        <w:rPr>
          <w:rFonts w:ascii="Arial" w:cs="Arial" w:eastAsia="Arial" w:hAnsi="Arial"/>
          <w:sz w:val="16"/>
          <w:szCs w:val="16"/>
          <w:color w:val="auto"/>
        </w:rPr>
      </w:pPr>
    </w:p>
    <w:p>
      <w:pPr>
        <w:ind w:right="60" w:firstLine="1428"/>
        <w:spacing w:after="0" w:line="291" w:lineRule="auto"/>
        <w:tabs>
          <w:tab w:leader="none" w:pos="167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58" w:lineRule="exact"/>
        <w:rPr>
          <w:sz w:val="20"/>
          <w:szCs w:val="20"/>
          <w:color w:val="auto"/>
        </w:rPr>
      </w:pPr>
    </w:p>
    <w:p>
      <w:pPr>
        <w:ind w:right="20" w:firstLine="1432"/>
        <w:spacing w:after="0" w:line="272"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(i)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allow such holder or prospective holder to initiate a demand for registration of any securities held by such holder or prospective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limitation shall not apply to any additional Investor who becomes a party to this Agreement in accordance with </w:t>
      </w:r>
      <w:r>
        <w:rPr>
          <w:rFonts w:ascii="Arial" w:cs="Arial" w:eastAsia="Arial" w:hAnsi="Arial"/>
          <w:sz w:val="17"/>
          <w:szCs w:val="17"/>
          <w:u w:val="single" w:color="auto"/>
          <w:color w:val="auto"/>
        </w:rPr>
        <w:t>Subsection 6.9</w:t>
      </w:r>
      <w:r>
        <w:rPr>
          <w:rFonts w:ascii="Arial" w:cs="Arial" w:eastAsia="Arial" w:hAnsi="Arial"/>
          <w:sz w:val="17"/>
          <w:szCs w:val="17"/>
          <w:color w:val="auto"/>
        </w:rPr>
        <w:t>.</w:t>
      </w:r>
    </w:p>
    <w:p>
      <w:pPr>
        <w:spacing w:after="0" w:line="69" w:lineRule="exact"/>
        <w:rPr>
          <w:sz w:val="20"/>
          <w:szCs w:val="20"/>
          <w:color w:val="auto"/>
        </w:rPr>
      </w:pPr>
    </w:p>
    <w:p>
      <w:pPr>
        <w:ind w:right="60" w:firstLine="1432"/>
        <w:spacing w:after="0" w:line="25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in each case, held immediately before the effective date of the registration statement for such offering or (ii) enter into any swap or other arrangement that transfers to another, in whole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30" w:name="page231"/>
    <w:bookmarkEnd w:id="230"/>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and shall be applicable to the Holders only if (A) all officers and directors and all stockholders individually owning one percent (1 %) or more of the Company’s outstanding Common Stock are subject to the same restrictions and (B) holders of at least 90% of the Company’s outstanding Common Stock are subject to the same restrictions. The underwriters in connection with such registration are intended third-party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 In addition, in the event that any percentage of the Common Stock or any security convertible into or exercisable or exchangeable for Common Stock held by any officer, director or stockholder owning one percent (1 %) or more of the Company’s outstanding Common Stock is released from any similar restrictions, the same percentage of the Common Stock or any security convertible into or exercisable or exchangeable for Common Stock held by each Holder shall be immediately and fully released from any restrictions on transfer set forth herein concurrently therewith. Notwithstanding anything to the contrary set forth in the December IRA, the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supercede and replace in their entirety the provisions of Section 4 of the December IRA with respect to the Investors.</w:t>
      </w:r>
    </w:p>
    <w:p>
      <w:pPr>
        <w:spacing w:after="0" w:line="6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sz w:val="20"/>
          <w:szCs w:val="20"/>
          <w:color w:val="auto"/>
        </w:rPr>
      </w:pPr>
    </w:p>
    <w:p>
      <w:pPr>
        <w:ind w:right="40" w:firstLine="1428"/>
        <w:spacing w:after="0" w:line="291" w:lineRule="auto"/>
        <w:tabs>
          <w:tab w:leader="none" w:pos="167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other than with respect to a sale pursuant to an effective registration statement or Rule 144, will cause any proposed purchaser, pledgee, or transferee of the Registrable Securities held by such Holder to agree to take and hold such securities subject to the provisions and upon the conditions specified in this Agreement. For the avoidance of doubt, the transfer restrictions set forth in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not apply to the transfer of Registrable Securities to any transferee of a Holder who is a permitted assignee of such Holder with respect to this Agreement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w:t>
      </w:r>
    </w:p>
    <w:p>
      <w:pPr>
        <w:spacing w:after="0" w:line="58" w:lineRule="exact"/>
        <w:rPr>
          <w:rFonts w:ascii="Arial" w:cs="Arial" w:eastAsia="Arial" w:hAnsi="Arial"/>
          <w:sz w:val="16"/>
          <w:szCs w:val="16"/>
          <w:color w:val="auto"/>
        </w:rPr>
      </w:pPr>
    </w:p>
    <w:p>
      <w:pPr>
        <w:ind w:firstLine="1428"/>
        <w:spacing w:after="0" w:line="286" w:lineRule="auto"/>
        <w:tabs>
          <w:tab w:leader="none" w:pos="168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Each certificate, instrument, or book entry representing (i) the Registrable Securities and (ii) any other securities issued in respect of the securities referenced in clause (i), upon any stock split, stock dividend, recapitalization, merger, consolidation, or similar event, shall (unless otherwise permitted by the provisions of Subsection 2.12(c)) be notated with a legend substantially in the following form: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31" w:name="page232"/>
    <w:bookmarkEnd w:id="231"/>
    <w:p>
      <w:pPr>
        <w:ind w:left="44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4" w:right="18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76" w:lineRule="exact"/>
        <w:rPr>
          <w:sz w:val="20"/>
          <w:szCs w:val="20"/>
          <w:color w:val="auto"/>
        </w:rPr>
      </w:pPr>
    </w:p>
    <w:p>
      <w:pPr>
        <w:ind w:left="4" w:right="560" w:firstLine="991"/>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62" w:lineRule="exact"/>
        <w:rPr>
          <w:sz w:val="20"/>
          <w:szCs w:val="20"/>
          <w:color w:val="auto"/>
        </w:rPr>
      </w:pPr>
    </w:p>
    <w:p>
      <w:pPr>
        <w:ind w:left="4" w:right="20" w:firstLine="1428"/>
        <w:spacing w:after="0" w:line="284" w:lineRule="auto"/>
        <w:tabs>
          <w:tab w:leader="none" w:pos="168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holder of such Restricted Securities, by acceptance of ownership thereof, agrees to comply in all respects with the provisions of this Section 2.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ind w:left="4" w:hanging="4"/>
        <w:spacing w:after="0" w:line="286" w:lineRule="auto"/>
        <w:tabs>
          <w:tab w:leader="none" w:pos="3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provided that each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32" w:name="page233"/>
    <w:bookmarkEnd w:id="232"/>
    <w:p>
      <w:pPr>
        <w:ind w:right="4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fifth anniversary of the IPO.</w:t>
      </w:r>
    </w:p>
    <w:p>
      <w:pPr>
        <w:spacing w:after="0" w:line="62" w:lineRule="exact"/>
        <w:rPr>
          <w:sz w:val="20"/>
          <w:szCs w:val="20"/>
          <w:color w:val="auto"/>
        </w:rPr>
      </w:pPr>
    </w:p>
    <w:p>
      <w:pPr>
        <w:ind w:left="620" w:hanging="184"/>
        <w:spacing w:after="0"/>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117" w:lineRule="exact"/>
        <w:rPr>
          <w:sz w:val="20"/>
          <w:szCs w:val="20"/>
          <w:color w:val="auto"/>
        </w:rPr>
      </w:pPr>
    </w:p>
    <w:p>
      <w:pPr>
        <w:ind w:right="360" w:firstLine="1432"/>
        <w:spacing w:after="0" w:line="277" w:lineRule="auto"/>
        <w:rPr>
          <w:sz w:val="20"/>
          <w:szCs w:val="20"/>
          <w:color w:val="auto"/>
        </w:rPr>
      </w:pPr>
      <w:r>
        <w:rPr>
          <w:rFonts w:ascii="Arial" w:cs="Arial" w:eastAsia="Arial" w:hAnsi="Arial"/>
          <w:sz w:val="18"/>
          <w:szCs w:val="18"/>
          <w:color w:val="auto"/>
        </w:rPr>
        <w:t xml:space="preserve">3 .1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Investor is a Competitor:</w:t>
      </w:r>
    </w:p>
    <w:p>
      <w:pPr>
        <w:spacing w:after="0" w:line="62" w:lineRule="exact"/>
        <w:rPr>
          <w:sz w:val="20"/>
          <w:szCs w:val="20"/>
          <w:color w:val="auto"/>
        </w:rPr>
      </w:pPr>
    </w:p>
    <w:p>
      <w:pPr>
        <w:ind w:right="180" w:firstLine="1428"/>
        <w:spacing w:after="0" w:line="257" w:lineRule="auto"/>
        <w:tabs>
          <w:tab w:leader="none" w:pos="167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soon as practicable, but in any event within ninety (90) days after the end of each fiscal year of the Company (i) a balance sheet as of the end of such year, (ii) statements of income and of cash flows for such year, and a comparison between (x) the actual amounts for such fiscal year and (y) the comparable amounts for the prior year, and (iii) a statement of stockholders’ equity as of the end of such year, all such financial statements audited and certified by independent public accountants of nationally recognized standing selected by the Company and prepared in accordance with GAAP;</w:t>
      </w:r>
    </w:p>
    <w:p>
      <w:pPr>
        <w:spacing w:after="0" w:line="79" w:lineRule="exact"/>
        <w:rPr>
          <w:rFonts w:ascii="Arial" w:cs="Arial" w:eastAsia="Arial" w:hAnsi="Arial"/>
          <w:sz w:val="18"/>
          <w:szCs w:val="18"/>
          <w:color w:val="auto"/>
        </w:rPr>
      </w:pPr>
    </w:p>
    <w:p>
      <w:pPr>
        <w:ind w:right="40" w:firstLine="1428"/>
        <w:spacing w:after="0" w:line="301" w:lineRule="auto"/>
        <w:tabs>
          <w:tab w:leader="none" w:pos="168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 soon as practicable, but in any event within forty-five (45) days after the end of each of the first three (3)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49" w:lineRule="exact"/>
        <w:rPr>
          <w:rFonts w:ascii="Arial" w:cs="Arial" w:eastAsia="Arial" w:hAnsi="Arial"/>
          <w:sz w:val="16"/>
          <w:szCs w:val="16"/>
          <w:color w:val="auto"/>
        </w:rPr>
      </w:pPr>
    </w:p>
    <w:p>
      <w:pPr>
        <w:ind w:firstLine="1428"/>
        <w:spacing w:after="0" w:line="311" w:lineRule="auto"/>
        <w:tabs>
          <w:tab w:leader="none" w:pos="167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as soon as practicable, but in any event thirty (30) days before the end of each fiscal year, a budget and business plan for the next fiscal year ( collectively, the </w:t>
      </w:r>
      <w:r>
        <w:rPr>
          <w:rFonts w:ascii="Arial" w:cs="Arial" w:eastAsia="Arial" w:hAnsi="Arial"/>
          <w:sz w:val="16"/>
          <w:szCs w:val="16"/>
          <w:b w:val="1"/>
          <w:bCs w:val="1"/>
          <w:color w:val="auto"/>
        </w:rPr>
        <w:t>“Budget”),</w:t>
      </w:r>
      <w:r>
        <w:rPr>
          <w:rFonts w:ascii="Arial" w:cs="Arial" w:eastAsia="Arial" w:hAnsi="Arial"/>
          <w:sz w:val="16"/>
          <w:szCs w:val="16"/>
          <w:color w:val="auto"/>
        </w:rPr>
        <w:t xml:space="preserve"> approved by the Board of Directors and prepared on a monthly basis, including balance sheets, income statements, and statements of cash flow for such months and, promptly after prepared, any other budgets or revised budgets prepared by the Company;</w:t>
      </w:r>
    </w:p>
    <w:p>
      <w:pPr>
        <w:spacing w:after="0" w:line="40" w:lineRule="exact"/>
        <w:rPr>
          <w:rFonts w:ascii="Arial" w:cs="Arial" w:eastAsia="Arial" w:hAnsi="Arial"/>
          <w:sz w:val="16"/>
          <w:szCs w:val="16"/>
          <w:color w:val="auto"/>
        </w:rPr>
      </w:pPr>
    </w:p>
    <w:p>
      <w:pPr>
        <w:ind w:right="20" w:firstLine="1428"/>
        <w:spacing w:after="0" w:line="259" w:lineRule="auto"/>
        <w:tabs>
          <w:tab w:leader="none" w:pos="168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with respect to the financial statements called for in </w:t>
      </w:r>
      <w:r>
        <w:rPr>
          <w:rFonts w:ascii="Arial" w:cs="Arial" w:eastAsia="Arial" w:hAnsi="Arial"/>
          <w:sz w:val="18"/>
          <w:szCs w:val="18"/>
          <w:u w:val="single" w:color="auto"/>
          <w:color w:val="auto"/>
        </w:rPr>
        <w:t>Subsection 3.l(a)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3.1(b)</w:t>
      </w:r>
      <w:r>
        <w:rPr>
          <w:rFonts w:ascii="Arial" w:cs="Arial" w:eastAsia="Arial" w:hAnsi="Arial"/>
          <w:sz w:val="18"/>
          <w:szCs w:val="18"/>
          <w:color w:val="auto"/>
        </w:rPr>
        <w:t xml:space="preserve">, an instrument executed by the chief financial officer and chief executive officer of the Company certifying that such financial statements were prepared in accordance with GAAP consistently applied with prior practice for earlier periods ( except as otherwise set forth in </w:t>
      </w:r>
      <w:r>
        <w:rPr>
          <w:rFonts w:ascii="Arial" w:cs="Arial" w:eastAsia="Arial" w:hAnsi="Arial"/>
          <w:sz w:val="18"/>
          <w:szCs w:val="18"/>
          <w:u w:val="single" w:color="auto"/>
          <w:color w:val="auto"/>
        </w:rPr>
        <w:t>Subsection 3.l(b))</w:t>
      </w:r>
      <w:r>
        <w:rPr>
          <w:rFonts w:ascii="Arial" w:cs="Arial" w:eastAsia="Arial" w:hAnsi="Arial"/>
          <w:sz w:val="18"/>
          <w:szCs w:val="18"/>
          <w:color w:val="auto"/>
        </w:rPr>
        <w:t xml:space="preserve"> and fairly present the financial condition of the Company and its results of operation for the periods specified therein; and</w:t>
      </w:r>
    </w:p>
    <w:p>
      <w:pPr>
        <w:spacing w:after="0" w:line="78" w:lineRule="exact"/>
        <w:rPr>
          <w:rFonts w:ascii="Arial" w:cs="Arial" w:eastAsia="Arial" w:hAnsi="Arial"/>
          <w:sz w:val="18"/>
          <w:szCs w:val="18"/>
          <w:color w:val="auto"/>
        </w:rPr>
      </w:pPr>
    </w:p>
    <w:p>
      <w:pPr>
        <w:ind w:right="80" w:firstLine="1428"/>
        <w:spacing w:after="0" w:line="257" w:lineRule="auto"/>
        <w:tabs>
          <w:tab w:leader="none" w:pos="167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m (ii) the disclosure of which would adversely affect the attorney-client privilege between the Company and its counsel.</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33" w:name="page234"/>
    <w:bookmarkEnd w:id="233"/>
    <w:p>
      <w:pPr>
        <w:ind w:right="2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76"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80" w:lineRule="exact"/>
        <w:rPr>
          <w:sz w:val="20"/>
          <w:szCs w:val="20"/>
          <w:color w:val="auto"/>
        </w:rPr>
      </w:pPr>
    </w:p>
    <w:p>
      <w:pPr>
        <w:ind w:firstLine="1432"/>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The Company shall permit each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of Directors has not reasonably determined that such Investor is a Competitor), at such Investor’s expense, to visit and inspect the Company’s properties; examine its books of account and records; and discuss the Company’s affairs, finances, and accounts with its officers, during normal business hours of the Company as may be reasonably requested by the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5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Observer Rights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90" w:lineRule="auto"/>
        <w:tabs>
          <w:tab w:leader="none" w:pos="167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As long as the Wellington Investors own, in the aggregate, not less than 464,326 shares of Common Stock (subject to appropriate adjustment for all stock splits, stock dividends and reorganizations), the Company shall invite a representative of Wellington Management Company, LLP, on behalf of the Wellington Investors, to attend all meetings of its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 shall agree to hold in confidence and trust all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 of the Company.</w:t>
      </w:r>
    </w:p>
    <w:p>
      <w:pPr>
        <w:spacing w:after="0" w:line="57" w:lineRule="exact"/>
        <w:rPr>
          <w:rFonts w:ascii="Arial" w:cs="Arial" w:eastAsia="Arial" w:hAnsi="Arial"/>
          <w:sz w:val="16"/>
          <w:szCs w:val="16"/>
          <w:color w:val="auto"/>
        </w:rPr>
      </w:pPr>
    </w:p>
    <w:p>
      <w:pPr>
        <w:ind w:right="100" w:firstLine="1428"/>
        <w:spacing w:after="0" w:line="311" w:lineRule="auto"/>
        <w:tabs>
          <w:tab w:leader="none" w:pos="168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long as the Insight Investors own, in the aggregate, not less than 1,020,916 shares of Common Stock (subject to appropriate adjustment for all stock splits, stock dividends and reorganizations), the Company shall invite a representative of Insight Venture Partners, on .behalf of the Insight Investors, to attend all meetings of its Board of Directors in a nonvoting observer capacity and, in this respect, shall give such representative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34" w:name="page235"/>
    <w:bookmarkEnd w:id="234"/>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copies of all notices, minutes, consents, and other materials that it provides to its directors at the same time and in the same manner as provided to such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 shall agree to hold in confidence and trust all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 of the Company.</w:t>
      </w:r>
    </w:p>
    <w:p>
      <w:pPr>
        <w:spacing w:after="0" w:line="53" w:lineRule="exact"/>
        <w:rPr>
          <w:sz w:val="20"/>
          <w:szCs w:val="20"/>
          <w:color w:val="auto"/>
        </w:rPr>
      </w:pPr>
    </w:p>
    <w:p>
      <w:pPr>
        <w:ind w:right="40" w:firstLine="1432"/>
        <w:spacing w:after="0" w:line="29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Termination of Information and Observer Rights</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3.3</w:t>
      </w:r>
      <w:r>
        <w:rPr>
          <w:rFonts w:ascii="Arial" w:cs="Arial" w:eastAsia="Arial" w:hAnsi="Arial"/>
          <w:sz w:val="16"/>
          <w:szCs w:val="16"/>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consummation of a Sale of the Company unless, following such Sale of the Company, the Investors hold equity in an entity or an affiliate of an entity that conducts the business previously conducted by the Company and is not subject to the reporting requirements of Section 13(a) or 15(d) of the Exchange Act, whichever event occurs first.</w:t>
      </w:r>
    </w:p>
    <w:p>
      <w:pPr>
        <w:spacing w:after="0" w:line="53" w:lineRule="exact"/>
        <w:rPr>
          <w:sz w:val="20"/>
          <w:szCs w:val="20"/>
          <w:color w:val="auto"/>
        </w:rPr>
      </w:pPr>
    </w:p>
    <w:p>
      <w:pPr>
        <w:ind w:firstLine="1432"/>
        <w:spacing w:after="0" w:line="28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Subsection 3.5</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attorneys, accountants, consultants, investment advisers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 3.5</w:t>
      </w:r>
      <w:r>
        <w:rPr>
          <w:rFonts w:ascii="Arial" w:cs="Arial" w:eastAsia="Arial" w:hAnsi="Arial"/>
          <w:sz w:val="16"/>
          <w:szCs w:val="16"/>
          <w:color w:val="auto"/>
        </w:rPr>
        <w:t xml:space="preserve">; (iii) to any equityholder of such Investor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informs such Person that such information is confidential and directs such Person to maintain the confidentiality of such information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Investor shall be responsible for any disclosure of such confidential information by any such equityholder as though such inappropriate disclosure were made by such Investor in violation of this </w:t>
      </w:r>
      <w:r>
        <w:rPr>
          <w:rFonts w:ascii="Arial" w:cs="Arial" w:eastAsia="Arial" w:hAnsi="Arial"/>
          <w:sz w:val="16"/>
          <w:szCs w:val="16"/>
          <w:u w:val="single" w:color="auto"/>
          <w:color w:val="auto"/>
        </w:rPr>
        <w:t>Subsection 3.5</w:t>
      </w:r>
      <w:r>
        <w:rPr>
          <w:rFonts w:ascii="Arial" w:cs="Arial" w:eastAsia="Arial" w:hAnsi="Arial"/>
          <w:sz w:val="16"/>
          <w:szCs w:val="16"/>
          <w:color w:val="auto"/>
        </w:rPr>
        <w:t xml:space="preserve">; or (iv) as may otherwise be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Investor promptly notifies the Company of such disclosure and takes reasonable steps to minimize the extent of any such required disclosure, except that compliance with this proviso shall not be required if the information is being disclosed pursuant to the request or requirement of a banking regulator with jurisdiction over such Investor.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5" w:name="page236"/>
    <w:bookmarkEnd w:id="235"/>
    <w:p>
      <w:pPr>
        <w:ind w:left="620" w:hanging="184"/>
        <w:spacing w:after="0"/>
        <w:tabs>
          <w:tab w:leader="none" w:pos="6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Subsection 4.1</w:t>
      </w:r>
      <w:r>
        <w:rPr>
          <w:rFonts w:ascii="Arial" w:cs="Arial" w:eastAsia="Arial" w:hAnsi="Arial"/>
          <w:sz w:val="17"/>
          <w:szCs w:val="17"/>
          <w:color w:val="auto"/>
        </w:rPr>
        <w:t xml:space="preserve"> and applicable securities laws, if the Company or any of its direct or indirect subsidiaries proposes to offer or sell any New Securities, the Company shall first offer such New Securities to each Investor. An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Investor </w:t>
      </w:r>
      <w:r>
        <w:rPr>
          <w:rFonts w:ascii="Arial" w:cs="Arial" w:eastAsia="Arial" w:hAnsi="Arial"/>
          <w:sz w:val="17"/>
          <w:szCs w:val="17"/>
          <w:b w:val="1"/>
          <w:bCs w:val="1"/>
          <w:color w:val="auto"/>
        </w:rPr>
        <w:t>(“Investor Beneficial Owners”);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Affiliate or Investor Beneficial Owner (x) is not a Competitor, unless such party’s purchase of New Securities is otherwise consented to by the Board of Directors, and (y) agrees to enter into this Agreement, the Right of Co-Sale and Voting Agreement of even date herewith among the Company, the Investors and the other parties named therein (the </w:t>
      </w:r>
      <w:r>
        <w:rPr>
          <w:rFonts w:ascii="Arial" w:cs="Arial" w:eastAsia="Arial" w:hAnsi="Arial"/>
          <w:sz w:val="17"/>
          <w:szCs w:val="17"/>
          <w:b w:val="1"/>
          <w:bCs w:val="1"/>
          <w:color w:val="auto"/>
        </w:rPr>
        <w:t>“Co-Sale Agreement”)</w:t>
      </w:r>
      <w:r>
        <w:rPr>
          <w:rFonts w:ascii="Arial" w:cs="Arial" w:eastAsia="Arial" w:hAnsi="Arial"/>
          <w:sz w:val="17"/>
          <w:szCs w:val="17"/>
          <w:color w:val="auto"/>
        </w:rPr>
        <w:t xml:space="preserve"> and the Investor Rights Agreement, dated as of December 18, 2013, among the Company and the holders of the Common Stock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thereto (as amended, the </w:t>
      </w:r>
      <w:r>
        <w:rPr>
          <w:rFonts w:ascii="Arial" w:cs="Arial" w:eastAsia="Arial" w:hAnsi="Arial"/>
          <w:sz w:val="17"/>
          <w:szCs w:val="17"/>
          <w:b w:val="1"/>
          <w:bCs w:val="1"/>
          <w:color w:val="auto"/>
        </w:rPr>
        <w:t>“December IRA”),</w:t>
      </w:r>
      <w:r>
        <w:rPr>
          <w:rFonts w:ascii="Arial" w:cs="Arial" w:eastAsia="Arial" w:hAnsi="Arial"/>
          <w:sz w:val="17"/>
          <w:szCs w:val="17"/>
          <w:color w:val="auto"/>
        </w:rPr>
        <w:t xml:space="preserve"> as an </w:t>
      </w:r>
      <w:r>
        <w:rPr>
          <w:rFonts w:ascii="Arial" w:cs="Arial" w:eastAsia="Arial" w:hAnsi="Arial"/>
          <w:sz w:val="17"/>
          <w:szCs w:val="17"/>
          <w:b w:val="1"/>
          <w:bCs w:val="1"/>
          <w:color w:val="auto"/>
        </w:rPr>
        <w:t>“Investor” or “Common Holder”,</w:t>
      </w:r>
      <w:r>
        <w:rPr>
          <w:rFonts w:ascii="Arial" w:cs="Arial" w:eastAsia="Arial" w:hAnsi="Arial"/>
          <w:sz w:val="17"/>
          <w:szCs w:val="17"/>
          <w:color w:val="auto"/>
        </w:rPr>
        <w:t xml:space="preserve"> as applicable, under each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Competitor shall not be entitled to any rights as an Investor under </w:t>
      </w:r>
      <w:r>
        <w:rPr>
          <w:rFonts w:ascii="Arial" w:cs="Arial" w:eastAsia="Arial" w:hAnsi="Arial"/>
          <w:sz w:val="17"/>
          <w:szCs w:val="17"/>
          <w:u w:val="single" w:color="auto"/>
          <w:color w:val="auto"/>
        </w:rPr>
        <w:t>Subsections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hereof).</w:t>
      </w:r>
    </w:p>
    <w:p>
      <w:pPr>
        <w:spacing w:after="0" w:line="70" w:lineRule="exact"/>
        <w:rPr>
          <w:sz w:val="20"/>
          <w:szCs w:val="20"/>
          <w:color w:val="auto"/>
        </w:rPr>
      </w:pPr>
    </w:p>
    <w:p>
      <w:pPr>
        <w:ind w:right="560" w:firstLine="1428"/>
        <w:spacing w:after="0" w:line="266" w:lineRule="auto"/>
        <w:tabs>
          <w:tab w:leader="none" w:pos="16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xml:space="preserve"> to each Investor, stating (i) its bona fide intention to offer such New Securities, (ii) the number of such New Securities to be offered, and (iii) the price and terms, if any, upon which it proposes to offer such New Securities.</w:t>
      </w:r>
    </w:p>
    <w:p>
      <w:pPr>
        <w:spacing w:after="0" w:line="71" w:lineRule="exact"/>
        <w:rPr>
          <w:rFonts w:ascii="Arial" w:cs="Arial" w:eastAsia="Arial" w:hAnsi="Arial"/>
          <w:sz w:val="18"/>
          <w:szCs w:val="18"/>
          <w:color w:val="auto"/>
        </w:rPr>
      </w:pPr>
    </w:p>
    <w:p>
      <w:pPr>
        <w:ind w:right="60" w:firstLine="1428"/>
        <w:spacing w:after="0" w:line="254" w:lineRule="auto"/>
        <w:tabs>
          <w:tab w:leader="none" w:pos="168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By notification to the Company within twenty (20) days after the Offer Notice is given, each Investor may elect to purchase or otherwise acquire, at the price and on the terms specified in the Offer Notice, up to that portion of such New Securities which equals the proportion that the Common Stock then held by such Investor (including all shares of Common Stock then issuable (directly or indirectly) upon conversion and/or exercise, as applicable, of any Derivative Securities then held by such Investor) bears to the total Common Stock of the Company then outstanding (assuming full conversion and/or exercise, as applicable, of all Derivative Securities). The closing of any sale pursuant to this </w:t>
      </w:r>
      <w:r>
        <w:rPr>
          <w:rFonts w:ascii="Arial" w:cs="Arial" w:eastAsia="Arial" w:hAnsi="Arial"/>
          <w:sz w:val="18"/>
          <w:szCs w:val="18"/>
          <w:u w:val="single" w:color="auto"/>
          <w:color w:val="auto"/>
        </w:rPr>
        <w:t>Subsection 4.l(b)</w:t>
      </w:r>
      <w:r>
        <w:rPr>
          <w:rFonts w:ascii="Arial" w:cs="Arial" w:eastAsia="Arial" w:hAnsi="Arial"/>
          <w:sz w:val="18"/>
          <w:szCs w:val="18"/>
          <w:color w:val="auto"/>
        </w:rPr>
        <w:t xml:space="preserve"> shall occur within the later of ninety (90) days of the date that the Offer Notice is given and the date of initial sale of New Securities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4.l(c)</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right="60" w:firstLine="1428"/>
        <w:spacing w:after="0" w:line="273" w:lineRule="auto"/>
        <w:tabs>
          <w:tab w:leader="none" w:pos="167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Arial" w:cs="Arial" w:eastAsia="Arial" w:hAnsi="Arial"/>
          <w:sz w:val="17"/>
          <w:szCs w:val="17"/>
          <w:u w:val="single" w:color="auto"/>
          <w:color w:val="auto"/>
        </w:rPr>
        <w:t>Subsection 4.1</w:t>
      </w:r>
      <w:r>
        <w:rPr>
          <w:rFonts w:ascii="Arial" w:cs="Arial" w:eastAsia="Arial" w:hAnsi="Arial"/>
          <w:sz w:val="17"/>
          <w:szCs w:val="17"/>
          <w:color w:val="auto"/>
        </w:rPr>
        <w: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36" w:name="page237"/>
    <w:bookmarkEnd w:id="236"/>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 The right of first offer in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shall not be applicable to (i) Exempted Securities; and (ii)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issued in the IPO.</w:t>
      </w:r>
    </w:p>
    <w:p>
      <w:pPr>
        <w:spacing w:after="0" w:line="103"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immediately before the consummation of the IPO.</w:t>
      </w:r>
    </w:p>
    <w:p>
      <w:pPr>
        <w:spacing w:after="0" w:line="62" w:lineRule="exact"/>
        <w:rPr>
          <w:sz w:val="20"/>
          <w:szCs w:val="20"/>
          <w:color w:val="auto"/>
        </w:rPr>
      </w:pPr>
    </w:p>
    <w:p>
      <w:pPr>
        <w:ind w:left="620" w:hanging="184"/>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right="60" w:firstLine="1432"/>
        <w:spacing w:after="0" w:line="291" w:lineRule="auto"/>
        <w:rPr>
          <w:sz w:val="20"/>
          <w:szCs w:val="20"/>
          <w:color w:val="auto"/>
        </w:rPr>
      </w:pPr>
      <w:r>
        <w:rPr>
          <w:rFonts w:ascii="Arial" w:cs="Arial" w:eastAsia="Arial" w:hAnsi="Arial"/>
          <w:sz w:val="16"/>
          <w:szCs w:val="16"/>
          <w:color w:val="auto"/>
        </w:rPr>
        <w:t xml:space="preserve">5 .1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shall use its commercially reasonable efforts to obtain, within sixty (60) days of the date hereof, from financially sound and reputable insurers (i) Directors and Officers liability insurance in an amount and on terms and conditions satisfactory to the Board of Directors and (ii) term “key-person” insurance on Pierre Naude in an amount and on terms and conditions satisfactory to the holders of a majority of the Registrable Securities. The Company will use commercially reasonable efforts to cause such Directors and Officers liability insurance policy to be maintained until such time as the Board of Directors determines that such insurance should be discontinued. The Company will use commercially reasonable efforts to cause such “key person” insurance policy to be maintained until such time as the holders of a majority of the Registrable Securities determine that such insurance should be discontinued. The key-person policy shall name the Company as loss payee.</w:t>
      </w:r>
    </w:p>
    <w:p>
      <w:pPr>
        <w:spacing w:after="0" w:line="58" w:lineRule="exact"/>
        <w:rPr>
          <w:sz w:val="20"/>
          <w:szCs w:val="20"/>
          <w:color w:val="auto"/>
        </w:rPr>
      </w:pPr>
    </w:p>
    <w:p>
      <w:pPr>
        <w:ind w:right="100" w:firstLine="1432"/>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w:t>
      </w:r>
    </w:p>
    <w:p>
      <w:pPr>
        <w:spacing w:after="0" w:line="76" w:lineRule="exact"/>
        <w:rPr>
          <w:sz w:val="20"/>
          <w:szCs w:val="20"/>
          <w:color w:val="auto"/>
        </w:rPr>
      </w:pPr>
    </w:p>
    <w:p>
      <w:pPr>
        <w:ind w:right="120" w:firstLine="1432"/>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xml:space="preserve">.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16"/>
          <w:szCs w:val="16"/>
          <w:u w:val="single" w:color="auto"/>
          <w:color w:val="auto"/>
        </w:rPr>
        <w:t>Subsection 2.11</w:t>
      </w:r>
      <w:r>
        <w:rPr>
          <w:rFonts w:ascii="Arial" w:cs="Arial" w:eastAsia="Arial" w:hAnsi="Arial"/>
          <w:sz w:val="16"/>
          <w:szCs w:val="16"/>
          <w:color w:val="auto"/>
        </w:rPr>
        <w:t>. In addition, unless 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58" w:lineRule="exact"/>
        <w:rPr>
          <w:sz w:val="20"/>
          <w:szCs w:val="20"/>
          <w:color w:val="auto"/>
        </w:rPr>
      </w:pPr>
    </w:p>
    <w:p>
      <w:pPr>
        <w:ind w:right="100" w:firstLine="1432"/>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Qualified Small Business Stock</w:t>
      </w:r>
      <w:r>
        <w:rPr>
          <w:rFonts w:ascii="Arial" w:cs="Arial" w:eastAsia="Arial" w:hAnsi="Arial"/>
          <w:sz w:val="17"/>
          <w:szCs w:val="17"/>
          <w:color w:val="auto"/>
        </w:rPr>
        <w:t xml:space="preserve">. The Company shall use commercially reasonable efforts to cause the shares of Common Stock issued to the Investors, as well as any shares into which such shares are converted, within the meaning of Section 1202(f) of the Internal Revenue Code (the </w:t>
      </w:r>
      <w:r>
        <w:rPr>
          <w:rFonts w:ascii="Arial" w:cs="Arial" w:eastAsia="Arial" w:hAnsi="Arial"/>
          <w:sz w:val="17"/>
          <w:szCs w:val="17"/>
          <w:b w:val="1"/>
          <w:bCs w:val="1"/>
          <w:color w:val="auto"/>
        </w:rPr>
        <w:t>“Code”),</w:t>
      </w:r>
      <w:r>
        <w:rPr>
          <w:rFonts w:ascii="Arial" w:cs="Arial" w:eastAsia="Arial" w:hAnsi="Arial"/>
          <w:sz w:val="17"/>
          <w:szCs w:val="17"/>
          <w:color w:val="auto"/>
        </w:rPr>
        <w:t xml:space="preserve"> to constitute “qualified small business stock” as defined in Section 1202(c) of the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requirement shall not be applicable if the Board of Directors of the Company determines, in its good-faith business judgment, that such qualification is inconsistent with the best interests of the Company. The Company shall submit to its stockholders (including the Investors) and to the Internal Revenue Service any reports that may be required under Section 1202(d)(l)(C) of the Code and the regulations promulgated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7" w:name="page238"/>
    <w:bookmarkEnd w:id="237"/>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80"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Matters Requiring Approval of the Investors</w:t>
      </w:r>
      <w:r>
        <w:rPr>
          <w:rFonts w:ascii="Arial" w:cs="Arial" w:eastAsia="Arial" w:hAnsi="Arial"/>
          <w:sz w:val="18"/>
          <w:szCs w:val="18"/>
          <w:color w:val="auto"/>
        </w:rPr>
        <w:t>. So long as the Investors hold, in the aggregate, at least ten percent (10%) of the Registrible Securities (subject to appropriate adjustment in the event of any stock dividend, stock split, combination or other similar recapitalization with respect to the Common Stock), the Company hereby covenants and agrees with each of the Investors that it shall not, either directly or indirectly by amendment, merger, consolidation or otherwise, do any of the following without the written consent of the holders of at least a majority of the shares of Registrable Securities then outstanding:</w:t>
      </w:r>
    </w:p>
    <w:p>
      <w:pPr>
        <w:spacing w:after="0" w:line="80" w:lineRule="exact"/>
        <w:rPr>
          <w:sz w:val="20"/>
          <w:szCs w:val="20"/>
          <w:color w:val="auto"/>
        </w:rPr>
      </w:pPr>
    </w:p>
    <w:p>
      <w:pPr>
        <w:ind w:left="1680" w:hanging="252"/>
        <w:spacing w:after="0"/>
        <w:tabs>
          <w:tab w:leader="none" w:pos="1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liquidate, dissolve or wind-up the business and affairs of the Company or (ii) consent to any of the foregoing;</w:t>
      </w:r>
    </w:p>
    <w:p>
      <w:pPr>
        <w:spacing w:after="0" w:line="117" w:lineRule="exact"/>
        <w:rPr>
          <w:rFonts w:ascii="Arial" w:cs="Arial" w:eastAsia="Arial" w:hAnsi="Arial"/>
          <w:sz w:val="18"/>
          <w:szCs w:val="18"/>
          <w:color w:val="auto"/>
        </w:rPr>
      </w:pPr>
    </w:p>
    <w:p>
      <w:pPr>
        <w:ind w:right="460" w:firstLine="1428"/>
        <w:spacing w:after="0" w:line="277" w:lineRule="auto"/>
        <w:tabs>
          <w:tab w:leader="none" w:pos="168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amend, alter or repeal any prov1s10n of the Certificate of Incorporation or Bylaws of the Company in a manner that would significantly and adversely affect the rights of the Investors; or</w:t>
      </w:r>
    </w:p>
    <w:p>
      <w:pPr>
        <w:spacing w:after="0" w:line="62" w:lineRule="exact"/>
        <w:rPr>
          <w:rFonts w:ascii="Arial" w:cs="Arial" w:eastAsia="Arial" w:hAnsi="Arial"/>
          <w:sz w:val="18"/>
          <w:szCs w:val="18"/>
          <w:color w:val="auto"/>
        </w:rPr>
      </w:pPr>
    </w:p>
    <w:p>
      <w:pPr>
        <w:ind w:right="220" w:firstLine="1428"/>
        <w:spacing w:after="0" w:line="263" w:lineRule="auto"/>
        <w:tabs>
          <w:tab w:leader="none" w:pos="167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create, or authorize the creation of, or issue or obligate itself to issue shares of, any additional class or series of capital stock of the Company which, by their respective terms, are senior to the Common Stock as to dividend rights and/or rights on liquidation, dissolution and winding up of the Company.</w:t>
      </w:r>
    </w:p>
    <w:p>
      <w:pPr>
        <w:spacing w:after="0" w:line="76" w:lineRule="exact"/>
        <w:rPr>
          <w:sz w:val="20"/>
          <w:szCs w:val="20"/>
          <w:color w:val="auto"/>
        </w:rPr>
      </w:pPr>
    </w:p>
    <w:p>
      <w:pPr>
        <w:ind w:right="40" w:firstLine="1432"/>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Board Matters</w:t>
      </w:r>
      <w:r>
        <w:rPr>
          <w:rFonts w:ascii="Arial" w:cs="Arial" w:eastAsia="Arial" w:hAnsi="Arial"/>
          <w:sz w:val="18"/>
          <w:szCs w:val="18"/>
          <w:color w:val="auto"/>
        </w:rPr>
        <w:t>. Unless otherwise determined by the vote of a majority of the directors then in office, the Board of Directors shall meet at least quarterly in accordance with an agreed-upon schedule.</w:t>
      </w:r>
    </w:p>
    <w:p>
      <w:pPr>
        <w:spacing w:after="0" w:line="62" w:lineRule="exact"/>
        <w:rPr>
          <w:sz w:val="20"/>
          <w:szCs w:val="20"/>
          <w:color w:val="auto"/>
        </w:rPr>
      </w:pPr>
    </w:p>
    <w:p>
      <w:pPr>
        <w:ind w:right="40" w:firstLine="1432"/>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maybe.</w:t>
      </w:r>
    </w:p>
    <w:p>
      <w:pPr>
        <w:spacing w:after="0" w:line="80" w:lineRule="exact"/>
        <w:rPr>
          <w:sz w:val="20"/>
          <w:szCs w:val="20"/>
          <w:color w:val="auto"/>
        </w:rPr>
      </w:pPr>
    </w:p>
    <w:p>
      <w:pPr>
        <w:ind w:firstLine="1432"/>
        <w:spacing w:after="0" w:line="279" w:lineRule="auto"/>
        <w:rPr>
          <w:sz w:val="20"/>
          <w:szCs w:val="20"/>
          <w:color w:val="auto"/>
        </w:rPr>
      </w:pPr>
      <w:r>
        <w:rPr>
          <w:rFonts w:ascii="Arial" w:cs="Arial" w:eastAsia="Arial" w:hAnsi="Arial"/>
          <w:sz w:val="17"/>
          <w:szCs w:val="17"/>
          <w:color w:val="auto"/>
        </w:rPr>
        <w:t xml:space="preserve">5 .8 </w:t>
      </w:r>
      <w:r>
        <w:rPr>
          <w:rFonts w:ascii="Arial" w:cs="Arial" w:eastAsia="Arial" w:hAnsi="Arial"/>
          <w:sz w:val="17"/>
          <w:szCs w:val="17"/>
          <w:u w:val="single" w:color="auto"/>
          <w:color w:val="auto"/>
        </w:rPr>
        <w:t>Expenses of Counsel</w:t>
      </w:r>
      <w:r>
        <w:rPr>
          <w:rFonts w:ascii="Arial" w:cs="Arial" w:eastAsia="Arial" w:hAnsi="Arial"/>
          <w:sz w:val="17"/>
          <w:szCs w:val="17"/>
          <w:color w:val="auto"/>
        </w:rPr>
        <w:t xml:space="preserve">. In the event of a transaction which is a Sale of the Company, the reasonable fees and disbursements of one counsel for the Wellington Investors and the Insight Investors </w:t>
      </w:r>
      <w:r>
        <w:rPr>
          <w:rFonts w:ascii="Arial" w:cs="Arial" w:eastAsia="Arial" w:hAnsi="Arial"/>
          <w:sz w:val="17"/>
          <w:szCs w:val="17"/>
          <w:b w:val="1"/>
          <w:bCs w:val="1"/>
          <w:color w:val="auto"/>
        </w:rPr>
        <w:t>(“Investor Counsel”)</w:t>
      </w:r>
      <w:r>
        <w:rPr>
          <w:rFonts w:ascii="Arial" w:cs="Arial" w:eastAsia="Arial" w:hAnsi="Arial"/>
          <w:sz w:val="17"/>
          <w:szCs w:val="17"/>
          <w:color w:val="auto"/>
        </w:rPr>
        <w:t xml:space="preserve"> in an amount not to exceed $25,000, in their capacities as stockholders, shall be borne and paid by the Company. At the outset of considering a transaction which, if consummated would constitute a Sale of the Company, the Company shall obtain the ability to share with the Investor Counsel (and such counsel’s clients)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38" w:name="page239"/>
    <w:bookmarkEnd w:id="23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agreeinent(s) without undue burden to the clients of Investor Counsel.</w:t>
      </w:r>
    </w:p>
    <w:p>
      <w:pPr>
        <w:spacing w:after="0" w:line="71"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FCPA</w:t>
      </w:r>
      <w:r>
        <w:rPr>
          <w:rFonts w:ascii="Arial" w:cs="Arial" w:eastAsia="Arial" w:hAnsi="Arial"/>
          <w:sz w:val="17"/>
          <w:szCs w:val="17"/>
          <w:color w:val="auto"/>
        </w:rPr>
        <w:t xml:space="preserve">.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xml:space="preserve">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 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comply with the FCP A. The Company shall use its best efforts to cause any direct or indirect subsidiary, whether now in existence or formed in the future, to comply in all material respects with all applicable laws.</w:t>
      </w:r>
    </w:p>
    <w:p>
      <w:pPr>
        <w:spacing w:after="0" w:line="74" w:lineRule="exact"/>
        <w:rPr>
          <w:sz w:val="20"/>
          <w:szCs w:val="20"/>
          <w:color w:val="auto"/>
        </w:rPr>
      </w:pPr>
    </w:p>
    <w:p>
      <w:pPr>
        <w:jc w:val="both"/>
        <w:ind w:right="340" w:firstLine="1432"/>
        <w:spacing w:after="0" w:line="263"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Section 5, except for </w:t>
      </w:r>
      <w:r>
        <w:rPr>
          <w:rFonts w:ascii="Arial" w:cs="Arial" w:eastAsia="Arial" w:hAnsi="Arial"/>
          <w:sz w:val="18"/>
          <w:szCs w:val="18"/>
          <w:u w:val="single" w:color="auto"/>
          <w:color w:val="auto"/>
        </w:rPr>
        <w:t>Subsection 5.7</w:t>
      </w:r>
      <w:r>
        <w:rPr>
          <w:rFonts w:ascii="Arial" w:cs="Arial" w:eastAsia="Arial" w:hAnsi="Arial"/>
          <w:sz w:val="18"/>
          <w:szCs w:val="18"/>
          <w:color w:val="auto"/>
        </w:rPr>
        <w:t>, shall terminate and be of no further force or effect (i) immediately before the consummation of the IPO or (ii) when the Company first becomes subject to the periodic reporting requirements of Section 12(g) or 15(d) of the Exchange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39" w:name="page240"/>
    <w:bookmarkEnd w:id="239"/>
    <w:p>
      <w:pPr>
        <w:ind w:left="624" w:hanging="184"/>
        <w:spacing w:after="0"/>
        <w:tabs>
          <w:tab w:leader="none" w:pos="62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left="4" w:firstLine="1432"/>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rights under this Agreement may be assigned (but only with all related obligations) by a Holder to a transferee of Registrable Securities that (i) is an Affiliate of a Holder; (ii) is Holder’s Immediate Family Member or a trust for the benefit of an individual Holder or one or more of such Holder’s Immediate Family Members; or (iii) after such transfer, holds at least 300,000 shares of Registrable Securities (subject to appropriate adjustments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 w:lineRule="exact"/>
        <w:rPr>
          <w:sz w:val="20"/>
          <w:szCs w:val="20"/>
          <w:color w:val="auto"/>
        </w:rPr>
      </w:pPr>
    </w:p>
    <w:p>
      <w:pPr>
        <w:ind w:left="4" w:right="120" w:hanging="4"/>
        <w:spacing w:after="0" w:line="267" w:lineRule="auto"/>
        <w:tabs>
          <w:tab w:leader="none" w:pos="25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For the purposes of determining the number of shares of Registrable Securities held by a transferee, the holdings of a transferee (1) that is an Affiliate or stockholder of a Holder; (2) who is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78"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internal law of the State of Delaware.</w:t>
      </w:r>
    </w:p>
    <w:p>
      <w:pPr>
        <w:spacing w:after="0" w:line="117" w:lineRule="exact"/>
        <w:rPr>
          <w:sz w:val="20"/>
          <w:szCs w:val="20"/>
          <w:color w:val="auto"/>
        </w:rPr>
      </w:pPr>
    </w:p>
    <w:p>
      <w:pPr>
        <w:ind w:left="4" w:firstLine="1432"/>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xml:space="preserve"> www.docusign.com) or other transmission method and any counterpart so delivered shall be deemed to have been duly and validly delivered and be valid and effective for all purposes.</w:t>
      </w:r>
    </w:p>
    <w:p>
      <w:pPr>
        <w:spacing w:after="0" w:line="63" w:lineRule="exact"/>
        <w:rPr>
          <w:sz w:val="20"/>
          <w:szCs w:val="20"/>
          <w:color w:val="auto"/>
        </w:rPr>
      </w:pPr>
    </w:p>
    <w:p>
      <w:pPr>
        <w:ind w:left="4" w:right="420" w:firstLine="1432"/>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40" w:name="page241"/>
    <w:bookmarkEnd w:id="240"/>
    <w:p>
      <w:pPr>
        <w:ind w:left="4" w:firstLine="1432"/>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w:t>
      </w:r>
    </w:p>
    <w:p>
      <w:pPr>
        <w:spacing w:after="0" w:line="2" w:lineRule="exact"/>
        <w:rPr>
          <w:sz w:val="20"/>
          <w:szCs w:val="20"/>
          <w:color w:val="auto"/>
        </w:rPr>
      </w:pPr>
    </w:p>
    <w:p>
      <w:pPr>
        <w:ind w:left="4" w:right="80" w:hanging="4"/>
        <w:spacing w:after="0" w:line="281" w:lineRule="auto"/>
        <w:tabs>
          <w:tab w:leader="none" w:pos="25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 If notice is given to the Company, a copy (which shall not constitute notice) shall also be sent to Wyrick Robbins Yates &amp; Ponton LLP, 4101 Lake Boone Trail, Suite 300, Raleigh, NC 27607, Attn: Todd H. Eveson, telephone:</w:t>
      </w:r>
    </w:p>
    <w:p>
      <w:pPr>
        <w:spacing w:after="0" w:line="3" w:lineRule="exact"/>
        <w:rPr>
          <w:rFonts w:ascii="Arial" w:cs="Arial" w:eastAsia="Arial" w:hAnsi="Arial"/>
          <w:sz w:val="16"/>
          <w:szCs w:val="16"/>
          <w:color w:val="auto"/>
        </w:rPr>
      </w:pPr>
    </w:p>
    <w:p>
      <w:pPr>
        <w:ind w:left="4" w:right="380" w:hanging="4"/>
        <w:spacing w:after="0" w:line="281" w:lineRule="auto"/>
        <w:tabs>
          <w:tab w:leader="none" w:pos="43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781-4000, fax: (919) 781-4865, email: </w:t>
      </w:r>
      <w:r>
        <w:rPr>
          <w:rFonts w:ascii="Arial" w:cs="Arial" w:eastAsia="Arial" w:hAnsi="Arial"/>
          <w:sz w:val="16"/>
          <w:szCs w:val="16"/>
          <w:u w:val="single" w:color="auto"/>
          <w:color w:val="auto"/>
        </w:rPr>
        <w:t>teveson@wyrick.com</w:t>
      </w:r>
      <w:r>
        <w:rPr>
          <w:rFonts w:ascii="Arial" w:cs="Arial" w:eastAsia="Arial" w:hAnsi="Arial"/>
          <w:sz w:val="16"/>
          <w:szCs w:val="16"/>
          <w:color w:val="auto"/>
        </w:rPr>
        <w:t>, if notice is given to the Wellington Investors, a copy (which shall not constitute notice) shall also be given to Greenberg Traurig, LLP, One International Place, Boston, MA 02110, Attn: Bradley A. Jacobson, telephone:</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xml:space="preserve">617-310-6000, fax: 617-279-8402, e-mail: </w:t>
      </w:r>
      <w:r>
        <w:rPr>
          <w:rFonts w:ascii="Arial" w:cs="Arial" w:eastAsia="Arial" w:hAnsi="Arial"/>
          <w:sz w:val="16"/>
          <w:szCs w:val="16"/>
          <w:u w:val="single" w:color="auto"/>
          <w:color w:val="auto"/>
        </w:rPr>
        <w:t>jacobsonb@gtlaw.com</w:t>
      </w:r>
      <w:r>
        <w:rPr>
          <w:rFonts w:ascii="Arial" w:cs="Arial" w:eastAsia="Arial" w:hAnsi="Arial"/>
          <w:sz w:val="16"/>
          <w:szCs w:val="16"/>
          <w:color w:val="auto"/>
        </w:rPr>
        <w:t>, if notice is given to the Insight Investors, a copy (which shall not constitute notice)</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shall also be given to Willkie Farr &amp; Gallagher LLP, 787 Seventh Avenue, New York, NY 10019, Attention: Morgan D. Elwyn, telephone: (212)</w:t>
      </w:r>
    </w:p>
    <w:p>
      <w:pPr>
        <w:spacing w:after="0" w:line="2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xml:space="preserve">728-8981, fax: (212) 728-8111, email: </w:t>
      </w:r>
      <w:r>
        <w:rPr>
          <w:rFonts w:ascii="Arial" w:cs="Arial" w:eastAsia="Arial" w:hAnsi="Arial"/>
          <w:sz w:val="16"/>
          <w:szCs w:val="16"/>
          <w:u w:val="single" w:color="auto"/>
          <w:color w:val="auto"/>
        </w:rPr>
        <w:t>melwyn@willkie.com</w:t>
      </w:r>
      <w:r>
        <w:rPr>
          <w:rFonts w:ascii="Arial" w:cs="Arial" w:eastAsia="Arial" w:hAnsi="Arial"/>
          <w:sz w:val="16"/>
          <w:szCs w:val="16"/>
          <w:color w:val="auto"/>
        </w:rPr>
        <w:t>, if notice is given to SunTrust Banks, Inc., a copy (which shall not constitute notice) shall</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also be given to SunTrust Banks, Inc., 303 Peachtree Street, Suite 3600, Atlanta, GA 30308, Attention: Curt Phillips, telephone: 404-588-8522, fax:</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xml:space="preserve">404-230-5387, email: </w:t>
      </w:r>
      <w:r>
        <w:rPr>
          <w:rFonts w:ascii="Arial" w:cs="Arial" w:eastAsia="Arial" w:hAnsi="Arial"/>
          <w:sz w:val="16"/>
          <w:szCs w:val="16"/>
          <w:u w:val="single" w:color="auto"/>
          <w:color w:val="auto"/>
        </w:rPr>
        <w:t>curt.phillips@suntrust.com</w:t>
      </w:r>
      <w:r>
        <w:rPr>
          <w:rFonts w:ascii="Arial" w:cs="Arial" w:eastAsia="Arial" w:hAnsi="Arial"/>
          <w:sz w:val="16"/>
          <w:szCs w:val="16"/>
          <w:color w:val="auto"/>
        </w:rPr>
        <w:t>, and if notice is given to salesforce.com, a copy (which shall not constitute notice) shall also be given</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to Cooley LLP, 101 California Street, 5th Floor, San Francisco, CA 94111, Attention: Matt Roberts, telephone: (415) 693-2112, fax: (415) 693-2222,</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email: mroberts@cooley.com.</w:t>
      </w:r>
    </w:p>
    <w:p>
      <w:pPr>
        <w:spacing w:after="0" w:line="103" w:lineRule="exact"/>
        <w:rPr>
          <w:sz w:val="20"/>
          <w:szCs w:val="20"/>
          <w:color w:val="auto"/>
        </w:rPr>
      </w:pPr>
    </w:p>
    <w:p>
      <w:pPr>
        <w:ind w:left="4" w:right="20" w:firstLine="1432"/>
        <w:spacing w:after="0" w:line="28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that is explicitly applicable to Wellington Investors and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may only be waived or amended with the written consent of the Wellington Investors then holding the majority of the Registrable Securities held by all Wellington Investors together;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that is explicitly applicable to Insight Investors and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may only be waived or amended with the written consent of the Insight Investors then holding the majority of the Registrable Securities held by all Insight Investors together;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41" w:name="page242"/>
    <w:bookmarkEnd w:id="24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the fact that certain Investors may nonetheless, by agreement with the Company, purchase securities in such transaction).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53" w:lineRule="exact"/>
        <w:rPr>
          <w:sz w:val="20"/>
          <w:szCs w:val="20"/>
          <w:color w:val="auto"/>
        </w:rPr>
      </w:pPr>
    </w:p>
    <w:p>
      <w:pPr>
        <w:jc w:val="both"/>
        <w:ind w:right="140" w:firstLine="1428"/>
        <w:spacing w:after="0" w:line="259" w:lineRule="auto"/>
        <w:tabs>
          <w:tab w:leader="none" w:pos="161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79" w:lineRule="exact"/>
        <w:rPr>
          <w:sz w:val="20"/>
          <w:szCs w:val="20"/>
          <w:color w:val="auto"/>
        </w:rPr>
      </w:pPr>
    </w:p>
    <w:p>
      <w:pPr>
        <w:ind w:right="120" w:firstLine="1432"/>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76" w:lineRule="exact"/>
        <w:rPr>
          <w:sz w:val="20"/>
          <w:szCs w:val="20"/>
          <w:color w:val="auto"/>
        </w:rPr>
      </w:pPr>
    </w:p>
    <w:p>
      <w:pPr>
        <w:ind w:right="20" w:firstLine="1432"/>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For the purposes of clarity, the parties agree that in the event of any confict between the provisions of this Agreement and the December IRA, the respective provisions of this Agreement shall control.</w:t>
      </w:r>
    </w:p>
    <w:p>
      <w:pPr>
        <w:spacing w:after="0" w:line="63" w:lineRule="exact"/>
        <w:rPr>
          <w:sz w:val="20"/>
          <w:szCs w:val="20"/>
          <w:color w:val="auto"/>
        </w:rPr>
      </w:pPr>
    </w:p>
    <w:p>
      <w:pPr>
        <w:ind w:right="60" w:firstLine="1432"/>
        <w:spacing w:after="0" w:line="25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non-exclusive jurisdiction of the state courts of North Carolina and to the non-exclusive jurisdiction of the United States District Court for the Eastern District of North Carolina for the purpose of any suit, action or other proceeding arising out of or based upon this Agreement, and (b)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(AS DEFINED IN THE PURCHASE AGREEMENT), THE REGISTRABLE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42" w:name="page243"/>
    <w:bookmarkEnd w:id="242"/>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8"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The prevailing party shall be entitled to reasonable attorney’s fees, costs, and necessary disbursements in addition to any other relief to which such party may be entitled.</w:t>
      </w:r>
    </w:p>
    <w:p>
      <w:pPr>
        <w:spacing w:after="0" w:line="62" w:lineRule="exact"/>
        <w:rPr>
          <w:sz w:val="20"/>
          <w:szCs w:val="20"/>
          <w:color w:val="auto"/>
        </w:rPr>
      </w:pPr>
    </w:p>
    <w:p>
      <w:pPr>
        <w:ind w:right="20" w:firstLine="1432"/>
        <w:spacing w:after="0" w:line="29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53" w:lineRule="exact"/>
        <w:rPr>
          <w:sz w:val="20"/>
          <w:szCs w:val="20"/>
          <w:color w:val="auto"/>
        </w:rPr>
      </w:pPr>
    </w:p>
    <w:p>
      <w:pPr>
        <w:ind w:firstLine="1432"/>
        <w:spacing w:after="0" w:line="29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Acknowledgment</w:t>
      </w:r>
      <w:r>
        <w:rPr>
          <w:rFonts w:ascii="Arial" w:cs="Arial" w:eastAsia="Arial" w:hAnsi="Arial"/>
          <w:sz w:val="16"/>
          <w:szCs w:val="16"/>
          <w:color w:val="auto"/>
        </w:rPr>
        <w:t>. The Company acknowledges that the Investors and/or such Investors’ investment advisers are in the business of making, selecting and/or managing venture capital and other investments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and/or such Investors’ investment advisers from investing or participating in any particular enterprise whether or not such enterprise has products or services which compete with those of the Company.</w:t>
      </w:r>
    </w:p>
    <w:p>
      <w:pPr>
        <w:spacing w:after="0" w:line="53" w:lineRule="exact"/>
        <w:rPr>
          <w:sz w:val="20"/>
          <w:szCs w:val="20"/>
          <w:color w:val="auto"/>
        </w:rPr>
      </w:pPr>
    </w:p>
    <w:p>
      <w:pPr>
        <w:ind w:right="140" w:firstLine="1432"/>
        <w:spacing w:after="0" w:line="273"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Common Stock after the date hereof pursuant to the Purchase Agreement, any purchaser of such shares of Common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Immediately thereafter, Schedule A to this Agreement will be amended to list the new Investors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43" w:name="page244"/>
    <w:bookmarkEnd w:id="2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Agreement as of the date first written above.</w:t>
      </w: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NCINO, INC.</w:t>
      </w:r>
    </w:p>
    <w:p>
      <w:pPr>
        <w:spacing w:after="0" w:line="229"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Pierre Naude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22225</wp:posOffset>
            </wp:positionV>
            <wp:extent cx="24257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Pierre Naude</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6"/>
          <w:szCs w:val="16"/>
          <w:color w:val="auto"/>
        </w:rPr>
        <w:t>Title:</w:t>
        <w:tab/>
        <w:t>President &amp; CEO</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039"/>
          </w:cols>
          <w:pgMar w:left="1420" w:top="274" w:right="1440"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Ithan Creek Master Investors (Cayman)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Wellington Management Company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Emily D. Babalas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Emily D. Babalas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 and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Wolf Creek Investors (Bermuda)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Wellington Management Company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Emily D. Babalas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Emily D. Babalas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 and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Wolf Creek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Wellington Management Company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Emily D. Babalas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Emily D. Babalas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 and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 Pond Investors (Bermuda)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Wellington Management Company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Emily D. Babalas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Emily D. Babalas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 and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 Pond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Wellington Management Company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Emily D. Babalas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Emily D. Babalas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 and Counsel</w:t>
      </w:r>
    </w:p>
    <w:p>
      <w:pPr>
        <w:spacing w:after="0" w:line="211" w:lineRule="exact"/>
        <w:rPr>
          <w:sz w:val="20"/>
          <w:szCs w:val="20"/>
          <w:color w:val="auto"/>
        </w:rPr>
      </w:pPr>
    </w:p>
    <w:p>
      <w:pPr>
        <w:jc w:val="right"/>
        <w:ind w:right="22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INSIGHT VENTURE PARTNERS IX, L.P.</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VENTURE PARTNERS (CAYMAN) IX, L.P.</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11" w:lineRule="exact"/>
        <w:rPr>
          <w:sz w:val="20"/>
          <w:szCs w:val="20"/>
          <w:color w:val="auto"/>
        </w:rPr>
      </w:pPr>
    </w:p>
    <w:p>
      <w:pPr>
        <w:jc w:val="right"/>
        <w:ind w:right="22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INSIGHT VENTURE PARTNERS (CO-INVESTORS)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bl>
    <w:p>
      <w:pPr>
        <w:spacing w:after="0" w:line="2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Blair Flicker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11" w:lineRule="exact"/>
        <w:rPr>
          <w:sz w:val="20"/>
          <w:szCs w:val="20"/>
          <w:color w:val="auto"/>
        </w:rPr>
      </w:pPr>
    </w:p>
    <w:p>
      <w:pPr>
        <w:jc w:val="right"/>
        <w:ind w:right="22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47" w:name="page248"/>
    <w:bookmarkEnd w:id="24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SUNTRUST BANKS,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Blumberg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Richard Blumberg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303 Peachtree Street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29th Floor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Attn: Richard Blumberg</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Tel. 404-724-3353</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Fax. 404-214-8632</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Richard.blumberg@suntrust.com</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248" w:name="page249"/>
    <w:bookmarkEnd w:id="248"/>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3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Investors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Entity Name and Address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Ithan Creek Master Investors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Wolf Creek Investors (Bermuda)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Wolf Creek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Bay Pond Investors (Bermuda)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Bay Pond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ectPr>
          <w:pgSz w:w="11900" w:h="16838" w:orient="portrait"/>
          <w:cols w:equalWidth="0" w:num="1">
            <w:col w:w="10019"/>
          </w:cols>
          <w:pgMar w:left="440" w:top="270" w:right="1440"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Insight Venture Partners IX,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1114 A venue of the Americas 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(Cayman) IX,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 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(Co-Investors) IX,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 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SunTrust Banks,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Richard Blumberg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404- 724-3353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404-214-8632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Richard.blumberg@suntrust.com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salesforce.com,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Landmark @ One Market Street, Suite 300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w:t>
      </w:r>
    </w:p>
    <w:p>
      <w:pPr>
        <w:sectPr>
          <w:pgSz w:w="11900" w:h="16838" w:orient="portrait"/>
          <w:cols w:equalWidth="0" w:num="1">
            <w:col w:w="10019"/>
          </w:cols>
          <w:pgMar w:left="440" w:top="274"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PLAN</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2014 OMNIBUS STOCK OWNERSHIP AND LONG TERM INCENTIVE PLAN (the “Plan”) of nCino, Inc. (the “Company”), a Delaware corporation with its principal office in New Hanover County, North Carolina sets forth the terms and conditions under which Incentive Stock Options, Non-Qualified Stock Options, Restricted Stock, Stock Appreciation Rights, and/or Units may be granted from time to time to Eligible Employees, Participants and Directors, subject to the following provisions: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terms shall have the meanings set forth below. Additional terms defined in this Plan shall have the meanings ascribed to them when first used herein.</w:t>
      </w:r>
    </w:p>
    <w:p>
      <w:pPr>
        <w:spacing w:after="0" w:line="166"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u w:val="single" w:color="auto"/>
          <w:color w:val="auto"/>
        </w:rPr>
        <w:t>Annual Vesting Amount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calendar year, the aggregate fair market value of stock subject to ISOs that are first exercisable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such calendar year for any Optionee, which may not exceed $100,000. The aggregate fair market value of stock with respect to which ISOs are first exercisable during any calendar year shall be determined by taking into account all ISOs granted to such person under all incentive stock options plans of the Company or of any Subsidiary.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Base Value</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Market Value of a share of Common Stock on the date of issuance of a SAR.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nCino,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u w:val="single" w:color="auto"/>
          <w:color w:val="auto"/>
        </w:rPr>
        <w:t>Change in Control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transaction that would be deemed a “change in control event” pursuant to Section 409A of the Code.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The Internal Revenue Code of 1986, as amended, together with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of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Common Stock of the Company, par value $0.001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nCino,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death of an individual who has received Rights as established by the relevant death certificate.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the Board of Directors of any Subsidiary.</w:t>
      </w:r>
    </w:p>
    <w:p>
      <w:pPr>
        <w:sectPr>
          <w:pgSz w:w="11900" w:h="16838" w:orient="portrait"/>
          <w:cols w:equalWidth="0" w:num="1">
            <w:col w:w="11020"/>
          </w:cols>
          <w:pgMar w:left="440" w:top="121" w:right="439" w:bottom="1440" w:gutter="0" w:footer="0" w:header="0"/>
        </w:sectPr>
      </w:pPr>
    </w:p>
    <w:bookmarkStart w:id="251" w:name="page252"/>
    <w:bookmarkEnd w:id="251"/>
    <w:p>
      <w:pPr>
        <w:ind w:left="44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Disability</w:t>
      </w:r>
      <w:r>
        <w:rPr>
          <w:rFonts w:ascii="Arial" w:cs="Arial" w:eastAsia="Arial" w:hAnsi="Arial"/>
          <w:sz w:val="17"/>
          <w:szCs w:val="17"/>
          <w:color w:val="auto"/>
        </w:rPr>
        <w:t>. The date on which an individual who has received Rights becomes permanently and totally disabled within the meaning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Section 22(e)(3) of the Code, which shall be determined by the Committee on the basis of such medical or other evidence as it may reasonably require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deem appropriate.</w:t>
      </w:r>
    </w:p>
    <w:p>
      <w:pPr>
        <w:spacing w:after="0" w:line="20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u w:val="single" w:color="auto"/>
          <w:color w:val="auto"/>
        </w:rPr>
        <w:t>Distribution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March 15th in the year of distribution of a Retained Unit in cash or Stock under Article V (or the first business day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 in the case of special distributions, the Distribution Date shall be the first business day of the month in which the Committee determines the amount and form of the distribution.</w:t>
      </w:r>
    </w:p>
    <w:p>
      <w:pPr>
        <w:spacing w:after="0" w:line="17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u w:val="single" w:color="auto"/>
          <w:color w:val="auto"/>
        </w:rPr>
        <w:t>Dividend Equivalent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An amount equal to the dividend payable on one share of Common Stock determined and credited on the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date to each Unit Recipient’s account for each Unit which has been awarded to the Unit Recipient and not converted to a Retained Unit or canceled.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Dividend Equivalent Unit</w:t>
      </w:r>
      <w:r>
        <w:rPr>
          <w:rFonts w:ascii="Arial" w:cs="Arial" w:eastAsia="Arial" w:hAnsi="Arial"/>
          <w:sz w:val="18"/>
          <w:szCs w:val="18"/>
          <w:b w:val="1"/>
          <w:bCs w:val="1"/>
          <w:color w:val="auto"/>
        </w:rPr>
        <w:t xml:space="preserve">. </w:t>
      </w:r>
      <w:r>
        <w:rPr>
          <w:rFonts w:ascii="Arial" w:cs="Arial" w:eastAsia="Arial" w:hAnsi="Arial"/>
          <w:sz w:val="18"/>
          <w:szCs w:val="18"/>
          <w:color w:val="auto"/>
        </w:rPr>
        <w:t>A Unit awarded pursuant to a Dividend Equivalent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as of which this Plan is effective, which shall be the date it is adopted by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Eligible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Those individuals who meet the following eligibility requirements:</w:t>
      </w:r>
    </w:p>
    <w:p>
      <w:pPr>
        <w:spacing w:after="0" w:line="256" w:lineRule="exact"/>
        <w:rPr>
          <w:sz w:val="20"/>
          <w:szCs w:val="20"/>
          <w:color w:val="auto"/>
        </w:rPr>
      </w:pPr>
    </w:p>
    <w:p>
      <w:pPr>
        <w:ind w:left="960" w:right="80" w:hanging="532"/>
        <w:spacing w:after="0" w:line="279" w:lineRule="auto"/>
        <w:tabs>
          <w:tab w:leader="none" w:pos="9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Such individual must be a full time employee of the Company or a Subsidiary. For this purpose, an individual shall be considered to be an “employee” only if there exists between the Company or a Subsidiary and the individual the legal and bona fide relationship of employer and employee. In determining whether such relationship exists, the regulations of the United States Treasury Department relating to the determination of such relationship for the purpose of collection of income tax at the source on wages shall be applied.</w:t>
      </w:r>
    </w:p>
    <w:p>
      <w:pPr>
        <w:spacing w:after="0" w:line="76" w:lineRule="exact"/>
        <w:rPr>
          <w:rFonts w:ascii="Arial" w:cs="Arial" w:eastAsia="Arial" w:hAnsi="Arial"/>
          <w:sz w:val="17"/>
          <w:szCs w:val="17"/>
          <w:color w:val="auto"/>
        </w:rPr>
      </w:pPr>
    </w:p>
    <w:p>
      <w:pPr>
        <w:ind w:left="960" w:hanging="532"/>
        <w:spacing w:after="0"/>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Such individual is identified by the Committee as an employee who is in a position to contribute to the long-term success of the Company.</w:t>
      </w:r>
    </w:p>
    <w:p>
      <w:pPr>
        <w:spacing w:after="0" w:line="153" w:lineRule="exact"/>
        <w:rPr>
          <w:rFonts w:ascii="Arial" w:cs="Arial" w:eastAsia="Arial" w:hAnsi="Arial"/>
          <w:sz w:val="16"/>
          <w:szCs w:val="16"/>
          <w:color w:val="auto"/>
        </w:rPr>
      </w:pPr>
    </w:p>
    <w:p>
      <w:pPr>
        <w:ind w:left="960" w:right="280" w:hanging="532"/>
        <w:spacing w:after="0" w:line="342" w:lineRule="auto"/>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Registration shall not have occurred, such individual must have such knowledge and experience in financial and business matters that he or she is capable of evaluating the merits and risks of the investment involved in the receipt and/or exercise of a Right.</w:t>
      </w:r>
    </w:p>
    <w:p>
      <w:pPr>
        <w:spacing w:after="0" w:line="29" w:lineRule="exact"/>
        <w:rPr>
          <w:rFonts w:ascii="Arial" w:cs="Arial" w:eastAsia="Arial" w:hAnsi="Arial"/>
          <w:sz w:val="16"/>
          <w:szCs w:val="16"/>
          <w:color w:val="auto"/>
        </w:rPr>
      </w:pPr>
    </w:p>
    <w:p>
      <w:pPr>
        <w:ind w:left="960" w:right="140" w:hanging="532"/>
        <w:spacing w:after="0" w:line="27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Such individual, being otherwise an Eligible Employee under the foregoing items, shall have been selected by the Committee as a person to whom a Right or Rights shall be granted under the Plan.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price at which an Option may be exercised.</w:t>
      </w:r>
    </w:p>
    <w:p>
      <w:pPr>
        <w:sectPr>
          <w:pgSz w:w="11900" w:h="16838" w:orient="portrait"/>
          <w:cols w:equalWidth="0" w:num="1">
            <w:col w:w="10980"/>
          </w:cols>
          <w:pgMar w:left="440" w:top="270" w:right="479" w:bottom="1440" w:gutter="0" w:footer="0" w:header="0"/>
        </w:sectPr>
      </w:pPr>
    </w:p>
    <w:bookmarkStart w:id="252" w:name="page253"/>
    <w:bookmarkEnd w:id="252"/>
    <w:p>
      <w:pPr>
        <w:ind w:right="60" w:firstLine="440"/>
        <w:spacing w:after="0" w:line="266"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Company’s Common Stock, the market price per share of such Common Stock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consistent with the requirements of Section 422 of the Code and to the extent consistent therewith, as follows, as of the date specified in the context within which such term is used:</w:t>
      </w:r>
    </w:p>
    <w:p>
      <w:pPr>
        <w:spacing w:after="0" w:line="85" w:lineRule="exact"/>
        <w:rPr>
          <w:sz w:val="20"/>
          <w:szCs w:val="20"/>
          <w:color w:val="auto"/>
        </w:rPr>
      </w:pPr>
    </w:p>
    <w:p>
      <w:pPr>
        <w:ind w:left="960" w:right="100" w:hanging="532"/>
        <w:spacing w:after="0" w:line="27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Common Stock was traded on a stock exchange on the date as of which such determination is made, then the Fair Market Value will be equal to the closing price reported by the applicable composite-transactions report for such date;</w:t>
      </w:r>
    </w:p>
    <w:p>
      <w:pPr>
        <w:spacing w:after="0" w:line="75" w:lineRule="exact"/>
        <w:rPr>
          <w:rFonts w:ascii="Arial" w:cs="Arial" w:eastAsia="Arial" w:hAnsi="Arial"/>
          <w:sz w:val="18"/>
          <w:szCs w:val="18"/>
          <w:color w:val="auto"/>
        </w:rPr>
      </w:pPr>
    </w:p>
    <w:p>
      <w:pPr>
        <w:ind w:left="960" w:right="140" w:hanging="532"/>
        <w:spacing w:after="0" w:line="25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on the date as of which such determination is made, quotations for the Common Stock are regularly listed on the NASDAQ system or another comparable system, the fair market value of a share of Common Stock shall be deemed to be equal to the closing price for the Common Stock quoted on such system for the trading date as of the date as of which such determination is made; and if a closing price is not available for such date, then the fair market value shall be equal to the closing price on the most recent trading day for which such a price is available;</w:t>
      </w:r>
    </w:p>
    <w:p>
      <w:pPr>
        <w:spacing w:after="0" w:line="93"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no such quotations are available, the fair market value of a share of Common Stock shall be deemed to be the average of the closing bid and asked prices furnished by a professional securities dealer making a market in such shares, as selected by the Committee, for the trading date first preceding the date as of which such determination is made; and</w:t>
      </w:r>
    </w:p>
    <w:p>
      <w:pPr>
        <w:spacing w:after="0" w:line="89" w:lineRule="exact"/>
        <w:rPr>
          <w:rFonts w:ascii="Arial" w:cs="Arial" w:eastAsia="Arial" w:hAnsi="Arial"/>
          <w:sz w:val="18"/>
          <w:szCs w:val="18"/>
          <w:color w:val="auto"/>
        </w:rPr>
      </w:pPr>
    </w:p>
    <w:p>
      <w:pPr>
        <w:ind w:left="960" w:right="80" w:hanging="532"/>
        <w:spacing w:after="0" w:line="286" w:lineRule="auto"/>
        <w:tabs>
          <w:tab w:leader="none" w:pos="9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the Committee determines that the price as determined above does not represent the fair market value of a share of Common Stock, the Committee may then consider such other factors as it deems appropriate and then fix the fair market value for the purposes of this Plan. In such case, the Committee shall maintain a written record of its method of determining Fair Market Value.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Holder</w:t>
      </w:r>
      <w:r>
        <w:rPr>
          <w:rFonts w:ascii="Arial" w:cs="Arial" w:eastAsia="Arial" w:hAnsi="Arial"/>
          <w:sz w:val="18"/>
          <w:szCs w:val="18"/>
          <w:b w:val="1"/>
          <w:bCs w:val="1"/>
          <w:color w:val="auto"/>
        </w:rPr>
        <w:t xml:space="preserve">. </w:t>
      </w:r>
      <w:r>
        <w:rPr>
          <w:rFonts w:ascii="Arial" w:cs="Arial" w:eastAsia="Arial" w:hAnsi="Arial"/>
          <w:sz w:val="18"/>
          <w:szCs w:val="18"/>
          <w:color w:val="auto"/>
        </w:rPr>
        <w:t>An individual granted Rights to 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ISO</w:t>
      </w:r>
      <w:r>
        <w:rPr>
          <w:rFonts w:ascii="Arial" w:cs="Arial" w:eastAsia="Arial" w:hAnsi="Arial"/>
          <w:sz w:val="18"/>
          <w:szCs w:val="18"/>
          <w:b w:val="1"/>
          <w:bCs w:val="1"/>
          <w:color w:val="auto"/>
        </w:rPr>
        <w:t xml:space="preserve">. </w:t>
      </w:r>
      <w:r>
        <w:rPr>
          <w:rFonts w:ascii="Arial" w:cs="Arial" w:eastAsia="Arial" w:hAnsi="Arial"/>
          <w:sz w:val="18"/>
          <w:szCs w:val="18"/>
          <w:color w:val="auto"/>
        </w:rPr>
        <w:t>An “incentive stock option” as defined in Section 422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Just Cause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means:</w:t>
      </w:r>
    </w:p>
    <w:p>
      <w:pPr>
        <w:spacing w:after="0" w:line="135" w:lineRule="exact"/>
        <w:rPr>
          <w:sz w:val="20"/>
          <w:szCs w:val="20"/>
          <w:color w:val="auto"/>
        </w:rPr>
      </w:pPr>
    </w:p>
    <w:p>
      <w:pPr>
        <w:ind w:left="960" w:right="80" w:hanging="532"/>
        <w:spacing w:after="0" w:line="301" w:lineRule="auto"/>
        <w:tabs>
          <w:tab w:leader="none" w:pos="9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 respect to the Company or any Subsidiary which employs the recipient of any Rights under the Plan or for which such recipient primarily performs services, the commission by the recipient of an act of fraud, embezzlement, theft or proven dishonesty, or any other illegal act or practice (whether or not resulting in criminal prosecution or conviction), or any act or practice which the Administrator shall, in good faith, deem to have resulted in the recipient’s becoming unbondable under the Company’s or the Subsidiary’s fidelity bond;</w:t>
      </w:r>
    </w:p>
    <w:p>
      <w:pPr>
        <w:sectPr>
          <w:pgSz w:w="11900" w:h="16838" w:orient="portrait"/>
          <w:cols w:equalWidth="0" w:num="1">
            <w:col w:w="11000"/>
          </w:cols>
          <w:pgMar w:left="440" w:top="270" w:right="459" w:bottom="1440" w:gutter="0" w:footer="0" w:header="0"/>
        </w:sectPr>
      </w:pPr>
    </w:p>
    <w:bookmarkStart w:id="253" w:name="page254"/>
    <w:bookmarkEnd w:id="253"/>
    <w:p>
      <w:pPr>
        <w:ind w:left="960" w:hanging="532"/>
        <w:spacing w:after="0" w:line="25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willful engaging by the recipient in misconduct which is deemed by the Administrator, in good faith, to be materially injurious to the Company or any Subsidiary, monetarily or otherwise, including, but not limited to, improperly disclosing trade secrets or other confidential or sensitive business information and data about the Company or any subsidiaries and competing with the Company or its subsidiaries, or soliciting employees, consultants or customers of the Company in violation of law or any employment or other agreement to which the recipient is a party; or</w:t>
      </w:r>
    </w:p>
    <w:p>
      <w:pPr>
        <w:spacing w:after="0" w:line="93"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willful and continued failure or habitual neglect by the recipient to perform his or her duties with the Company or the Subsidiary substantially in accordance with the operating and personnel policies and procedures of the Company or the Subsidiary generally applicable to all their employees. For purposes of this Plan, no act or failure to act by the recipient shall be deemed to be “willful” unless done or omitted to be done by the recipient not in good faith and without reasonable belief that the recipient’s action or omission was in the best interest of the Company and/or the Subsidiary. Notwithstanding the foregoing, if the recipient has entered into an employment agreement that is binding as of the date of employment termination, and if such employment agreement defines “Cause,” then the definition of “Cause” in such agreement shall apply to the recipient in this Plan. “Cause” under either (i), (ii) or (iii) shall be determined by the Administrator.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NASDAQ</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Association of Securities Dealers Automated Quotation System.</w:t>
      </w:r>
    </w:p>
    <w:p>
      <w:pPr>
        <w:spacing w:after="0" w:line="225"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u w:val="single" w:color="auto"/>
          <w:color w:val="auto"/>
        </w:rPr>
        <w:t>Non-Qualified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Option granted under Article III hereof whether designated by the Committee as a Non-Qualified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other than an Option designated by the Committee as an ISO, or any Option so designated but which, for any reason, fails to qualify as an ISO pursuant to Section 422 of the Code and the rules and regulations thereunder.</w:t>
      </w:r>
    </w:p>
    <w:p>
      <w:pPr>
        <w:spacing w:after="0" w:line="176"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u w:val="single" w:color="auto"/>
          <w:color w:val="auto"/>
        </w:rPr>
        <w:t>Option Agreement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between the Company and an Optionee with respect to Options granted to such Optionee, including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provisions as are necessary or appropriate under Article III.</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An individual granted an Option under Article 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u w:val="single" w:color="auto"/>
          <w:color w:val="auto"/>
        </w:rPr>
        <w:t>Option Period</w:t>
      </w:r>
      <w:r>
        <w:rPr>
          <w:rFonts w:ascii="Arial" w:cs="Arial" w:eastAsia="Arial" w:hAnsi="Arial"/>
          <w:sz w:val="16"/>
          <w:szCs w:val="16"/>
          <w:b w:val="1"/>
          <w:bCs w:val="1"/>
          <w:color w:val="auto"/>
        </w:rPr>
        <w:t xml:space="preserve">. </w:t>
      </w:r>
      <w:r>
        <w:rPr>
          <w:rFonts w:ascii="Arial" w:cs="Arial" w:eastAsia="Arial" w:hAnsi="Arial"/>
          <w:sz w:val="16"/>
          <w:szCs w:val="16"/>
          <w:color w:val="auto"/>
        </w:rPr>
        <w:t>The period ending on the expiration date of each Option, which shall not exceed 10 years from the date of grant of the Option.</w:t>
      </w:r>
    </w:p>
    <w:p>
      <w:pPr>
        <w:spacing w:after="0" w:line="248"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ISOs and Non-Qualified Options are collectively referred to herein as “Options;” provided, however, whenever reference is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made only to ISOs or Non- Qualified Options, such reference shall be deemed to be made to the exclusion of the other.</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employee, Director or independent contractor of the Company who has been selected by the Committee to receive a</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Rights under this Plan.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u w:val="single" w:color="auto"/>
          <w:color w:val="auto"/>
        </w:rPr>
        <w:t>Performance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A period of two or more years during which certain criteria must be met in order for Units to be converted into Retained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ectPr>
          <w:pgSz w:w="11900" w:h="16838" w:orient="portrait"/>
          <w:cols w:equalWidth="0" w:num="1">
            <w:col w:w="11000"/>
          </w:cols>
          <w:pgMar w:left="440" w:top="274" w:right="459" w:bottom="1440" w:gutter="0" w:footer="0" w:header="0"/>
        </w:sectPr>
      </w:pPr>
    </w:p>
    <w:bookmarkStart w:id="254" w:name="page255"/>
    <w:bookmarkEnd w:id="254"/>
    <w:p>
      <w:pPr>
        <w:ind w:right="180" w:firstLine="44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Plan Pool</w:t>
      </w:r>
      <w:r>
        <w:rPr>
          <w:rFonts w:ascii="Arial" w:cs="Arial" w:eastAsia="Arial" w:hAnsi="Arial"/>
          <w:sz w:val="18"/>
          <w:szCs w:val="18"/>
          <w:b w:val="1"/>
          <w:bCs w:val="1"/>
          <w:color w:val="auto"/>
        </w:rPr>
        <w:t xml:space="preserve">. </w:t>
      </w:r>
      <w:r>
        <w:rPr>
          <w:rFonts w:ascii="Arial" w:cs="Arial" w:eastAsia="Arial" w:hAnsi="Arial"/>
          <w:sz w:val="18"/>
          <w:szCs w:val="18"/>
          <w:color w:val="auto"/>
        </w:rPr>
        <w:t>A total of 2,474,095 shares of authorized, but unissued, shares of Common Stock, as adjusted pursuant to Section 2.3(b),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available as Stock under this Plan.</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u w:val="single" w:color="auto"/>
          <w:color w:val="auto"/>
        </w:rPr>
        <w:t>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registration by the Company of this Plan, the offering of Rights under this Plan, the offering of Stock under this Plan, and/or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acquirable under this Plan under the 1933 Act and applicable state “Blue Sky” and securities laws.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Retained Units</w:t>
      </w:r>
      <w:r>
        <w:rPr>
          <w:rFonts w:ascii="Arial" w:cs="Arial" w:eastAsia="Arial" w:hAnsi="Arial"/>
          <w:sz w:val="18"/>
          <w:szCs w:val="18"/>
          <w:b w:val="1"/>
          <w:bCs w:val="1"/>
          <w:color w:val="auto"/>
        </w:rPr>
        <w:t xml:space="preserve">. </w:t>
      </w:r>
      <w:r>
        <w:rPr>
          <w:rFonts w:ascii="Arial" w:cs="Arial" w:eastAsia="Arial" w:hAnsi="Arial"/>
          <w:sz w:val="18"/>
          <w:szCs w:val="18"/>
          <w:color w:val="auto"/>
        </w:rPr>
        <w:t>Units which Unit Recipients receive based upon the satisfaction of performance goals during a Performance Period.</w:t>
      </w:r>
    </w:p>
    <w:p>
      <w:pPr>
        <w:spacing w:after="0" w:line="225"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 that a Holder shall be awarded with restrictions when, as, in the amounts and with the restrictions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IV.</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u w:val="single" w:color="auto"/>
          <w:color w:val="auto"/>
        </w:rPr>
        <w:t>Restricted Stock Grant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between the Company and a Holder with respect to Rights to Restricted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 and provisions as are necessary or appropriate under Article IV.</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shall mean:</w:t>
      </w:r>
    </w:p>
    <w:p>
      <w:pPr>
        <w:spacing w:after="0" w:line="135" w:lineRule="exact"/>
        <w:rPr>
          <w:sz w:val="20"/>
          <w:szCs w:val="20"/>
          <w:color w:val="auto"/>
        </w:rPr>
      </w:pPr>
    </w:p>
    <w:p>
      <w:pPr>
        <w:ind w:left="960" w:right="60" w:hanging="532"/>
        <w:spacing w:after="0" w:line="277"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termination of an Eligible Employee’s employment under conditions which would constitute “normal retirement” or “early retirement” under any tax qualified retirement plan maintained by the Company or a Subsidiary,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termination of employment after attaining age 65 (except in the case of a Just Cause Termination), or</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termination of service as a Director, at the election of the Director, at any time after not less than five (5) years of service as a member of the board of directors.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to exercise, purchase or receive the Options, Restricted Stock, Units and SARs described herein.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Rights Agreement</w:t>
      </w:r>
      <w:r>
        <w:rPr>
          <w:rFonts w:ascii="Arial" w:cs="Arial" w:eastAsia="Arial" w:hAnsi="Arial"/>
          <w:sz w:val="18"/>
          <w:szCs w:val="18"/>
          <w:color w:val="auto"/>
        </w:rPr>
        <w:t>. An Option Agreement, a Restricted Stock Grant Agreement, a Unit Agreement or a SAR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SAR.</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a SAR Recipient to receive cash when, as and in the amounts described in Article VI.</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u w:val="single" w:color="auto"/>
          <w:color w:val="auto"/>
        </w:rPr>
        <w:t>SAR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between the Company and a SAR Recipient with respect to the SAR awarded to the SAR Recipient,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 and conditions as are necessary or appropriate under Article VI.</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SAR Exercise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notice is received by the Company that a SAR is being exercised.</w:t>
      </w:r>
    </w:p>
    <w:p>
      <w:pPr>
        <w:sectPr>
          <w:pgSz w:w="11900" w:h="16838" w:orient="portrait"/>
          <w:cols w:equalWidth="0" w:num="1">
            <w:col w:w="11000"/>
          </w:cols>
          <w:pgMar w:left="440" w:top="270" w:right="459" w:bottom="1440" w:gutter="0" w:footer="0" w:header="0"/>
        </w:sectPr>
      </w:pPr>
    </w:p>
    <w:bookmarkStart w:id="255" w:name="page256"/>
    <w:bookmarkEnd w:id="255"/>
    <w:p>
      <w:pPr>
        <w:ind w:right="160" w:firstLine="44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SAR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ending on the expiration date or dates of each SAR, which date shall be not later than ten (10) years after the date such</w:t>
      </w:r>
      <w:r>
        <w:rPr>
          <w:rFonts w:ascii="Arial" w:cs="Arial" w:eastAsia="Arial" w:hAnsi="Arial"/>
          <w:sz w:val="18"/>
          <w:szCs w:val="18"/>
          <w:b w:val="1"/>
          <w:bCs w:val="1"/>
          <w:color w:val="auto"/>
        </w:rPr>
        <w:t xml:space="preserve"> </w:t>
      </w:r>
      <w:r>
        <w:rPr>
          <w:rFonts w:ascii="Arial" w:cs="Arial" w:eastAsia="Arial" w:hAnsi="Arial"/>
          <w:sz w:val="18"/>
          <w:szCs w:val="18"/>
          <w:color w:val="auto"/>
        </w:rPr>
        <w:t>SAR is granted.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SAR Recipient</w:t>
      </w:r>
      <w:r>
        <w:rPr>
          <w:rFonts w:ascii="Arial" w:cs="Arial" w:eastAsia="Arial" w:hAnsi="Arial"/>
          <w:sz w:val="18"/>
          <w:szCs w:val="18"/>
          <w:b w:val="1"/>
          <w:bCs w:val="1"/>
          <w:color w:val="auto"/>
        </w:rPr>
        <w:t xml:space="preserve">. </w:t>
      </w:r>
      <w:r>
        <w:rPr>
          <w:rFonts w:ascii="Arial" w:cs="Arial" w:eastAsia="Arial" w:hAnsi="Arial"/>
          <w:sz w:val="18"/>
          <w:szCs w:val="18"/>
          <w:color w:val="auto"/>
        </w:rPr>
        <w:t>An individual to whom SARs are granted.</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u w:val="single" w:color="auto"/>
          <w:color w:val="auto"/>
        </w:rPr>
        <w:t>SAR Vesting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or periods of time within which each SAR or portion thereof will first become exercisable.</w:t>
      </w:r>
      <w:r>
        <w:rPr>
          <w:rFonts w:ascii="Arial" w:cs="Arial" w:eastAsia="Arial" w:hAnsi="Arial"/>
          <w:sz w:val="18"/>
          <w:szCs w:val="18"/>
          <w:b w:val="1"/>
          <w:bCs w:val="1"/>
          <w:color w:val="auto"/>
        </w:rPr>
        <w:t xml:space="preserve"> SEC. </w:t>
      </w:r>
      <w:r>
        <w:rPr>
          <w:rFonts w:ascii="Arial" w:cs="Arial" w:eastAsia="Arial" w:hAnsi="Arial"/>
          <w:sz w:val="18"/>
          <w:szCs w:val="18"/>
          <w:color w:val="auto"/>
        </w:rPr>
        <w:t>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Securities and Exchange Commission.</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u w:val="single" w:color="auto"/>
          <w:color w:val="auto"/>
        </w:rPr>
        <w:t>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Common Stock in the Plan Pool available for issuance pursuant to the valid exercise of a Right or on which the cash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a Right is to be based.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Any direct or indirect subsidiary entity of the Company.</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u w:val="single" w:color="auto"/>
          <w:color w:val="auto"/>
        </w:rPr>
        <w:t>Tax Withholding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All federal and state income taxes, social security tax, and any other taxes applicable to the compensation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from the transaction required by applicable law to be withheld by the Company.</w:t>
      </w:r>
    </w:p>
    <w:p>
      <w:pPr>
        <w:spacing w:after="0" w:line="162" w:lineRule="exact"/>
        <w:rPr>
          <w:sz w:val="20"/>
          <w:szCs w:val="20"/>
          <w:color w:val="auto"/>
        </w:rPr>
      </w:pPr>
    </w:p>
    <w:p>
      <w:pPr>
        <w:ind w:right="120" w:firstLine="440"/>
        <w:spacing w:after="0" w:line="289" w:lineRule="auto"/>
        <w:rPr>
          <w:sz w:val="20"/>
          <w:szCs w:val="20"/>
          <w:color w:val="auto"/>
        </w:rPr>
      </w:pPr>
      <w:r>
        <w:rPr>
          <w:rFonts w:ascii="Arial" w:cs="Arial" w:eastAsia="Arial" w:hAnsi="Arial"/>
          <w:sz w:val="17"/>
          <w:szCs w:val="17"/>
          <w:b w:val="1"/>
          <w:bCs w:val="1"/>
          <w:u w:val="single" w:color="auto"/>
          <w:color w:val="auto"/>
        </w:rPr>
        <w:t>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sale, assignment, transfer, conveyance, pledge, hypothecation, encumbrance, loan, gift, attachment, levy upon, assignment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creditors, by operation of law (by will or descent and distribution), transfer by a qualified domestic relations order, a property settlement or maintenance agreement, transfer by result of the bankruptcy laws or otherwise of a share of Stock or of a Right.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Units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a Unit Recipient to receive a combination of cash and Stock when, as and in the amounts described in Article V.</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u w:val="single" w:color="auto"/>
          <w:color w:val="auto"/>
        </w:rPr>
        <w:t>Unit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between the Company and Unit Recipient with respect to the award of Units to the Unit Recipient,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 and conditions as are necessary or appropriate under Article V.</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Unit Recipient</w:t>
      </w:r>
      <w:r>
        <w:rPr>
          <w:rFonts w:ascii="Arial" w:cs="Arial" w:eastAsia="Arial" w:hAnsi="Arial"/>
          <w:sz w:val="18"/>
          <w:szCs w:val="18"/>
          <w:color w:val="auto"/>
        </w:rPr>
        <w:t>. An individual granted a Unit.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Vesting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or periods of time within which each Option or portion thereof will first become exercisable.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1933 Act</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of 1933, as amended, together with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1934 Act</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Exchange Act of 1934, as amended, together with the rules and regulations promulgated thereunder.</w:t>
      </w:r>
    </w:p>
    <w:p>
      <w:pPr>
        <w:sectPr>
          <w:pgSz w:w="11900" w:h="16838" w:orient="portrait"/>
          <w:cols w:equalWidth="0" w:num="1">
            <w:col w:w="10960"/>
          </w:cols>
          <w:pgMar w:left="440" w:top="270" w:right="499" w:bottom="1440" w:gutter="0" w:footer="0" w:header="0"/>
        </w:sectPr>
      </w:pPr>
    </w:p>
    <w:bookmarkStart w:id="256" w:name="page257"/>
    <w:bookmarkEnd w:id="256"/>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 Purpose</w:t>
      </w:r>
      <w:r>
        <w:rPr>
          <w:rFonts w:ascii="Arial" w:cs="Arial" w:eastAsia="Arial" w:hAnsi="Arial"/>
          <w:sz w:val="18"/>
          <w:szCs w:val="18"/>
          <w:b w:val="1"/>
          <w:bCs w:val="1"/>
          <w:color w:val="auto"/>
        </w:rPr>
        <w:t>.</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purposes of this Plan are to encourage and motivate Participants to contribute to the successful performance of the Company and any Subsidiary of the Company and to promote the growth of the market value of the Company’s Common Stock; to achieve a unity of purpose between such Participants and shareholders by providing ownership opportunities, and, when viewed in conjunction with potential benefit plans for members of the Board and the Board of Directors of any Subsidiary, to achieve a unity of purpose between such persons in the achievement of the Company’s primary long term performance objectives; and to retain such employees by rewarding them with potentially tax-advantageous future compensation. These objectives will be promoted through the granting of Rights to designated Participants pursuant to the terms of this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2.2. Administration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36"/>
        <w:spacing w:after="0" w:line="263" w:lineRule="auto"/>
        <w:tabs>
          <w:tab w:leader="none" w:pos="6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Committee may designate any officers or employees of the Company or any Subsidiary to assist in the administration of the Plan, to execute documents on behalf of the Committee and to perform such other ministerial duties as may be delegated to them by the Committee.</w:t>
      </w:r>
    </w:p>
    <w:p>
      <w:pPr>
        <w:spacing w:after="0" w:line="75" w:lineRule="exact"/>
        <w:rPr>
          <w:rFonts w:ascii="Arial" w:cs="Arial" w:eastAsia="Arial" w:hAnsi="Arial"/>
          <w:sz w:val="18"/>
          <w:szCs w:val="18"/>
          <w:color w:val="auto"/>
        </w:rPr>
      </w:pPr>
    </w:p>
    <w:p>
      <w:pPr>
        <w:ind w:right="60" w:firstLine="436"/>
        <w:spacing w:after="0" w:line="342"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Subject to the provisions of the Plan, the determinations and the interpretation and construction of any provision of the Plan by the Committee shall be final and conclusive upon persons affected thereby. By way of illustration and not of limitation, the Committee shall have the discretion:</w:t>
      </w:r>
    </w:p>
    <w:p>
      <w:pPr>
        <w:spacing w:after="0" w:line="15" w:lineRule="exact"/>
        <w:rPr>
          <w:rFonts w:ascii="Arial" w:cs="Arial" w:eastAsia="Arial" w:hAnsi="Arial"/>
          <w:sz w:val="16"/>
          <w:szCs w:val="16"/>
          <w:color w:val="auto"/>
        </w:rPr>
      </w:pPr>
    </w:p>
    <w:p>
      <w:pPr>
        <w:ind w:right="20" w:firstLine="987"/>
        <w:spacing w:after="0" w:line="277" w:lineRule="auto"/>
        <w:tabs>
          <w:tab w:leader="none" w:pos="120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construe and interpret the Plan and all Rights granted hereunder and to determine the terms and provisions (and amendments thereof) of the Rights granted under the Plan (which need not be identical);</w:t>
      </w:r>
    </w:p>
    <w:p>
      <w:pPr>
        <w:spacing w:after="0" w:line="62" w:lineRule="exact"/>
        <w:rPr>
          <w:rFonts w:ascii="Arial" w:cs="Arial" w:eastAsia="Arial" w:hAnsi="Arial"/>
          <w:sz w:val="18"/>
          <w:szCs w:val="18"/>
          <w:color w:val="auto"/>
        </w:rPr>
      </w:pPr>
    </w:p>
    <w:p>
      <w:pPr>
        <w:ind w:left="1260" w:hanging="273"/>
        <w:spacing w:after="0"/>
        <w:tabs>
          <w:tab w:leader="none" w:pos="12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define the terms used in the Plan and in the Rights granted hereunder;</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prescribe, amend and rescind the rules, regulations and policies relating to the Plan;</w:t>
      </w:r>
    </w:p>
    <w:p>
      <w:pPr>
        <w:spacing w:after="0" w:line="117" w:lineRule="exact"/>
        <w:rPr>
          <w:rFonts w:ascii="Arial" w:cs="Arial" w:eastAsia="Arial" w:hAnsi="Arial"/>
          <w:sz w:val="18"/>
          <w:szCs w:val="18"/>
          <w:color w:val="auto"/>
        </w:rPr>
      </w:pPr>
    </w:p>
    <w:p>
      <w:pPr>
        <w:ind w:firstLine="987"/>
        <w:spacing w:after="0" w:line="259" w:lineRule="auto"/>
        <w:tabs>
          <w:tab w:leader="none" w:pos="129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determine the Participants to whom and the time or times at which such Rights shall be granted, the number of shares of Stock, as and when applicable, to be subject to each Right, the exercise price or, other relevant purchase price or value pertaining to a Right, and the determination of leaves of absence which may be granted to Eligible Employees without constituting a termination of their employment for the purposes of the Plan; and</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make all other determinations and interpretations necessary or advisable for the administration of the Plan.</w:t>
      </w:r>
    </w:p>
    <w:p>
      <w:pPr>
        <w:sectPr>
          <w:pgSz w:w="11900" w:h="16838" w:orient="portrait"/>
          <w:cols w:equalWidth="0" w:num="1">
            <w:col w:w="11000"/>
          </w:cols>
          <w:pgMar w:left="440" w:top="270" w:right="459" w:bottom="1440" w:gutter="0" w:footer="0" w:header="0"/>
        </w:sectPr>
      </w:pPr>
    </w:p>
    <w:bookmarkStart w:id="257" w:name="page258"/>
    <w:bookmarkEnd w:id="257"/>
    <w:p>
      <w:pPr>
        <w:ind w:right="140" w:firstLine="436"/>
        <w:spacing w:after="0" w:line="277" w:lineRule="auto"/>
        <w:tabs>
          <w:tab w:leader="none" w:pos="6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shall be in the discretion of the Committee to grant Options to purchase shares of Stock to Eligible Employees which qualify as ISOs under the Code. Any Options granted which fail to satisfy the requirements for ISOs shall become Non-Qualified Options.</w:t>
      </w:r>
    </w:p>
    <w:p>
      <w:pPr>
        <w:spacing w:after="0" w:line="62" w:lineRule="exact"/>
        <w:rPr>
          <w:rFonts w:ascii="Arial" w:cs="Arial" w:eastAsia="Arial" w:hAnsi="Arial"/>
          <w:sz w:val="18"/>
          <w:szCs w:val="18"/>
          <w:color w:val="auto"/>
        </w:rPr>
      </w:pPr>
    </w:p>
    <w:p>
      <w:pPr>
        <w:ind w:right="160" w:firstLine="436"/>
        <w:spacing w:after="0" w:line="290" w:lineRule="auto"/>
        <w:tabs>
          <w:tab w:leader="none" w:pos="69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has no present intention to effect the Registration. Until such time as the Registration shall occur, the Committee shall be responsible for supplying the recipient of a Right and/or shares of Stock in connection therewith with such information about the Company as is contemplated by the federal and state securities laws in connection with exemptions from the registration requirements of such laws, as well as providing the recipient of a Right with the opportunity to ask questions and receive answers concerning the Company and the terms and conditions of the Rights granted under this Plan. In addition, if the Registration has not occurred, the Committee shall be responsible for determining the maximum number of Participants and the suitability of particular persons to be Participants in order to comply with applicable federal and state securities statutes and regulations governing such exemptions. In the event that the Company effects the Registration, the Company shall make available to Participants receiving Rights and/or shares of Stock in connection therewith all disclosure documents required under applicable federal and state laws.</w:t>
      </w:r>
    </w:p>
    <w:p>
      <w:pPr>
        <w:spacing w:after="0" w:line="57" w:lineRule="exact"/>
        <w:rPr>
          <w:rFonts w:ascii="Arial" w:cs="Arial" w:eastAsia="Arial" w:hAnsi="Arial"/>
          <w:sz w:val="16"/>
          <w:szCs w:val="16"/>
          <w:color w:val="auto"/>
        </w:rPr>
      </w:pPr>
    </w:p>
    <w:p>
      <w:pPr>
        <w:ind w:right="40" w:firstLine="436"/>
        <w:spacing w:after="0" w:line="255" w:lineRule="auto"/>
        <w:tabs>
          <w:tab w:leader="none" w:pos="6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determining the Participants to whom Rights may be granted and the number of shares of Stock to be covered by each Right, the Committee shall take into account the nature of the services rendered by such Participants, their present and potential contributions to the success of the Company and/or a Subsidiary and such other factors as the Committee shall deem relevant. A Participant who has been granted a Right under this Plan may be granted an additional Right or Rights under this Plan if the Committee shall so determine. If pursuant to the terms of this Plan, or otherwise in connection with this Plan, it is necessary that the percentage of stock ownership of an Eligible Employee be determined, the ownership attribution provisions set forth in Section 424(d) of the Code shall be controlling.</w:t>
      </w:r>
    </w:p>
    <w:p>
      <w:pPr>
        <w:spacing w:after="0" w:line="84" w:lineRule="exact"/>
        <w:rPr>
          <w:rFonts w:ascii="Arial" w:cs="Arial" w:eastAsia="Arial" w:hAnsi="Arial"/>
          <w:sz w:val="18"/>
          <w:szCs w:val="18"/>
          <w:color w:val="auto"/>
        </w:rPr>
      </w:pPr>
    </w:p>
    <w:p>
      <w:pPr>
        <w:ind w:right="200" w:firstLine="436"/>
        <w:spacing w:after="0" w:line="277" w:lineRule="auto"/>
        <w:tabs>
          <w:tab w:leader="none" w:pos="6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granting of Rights pursuant to this Plan is in the exclusive discretion of the Committee, and until the Committee acts, no individual shall have any rights under this Plan. The terms of this Plan shall be interpreted in accordance with this intent.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2.3. Stock Available For Rights</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72" w:lineRule="auto"/>
        <w:tabs>
          <w:tab w:leader="none" w:pos="68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Shares of the Stock shall be subject to, or underlying, grants of Options, Restricted Stock, SARs and Units under this Plan. The total number of shares of Stock for which, or with respect to which, Rights may be granted (including the number of shares of Stock in respect of which SARs and Units may be granted) under this Plan shall be those designated in the Plan Pool. In the event that a Right granted under this Plan to any Participant expires or is terminated unexercised as to any shares of Stock covered thereby, such shares thereafter shall be deemed available in the Plan Pool for the granting of Rights under this Plan; provided, however, if the expiration or termination date of a Right is beyond the term of existence of this Plan as described in Section 7.3, then any shares of Stock covered by unexercised or terminated Rights shall not reactivate the existence of this Plan and therefore shall not be available for additional grants of Rights under this Plan.</w:t>
      </w:r>
    </w:p>
    <w:p>
      <w:pPr>
        <w:sectPr>
          <w:pgSz w:w="11900" w:h="16838" w:orient="portrait"/>
          <w:cols w:equalWidth="0" w:num="1">
            <w:col w:w="11000"/>
          </w:cols>
          <w:pgMar w:left="440" w:top="274" w:right="459" w:bottom="1440" w:gutter="0" w:footer="0" w:header="0"/>
        </w:sectPr>
      </w:pPr>
    </w:p>
    <w:bookmarkStart w:id="258" w:name="page259"/>
    <w:bookmarkEnd w:id="258"/>
    <w:p>
      <w:pPr>
        <w:ind w:right="20" w:firstLine="436"/>
        <w:spacing w:after="0" w:line="288" w:lineRule="auto"/>
        <w:tabs>
          <w:tab w:leader="none" w:pos="695"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the outstanding shares of Common Stock are increased, decreased, changed into or exchanged for a different number or kind of securities as a result of a stock split, reverse stock split, stock dividend, recapitalization, merger, share exchange acquisition, combination or reclassification, appropriate proportionate adjustments will be made in: (i) the aggregate number and/or kind of shares of Stock in the Plan Pool that may be issued pursuant to the exercise of, or that are underlying, Rights granted hereunder; (ii) the exercise or other purchase price or value pertaining to, and the number and/or kind of shares of Stock called for with respect to, or underlying, each outstanding Right granted hereunder; and (iii) other rights and matters determined on a per share basis under this Plan or any Rights Agreement. Any such adjustments will be made only by the Committee and when so approved will be effective, conclusive and binding for all purposes with respect to this Plan and all Rights then outstanding. No such adjustments will be required by reason of (i) the issuance or sale by the Company for cash of additional shares of its Common Stock or securities convertible into or exchangeable for shares of its Common Stock, or (ii) the issuance of shares of Common Stock in exchange for shares of the capital stock of any corporation, financial institution or other entity acquired by the Company or any Subsidiary in connection therewith.</w:t>
      </w:r>
    </w:p>
    <w:p>
      <w:pPr>
        <w:spacing w:after="0" w:line="60" w:lineRule="exact"/>
        <w:rPr>
          <w:rFonts w:ascii="Arial" w:cs="Arial" w:eastAsia="Arial" w:hAnsi="Arial"/>
          <w:sz w:val="16"/>
          <w:szCs w:val="16"/>
          <w:color w:val="auto"/>
        </w:rPr>
      </w:pPr>
    </w:p>
    <w:p>
      <w:pPr>
        <w:jc w:val="both"/>
        <w:ind w:firstLine="436"/>
        <w:spacing w:after="0" w:line="263"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grant of a Right pursuant to this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 fractional shares of Stock shall be issued under this Plan for any adjustment under Section 2.3(b).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2.4. Severable Provisions</w:t>
      </w:r>
      <w:r>
        <w:rPr>
          <w:rFonts w:ascii="Arial" w:cs="Arial" w:eastAsia="Arial" w:hAnsi="Arial"/>
          <w:sz w:val="18"/>
          <w:szCs w:val="18"/>
          <w:b w:val="1"/>
          <w:bCs w:val="1"/>
          <w:color w:val="auto"/>
        </w:rPr>
        <w:t>.</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intends that the provisions of each of Articles III, IV, V and VI, in each case together with Articles I, II and VII, shall each be deemed to be effective on an independent basis, and that if one or more of such Articles, or the operative provisions thereof, shall be deemed invalid, void or voidable, the remainder of such Articles shall continue in full force and effect.</w:t>
      </w:r>
    </w:p>
    <w:p>
      <w:pPr>
        <w:sectPr>
          <w:pgSz w:w="11900" w:h="16838" w:orient="portrait"/>
          <w:cols w:equalWidth="0" w:num="1">
            <w:col w:w="11020"/>
          </w:cols>
          <w:pgMar w:left="440" w:top="274" w:right="4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3.1. Grant of Options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36"/>
        <w:spacing w:after="0" w:line="275" w:lineRule="auto"/>
        <w:tabs>
          <w:tab w:leader="none" w:pos="68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Company may grant Options to Participants as provided in this Article III, provided however that no Participant shall be granted in excess of 40% of the Plan Pool. Options will be deemed granted pursuant to this Article III only upon (i) authorization by the Committee, and (ii) the execution and delivery of an Option Agreement by the Optionee and a duly authorized officer of the Company. The aggregate number of shares of Stock potentially acquirable under all Options granted shall not exceed the total number of shares of Stock remaining in the Plan Pool, less all shares of Stock potentially acquired under, or underlying, all other Rights outstanding under this Plan.</w:t>
      </w:r>
    </w:p>
    <w:p>
      <w:pPr>
        <w:spacing w:after="0" w:line="68" w:lineRule="exact"/>
        <w:rPr>
          <w:rFonts w:ascii="Arial" w:cs="Arial" w:eastAsia="Arial" w:hAnsi="Arial"/>
          <w:sz w:val="17"/>
          <w:szCs w:val="17"/>
          <w:color w:val="auto"/>
        </w:rPr>
      </w:pPr>
    </w:p>
    <w:p>
      <w:pPr>
        <w:ind w:firstLine="436"/>
        <w:spacing w:after="0" w:line="296" w:lineRule="auto"/>
        <w:tabs>
          <w:tab w:leader="none" w:pos="69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Committee shall designate Options at the time a grant is authorized as either ISOs or Non-Qualified Options. ISOs may only be granted to Eligible Employees. In accordance with Section 422(d) of the Code, the aggregate Fair Market Value (determined as of the date an ISO is granted) of the shares of Stock as to which an ISO may first become exercisable by an Optionee in a particular calendar year may not exceed the Annual Vesting Amount. If an Optionee is granted Options in excess of the Annual Vesting Amount, or if such Options otherwise become exercisable with respect to a number of shares of Stock which would exceed the Annual Vesting Amount, such excess Options shall be Non-Qualified Options.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3.2. Exercise Price</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initial Exercise Price of each Option granted under this Plan shall be determined by the Committee in its discretion; provided, however, that the Exercise Price of an ISO shall not be less than (i) the Fair Market Value of the Common Stock on the date of grant of the Option, in the case of any Eligible Employee who does not own stock possessing more than ten percent (10%) of the total combined voting power of all classes of the capital stock of the Company (within the meaning of Section 422(b)(6) of the Code), or (ii) one hundred and ten percent (110%) of such Fair Market Value in the case of any Eligible Employee who owns stock in excess of such amount.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3.3. Terms and Conditions of Options</w:t>
      </w:r>
      <w:r>
        <w:rPr>
          <w:rFonts w:ascii="Arial" w:cs="Arial" w:eastAsia="Arial" w:hAnsi="Arial"/>
          <w:sz w:val="18"/>
          <w:szCs w:val="18"/>
          <w:b w:val="1"/>
          <w:bCs w:val="1"/>
          <w:color w:val="auto"/>
        </w:rPr>
        <w:t>.</w:t>
      </w:r>
    </w:p>
    <w:p>
      <w:pPr>
        <w:spacing w:after="0" w:line="121" w:lineRule="exact"/>
        <w:rPr>
          <w:sz w:val="20"/>
          <w:szCs w:val="20"/>
          <w:color w:val="auto"/>
        </w:rPr>
      </w:pPr>
    </w:p>
    <w:p>
      <w:pPr>
        <w:ind w:left="680" w:hanging="244"/>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Options must be granted within ten (10) years of the Effective Date.</w:t>
      </w:r>
    </w:p>
    <w:p>
      <w:pPr>
        <w:spacing w:after="0" w:line="117"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Committee may grant ISOs and Non-Qualified Options, either separately or jointly, to an Eligible Employee. Participants who are not also Eligible Employees are only eligible to be granted Non-Qualified Options by the Committee.</w:t>
      </w:r>
    </w:p>
    <w:p>
      <w:pPr>
        <w:spacing w:after="0" w:line="62" w:lineRule="exact"/>
        <w:rPr>
          <w:rFonts w:ascii="Arial" w:cs="Arial" w:eastAsia="Arial" w:hAnsi="Arial"/>
          <w:sz w:val="18"/>
          <w:szCs w:val="18"/>
          <w:color w:val="auto"/>
        </w:rPr>
      </w:pPr>
    </w:p>
    <w:p>
      <w:pPr>
        <w:ind w:right="540" w:firstLine="436"/>
        <w:spacing w:after="0" w:line="277" w:lineRule="auto"/>
        <w:tabs>
          <w:tab w:leader="none" w:pos="68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grant of Options shall be evidenced by an Option Agreement in form and substance satisfactory to the Committee in its discretion, consistent with the provisions of this Article III.</w:t>
      </w:r>
    </w:p>
    <w:p>
      <w:pPr>
        <w:sectPr>
          <w:pgSz w:w="11900" w:h="16838" w:orient="portrait"/>
          <w:cols w:equalWidth="0" w:num="1">
            <w:col w:w="11000"/>
          </w:cols>
          <w:pgMar w:left="440" w:top="270" w:right="459" w:bottom="1440" w:gutter="0" w:footer="0" w:header="0"/>
        </w:sectPr>
      </w:pPr>
    </w:p>
    <w:bookmarkStart w:id="260" w:name="page261"/>
    <w:bookmarkEnd w:id="260"/>
    <w:p>
      <w:pPr>
        <w:ind w:right="140" w:firstLine="436"/>
        <w:spacing w:after="0" w:line="263"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Nothing contained in this Article III, any Option Agreement or in any other agreement executed in connection with the granting of an Option to an Eligible Employee under this Article III will confer upon any Optionee any right with respect to the continuation of his or her status as an employee of the Company or any Subsidiary.</w:t>
      </w:r>
    </w:p>
    <w:p>
      <w:pPr>
        <w:spacing w:after="0" w:line="75" w:lineRule="exact"/>
        <w:rPr>
          <w:rFonts w:ascii="Arial" w:cs="Arial" w:eastAsia="Arial" w:hAnsi="Arial"/>
          <w:sz w:val="18"/>
          <w:szCs w:val="18"/>
          <w:color w:val="auto"/>
        </w:rPr>
      </w:pPr>
    </w:p>
    <w:p>
      <w:pPr>
        <w:ind w:right="40" w:firstLine="436"/>
        <w:spacing w:after="0" w:line="263" w:lineRule="auto"/>
        <w:tabs>
          <w:tab w:leader="none" w:pos="6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Except as otherwise provided herein, each Option Agreement may specify the Vesting Period, if any, with respect to the total number of shares of Stock acquirable thereunder. Such Vesting Periods will be fixed by the Committee in its discretion, and may be accelerated or shortened by the Committee in its discretion.</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 less than one (1) share of Stock may be purchased at any one time through the exercise of an Option.</w:t>
      </w:r>
    </w:p>
    <w:p>
      <w:pPr>
        <w:spacing w:after="0" w:line="117"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 Optionee shall have no rights as a shareholder of the Company with respect to any shares of Stock covered by Options granted to the Optionee until payment in full of the Exercise Price by such Optionee for the shares being purchased. No adjustment shall be made for dividends (ordinary or extraordinary, whether in cash, securities or other property) or distributions or other rights for which the record date is prior to the date such Stock is fully paid for, except as provided in Section 2.3(b) 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3.4. Exercise of Options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36"/>
        <w:spacing w:after="0" w:line="277"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 Optionee must be a Participant at all times from the date of grant until the exercise of the Options granted, except as otherwise provided in Section 3.5.</w:t>
      </w:r>
    </w:p>
    <w:p>
      <w:pPr>
        <w:spacing w:after="0" w:line="62" w:lineRule="exact"/>
        <w:rPr>
          <w:rFonts w:ascii="Arial" w:cs="Arial" w:eastAsia="Arial" w:hAnsi="Arial"/>
          <w:sz w:val="18"/>
          <w:szCs w:val="18"/>
          <w:color w:val="auto"/>
        </w:rPr>
      </w:pPr>
    </w:p>
    <w:p>
      <w:pPr>
        <w:ind w:firstLine="436"/>
        <w:spacing w:after="0" w:line="272" w:lineRule="auto"/>
        <w:tabs>
          <w:tab w:leader="none" w:pos="6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 Option may be exercised to the extent exercisable (i) by giving written notice of exercise to the Committee, specifying the number of full shares of Stock to be purchased and, if applicable, accompanied by full payment of the Exercise Price thereof and the amount of the Tax Withholding Liability pursuant to Section 3.4(c) below; and (ii) by giving assurances satisfactory to the Company that the shares of Stock to be purchased upon such exercise are being purchased for investment and not with a view to resale in connection with any distribution of such shares in violation of the 1933 Act; provided, however, that in the event the prior occurrence of the Registration or in the event resale of such Stock without such Registration would otherwise be permissible, this second condition will be inoperative if, in the opinion of counsel for the Company, such condition is not required under the 1933 Act or any other applicable law, regulation or rule of any governmental agency.</w:t>
      </w:r>
    </w:p>
    <w:p>
      <w:pPr>
        <w:spacing w:after="0" w:line="69" w:lineRule="exact"/>
        <w:rPr>
          <w:rFonts w:ascii="Arial" w:cs="Arial" w:eastAsia="Arial" w:hAnsi="Arial"/>
          <w:sz w:val="17"/>
          <w:szCs w:val="17"/>
          <w:color w:val="auto"/>
        </w:rPr>
      </w:pPr>
    </w:p>
    <w:p>
      <w:pPr>
        <w:jc w:val="both"/>
        <w:ind w:right="400" w:firstLine="436"/>
        <w:spacing w:after="0" w:line="263"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a condition to the issuance of the shares of Stock upon full or partial exercise of a Non-Qualified Option, the Optionee will pay to the Company in cash, or in such other form as the Committee may determine in its discretion, the amount of the Company’s Tax Withholding Liability required in connection with such exercise.</w:t>
      </w:r>
    </w:p>
    <w:p>
      <w:pPr>
        <w:sectPr>
          <w:pgSz w:w="11900" w:h="16838" w:orient="portrait"/>
          <w:cols w:equalWidth="0" w:num="1">
            <w:col w:w="10980"/>
          </w:cols>
          <w:pgMar w:left="440" w:top="274" w:right="479" w:bottom="1440" w:gutter="0" w:footer="0" w:header="0"/>
        </w:sectPr>
      </w:pPr>
    </w:p>
    <w:bookmarkStart w:id="261" w:name="page262"/>
    <w:bookmarkEnd w:id="261"/>
    <w:p>
      <w:pPr>
        <w:ind w:left="-436" w:right="20" w:firstLine="436"/>
        <w:spacing w:after="0" w:line="296" w:lineRule="auto"/>
        <w:tabs>
          <w:tab w:leader="none" w:pos="259" w:val="left"/>
        </w:tabs>
        <w:numPr>
          <w:ilvl w:val="0"/>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Exercise Price of an Option shall be payable to the Company (i) in United States dollars, in cash or by check, or money order payable to the order of the Company, or (ii) at the discretion of the Committee, through the delivery of shares of the Stock owned by the Optionee (including, if the Committee so permits, a portion of the shares of Stock as to which the Option is then being exercised) with a Fair Market Value as of the date of delivery equal to the Exercise Price, or (iii) at the discretion of the Committee, through cashless net exercise, or (iv) at the discretion of the Committee, by a combination of (i), (ii) and (iii) above. No shares of Stock shall be delivered to the Optionee until arrangements for full payment have been made.</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Section 3.5. Term and Termination of Option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36" w:right="160" w:firstLine="436"/>
        <w:spacing w:after="0" w:line="263" w:lineRule="auto"/>
        <w:tabs>
          <w:tab w:leader="none" w:pos="24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Committee shall determine, and each Option Agreement shall state, the expiration date or dates of each Option, but such expiration date shall be not later than ten (10) years after the date such Option was granted. In the event an ISO is granted to a 10% shareholder, the expiration date or dates of each Option Period shall be not later than five</w:t>
      </w:r>
    </w:p>
    <w:p>
      <w:pPr>
        <w:spacing w:after="0" w:line="76" w:lineRule="exact"/>
        <w:rPr>
          <w:sz w:val="20"/>
          <w:szCs w:val="20"/>
          <w:color w:val="auto"/>
        </w:rPr>
      </w:pPr>
    </w:p>
    <w:p>
      <w:pPr>
        <w:ind w:left="-436" w:right="100" w:firstLine="436"/>
        <w:spacing w:after="0" w:line="263" w:lineRule="auto"/>
        <w:tabs>
          <w:tab w:leader="none" w:pos="25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years after the date such Option is granted. The Committee may extend the expiration date or dates of an Option Period of any Non-Qualified Option after such date was originally set; provided, however such expiration date may not exceed the maximum expiration date described in this Section 3.5(a).</w:t>
      </w:r>
    </w:p>
    <w:p>
      <w:pPr>
        <w:spacing w:after="0" w:line="76" w:lineRule="exact"/>
        <w:rPr>
          <w:sz w:val="20"/>
          <w:szCs w:val="20"/>
          <w:color w:val="auto"/>
        </w:rPr>
      </w:pPr>
    </w:p>
    <w:p>
      <w:pPr>
        <w:ind w:left="-436" w:firstLine="436"/>
        <w:spacing w:after="0" w:line="286" w:lineRule="auto"/>
        <w:tabs>
          <w:tab w:leader="none" w:pos="25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event of the termination of employment of an Optionee either by reason of (i) Just Cause Termination, or (ii) voluntary separation on the part of such Optionee for a reason other than Retirement or Disability, any Option or Options granted to the Optionee under this Plan, to the extent not previously exercised or surrendered by the Optionee, or expired by their terms, shall immediately terminate.</w:t>
      </w:r>
    </w:p>
    <w:p>
      <w:pPr>
        <w:spacing w:after="0" w:line="57" w:lineRule="exact"/>
        <w:rPr>
          <w:rFonts w:ascii="Arial" w:cs="Arial" w:eastAsia="Arial" w:hAnsi="Arial"/>
          <w:sz w:val="17"/>
          <w:szCs w:val="17"/>
          <w:color w:val="auto"/>
        </w:rPr>
      </w:pPr>
    </w:p>
    <w:p>
      <w:pPr>
        <w:ind w:left="-436" w:right="80" w:firstLine="436"/>
        <w:spacing w:after="0" w:line="257" w:lineRule="auto"/>
        <w:tabs>
          <w:tab w:leader="none" w:pos="24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event of the termination of employment of an Optionee as a result of such Optionee’s Retirement, such Optionee shall have the right to exercise any Option or Options granted to the Optionee under this Plan, to the extent that they have not previously been exercised or surrendered by the Optionee, or expired by their terms, for a period of three (3) months after the date of retirement, but in no event may any Option be exercised later than the end of the Option Period. Notwithstanding any other provision contained herein, or in any Option Agreement, upon Retirement, any Option then held by an Optionee shall be exercisable immediately in full.</w:t>
      </w:r>
    </w:p>
    <w:p>
      <w:pPr>
        <w:spacing w:after="0" w:line="79" w:lineRule="exact"/>
        <w:rPr>
          <w:rFonts w:ascii="Arial" w:cs="Arial" w:eastAsia="Arial" w:hAnsi="Arial"/>
          <w:sz w:val="18"/>
          <w:szCs w:val="18"/>
          <w:color w:val="auto"/>
        </w:rPr>
      </w:pPr>
    </w:p>
    <w:p>
      <w:pPr>
        <w:ind w:left="-436" w:right="40" w:firstLine="436"/>
        <w:spacing w:after="0" w:line="275" w:lineRule="auto"/>
        <w:tabs>
          <w:tab w:leader="none" w:pos="25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event of the termination of employment of an Optionee by reason of such Optionee’s Disability, such Optionee shall have the right to exercise any Option or Options held by the Optionee, to the extent that they previously have not been exercised or surrendered by the Optionee, or expired by their terms, notwithstanding any limitations placed on the exercise of such Options by this Plan or an Option Agreement, immediately in full and at any time within twelve (12) months after the last date on which such Optionee provides services as an officer or an employee of the Company before being disabled, but in no event may any Option be exercised later than the end of the Option Period.</w:t>
      </w:r>
    </w:p>
    <w:p>
      <w:pPr>
        <w:spacing w:after="0" w:line="68" w:lineRule="exact"/>
        <w:rPr>
          <w:rFonts w:ascii="Arial" w:cs="Arial" w:eastAsia="Arial" w:hAnsi="Arial"/>
          <w:sz w:val="17"/>
          <w:szCs w:val="17"/>
          <w:color w:val="auto"/>
        </w:rPr>
      </w:pPr>
    </w:p>
    <w:p>
      <w:pPr>
        <w:ind w:left="-436" w:right="40" w:firstLine="436"/>
        <w:spacing w:after="0" w:line="259" w:lineRule="auto"/>
        <w:tabs>
          <w:tab w:leader="none" w:pos="24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event that an Optionee should die while employed by the Company, or within three (3) months after Retirement, any Option or Options granted to the Optionee under this Plan and not previously exercised or surrendered by the Optionee, or expired by their terms, shall vest and shall be exercisable, according to their respective terms, by the personal representative of such Optionee or by any person or persons who acquired such Options by</w:t>
      </w:r>
    </w:p>
    <w:p>
      <w:pPr>
        <w:sectPr>
          <w:pgSz w:w="11900" w:h="16838" w:orient="portrait"/>
          <w:cols w:equalWidth="0" w:num="1">
            <w:col w:w="10544"/>
          </w:cols>
          <w:pgMar w:left="876" w:top="274" w:right="479" w:bottom="1440" w:gutter="0" w:footer="0" w:header="0"/>
        </w:sectPr>
      </w:pPr>
    </w:p>
    <w:bookmarkStart w:id="262" w:name="page263"/>
    <w:bookmarkEnd w:id="26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bequest or inheritance from such Optionee, notwithstanding any limitations placed on the exercise of such Options by this Plan or any Option Agreement, immediately in full and at any time within twelve (12) months after the Death of such Optionee, but in no event may any Option be exercised later than the end of the Option Period. Any references herein to an Optionee shall be deemed to include any person entitled to exercise an Option under the terms of this Plan after the Death of such Optionee.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3.6. Change in Control Transaction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any time prior to the date of consummation of a Change in Control Transaction, the Committee may, in its absolute discretion and notwithstanding the terms of any Option Agreement, determine that all or any part of the Options theretofore granted under this Article III shall become immediately exercisable in full and may thereafter be exercised at any time before the date of consummation of the Change in Control Transaction (except as otherwise provided in Article II hereof, and except to the extent that such acceleration of exercisability would result in an “excess parachute payment” within the meaning of Section 280G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3.7. Restrictions On Transfer</w:t>
      </w:r>
      <w:r>
        <w:rPr>
          <w:rFonts w:ascii="Arial" w:cs="Arial" w:eastAsia="Arial" w:hAnsi="Arial"/>
          <w:sz w:val="18"/>
          <w:szCs w:val="18"/>
          <w:b w:val="1"/>
          <w:bCs w:val="1"/>
          <w:color w:val="auto"/>
        </w:rPr>
        <w:t>.</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 Option granted under Article III may not be Transferred except by will or the laws of descent and distribution and, during the lifetime of the Optionee to whom it was granted, may be exercised only by such Optionee.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3.8. Stock Certificates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Shares may be evidenced by physical certificates. To the extent that physical certificates are used, any such certificates representing Shares issued pursuant to the exercise of Options will bear all legends required by law and necessary to effectuate the provisions hereof. The Company may place a “stop transfer” order against Shares until all restrictions and conditions set forth in this Article III, the applicable Option Agreement, and in the legends referred to in this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Section 3.8 have been complied 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3.9. Amendment and Discontinuance</w:t>
      </w:r>
      <w:r>
        <w:rPr>
          <w:rFonts w:ascii="Arial" w:cs="Arial" w:eastAsia="Arial" w:hAnsi="Arial"/>
          <w:sz w:val="18"/>
          <w:szCs w:val="18"/>
          <w:b w:val="1"/>
          <w:bCs w:val="1"/>
          <w:color w:val="auto"/>
        </w:rPr>
        <w:t>.</w:t>
      </w:r>
    </w:p>
    <w:p>
      <w:pPr>
        <w:spacing w:after="0" w:line="12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Board may at any time amend or terminate the Plan; provided, however, that the Board (unless its actions are approved or ratified by the shareholders of the Company within twelve months of the date that the Board amends the Plan) may not amend the Plan to:</w:t>
      </w:r>
    </w:p>
    <w:p>
      <w:pPr>
        <w:spacing w:after="0" w:line="38" w:lineRule="exact"/>
        <w:rPr>
          <w:sz w:val="20"/>
          <w:szCs w:val="20"/>
          <w:color w:val="auto"/>
        </w:rPr>
      </w:pPr>
    </w:p>
    <w:p>
      <w:pPr>
        <w:ind w:right="880" w:firstLine="436"/>
        <w:spacing w:after="0" w:line="277" w:lineRule="auto"/>
        <w:tabs>
          <w:tab w:leader="none" w:pos="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Increase the total number of shares of Stock issuable pursuant to all Rights under the Plan, except as contemplated in Article 1 or Section 2.3(b) hereof; or</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Change the class of employees eligible to receive Incentive Stock Options that may participate in the Plan.</w:t>
      </w:r>
    </w:p>
    <w:p>
      <w:pPr>
        <w:sectPr>
          <w:pgSz w:w="11900" w:h="16838" w:orient="portrait"/>
          <w:cols w:equalWidth="0" w:num="1">
            <w:col w:w="10860"/>
          </w:cols>
          <w:pgMar w:left="440" w:top="274" w:right="599" w:bottom="1440" w:gutter="0" w:footer="0" w:header="0"/>
        </w:sectPr>
      </w:pPr>
    </w:p>
    <w:bookmarkStart w:id="263" w:name="page264"/>
    <w:bookmarkEnd w:id="263"/>
    <w:p>
      <w:pPr>
        <w:ind w:left="4"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termination, amendment, or modification of the Plan shall affect adversely an Optionee’s rights under an existing Option Agreement without the consent of the Optionee or his legal representative.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RESTRICTED STOCK GRANTS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Section 4.1 Grants of Restricted Stock</w:t>
      </w:r>
      <w:r>
        <w:rPr>
          <w:rFonts w:ascii="Arial" w:cs="Arial" w:eastAsia="Arial" w:hAnsi="Arial"/>
          <w:sz w:val="18"/>
          <w:szCs w:val="18"/>
          <w:b w:val="1"/>
          <w:bCs w:val="1"/>
          <w:color w:val="auto"/>
        </w:rPr>
        <w:t>.</w:t>
      </w:r>
    </w:p>
    <w:p>
      <w:pPr>
        <w:spacing w:after="0" w:line="121" w:lineRule="exact"/>
        <w:rPr>
          <w:sz w:val="20"/>
          <w:szCs w:val="20"/>
          <w:color w:val="auto"/>
        </w:rPr>
      </w:pPr>
    </w:p>
    <w:p>
      <w:pPr>
        <w:ind w:left="684" w:hanging="244"/>
        <w:spacing w:after="0"/>
        <w:tabs>
          <w:tab w:leader="none" w:pos="68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Company may issue Restricted Stock to Participants as provided in this Article IV. Restricted Stock will be deemed issued only upon</w:t>
      </w:r>
    </w:p>
    <w:p>
      <w:pPr>
        <w:spacing w:after="0" w:line="34" w:lineRule="exact"/>
        <w:rPr>
          <w:rFonts w:ascii="Arial" w:cs="Arial" w:eastAsia="Arial" w:hAnsi="Arial"/>
          <w:sz w:val="17"/>
          <w:szCs w:val="17"/>
          <w:color w:val="auto"/>
        </w:rPr>
      </w:pPr>
    </w:p>
    <w:p>
      <w:pPr>
        <w:ind w:left="4" w:right="260" w:hanging="4"/>
        <w:spacing w:after="0" w:line="260" w:lineRule="auto"/>
        <w:tabs>
          <w:tab w:leader="none" w:pos="21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authorization by the Committee, and (ii) the execution and delivery of a Restricted Stock Grant Agreement by the person to whom such Restricted Stock is to be issued and a duly authorized officer of the Company.</w:t>
      </w:r>
    </w:p>
    <w:p>
      <w:pPr>
        <w:spacing w:after="0" w:line="77" w:lineRule="exact"/>
        <w:rPr>
          <w:rFonts w:ascii="Arial" w:cs="Arial" w:eastAsia="Arial" w:hAnsi="Arial"/>
          <w:sz w:val="18"/>
          <w:szCs w:val="18"/>
          <w:color w:val="auto"/>
        </w:rPr>
      </w:pPr>
    </w:p>
    <w:p>
      <w:pPr>
        <w:ind w:left="4" w:right="100" w:firstLine="436"/>
        <w:spacing w:after="0" w:line="311" w:lineRule="auto"/>
        <w:tabs>
          <w:tab w:leader="none" w:pos="699"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Each issuance of Restricted Stock pursuant to this Article IV will be evidenced by a Restricted Stock Grant Agreement between the Company and the Holder in form and substance satisfactory to the Committee in its sole discretion, consistent with this Article IV. Each Restricted Stock Grant Agreement will specify the purchase price per share, if any, paid by the Holder for the Restricted Stock, such amount to be fixed by the Committee.</w:t>
      </w:r>
    </w:p>
    <w:p>
      <w:pPr>
        <w:spacing w:after="0" w:line="40" w:lineRule="exact"/>
        <w:rPr>
          <w:rFonts w:ascii="Arial" w:cs="Arial" w:eastAsia="Arial" w:hAnsi="Arial"/>
          <w:sz w:val="16"/>
          <w:szCs w:val="16"/>
          <w:color w:val="auto"/>
        </w:rPr>
      </w:pPr>
    </w:p>
    <w:p>
      <w:pPr>
        <w:ind w:left="4" w:right="160" w:firstLine="436"/>
        <w:spacing w:after="0" w:line="263" w:lineRule="auto"/>
        <w:tabs>
          <w:tab w:leader="none" w:pos="68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Without limiting the foregoing, each Restricted Stock Grant Agreement shall set forth the terms and conditions of any forfeiture provisions regarding the Restricted Stock, (including any provisions for accelerated vesting in the event of a Change in Control Transaction) as determined by the Committee.</w:t>
      </w:r>
    </w:p>
    <w:p>
      <w:pPr>
        <w:spacing w:after="0" w:line="75" w:lineRule="exact"/>
        <w:rPr>
          <w:rFonts w:ascii="Arial" w:cs="Arial" w:eastAsia="Arial" w:hAnsi="Arial"/>
          <w:sz w:val="18"/>
          <w:szCs w:val="18"/>
          <w:color w:val="auto"/>
        </w:rPr>
      </w:pPr>
    </w:p>
    <w:p>
      <w:pPr>
        <w:ind w:left="4" w:right="120" w:firstLine="436"/>
        <w:spacing w:after="0" w:line="263" w:lineRule="auto"/>
        <w:tabs>
          <w:tab w:leader="none" w:pos="69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At the discretion of the Committee, the Holder, as a condition to such issuance, may be required to pay to the Company in cash, or in such other form as the Committee may determine in its discretion, the amount of the Company’s Tax Withholding Liability required in connection with such issuance.</w:t>
      </w:r>
    </w:p>
    <w:p>
      <w:pPr>
        <w:spacing w:after="0" w:line="75" w:lineRule="exact"/>
        <w:rPr>
          <w:rFonts w:ascii="Arial" w:cs="Arial" w:eastAsia="Arial" w:hAnsi="Arial"/>
          <w:sz w:val="18"/>
          <w:szCs w:val="18"/>
          <w:color w:val="auto"/>
        </w:rPr>
      </w:pPr>
    </w:p>
    <w:p>
      <w:pPr>
        <w:ind w:left="4" w:right="20" w:firstLine="436"/>
        <w:spacing w:after="0" w:line="263" w:lineRule="auto"/>
        <w:tabs>
          <w:tab w:leader="none" w:pos="68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Nothing contained in this Article IV, any Restricted Stock Grant Agreement, or any other agreement executed in connection with the issuance of Restricted Stock under this Article IV will confer upon any Holder any right with respect to the continuation of his or her status as an employee of the Company or any Subsidiary.</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Section 4.2. Restrictions on Transfer of Restricted Stock</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36"/>
        <w:spacing w:after="0" w:line="286" w:lineRule="auto"/>
        <w:tabs>
          <w:tab w:leader="none" w:pos="68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Shares of Restricted Stock acquired by a Holder may be Transferred only in accordance with the specific limitations on the Transfer of Restricted Stock imposed by applicable state or federal securities laws or set forth below, and subject to certain undertakings of the transferee set forth in Section 4.2(c). All Transfers of Restricted Stock not meeting the conditions set forth in this Section 4.2 are expressly prohibited.</w:t>
      </w:r>
    </w:p>
    <w:p>
      <w:pPr>
        <w:spacing w:after="0" w:line="57" w:lineRule="exact"/>
        <w:rPr>
          <w:rFonts w:ascii="Arial" w:cs="Arial" w:eastAsia="Arial" w:hAnsi="Arial"/>
          <w:sz w:val="17"/>
          <w:szCs w:val="17"/>
          <w:color w:val="auto"/>
        </w:rPr>
      </w:pPr>
    </w:p>
    <w:p>
      <w:pPr>
        <w:ind w:left="4" w:right="40" w:firstLine="436"/>
        <w:spacing w:after="0" w:line="263" w:lineRule="auto"/>
        <w:tabs>
          <w:tab w:leader="none" w:pos="69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prohibited Transfer of Restricted Stock is void and of no effect. Should such a Transfer be attempted, the Company may refuse to carry out the Transfer on its books, attempt to set aside the Transfer, enforce any undertaking or right under this Section 4.2, and/or exercise any other legal or equitable remedy.</w:t>
      </w:r>
    </w:p>
    <w:p>
      <w:pPr>
        <w:sectPr>
          <w:pgSz w:w="11900" w:h="16838" w:orient="portrait"/>
          <w:cols w:equalWidth="0" w:num="1">
            <w:col w:w="11004"/>
          </w:cols>
          <w:pgMar w:left="436" w:top="274" w:right="459" w:bottom="1440" w:gutter="0" w:footer="0" w:header="0"/>
        </w:sectPr>
      </w:pPr>
    </w:p>
    <w:bookmarkStart w:id="264" w:name="page265"/>
    <w:bookmarkEnd w:id="264"/>
    <w:p>
      <w:pPr>
        <w:ind w:right="140" w:firstLine="436"/>
        <w:spacing w:after="0" w:line="257" w:lineRule="auto"/>
        <w:tabs>
          <w:tab w:leader="none" w:pos="6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Transfer of Restricted Stock that would otherwise be permitted under the terms of this Plan is prohibited unless the transferee executes such documents as the Company may reasonably require to ensure the Company’s rights under a Restricted Stock Grant Agreement and this Article IV are adequately protected with respect to the Restricted Stock so Transferred. Such documents may include, without limitation, an agreement by the transferee to be bound by all of the terms of this Plan applicable to Restricted Stock and of the applicable Restricted Stock Grant Agreement, as if the transferee were the original Holder of such Restricted Stock.</w:t>
      </w:r>
    </w:p>
    <w:p>
      <w:pPr>
        <w:spacing w:after="0" w:line="79" w:lineRule="exact"/>
        <w:rPr>
          <w:rFonts w:ascii="Arial" w:cs="Arial" w:eastAsia="Arial" w:hAnsi="Arial"/>
          <w:sz w:val="18"/>
          <w:szCs w:val="18"/>
          <w:color w:val="auto"/>
        </w:rPr>
      </w:pPr>
    </w:p>
    <w:p>
      <w:pPr>
        <w:ind w:firstLine="436"/>
        <w:spacing w:after="0" w:line="288" w:lineRule="auto"/>
        <w:tabs>
          <w:tab w:leader="none" w:pos="69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 facilitate the enforcement of the restrictions on Transfer set forth in this Article IV, the Committee may, at its discretion, require the Holder of shares of Restricted Stock to deliver the certificate(s) for such shares with a stock power executed in blank by the Holder and the Holder’s spouse, to the Secretary of the Company or his or her designee, and the Company may hold said certificate(s) and stock power(s) in escrow and take all such actions as are necessary to ensure that all Transfers and/or releases are made in accordance with the terms of this Plan. Such certificates may be held in escrow so long as the shares of Restricted Stock evidenced thereby are subject to any restriction on Transfer under this Article IV or under a Restricted Stock Grant Agreement. Each Holder acknowledges that the Secretary of the Company (or his or her designee) is so appointed as the escrow agent with the foregoing authorities as a material inducement to the issuance of shares of Restricted Stock under this Article IV, that the appointment is coupled with an interest, and that it accordingly will be irrevocable. The escrow agent will not be liable to any party to a Restricted Stock Grant Agreement (or to any other party) for any actions or omissions unless the escrow agent is grossly negligent relative thereto. The escrow agent may rely upon any letter, notice or other document executed by any signature purported to be genuine.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4.3. Compliance with Law</w:t>
      </w:r>
      <w:r>
        <w:rPr>
          <w:rFonts w:ascii="Arial" w:cs="Arial" w:eastAsia="Arial" w:hAnsi="Arial"/>
          <w:sz w:val="18"/>
          <w:szCs w:val="18"/>
          <w:b w:val="1"/>
          <w:bCs w:val="1"/>
          <w:color w:val="auto"/>
        </w:rPr>
        <w:t>.</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Notwithstanding any other provision of this Article IV, Restricted Stock may be issued pursuant to this Article IV only after there has been compliance with all applicable federal and state securities laws, and such issuance will be subject to this overriding condition. The Company may include shares of Restricted Stock in a Registration, but will not be required to register or qualify Restricted Stock with the SEC or any state agency, except that the Company will register with, or as required by local law, file for and secure an exemption from such registration requirements from the applicable securities administrator and other officials of each jurisdiction in which a Holder would be issued Restricted Stock hereunder prior to such issuance.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4.4. Stock Certificates</w:t>
      </w:r>
      <w:r>
        <w:rPr>
          <w:rFonts w:ascii="Arial" w:cs="Arial" w:eastAsia="Arial" w:hAnsi="Arial"/>
          <w:sz w:val="18"/>
          <w:szCs w:val="18"/>
          <w:b w:val="1"/>
          <w:bCs w:val="1"/>
          <w:color w:val="auto"/>
        </w:rPr>
        <w:t>.</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Certificates representing the Restricted Stock issued pursuant to this Article IV will bear all legends required by law and necessary to effectuate the provisions hereof. The Company may place a “stop transfer” order against shares of Restricted Stock until all restrictions and conditions set forth in this Article IV, the applicable Restricted Stock Grant Agreement and the legends referred to in this Section 4.4 have been complied with.</w:t>
      </w:r>
    </w:p>
    <w:p>
      <w:pPr>
        <w:sectPr>
          <w:pgSz w:w="11900" w:h="16838" w:orient="portrait"/>
          <w:cols w:equalWidth="0" w:num="1">
            <w:col w:w="11000"/>
          </w:cols>
          <w:pgMar w:left="440" w:top="274" w:right="459" w:bottom="1440" w:gutter="0" w:footer="0" w:header="0"/>
        </w:sectPr>
      </w:pPr>
    </w:p>
    <w:bookmarkStart w:id="265" w:name="page266"/>
    <w:bookmarkEnd w:id="265"/>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4.5. Market Standoff</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To the extent requested by the Company and any underwriter of securities of the Company in connection with a firm commitment underwriting, no Holder of any shares of Restricted Stock will Transfer any such shares not included in such underwriting, or not previously registered in a Registration, during the one hundred twenty (120) day period following the effective date of the registration statement filed with the SEC under the 1933 Act in connection with such offering.</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Section 4.6. Amendment and Discontinuance</w:t>
      </w:r>
      <w:r>
        <w:rPr>
          <w:rFonts w:ascii="Arial" w:cs="Arial" w:eastAsia="Arial" w:hAnsi="Arial"/>
          <w:sz w:val="18"/>
          <w:szCs w:val="18"/>
          <w:b w:val="1"/>
          <w:bCs w:val="1"/>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Board may at any time terminate the Plan; provided, however, that the Board (unless its actions are approved or ratified by the shareholders of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within twelve months of the date that the Board amends the Plan) may not amend the Plan to:</w:t>
      </w:r>
    </w:p>
    <w:p>
      <w:pPr>
        <w:spacing w:after="0" w:line="103" w:lineRule="exact"/>
        <w:rPr>
          <w:sz w:val="20"/>
          <w:szCs w:val="20"/>
          <w:color w:val="auto"/>
        </w:rPr>
      </w:pPr>
    </w:p>
    <w:p>
      <w:pPr>
        <w:ind w:left="4" w:firstLine="436"/>
        <w:spacing w:after="0" w:line="277" w:lineRule="auto"/>
        <w:tabs>
          <w:tab w:leader="none" w:pos="68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Increase the total number of shares of Stock issuable pursuant to all Rights under the Plan, except as contemplated in Article I or Section 2.3(b) hereof; or</w:t>
      </w:r>
    </w:p>
    <w:p>
      <w:pPr>
        <w:spacing w:after="0" w:line="62" w:lineRule="exact"/>
        <w:rPr>
          <w:rFonts w:ascii="Arial" w:cs="Arial" w:eastAsia="Arial" w:hAnsi="Arial"/>
          <w:sz w:val="18"/>
          <w:szCs w:val="18"/>
          <w:color w:val="auto"/>
        </w:rPr>
      </w:pPr>
    </w:p>
    <w:p>
      <w:pPr>
        <w:ind w:left="4" w:right="160" w:firstLine="436"/>
        <w:spacing w:after="0" w:line="342" w:lineRule="auto"/>
        <w:tabs>
          <w:tab w:leader="none" w:pos="69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modify the requirements as to eligibility for participation under this Article IV. No termination, amendment, or modification of the Plan shall affect adversely a Holder’s rights under an existing Restricted Stock Agreement without the consent of the Holder or his legal representative.</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Section 4.7. Limitations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00"/>
        <w:spacing w:after="0" w:line="308" w:lineRule="auto"/>
        <w:rPr>
          <w:sz w:val="20"/>
          <w:szCs w:val="20"/>
          <w:color w:val="auto"/>
        </w:rPr>
      </w:pPr>
      <w:r>
        <w:rPr>
          <w:rFonts w:ascii="Arial" w:cs="Arial" w:eastAsia="Arial" w:hAnsi="Arial"/>
          <w:sz w:val="17"/>
          <w:szCs w:val="17"/>
          <w:color w:val="auto"/>
        </w:rPr>
        <w:t>The aggregate number of shares of Stock potentially distributable as Restricted Stock, shall not exceed the total number of shares of Stock remaining in the Plan Pool, less all shares of Stock potentially acquirable under, or underlying, all other Rights outstanding under this Plan.</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LONG-TERM INCENTIVE COMPENSATION UNITS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Section 5.1. Awards of Units</w:t>
      </w:r>
      <w:r>
        <w:rPr>
          <w:rFonts w:ascii="Arial" w:cs="Arial" w:eastAsia="Arial" w:hAnsi="Arial"/>
          <w:sz w:val="18"/>
          <w:szCs w:val="18"/>
          <w:b w:val="1"/>
          <w:bCs w:val="1"/>
          <w:color w:val="auto"/>
        </w:rPr>
        <w:t>.</w:t>
      </w:r>
    </w:p>
    <w:p>
      <w:pPr>
        <w:spacing w:after="0" w:line="121" w:lineRule="exact"/>
        <w:rPr>
          <w:sz w:val="20"/>
          <w:szCs w:val="20"/>
          <w:color w:val="auto"/>
        </w:rPr>
      </w:pPr>
    </w:p>
    <w:p>
      <w:pPr>
        <w:ind w:left="684" w:hanging="244"/>
        <w:spacing w:after="0"/>
        <w:tabs>
          <w:tab w:leader="none" w:pos="68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Company may grant awards of Units to Eligible Employees as provided in this Article V. Units will be deemed granted only upon</w:t>
      </w:r>
    </w:p>
    <w:p>
      <w:pPr>
        <w:spacing w:after="0" w:line="34" w:lineRule="exact"/>
        <w:rPr>
          <w:rFonts w:ascii="Arial" w:cs="Arial" w:eastAsia="Arial" w:hAnsi="Arial"/>
          <w:sz w:val="17"/>
          <w:szCs w:val="17"/>
          <w:color w:val="auto"/>
        </w:rPr>
      </w:pPr>
    </w:p>
    <w:p>
      <w:pPr>
        <w:ind w:left="4" w:right="100" w:hanging="4"/>
        <w:spacing w:after="0" w:line="255" w:lineRule="auto"/>
        <w:tabs>
          <w:tab w:leader="none" w:pos="21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authorization by the Committee, and (ii) the execution and delivery of a Unit Agreement by the Eligible Employee to whom Units are to be granted and an authorized officer of the Company. Units may be granted in such amounts and to such Unit Recipients as the Committee may determine, subject to the limitations of Section 5.2 below.</w:t>
      </w:r>
    </w:p>
    <w:p>
      <w:pPr>
        <w:sectPr>
          <w:pgSz w:w="11900" w:h="16838" w:orient="portrait"/>
          <w:cols w:equalWidth="0" w:num="1">
            <w:col w:w="11004"/>
          </w:cols>
          <w:pgMar w:left="436" w:top="270" w:right="459" w:bottom="1440" w:gutter="0" w:footer="0" w:header="0"/>
        </w:sectPr>
      </w:pPr>
    </w:p>
    <w:bookmarkStart w:id="266" w:name="page267"/>
    <w:bookmarkEnd w:id="266"/>
    <w:p>
      <w:pPr>
        <w:ind w:left="-436" w:right="160" w:firstLine="436"/>
        <w:spacing w:after="0" w:line="277" w:lineRule="auto"/>
        <w:tabs>
          <w:tab w:leader="none" w:pos="2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grant of Units pursuant to this Article V will be evidenced by a Unit Award Agreement between the Company and the Unit Recipient in form and substance satisfactory to the Committee in its sole discretion, consistent with this Article V.</w:t>
      </w:r>
    </w:p>
    <w:p>
      <w:pPr>
        <w:spacing w:after="0" w:line="62" w:lineRule="exact"/>
        <w:rPr>
          <w:rFonts w:ascii="Arial" w:cs="Arial" w:eastAsia="Arial" w:hAnsi="Arial"/>
          <w:sz w:val="18"/>
          <w:szCs w:val="18"/>
          <w:color w:val="auto"/>
        </w:rPr>
      </w:pPr>
    </w:p>
    <w:p>
      <w:pPr>
        <w:ind w:left="-436" w:right="880" w:firstLine="436"/>
        <w:spacing w:after="0" w:line="277" w:lineRule="auto"/>
        <w:tabs>
          <w:tab w:leader="none" w:pos="24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Except as otherwise provided herein, Units will be converted into Retained Units only after the end of the Performance Period. The Performance Period shall be set by the Committee for each year’s awards.</w:t>
      </w:r>
    </w:p>
    <w:p>
      <w:pPr>
        <w:spacing w:after="0" w:line="62" w:lineRule="exact"/>
        <w:rPr>
          <w:rFonts w:ascii="Arial" w:cs="Arial" w:eastAsia="Arial" w:hAnsi="Arial"/>
          <w:sz w:val="18"/>
          <w:szCs w:val="18"/>
          <w:color w:val="auto"/>
        </w:rPr>
      </w:pPr>
    </w:p>
    <w:p>
      <w:pPr>
        <w:ind w:left="-436" w:right="40" w:firstLine="436"/>
        <w:spacing w:after="0" w:line="293" w:lineRule="auto"/>
        <w:tabs>
          <w:tab w:leader="none" w:pos="25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percentage of the Units awarded under this Section 5.1 or credited pursuant to Section 5.5 that will be distributed to Unit Recipients shall depend on the levels of financial performance and other performance objectives achieved during each year of the Performance Period; provided, however, that the Committee may adopt one or more performance categories or eliminate all performance categories other than financial performance. Financial performance shall be based on the consolidated results of the Company and its Subsidiaries prepared on the same basis as the financial statements published for financial reporting purposes and determined in accordance with Section 5.1(e) below. Other performance categories adopted by the Committee shall be based on such measurements of performance as the Committee shall deem appropriate.</w:t>
      </w:r>
    </w:p>
    <w:p>
      <w:pPr>
        <w:spacing w:after="0" w:line="56" w:lineRule="exact"/>
        <w:rPr>
          <w:rFonts w:ascii="Arial" w:cs="Arial" w:eastAsia="Arial" w:hAnsi="Arial"/>
          <w:sz w:val="16"/>
          <w:szCs w:val="16"/>
          <w:color w:val="auto"/>
        </w:rPr>
      </w:pPr>
    </w:p>
    <w:p>
      <w:pPr>
        <w:ind w:left="-436" w:firstLine="436"/>
        <w:spacing w:after="0" w:line="272" w:lineRule="auto"/>
        <w:tabs>
          <w:tab w:leader="none" w:pos="24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conversion of Units into Retained Units will be based on the Company’s financial performance with results from other performance categories applied as a factor, not exceeding one (1), against financial results. The annual financial and other performance results will be averaged over the Performance Period and translated into percentage factors according to graduated criteria established by the Committee for the entire Performance Period. The resulting percentage factors shall determine the percentage of Units that will be converted to Retained Units. No conversion to Retained Units shall be made if a minimum average percentage of the applicable measurement of performance, financial and other, to be established by the Committee is not achieved for the Performance Period. The performance levels achieved for each Performance Period and percentage of Units converted to Retained Units shall be conclusively determined by the Committee.</w:t>
      </w:r>
    </w:p>
    <w:p>
      <w:pPr>
        <w:spacing w:after="0" w:line="69" w:lineRule="exact"/>
        <w:rPr>
          <w:rFonts w:ascii="Arial" w:cs="Arial" w:eastAsia="Arial" w:hAnsi="Arial"/>
          <w:sz w:val="17"/>
          <w:szCs w:val="17"/>
          <w:color w:val="auto"/>
        </w:rPr>
      </w:pPr>
    </w:p>
    <w:p>
      <w:pPr>
        <w:ind w:left="-436" w:right="460" w:firstLine="436"/>
        <w:spacing w:after="0" w:line="277" w:lineRule="auto"/>
        <w:tabs>
          <w:tab w:leader="none" w:pos="22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percentage of Units awarded which are converted to Retained Units based on the levels of performance (including any Units credited under Section 5.5) will be determined as soon as practicable after each Performance Period.</w:t>
      </w:r>
    </w:p>
    <w:p>
      <w:pPr>
        <w:spacing w:after="0" w:line="62" w:lineRule="exact"/>
        <w:rPr>
          <w:rFonts w:ascii="Arial" w:cs="Arial" w:eastAsia="Arial" w:hAnsi="Arial"/>
          <w:sz w:val="18"/>
          <w:szCs w:val="18"/>
          <w:color w:val="auto"/>
        </w:rPr>
      </w:pPr>
    </w:p>
    <w:p>
      <w:pPr>
        <w:ind w:left="-436" w:right="40" w:firstLine="436"/>
        <w:spacing w:after="0" w:line="263" w:lineRule="auto"/>
        <w:tabs>
          <w:tab w:leader="none" w:pos="2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soon as practical after determination of the number of Retained Units, such Retained Units shall be distributed in the form of a combination of Stock and cash in the relative percentages as between the two as determined by the Committee. Units that have been awarded, but which do not become Retained Units, shall be canceled.</w:t>
      </w:r>
    </w:p>
    <w:p>
      <w:pPr>
        <w:spacing w:after="0" w:line="75" w:lineRule="exact"/>
        <w:rPr>
          <w:rFonts w:ascii="Arial" w:cs="Arial" w:eastAsia="Arial" w:hAnsi="Arial"/>
          <w:sz w:val="18"/>
          <w:szCs w:val="18"/>
          <w:color w:val="auto"/>
        </w:rPr>
      </w:pPr>
    </w:p>
    <w:p>
      <w:pPr>
        <w:ind w:left="-436" w:right="340" w:firstLine="436"/>
        <w:spacing w:after="0" w:line="259" w:lineRule="auto"/>
        <w:tabs>
          <w:tab w:leader="none" w:pos="2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Notwithstanding any provision in this Article V other than Section 5.2, if the Committee determines that it is appropriate under the circumstances, the Committee may award to any Eligible Employee by virtue of hire, promotion or upgrade to a higher job grade classification, or special individual circumstances, an award of Units, with respect to one or more Performance Periods that began in prior years and at the time of the award have not yet been completed.</w:t>
      </w:r>
    </w:p>
    <w:p>
      <w:pPr>
        <w:sectPr>
          <w:pgSz w:w="11900" w:h="16838" w:orient="portrait"/>
          <w:cols w:equalWidth="0" w:num="1">
            <w:col w:w="10584"/>
          </w:cols>
          <w:pgMar w:left="876" w:top="274" w:right="439" w:bottom="1440" w:gutter="0" w:footer="0" w:header="0"/>
        </w:sectPr>
      </w:pPr>
    </w:p>
    <w:bookmarkStart w:id="267" w:name="page268"/>
    <w:bookmarkEnd w:id="267"/>
    <w:p>
      <w:pPr>
        <w:jc w:val="both"/>
        <w:ind w:right="60" w:firstLine="436"/>
        <w:spacing w:after="0" w:line="263"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 of this Plan, the Committee may reduce or eliminate awards to a Unit Recipient who has been demoted to a lower job grade classification, and where circumstances warrant, may permit continued participation, proration or early distribution, or a combination thereof, of awards which would otherwise be canceled.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5.2. Limitations</w:t>
      </w:r>
      <w:r>
        <w:rPr>
          <w:rFonts w:ascii="Arial" w:cs="Arial" w:eastAsia="Arial" w:hAnsi="Arial"/>
          <w:sz w:val="18"/>
          <w:szCs w:val="18"/>
          <w:b w:val="1"/>
          <w:bCs w:val="1"/>
          <w:color w:val="auto"/>
        </w:rPr>
        <w:t>.</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aggregate number of shares of Stock potentially distributable under all Units granted, including any Units credited pursuant to Section 5.5, shall not exceed the total number of shares of Stock remaining in the Plan Pool, less all shares of Stock potentially acquirable under, or underlying, all other Rights outstanding under this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5.3. Terms and Conditions</w:t>
      </w:r>
      <w:r>
        <w:rPr>
          <w:rFonts w:ascii="Arial" w:cs="Arial" w:eastAsia="Arial" w:hAnsi="Arial"/>
          <w:sz w:val="18"/>
          <w:szCs w:val="18"/>
          <w:b w:val="1"/>
          <w:bCs w:val="1"/>
          <w:color w:val="auto"/>
        </w:rPr>
        <w:t>.</w:t>
      </w:r>
    </w:p>
    <w:p>
      <w:pPr>
        <w:spacing w:after="0" w:line="121" w:lineRule="exact"/>
        <w:rPr>
          <w:sz w:val="20"/>
          <w:szCs w:val="20"/>
          <w:color w:val="auto"/>
        </w:rPr>
      </w:pPr>
    </w:p>
    <w:p>
      <w:pPr>
        <w:ind w:left="680" w:hanging="244"/>
        <w:spacing w:after="0"/>
        <w:tabs>
          <w:tab w:leader="none" w:pos="6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awards of Units must be made within ten (10) years of the Effective Date.</w:t>
      </w:r>
    </w:p>
    <w:p>
      <w:pPr>
        <w:spacing w:after="0" w:line="117" w:lineRule="exact"/>
        <w:rPr>
          <w:rFonts w:ascii="Arial" w:cs="Arial" w:eastAsia="Arial" w:hAnsi="Arial"/>
          <w:sz w:val="18"/>
          <w:szCs w:val="18"/>
          <w:color w:val="auto"/>
        </w:rPr>
      </w:pPr>
    </w:p>
    <w:p>
      <w:pPr>
        <w:ind w:right="460" w:firstLine="436"/>
        <w:spacing w:after="0" w:line="277"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award of Units shall be evidenced by a Unit Award Agreement in form and substance satisfactory to the Committee in its discretion, consistent with the provisions of this Article V.</w:t>
      </w:r>
    </w:p>
    <w:p>
      <w:pPr>
        <w:spacing w:after="0" w:line="62" w:lineRule="exact"/>
        <w:rPr>
          <w:rFonts w:ascii="Arial" w:cs="Arial" w:eastAsia="Arial" w:hAnsi="Arial"/>
          <w:sz w:val="18"/>
          <w:szCs w:val="18"/>
          <w:color w:val="auto"/>
        </w:rPr>
      </w:pPr>
    </w:p>
    <w:p>
      <w:pPr>
        <w:ind w:firstLine="436"/>
        <w:spacing w:after="0" w:line="263" w:lineRule="auto"/>
        <w:tabs>
          <w:tab w:leader="none" w:pos="6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Nothing contained in this Article V, any Unit Award Agreement or in any other agreement executed in connection with the award of Units under this Article V will confer upon any Unit Recipient any right with respect to the continuation of his or her status as an employee of the Company or any of its Subsidiaries.</w:t>
      </w:r>
    </w:p>
    <w:p>
      <w:pPr>
        <w:spacing w:after="0" w:line="75" w:lineRule="exact"/>
        <w:rPr>
          <w:rFonts w:ascii="Arial" w:cs="Arial" w:eastAsia="Arial" w:hAnsi="Arial"/>
          <w:sz w:val="18"/>
          <w:szCs w:val="18"/>
          <w:color w:val="auto"/>
        </w:rPr>
      </w:pPr>
    </w:p>
    <w:p>
      <w:pPr>
        <w:jc w:val="both"/>
        <w:ind w:right="180" w:firstLine="436"/>
        <w:spacing w:after="0" w:line="259"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Unit Recipient shall have no rights as a shareholder of the Company with respect to any Units until the Retained Unit has been converted into shares of Stock. No adjustment shall be made in the number of Units for dividends (ordinary or extraordinary, whether in cash, securities or other property) or distributions or other rights for which the record date is prior to the date such Stock is fully paid for, except as provided in Sections 2.3(b) and 5.6(a).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5.4. Special Distribution Rules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36"/>
        <w:spacing w:after="0" w:line="277" w:lineRule="auto"/>
        <w:tabs>
          <w:tab w:leader="none" w:pos="68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otherwise provided in this Section 5.4, a Unit Recipient must be an Eligible Employee from the date a Unit is awarded to him or her continuously through and including the date of conversion to a Retained Unit.</w:t>
      </w:r>
    </w:p>
    <w:p>
      <w:pPr>
        <w:spacing w:after="0" w:line="62" w:lineRule="exact"/>
        <w:rPr>
          <w:rFonts w:ascii="Arial" w:cs="Arial" w:eastAsia="Arial" w:hAnsi="Arial"/>
          <w:sz w:val="18"/>
          <w:szCs w:val="18"/>
          <w:color w:val="auto"/>
        </w:rPr>
      </w:pPr>
    </w:p>
    <w:p>
      <w:pPr>
        <w:ind w:right="80" w:firstLine="436"/>
        <w:spacing w:after="0" w:line="275" w:lineRule="auto"/>
        <w:tabs>
          <w:tab w:leader="none" w:pos="69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case of the Death or Disability of a Unit Recipient prior to the end of any Performance Period, the number of Retained Units converted for the Unit Recipient for such Performance Period shall be reduced pro rata based on the number of months remaining in the Performance Period after the month of Death or Disability. The Retained Units, reduced in the discretion of the Committee to the percentage indicated by the levels of performance achieved prior to the date of Death or Disability, if any, shall be distributed in cash or Stock within a reasonable time after Death or Disability. All other Units awarded to the Unit Recipient for such Performance Period shall be canceled.</w:t>
      </w:r>
    </w:p>
    <w:p>
      <w:pPr>
        <w:sectPr>
          <w:pgSz w:w="11900" w:h="16838" w:orient="portrait"/>
          <w:cols w:equalWidth="0" w:num="1">
            <w:col w:w="11000"/>
          </w:cols>
          <w:pgMar w:left="440" w:top="274" w:right="459" w:bottom="1440" w:gutter="0" w:footer="0" w:header="0"/>
        </w:sectPr>
      </w:pPr>
    </w:p>
    <w:bookmarkStart w:id="268" w:name="page269"/>
    <w:bookmarkEnd w:id="268"/>
    <w:p>
      <w:pPr>
        <w:ind w:right="300" w:firstLine="436"/>
        <w:spacing w:after="0" w:line="263" w:lineRule="auto"/>
        <w:tabs>
          <w:tab w:leader="none" w:pos="685"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Unit Recipient enters into Retirement prior to the end of any Performance Period, the Units converted to Retained Units for such Unit Recipient shall be prorated to the end of the year in which such Retirement occurs and distributed in cash and/or Stock at the end of the Performance Period based upon the Company’s performance for such period.</w:t>
      </w:r>
    </w:p>
    <w:p>
      <w:pPr>
        <w:spacing w:after="0" w:line="75" w:lineRule="exact"/>
        <w:rPr>
          <w:rFonts w:ascii="Arial" w:cs="Arial" w:eastAsia="Arial" w:hAnsi="Arial"/>
          <w:sz w:val="18"/>
          <w:szCs w:val="18"/>
          <w:color w:val="auto"/>
        </w:rPr>
      </w:pPr>
    </w:p>
    <w:p>
      <w:pPr>
        <w:ind w:firstLine="436"/>
        <w:spacing w:after="0" w:line="263"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event of the termination of the Unit Recipient’s status as an Eligible Employee prior to the end of any Performance Period for any reason other than Death, Disability or Retirement, all Units awarded to the Unit Recipient with respect to any such Performance Period shall be immediately forfeited and canceled.</w:t>
      </w:r>
    </w:p>
    <w:p>
      <w:pPr>
        <w:spacing w:after="0" w:line="75" w:lineRule="exact"/>
        <w:rPr>
          <w:rFonts w:ascii="Arial" w:cs="Arial" w:eastAsia="Arial" w:hAnsi="Arial"/>
          <w:sz w:val="18"/>
          <w:szCs w:val="18"/>
          <w:color w:val="auto"/>
        </w:rPr>
      </w:pPr>
    </w:p>
    <w:p>
      <w:pPr>
        <w:ind w:right="220" w:firstLine="436"/>
        <w:spacing w:after="0" w:line="342" w:lineRule="auto"/>
        <w:tabs>
          <w:tab w:leader="none" w:pos="68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Upon a Unit Recipient’s promotion to a higher job grade classification, the Committee may, in its discretion, award to the Unit Recipient the total Units, or any portion thereof, which are associated with the higher job grade classification for the then current Performance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5.5. Dividend Equivalent Units</w:t>
      </w:r>
      <w:r>
        <w:rPr>
          <w:rFonts w:ascii="Arial" w:cs="Arial" w:eastAsia="Arial" w:hAnsi="Arial"/>
          <w:sz w:val="18"/>
          <w:szCs w:val="18"/>
          <w:b w:val="1"/>
          <w:bCs w:val="1"/>
          <w:color w:val="auto"/>
        </w:rPr>
        <w:t>.</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Committee may provide in a grant and in the Unit Agreement that on any record date for dividends on the Common Stock, an amount equal to the dividend payable on the number of shares of Common Stock covered by the Unit will be determined and credited on the payment date to each Unit Recipient’s account for each Unit which has been awarded to the Unit Recipient and not converted to a Retained Unit or canceled. Such amount will be converted within the account to an additional number of Units equal to the number of shares of Common Stock that could be purchased at Fair Market Value on such dividend payment date. These Units will be treated for purposes of this Article V in the same manner as those Units granted pursuant to Section 5.1.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5.6. Adjustments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36"/>
        <w:spacing w:after="0" w:line="272" w:lineRule="auto"/>
        <w:tabs>
          <w:tab w:leader="none" w:pos="68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 addition to the provisions of Section 2.3(b), if an extraordinary change occurs during a Performance Period which significantly alters the basis upon which the performance levels were established under Section 5.1 for that Performance Period, to avoid distortion in the operation of this Article V, but subject to Section 5.2, the Committee may make adjustments in such performance levels to preserve the incentive features of this Article V, whether before or after the end of the Performance Period, to the extent it deems appropriate in its sole discretion, which adjustments shall be conclusive and binding upon all parties concerned. Such changes may include, without limitation, adoption of, or changes in, accounting practices, tax laws and regulatory or other laws or regulations; economic changes not in the ordinary course of business cycles; significant corporate transactions; or compliance with judicial decrees or other legal authorities.</w:t>
      </w:r>
    </w:p>
    <w:p>
      <w:pPr>
        <w:sectPr>
          <w:pgSz w:w="11900" w:h="16838" w:orient="portrait"/>
          <w:cols w:equalWidth="0" w:num="1">
            <w:col w:w="11000"/>
          </w:cols>
          <w:pgMar w:left="440" w:top="274" w:right="459" w:bottom="1440" w:gutter="0" w:footer="0" w:header="0"/>
        </w:sectPr>
      </w:pPr>
    </w:p>
    <w:bookmarkStart w:id="269" w:name="page270"/>
    <w:bookmarkEnd w:id="269"/>
    <w:p>
      <w:pPr>
        <w:ind w:firstLine="436"/>
        <w:spacing w:after="0" w:line="255" w:lineRule="auto"/>
        <w:tabs>
          <w:tab w:leader="none" w:pos="695"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any time prior to the date of consummation of a Change in Control Transaction, the Committee may determine, notwithstanding the terms of any Unit Agreement, that all or any part of the Units theretofore awarded under this Article V shall become immediately Retained Units (reduced pro rata based on the number of months remaining in the Performance Period after the consummation of the Change in Control Transaction) and may thereafter be distributed in cash and/or Stock at any time before the date of consummation of the Change in Control Transaction (except as otherwise provided in Article II hereof, and except to the extent that such acceleration of distribution would result in an “excess parachute payment” within the meaning of Section 280G of the Code).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5.7. Other Conditions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36"/>
        <w:spacing w:after="0" w:line="277"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person shall have any claim to be granted an award of Units under this Article V and there is no obligation for uniformity of treatment of Eligible Employees or Unit Recipients under this Article IV.</w:t>
      </w:r>
    </w:p>
    <w:p>
      <w:pPr>
        <w:spacing w:after="0" w:line="62" w:lineRule="exact"/>
        <w:rPr>
          <w:rFonts w:ascii="Arial" w:cs="Arial" w:eastAsia="Arial" w:hAnsi="Arial"/>
          <w:sz w:val="18"/>
          <w:szCs w:val="18"/>
          <w:color w:val="auto"/>
        </w:rPr>
      </w:pPr>
    </w:p>
    <w:p>
      <w:pPr>
        <w:ind w:right="60" w:firstLine="436"/>
        <w:spacing w:after="0" w:line="296" w:lineRule="auto"/>
        <w:tabs>
          <w:tab w:leader="none" w:pos="69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Company shall have the right to deduct from any distribution or payment in cash under this Article V, and the Unit Recipient or other person receiving shares of Stock under this Article V shall be required to pay to the Company any Tax Withholding Liability. The number of shares of Stock to be distributed to any individual Unit Recipient may be reduced by the number of shares of Stock, the Fair Market Value of which on the Distribution Date is equivalent to the cash necessary to pay any Tax Withholding Liability, where the cash to be distributed is not sufficient to pay such Tax Withholding Liability, or the Unit Recipient may deliver to the Company cash sufficient to pay such Tax Withholding Liability.</w:t>
      </w:r>
    </w:p>
    <w:p>
      <w:pPr>
        <w:spacing w:after="0" w:line="53" w:lineRule="exact"/>
        <w:rPr>
          <w:rFonts w:ascii="Arial" w:cs="Arial" w:eastAsia="Arial" w:hAnsi="Arial"/>
          <w:sz w:val="16"/>
          <w:szCs w:val="16"/>
          <w:color w:val="auto"/>
        </w:rPr>
      </w:pPr>
    </w:p>
    <w:p>
      <w:pPr>
        <w:ind w:firstLine="436"/>
        <w:spacing w:after="0" w:line="286" w:lineRule="auto"/>
        <w:tabs>
          <w:tab w:leader="none" w:pos="68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Distribution of shares of Stock under this Article V may be delayed until the requirements of any applicable laws or regulations, and any stock exchange or applicable NASDAQ requirements, are satisfied. The shares of Stock distributed under this Article V shall be subject to such restrictions and conditions on disposition as counsel for the Company shall determine to be desirable or necessary under applicable law.</w:t>
      </w:r>
    </w:p>
    <w:p>
      <w:pPr>
        <w:spacing w:after="0" w:line="57" w:lineRule="exact"/>
        <w:rPr>
          <w:rFonts w:ascii="Arial" w:cs="Arial" w:eastAsia="Arial" w:hAnsi="Arial"/>
          <w:sz w:val="17"/>
          <w:szCs w:val="17"/>
          <w:color w:val="auto"/>
        </w:rPr>
      </w:pPr>
    </w:p>
    <w:p>
      <w:pPr>
        <w:ind w:left="700" w:hanging="264"/>
        <w:spacing w:after="0"/>
        <w:tabs>
          <w:tab w:leader="none" w:pos="7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the purpose of distribution of Units in cash, the value of a Unit shall be the Fair Market Value on the Distribution Date.</w:t>
      </w:r>
    </w:p>
    <w:p>
      <w:pPr>
        <w:spacing w:after="0" w:line="117" w:lineRule="exact"/>
        <w:rPr>
          <w:rFonts w:ascii="Arial" w:cs="Arial" w:eastAsia="Arial" w:hAnsi="Arial"/>
          <w:sz w:val="18"/>
          <w:szCs w:val="18"/>
          <w:color w:val="auto"/>
        </w:rPr>
      </w:pPr>
    </w:p>
    <w:p>
      <w:pPr>
        <w:ind w:right="200" w:firstLine="436"/>
        <w:spacing w:after="0" w:line="263"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Notwithstanding any other provision of this Article V, no Dividend Equivalent Credits shall be made and no conversion of Dividend Equivalent Units to Retained Units shall be made if at the time a Dividend Equivalent Credit or conversion of Dividend Equivalent Units to Retained Units would otherwise have been made:</w:t>
      </w:r>
    </w:p>
    <w:p>
      <w:pPr>
        <w:spacing w:after="0" w:line="75" w:lineRule="exact"/>
        <w:rPr>
          <w:rFonts w:ascii="Arial" w:cs="Arial" w:eastAsia="Arial" w:hAnsi="Arial"/>
          <w:sz w:val="18"/>
          <w:szCs w:val="18"/>
          <w:color w:val="auto"/>
        </w:rPr>
      </w:pPr>
    </w:p>
    <w:p>
      <w:pPr>
        <w:ind w:right="400" w:firstLine="987"/>
        <w:spacing w:after="0" w:line="277" w:lineRule="auto"/>
        <w:tabs>
          <w:tab w:leader="none" w:pos="1206"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regular dividend on the Common Stock has been omitted and not subsequently paid or there exists any default in payment of dividends on any such outstanding shares of capital stock of the Company;</w:t>
      </w:r>
    </w:p>
    <w:p>
      <w:pPr>
        <w:spacing w:after="0" w:line="62" w:lineRule="exact"/>
        <w:rPr>
          <w:rFonts w:ascii="Arial" w:cs="Arial" w:eastAsia="Arial" w:hAnsi="Arial"/>
          <w:sz w:val="18"/>
          <w:szCs w:val="18"/>
          <w:color w:val="auto"/>
        </w:rPr>
      </w:pPr>
    </w:p>
    <w:p>
      <w:pPr>
        <w:ind w:right="180" w:firstLine="987"/>
        <w:spacing w:after="0" w:line="277" w:lineRule="auto"/>
        <w:tabs>
          <w:tab w:leader="none" w:pos="1256"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rate of dividends on the Common Stock is lower than at the time the Dividend Equivalent Units were awarded, adjusted for any change of the type addressed to in Section 2.3(b);</w:t>
      </w:r>
    </w:p>
    <w:p>
      <w:pPr>
        <w:sectPr>
          <w:pgSz w:w="11900" w:h="16838" w:orient="portrait"/>
          <w:cols w:equalWidth="0" w:num="1">
            <w:col w:w="10940"/>
          </w:cols>
          <w:pgMar w:left="440" w:top="274" w:right="519" w:bottom="1440" w:gutter="0" w:footer="0" w:header="0"/>
        </w:sectPr>
      </w:pPr>
    </w:p>
    <w:bookmarkStart w:id="270" w:name="page271"/>
    <w:bookmarkEnd w:id="270"/>
    <w:p>
      <w:pPr>
        <w:ind w:right="80" w:firstLine="987"/>
        <w:spacing w:after="0" w:line="279" w:lineRule="auto"/>
        <w:tabs>
          <w:tab w:leader="none" w:pos="1306" w:val="left"/>
        </w:tabs>
        <w:numPr>
          <w:ilvl w:val="1"/>
          <w:numId w:val="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Estimated consolidated net income of the Company for the twelve-month period preceding the month the Dividend Equivalent Credit or conversion of Dividend Equivalent Units to Retained Units would otherwise have been made is less than the sum of the amount of the Dividend Equivalent Credits and Retained Units eligible for distribution under this Article V in that month plus all dividends applicable to such period on an accrual basis, either paid, declared or accrued at the most recently paid rate, on all outstanding shares of Common Stock; or</w:t>
      </w:r>
    </w:p>
    <w:p>
      <w:pPr>
        <w:spacing w:after="0" w:line="63" w:lineRule="exact"/>
        <w:rPr>
          <w:rFonts w:ascii="Arial" w:cs="Arial" w:eastAsia="Arial" w:hAnsi="Arial"/>
          <w:sz w:val="17"/>
          <w:szCs w:val="17"/>
          <w:color w:val="auto"/>
        </w:rPr>
      </w:pPr>
    </w:p>
    <w:p>
      <w:pPr>
        <w:ind w:right="600" w:firstLine="987"/>
        <w:spacing w:after="0" w:line="277" w:lineRule="auto"/>
        <w:tabs>
          <w:tab w:leader="none" w:pos="129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Dividend Equivalent Credit or conversion of Dividend Equivalent Units to Retained Units would result in a default in any agreement by which the Company is bound.</w:t>
      </w:r>
    </w:p>
    <w:p>
      <w:pPr>
        <w:spacing w:after="0" w:line="62" w:lineRule="exact"/>
        <w:rPr>
          <w:rFonts w:ascii="Arial" w:cs="Arial" w:eastAsia="Arial" w:hAnsi="Arial"/>
          <w:sz w:val="18"/>
          <w:szCs w:val="18"/>
          <w:color w:val="auto"/>
        </w:rPr>
      </w:pPr>
    </w:p>
    <w:p>
      <w:pPr>
        <w:jc w:val="both"/>
        <w:ind w:right="120" w:firstLine="436"/>
        <w:spacing w:after="0" w:line="263" w:lineRule="auto"/>
        <w:tabs>
          <w:tab w:leader="none" w:pos="66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event net income available under Section 5.7(e) above for Dividend Equivalent Credits and conversion of Dividend Equivalent Units to Retained Units is sufficient to cover part but not all of such amounts, the following order shall be applied in making payments: (i) Dividend Equivalent Credits, and then (ii) conversion of Dividend Equivalent Units to Retained Units.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5.8. Designation of Beneficiaries</w:t>
      </w:r>
      <w:r>
        <w:rPr>
          <w:rFonts w:ascii="Arial" w:cs="Arial" w:eastAsia="Arial" w:hAnsi="Arial"/>
          <w:sz w:val="18"/>
          <w:szCs w:val="18"/>
          <w:b w:val="1"/>
          <w:bCs w:val="1"/>
          <w:color w:val="auto"/>
        </w:rPr>
        <w:t>.</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Unit Recipient may designate a beneficiary or beneficiaries to receive all or part of the Stock and/or cash to be distributed to the Unit Recipient under this Article V in case of Death. A designation of beneficiary may be replaced by a new designation or may be revoked by the Unit Recipient at any time. A designation or revocation shall be on a form to be provided for that purpose and shall be signed by the Unit Recipient and delivered to the Company prior to the Unit Recipient’s Death. In case of the Unit Recipient’s Death, any amounts to be distributed to the Unit Recipient under this Article V with respect to which a designation of beneficiary has been made (to the extent it is valid and enforceable under applicable law) shall be distributed in accordance with this Article V to the designated beneficiary or beneficiaries. The amount distributable to a Unit Recipient upon Death and not subject to such a designation shall be distributed to the Unit Recipient’s estate. If there shall be any question as to the legal right of any beneficiary to receive a distribution under this Article V, the amount in question may be paid to the estate of the Unit Recipient, in which event the Company shall have no further liability to anyone with respect to such amount.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5.9. Restrictions On Transfer</w:t>
      </w:r>
      <w:r>
        <w:rPr>
          <w:rFonts w:ascii="Arial" w:cs="Arial" w:eastAsia="Arial" w:hAnsi="Arial"/>
          <w:sz w:val="18"/>
          <w:szCs w:val="18"/>
          <w:b w:val="1"/>
          <w:bCs w:val="1"/>
          <w:color w:val="auto"/>
        </w:rPr>
        <w: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Units granted under Article V may not be Transferred, except as provided in Section 5.8, and, during the lifetime of the Unit Recipient to whom it was awarded, cash and Stock receivable with respect to Retained Units may be received only by such Unit Recipient.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5.10. Amendment and Discontinuance</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Board may at any time terminate the Plan; provided, however, that the Board (unless its actions are approved or ratified by the shareholders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within twelve months of the date that the Board amends the Plan) may not amend the Plan to:</w:t>
      </w:r>
    </w:p>
    <w:p>
      <w:pPr>
        <w:spacing w:after="0" w:line="103" w:lineRule="exact"/>
        <w:rPr>
          <w:sz w:val="20"/>
          <w:szCs w:val="20"/>
          <w:color w:val="auto"/>
        </w:rPr>
      </w:pPr>
    </w:p>
    <w:p>
      <w:pPr>
        <w:ind w:firstLine="436"/>
        <w:spacing w:after="0" w:line="277" w:lineRule="auto"/>
        <w:tabs>
          <w:tab w:leader="none" w:pos="6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Increase the total number of shares of Stock issuable pursuant to all Rights under the Plan, except as contemplated in Article I or Section 2.3(b) hereof; or</w:t>
      </w:r>
    </w:p>
    <w:p>
      <w:pPr>
        <w:sectPr>
          <w:pgSz w:w="11900" w:h="16838" w:orient="portrait"/>
          <w:cols w:equalWidth="0" w:num="1">
            <w:col w:w="11000"/>
          </w:cols>
          <w:pgMar w:left="440" w:top="274" w:right="459" w:bottom="1440" w:gutter="0" w:footer="0" w:header="0"/>
        </w:sectPr>
      </w:pPr>
    </w:p>
    <w:bookmarkStart w:id="271" w:name="page272"/>
    <w:bookmarkEnd w:id="2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modify the requirements as to eligibility for participation under this Article V.</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No termination, amendment, or modification of the Plan shall affect adversely a Unit Recipient’s rights under an existing Unit Award Agreement without the consent of the Unit Recipient or his legal representative.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5.11. Compliance with Rule 16b-3</w:t>
      </w:r>
      <w:r>
        <w:rPr>
          <w:rFonts w:ascii="Arial" w:cs="Arial" w:eastAsia="Arial" w:hAnsi="Arial"/>
          <w:sz w:val="18"/>
          <w:szCs w:val="18"/>
          <w:b w:val="1"/>
          <w:bCs w:val="1"/>
          <w:color w:val="auto"/>
        </w:rPr>
        <w:t>.</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With respect to persons subject to Section 16 of the 1934 Act, transactions under this Article V are intended to comply with all applicable conditions of Rule 16b-3 or its successors under the 1934 Act. To the extent any provision of this Article V or action by the Board or the Committee fails so to comply, it shall be deemed null and void, to the extent permitted by law and deemed advisable by the Committee.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6.1. Grants of SARs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36"/>
        <w:spacing w:after="0" w:line="301" w:lineRule="auto"/>
        <w:tabs>
          <w:tab w:leader="none" w:pos="68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may grant SARs under this Article VI. SARs will be deemed granted only upon (i) authorization by the Committee, and (ii) the execution and delivery of a SAR Agreement by the Eligible Employee to whom the SARs are to be granted and a duly authorized officer of the Company. The aggregate number of shares of Stock which shall underlie SARs granted hereunder shall not exceed the total number of shares of Stock remaining in the Plan Pool, less all shares of Stock potentially acquirable under or underlying all other Rights outstanding under this Plan.</w:t>
      </w:r>
    </w:p>
    <w:p>
      <w:pPr>
        <w:spacing w:after="0" w:line="49" w:lineRule="exact"/>
        <w:rPr>
          <w:rFonts w:ascii="Arial" w:cs="Arial" w:eastAsia="Arial" w:hAnsi="Arial"/>
          <w:sz w:val="16"/>
          <w:szCs w:val="16"/>
          <w:color w:val="auto"/>
        </w:rPr>
      </w:pPr>
    </w:p>
    <w:p>
      <w:pPr>
        <w:ind w:firstLine="436"/>
        <w:spacing w:after="0" w:line="277"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grant of SARs pursuant to this Article VI shall be evidenced by a SAR Agreement between the Company and the SAR Recipient, in form and substance satisfactory to the Committee in its sole discretion, consistent with this Article VI.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6.2. Terms and Conditions of SARs</w:t>
      </w:r>
      <w:r>
        <w:rPr>
          <w:rFonts w:ascii="Arial" w:cs="Arial" w:eastAsia="Arial" w:hAnsi="Arial"/>
          <w:sz w:val="18"/>
          <w:szCs w:val="18"/>
          <w:b w:val="1"/>
          <w:bCs w:val="1"/>
          <w:color w:val="auto"/>
        </w:rPr>
        <w:t>.</w:t>
      </w:r>
    </w:p>
    <w:p>
      <w:pPr>
        <w:spacing w:after="0" w:line="121" w:lineRule="exact"/>
        <w:rPr>
          <w:sz w:val="20"/>
          <w:szCs w:val="20"/>
          <w:color w:val="auto"/>
        </w:rPr>
      </w:pPr>
    </w:p>
    <w:p>
      <w:pPr>
        <w:ind w:left="680" w:hanging="244"/>
        <w:spacing w:after="0"/>
        <w:tabs>
          <w:tab w:leader="none" w:pos="6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SARs must be granted within ten (10) years of the Effective Date.</w:t>
      </w:r>
    </w:p>
    <w:p>
      <w:pPr>
        <w:spacing w:after="0" w:line="117"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SAR issued pursuant to this Article VI shall have an initial Base Value. (c) Nothing contained in this Article VI, any SAR Agreement or in any other agreement executed in connection with the granting of a SAR under this Article VI will confer upon any SAR Recipient any right with respect to the continuation of his or her status as an employee of the Company or any of its Subsidiaries.</w:t>
      </w:r>
    </w:p>
    <w:p>
      <w:pPr>
        <w:sectPr>
          <w:pgSz w:w="11900" w:h="16838" w:orient="portrait"/>
          <w:cols w:equalWidth="0" w:num="1">
            <w:col w:w="11000"/>
          </w:cols>
          <w:pgMar w:left="440" w:top="274" w:right="459" w:bottom="1440" w:gutter="0" w:footer="0" w:header="0"/>
        </w:sectPr>
      </w:pPr>
    </w:p>
    <w:bookmarkStart w:id="272" w:name="page273"/>
    <w:bookmarkEnd w:id="272"/>
    <w:p>
      <w:pPr>
        <w:ind w:right="140" w:firstLine="436"/>
        <w:spacing w:after="0" w:line="277"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otherwise provided herein, each SAR Agreement may specify the SAR Vesting Period. Such SAR Vesting Periods will be fixed by the Committee and may be accelerated or shortened by the Committee, at its discretion.</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SARs relating to less than one (1) share of Stock may not be exercised.</w:t>
      </w:r>
    </w:p>
    <w:p>
      <w:pPr>
        <w:spacing w:after="0" w:line="117" w:lineRule="exact"/>
        <w:rPr>
          <w:rFonts w:ascii="Arial" w:cs="Arial" w:eastAsia="Arial" w:hAnsi="Arial"/>
          <w:sz w:val="18"/>
          <w:szCs w:val="18"/>
          <w:color w:val="auto"/>
        </w:rPr>
      </w:pPr>
    </w:p>
    <w:p>
      <w:pPr>
        <w:ind w:firstLine="436"/>
        <w:spacing w:after="0" w:line="263" w:lineRule="auto"/>
        <w:tabs>
          <w:tab w:leader="none" w:pos="66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SAR Recipient shall have no rights as a shareholder of the Company with respect to any shares of Stock underlying such SAR. No adjustment shall be made for dividends (ordinary or extraordinary, whether in cash, securities or other property) or distributions or other rights for which the record date is prior to the date such Stock is fully paid for, except as provided in Section 2.3(b).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6.3. Restrictions On Transfer of SARs</w:t>
      </w:r>
      <w:r>
        <w:rPr>
          <w:rFonts w:ascii="Arial" w:cs="Arial" w:eastAsia="Arial" w:hAnsi="Arial"/>
          <w:sz w:val="18"/>
          <w:szCs w:val="18"/>
          <w:b w:val="1"/>
          <w:bCs w:val="1"/>
          <w:color w:val="auto"/>
        </w:rPr>
        <w: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SARs granted under this Article VI may not be Transferred, except as provided in Section 6.7, and during the lifetime of the SAR Recipient to whom it was granted, may be exercised only by such SAR Recipient.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6.4. Exercise of SA</w:t>
      </w:r>
      <w:r>
        <w:rPr>
          <w:rFonts w:ascii="Arial" w:cs="Arial" w:eastAsia="Arial" w:hAnsi="Arial"/>
          <w:sz w:val="18"/>
          <w:szCs w:val="18"/>
          <w:b w:val="1"/>
          <w:bCs w:val="1"/>
          <w:color w:val="auto"/>
        </w:rPr>
        <w:t>Rs.</w:t>
      </w:r>
    </w:p>
    <w:p>
      <w:pPr>
        <w:spacing w:after="0" w:line="121" w:lineRule="exact"/>
        <w:rPr>
          <w:sz w:val="20"/>
          <w:szCs w:val="20"/>
          <w:color w:val="auto"/>
        </w:rPr>
      </w:pPr>
    </w:p>
    <w:p>
      <w:pPr>
        <w:ind w:right="160" w:firstLine="436"/>
        <w:spacing w:after="0" w:line="342" w:lineRule="auto"/>
        <w:tabs>
          <w:tab w:leader="none" w:pos="68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SAR Recipient, or his or her executors or administrators, or heirs or legatees, shall exercise a SAR of the SAR Recipient by giving written notice of such exercise to the Committee. SARs may be exercised only upon the completion of any SAR Vesting Period applicable to such SAR.</w:t>
      </w:r>
    </w:p>
    <w:p>
      <w:pPr>
        <w:spacing w:after="0" w:line="15" w:lineRule="exact"/>
        <w:rPr>
          <w:rFonts w:ascii="Arial" w:cs="Arial" w:eastAsia="Arial" w:hAnsi="Arial"/>
          <w:sz w:val="16"/>
          <w:szCs w:val="16"/>
          <w:color w:val="auto"/>
        </w:rPr>
      </w:pPr>
    </w:p>
    <w:p>
      <w:pPr>
        <w:ind w:right="140" w:firstLine="436"/>
        <w:spacing w:after="0" w:line="259"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Within ten (10) business days of the SAR Exercise Date applicable to a SAR exercised in accordance with Section 6.4(a), the SAR Recipient shall be paid in cash the difference between the Base Value of such SAR (as adjusted, if applicable under Section 6.2(c), as of the most recently preceding quarterly period) and the Fair Market Value of the Common Stock as of the SAR Exercise Date, as such difference is reduced by the Company’s Tax Withholding Liability arising from such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6.5. Termination of SARs</w:t>
      </w:r>
      <w:r>
        <w:rPr>
          <w:rFonts w:ascii="Arial" w:cs="Arial" w:eastAsia="Arial" w:hAnsi="Arial"/>
          <w:sz w:val="18"/>
          <w:szCs w:val="18"/>
          <w:b w:val="1"/>
          <w:bCs w:val="1"/>
          <w:color w:val="auto"/>
        </w:rPr>
        <w:t>.</w:t>
      </w:r>
    </w:p>
    <w:p>
      <w:pPr>
        <w:spacing w:after="0" w:line="12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Committee shall determine, and each SAR Agreement shall state, the SAR Period. The Committee may extend the expiration date or dates of a SAR Period after such date is originally set; provided, however, such expiration date may not exceed 10 years from the date of grant of the SAR.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6.6. Change in Control Transaction</w:t>
      </w:r>
      <w:r>
        <w:rPr>
          <w:rFonts w:ascii="Arial" w:cs="Arial" w:eastAsia="Arial" w:hAnsi="Arial"/>
          <w:sz w:val="18"/>
          <w:szCs w:val="18"/>
          <w:b w:val="1"/>
          <w:bCs w:val="1"/>
          <w:color w:val="auto"/>
        </w:rPr>
        <w:t>.</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any time prior to the date or consummation of a Change in Control Transaction, the Committee may, in its absolute discretion and notwithstanding the terms of any SAR Agreement, determine that all or any part of the SARs theretofore granted under this Article VI shall become immediately exercisable in full and may thereafter be exercised at any time before the date of consummation of the Change in Control Transaction (except as otherwise provided in Article II hereof, and except to the extent that such acceleration of exercisability would result in an “excess parachute payment” within the meaning of Section 280G of the Code).</w:t>
      </w:r>
    </w:p>
    <w:p>
      <w:pPr>
        <w:sectPr>
          <w:pgSz w:w="11900" w:h="16838" w:orient="portrait"/>
          <w:cols w:equalWidth="0" w:num="1">
            <w:col w:w="10980"/>
          </w:cols>
          <w:pgMar w:left="440" w:top="274" w:right="47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6.7. Designation of Beneficiaries</w:t>
      </w:r>
      <w:r>
        <w:rPr>
          <w:rFonts w:ascii="Arial" w:cs="Arial" w:eastAsia="Arial" w:hAnsi="Arial"/>
          <w:sz w:val="18"/>
          <w:szCs w:val="18"/>
          <w:b w:val="1"/>
          <w:bCs w:val="1"/>
          <w:color w:val="auto"/>
        </w:rPr>
        <w: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SAR Recipient may designate a beneficiary or beneficiaries to receive all or part of the cash to be paid to the SAR Recipient under this Article VI in case of Death. A designation of beneficiary may be replaced by a new designation or may be revoked by the SAR Recipient at any time. A designation or revocation shall be on a form to be provided for that purpose and shall be signed by the SAR Recipient and delivered to the Company prior to the SAR Recipient’s Death. In case of the SAR Recipient’s Death, the amounts to be distributed to the SAR Recipient under this Article VI with respect to which a designation of beneficiary has been made (to the extent it is valid and enforceable under applicable law) shall be distributed in accordance with this</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Article VI to the designated beneficiary or beneficiaries. The amount distributable to a SAR Recipient upon Death and not subject to such a designation shall be distributed to the SAR Recipient’s estate. If there shall be any question as to the legal right of any beneficiary to receive a distribution under this Article VI, the amount in question may be paid to the estate of the SAR Recipient in which event the Company shall have no further liability to anyone with respect to such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6.8. Amendment and Discontinuance</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Board may at any time terminate the Plan; provided, however, that the Board (unless its actions are approved or ratified by the shareholders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within twelve months of the date that the Board amends the Plan) may not amend the Plan to:</w:t>
      </w:r>
    </w:p>
    <w:p>
      <w:pPr>
        <w:spacing w:after="0" w:line="103" w:lineRule="exact"/>
        <w:rPr>
          <w:sz w:val="20"/>
          <w:szCs w:val="20"/>
          <w:color w:val="auto"/>
        </w:rPr>
      </w:pPr>
    </w:p>
    <w:p>
      <w:pPr>
        <w:ind w:left="680" w:hanging="244"/>
        <w:spacing w:after="0"/>
        <w:tabs>
          <w:tab w:leader="none" w:pos="6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Increase the total number of shares of Stock issuable pursuant to all Rights under the Plan, except as contemplated in Section 2.3(b) hereof; or</w:t>
      </w:r>
    </w:p>
    <w:p>
      <w:pPr>
        <w:spacing w:after="0" w:line="140" w:lineRule="exact"/>
        <w:rPr>
          <w:rFonts w:ascii="Arial" w:cs="Arial" w:eastAsia="Arial" w:hAnsi="Arial"/>
          <w:sz w:val="16"/>
          <w:szCs w:val="16"/>
          <w:color w:val="auto"/>
        </w:rPr>
      </w:pPr>
    </w:p>
    <w:p>
      <w:pPr>
        <w:ind w:left="700" w:hanging="264"/>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modify the requirements as to eligibility for participation under this Article VI.</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termination, amendment, or modification of the Plan shall affect adversely a SAR Recipient’s rights under a SAR Agreement without the consent of the SAR Recipient or his legal representative.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7.1. Application of Funds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proceeds received by the Company from the sale of Stock pursuant to the exercise of Rights will be used for general corporate purposes.</w:t>
      </w:r>
    </w:p>
    <w:p>
      <w:pPr>
        <w:sectPr>
          <w:pgSz w:w="11900" w:h="16838" w:orient="portrait"/>
          <w:cols w:equalWidth="0" w:num="1">
            <w:col w:w="10980"/>
          </w:cols>
          <w:pgMar w:left="440" w:top="270" w:right="47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7.2. No Obligation to Exercise Right.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granting of a Right shall impose no obligation upon the recipient to exercise such Right.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7.3. Term of Plan</w:t>
      </w:r>
      <w:r>
        <w:rPr>
          <w:rFonts w:ascii="Arial" w:cs="Arial" w:eastAsia="Arial" w:hAnsi="Arial"/>
          <w:sz w:val="18"/>
          <w:szCs w:val="18"/>
          <w:b w:val="1"/>
          <w:bCs w:val="1"/>
          <w:color w:val="auto"/>
        </w:rPr>
        <w:t>.</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otherwise specifically provided herein, Rights may be granted pursuant to this Plan from time to time within ten (10) years from the Effective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7.4. Captions and Headings; Gender and Number</w:t>
      </w:r>
      <w:r>
        <w:rPr>
          <w:rFonts w:ascii="Arial" w:cs="Arial" w:eastAsia="Arial" w:hAnsi="Arial"/>
          <w:sz w:val="18"/>
          <w:szCs w:val="18"/>
          <w:b w:val="1"/>
          <w:bCs w:val="1"/>
          <w:color w:val="auto"/>
        </w:rPr>
        <w:t>.</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Captions and paragraph headings used herein are for convenience only, do not modify or affect the meaning of any provision herein, are not a part of, and shall not serve as a basis for, interpretation or construction of this Plan. As used herein, the masculine gender shall include the feminine and neuter, and the singular number shall include the plural, and vice versa, whenever such meanings are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7.5. Expenses of Administration of Plan</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costs and expenses incurred in the operation and administration of this Plan shall be borne by the Company or by a Subsidiary.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7.6. Exculpation and Indemnification</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connection with this Plan, no member of the Board or the Committee shall be personally liable for any act or omission to act in such person’s capacity as a member of the Board or the Committee, nor for any mistake in judgment made in good faith, unless arising out of, or</w:t>
      </w:r>
    </w:p>
    <w:p>
      <w:pPr>
        <w:spacing w:after="0" w:line="146"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resulting from, such person’s own bad faith, gross negligence, willful misconduct, or criminal acts. To the extent permitted by applicable law and regulation, the Company shall indemnify and hold harmless the members of the Board or the Committee, and each other officer or employee</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of the Company to whom any duty or power relating to the administration or interpretation of this Plan may be assigned or delegated, from and against any and all liabilities (including any amount paid in settlement of a claim with approval of the Board) and any costs or expense (including reasonable counsel fees) incurred by such person arising out of, or as a result of, such person’s duties, responsibilities, and obligations under this Plan, other than such liabilities, costs, and expenses as may arise out of, or result from, the bad faith, gross negligence, willful misconduct, or criminal acts of such persons.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7.7. Governing Law</w:t>
      </w:r>
      <w:r>
        <w:rPr>
          <w:rFonts w:ascii="Arial" w:cs="Arial" w:eastAsia="Arial" w:hAnsi="Arial"/>
          <w:sz w:val="18"/>
          <w:szCs w:val="18"/>
          <w:b w:val="1"/>
          <w:bCs w:val="1"/>
          <w:color w:val="auto"/>
        </w:rPr>
        <w:t>.</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Without regard to the principles of conflicts of laws the laws of the State of North Carolina shall govern and control the validity, interpretation, performance and enforcement of this Plan.</w:t>
      </w:r>
    </w:p>
    <w:p>
      <w:pPr>
        <w:sectPr>
          <w:pgSz w:w="11900" w:h="16838" w:orient="portrait"/>
          <w:cols w:equalWidth="0" w:num="1">
            <w:col w:w="11000"/>
          </w:cols>
          <w:pgMar w:left="440" w:top="270" w:right="45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7.8. Inspection of Plan</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copy of this Plan, and any amendments thereto, shall be maintained by the Secretary or Assistant Secretary of the Corporation and shall be shown to any proper person making inquiry about it.</w:t>
      </w:r>
    </w:p>
    <w:p>
      <w:pPr>
        <w:sectPr>
          <w:pgSz w:w="11900" w:h="16838" w:orient="portrait"/>
          <w:cols w:equalWidth="0" w:num="1">
            <w:col w:w="10840"/>
          </w:cols>
          <w:pgMar w:left="440" w:top="270" w:right="61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OPTION AGREEMENT (hereinafter referred to as this “Agreement”) is made and entered into as of this ____ day of __________, ______,</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between NCINO, INC., a Delaware corporation (hereinafter referred to as the “Company”), and _____________________________, a resident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____________, ___________ (hereinafter referred to as the “Optionee”).</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WHEREAS, the Company has adopted the NCINO, INC. 2014 Omnibus Stock Ownership and Long Term Incentive Plan (hereinafter referred to as the “Plan”);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Plan provides for the grant of Options to Participants;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determined that the Optionee is entitled to receive the grant of an Option under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the Optionee agree as follows:</w:t>
      </w:r>
    </w:p>
    <w:p>
      <w:pPr>
        <w:spacing w:after="0" w:line="113" w:lineRule="exact"/>
        <w:rPr>
          <w:sz w:val="20"/>
          <w:szCs w:val="20"/>
          <w:color w:val="auto"/>
        </w:rPr>
      </w:pPr>
    </w:p>
    <w:p>
      <w:pPr>
        <w:ind w:right="60" w:firstLine="436"/>
        <w:spacing w:after="0" w:line="261" w:lineRule="auto"/>
        <w:tabs>
          <w:tab w:leader="none" w:pos="62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Options granted hereunder are issued pursuant to the terms of the Plan. Capitalized terms used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have the meanings given to them in the Plan. This Agreement does not set forth all of the terms and conditions of the Plan, which are incorporated herein by reference. The Committee administers the Plan and its determinations regarding the interpretation and operation of the Plan are final and binding.</w:t>
      </w:r>
    </w:p>
    <w:p>
      <w:pPr>
        <w:spacing w:after="0" w:line="71" w:lineRule="exact"/>
        <w:rPr>
          <w:rFonts w:ascii="Arial" w:cs="Arial" w:eastAsia="Arial" w:hAnsi="Arial"/>
          <w:sz w:val="18"/>
          <w:szCs w:val="18"/>
          <w:b w:val="1"/>
          <w:bCs w:val="1"/>
          <w:color w:val="auto"/>
        </w:rPr>
      </w:pPr>
    </w:p>
    <w:p>
      <w:pPr>
        <w:ind w:left="620" w:hanging="184"/>
        <w:spacing w:after="0"/>
        <w:tabs>
          <w:tab w:leader="none" w:pos="62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Date of Grant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the option granted under this Agreement is the ______ day of _______, ______.</w:t>
      </w:r>
    </w:p>
    <w:p>
      <w:pPr>
        <w:spacing w:after="0" w:line="117" w:lineRule="exact"/>
        <w:rPr>
          <w:rFonts w:ascii="Arial" w:cs="Arial" w:eastAsia="Arial" w:hAnsi="Arial"/>
          <w:sz w:val="18"/>
          <w:szCs w:val="18"/>
          <w:b w:val="1"/>
          <w:bCs w:val="1"/>
          <w:color w:val="auto"/>
        </w:rPr>
      </w:pPr>
    </w:p>
    <w:p>
      <w:pPr>
        <w:ind w:firstLine="436"/>
        <w:spacing w:after="0" w:line="347" w:lineRule="auto"/>
        <w:tabs>
          <w:tab w:leader="none" w:pos="62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Plan, the Company grants to the Optionee the right (hereinafter referred to as the “Option”) to purchase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all or a portion of an aggregate number of __________________ (______) shares of Stock (hereinafter referred to as the “Option Shares”).</w:t>
      </w:r>
    </w:p>
    <w:p>
      <w:pPr>
        <w:spacing w:after="0" w:line="7" w:lineRule="exact"/>
        <w:rPr>
          <w:rFonts w:ascii="Arial" w:cs="Arial" w:eastAsia="Arial" w:hAnsi="Arial"/>
          <w:sz w:val="16"/>
          <w:szCs w:val="16"/>
          <w:b w:val="1"/>
          <w:bCs w:val="1"/>
          <w:color w:val="auto"/>
        </w:rPr>
      </w:pPr>
    </w:p>
    <w:p>
      <w:pPr>
        <w:ind w:left="620" w:hanging="184"/>
        <w:spacing w:after="0"/>
        <w:tabs>
          <w:tab w:leader="none" w:pos="62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of Options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700" w:firstLine="987"/>
        <w:spacing w:after="0" w:line="277" w:lineRule="auto"/>
        <w:tabs>
          <w:tab w:leader="none" w:pos="123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Options granted under this Plan shall vest and the right of an Optionee to exercise an Option shall be nonforfeitable, except as otherwise provided in this Agreement or the Plan, in accordance with the following schedule:</w:t>
      </w:r>
    </w:p>
    <w:p>
      <w:pPr>
        <w:spacing w:after="0" w:line="180"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color w:val="auto"/>
                <w:w w:val="91"/>
              </w:rPr>
              <w:t>Date When Options Become Vested</w:t>
            </w:r>
          </w:p>
        </w:tc>
        <w:tc>
          <w:tcPr>
            <w:tcW w:w="1220" w:type="dxa"/>
            <w:vAlign w:val="bottom"/>
            <w:vMerge w:val="restart"/>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159"/>
        </w:trPr>
        <w:tc>
          <w:tcPr>
            <w:tcW w:w="2080" w:type="dxa"/>
            <w:vAlign w:val="bottom"/>
            <w:tcBorders>
              <w:bottom w:val="single" w:sz="8" w:color="auto"/>
            </w:tcBorders>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140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w w:val="89"/>
              </w:rPr>
              <w:t>Such Options Vested</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Date of grant</w:t>
            </w:r>
          </w:p>
        </w:tc>
        <w:tc>
          <w:tcPr>
            <w:tcW w:w="27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shd w:val="clear" w:color="auto" w:fill="CCEEFF"/>
          </w:tcPr>
          <w:p>
            <w:pPr>
              <w:spacing w:after="0"/>
              <w:rPr>
                <w:sz w:val="17"/>
                <w:szCs w:val="17"/>
                <w:color w:val="auto"/>
              </w:rPr>
            </w:pPr>
          </w:p>
        </w:tc>
        <w:tc>
          <w:tcPr>
            <w:tcW w:w="278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First Anniversary of the date of grant</w:t>
            </w:r>
          </w:p>
        </w:tc>
        <w:tc>
          <w:tcPr>
            <w:tcW w:w="41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Anniversary of the date of grant</w:t>
            </w:r>
          </w:p>
        </w:tc>
        <w:tc>
          <w:tcPr>
            <w:tcW w:w="4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Third Anniversary of the date of grant</w:t>
            </w:r>
          </w:p>
        </w:tc>
        <w:tc>
          <w:tcPr>
            <w:tcW w:w="41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Anniversary of the date of grant</w:t>
            </w:r>
          </w:p>
        </w:tc>
        <w:tc>
          <w:tcPr>
            <w:tcW w:w="4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65"/>
        </w:trPr>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80" w:type="dxa"/>
            <w:vAlign w:val="bottom"/>
          </w:tcPr>
          <w:p>
            <w:pPr>
              <w:jc w:val="right"/>
              <w:ind w:right="2210"/>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277" w:name="page278"/>
    <w:bookmarkEnd w:id="277"/>
    <w:p>
      <w:pPr>
        <w:ind w:right="60" w:firstLine="987"/>
        <w:spacing w:after="0" w:line="311" w:lineRule="auto"/>
        <w:tabs>
          <w:tab w:leader="none" w:pos="1246"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determining the number of Shares under each Option vested under the above vesting schedule, an Optionee shall not be entitled to exercise an Option to purchase a fractional number of Shares. If the product resulting from multiplying the vested percentage times the Option results in a fractional number of Shares, then an Optionee’s vested right shall be to the whole number of Shares disregarding any fractional Shares.</w:t>
      </w:r>
    </w:p>
    <w:p>
      <w:pPr>
        <w:spacing w:after="0" w:line="40" w:lineRule="exact"/>
        <w:rPr>
          <w:rFonts w:ascii="Arial" w:cs="Arial" w:eastAsia="Arial" w:hAnsi="Arial"/>
          <w:sz w:val="16"/>
          <w:szCs w:val="16"/>
          <w:color w:val="auto"/>
        </w:rPr>
      </w:pPr>
    </w:p>
    <w:p>
      <w:pPr>
        <w:ind w:right="120" w:firstLine="987"/>
        <w:spacing w:after="0" w:line="286" w:lineRule="auto"/>
        <w:tabs>
          <w:tab w:leader="none" w:pos="123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 the event of the termination of employment of an Optionee either by reason of (i) Just Cause Termination, or (ii) voluntary separation on the part of such Optionee for a reason other than Retirement or Disability, any Option or Options granted to the Optionee under this Plan, to the extent not previously exercised or surrendered by the Optionee, or expired by their terms, shall immediately terminate.</w:t>
      </w:r>
    </w:p>
    <w:p>
      <w:pPr>
        <w:spacing w:after="0" w:line="57" w:lineRule="exact"/>
        <w:rPr>
          <w:rFonts w:ascii="Arial" w:cs="Arial" w:eastAsia="Arial" w:hAnsi="Arial"/>
          <w:sz w:val="17"/>
          <w:szCs w:val="17"/>
          <w:color w:val="auto"/>
        </w:rPr>
      </w:pPr>
    </w:p>
    <w:p>
      <w:pPr>
        <w:ind w:firstLine="987"/>
        <w:spacing w:after="0" w:line="257" w:lineRule="auto"/>
        <w:tabs>
          <w:tab w:leader="none" w:pos="12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event of the termination of employment of an Optionee as a result of such Optionee’s Retirement, such Optionee shall have the right to exercise any Option or Options granted to the Optionee under the Plan, to the extent that they have not previously been exercised or surrendered by the Optionee, or expired by their terms, for a period of three (3) months after the date of retirement, but in no event may any Option be exercised later than the end of the Option Period. Notwithstanding any other provision contained herein or in the Plan, upon Retirement, any Option then held by an Optionee shall be exercisable immediately in full.</w:t>
      </w:r>
    </w:p>
    <w:p>
      <w:pPr>
        <w:spacing w:after="0" w:line="79" w:lineRule="exact"/>
        <w:rPr>
          <w:rFonts w:ascii="Arial" w:cs="Arial" w:eastAsia="Arial" w:hAnsi="Arial"/>
          <w:sz w:val="18"/>
          <w:szCs w:val="18"/>
          <w:color w:val="auto"/>
        </w:rPr>
      </w:pPr>
    </w:p>
    <w:p>
      <w:pPr>
        <w:ind w:right="60" w:firstLine="987"/>
        <w:spacing w:after="0" w:line="275" w:lineRule="auto"/>
        <w:tabs>
          <w:tab w:leader="none" w:pos="123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 the event of the termination of employment of an Optionee by reason of such Optionee’s Disability, such Optionee shall have the right to exercise any Option or Options held by the Optionee, to the extent that they previously have not been exercised or surrendered by the Optionee, or expired by their terms, notwithstanding any limitations placed on the exercise of such Options by the Plan or this Agreement, immediately in full and at any time within twelve (12) months after the last date on which such Optionee provides services as an officer or an employee of the Company before being disabled, but in no event may any Option be exercised later than the end of the Option Period.</w:t>
      </w:r>
    </w:p>
    <w:p>
      <w:pPr>
        <w:spacing w:after="0" w:line="68" w:lineRule="exact"/>
        <w:rPr>
          <w:rFonts w:ascii="Arial" w:cs="Arial" w:eastAsia="Arial" w:hAnsi="Arial"/>
          <w:sz w:val="17"/>
          <w:szCs w:val="17"/>
          <w:color w:val="auto"/>
        </w:rPr>
      </w:pPr>
    </w:p>
    <w:p>
      <w:pPr>
        <w:ind w:right="60" w:firstLine="987"/>
        <w:spacing w:after="0" w:line="272" w:lineRule="auto"/>
        <w:tabs>
          <w:tab w:leader="none" w:pos="121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 the event that an Optionee should die while employed by the Company, or within three (3) months after Retirement, any Option or Options granted to the Optionee under the Plan and not previously exercised or surrendered by the Optionee, or expired by their terms, shall vest and shall be exercisable, according to their respective terms, by the personal representative of such Optionee or by any person or persons who acquired such Options by bequest or inheritance from such Optionee, notwithstanding any limitations placed on the exercise of such Options by the Plan or this Agreement, immediately in full and at any time within twelve (12) months after the Death of such Optionee, but in no event may any Option be exercised later than the end of the Option Period. Any references herein to an Optionee shall be deemed to include any person entitled to exercise an Option under the terms of the Plan after the Death of such Optionee.</w:t>
      </w:r>
    </w:p>
    <w:p>
      <w:pPr>
        <w:spacing w:after="0" w:line="69" w:lineRule="exact"/>
        <w:rPr>
          <w:rFonts w:ascii="Arial" w:cs="Arial" w:eastAsia="Arial" w:hAnsi="Arial"/>
          <w:sz w:val="17"/>
          <w:szCs w:val="17"/>
          <w:color w:val="auto"/>
        </w:rPr>
      </w:pPr>
    </w:p>
    <w:p>
      <w:pPr>
        <w:ind w:right="100" w:firstLine="987"/>
        <w:spacing w:after="0" w:line="257" w:lineRule="auto"/>
        <w:tabs>
          <w:tab w:leader="none" w:pos="12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At any time prior to the date of consummation of a Change in Control Transaction, the Committee may, in its absolute discretion and notwithstanding the terms of this Agreement, determine that all or any part of the Options theretofore granted under the Plan shall become immediately exercisable in full and may thereafter be exercised at any time before the date of consummation of the Change in Control Transaction (except as otherwise provided in Article II of the Plan, and except to the extent that such acceleration of exercisability would result in an “excess parachute payment” within the meaning of Section 280G of the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78" w:name="page279"/>
    <w:bookmarkEnd w:id="278"/>
    <w:p>
      <w:pPr>
        <w:ind w:left="-20" w:right="280" w:firstLine="436"/>
        <w:spacing w:after="0" w:line="312" w:lineRule="auto"/>
        <w:tabs>
          <w:tab w:leader="none" w:pos="60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price to be paid for the Option Shares shall be _________($___) per Share (hereinafter referred to as the “Option Price”)</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the Fair Market Value of each Option Share as determined by the Committee as of the date of grant of this Option.</w:t>
      </w:r>
    </w:p>
    <w:p>
      <w:pPr>
        <w:spacing w:after="0" w:line="31" w:lineRule="exact"/>
        <w:rPr>
          <w:rFonts w:ascii="Arial" w:cs="Arial" w:eastAsia="Arial" w:hAnsi="Arial"/>
          <w:sz w:val="17"/>
          <w:szCs w:val="17"/>
          <w:b w:val="1"/>
          <w:bCs w:val="1"/>
          <w:color w:val="auto"/>
        </w:rPr>
      </w:pPr>
    </w:p>
    <w:p>
      <w:pPr>
        <w:ind w:left="-20" w:right="200" w:firstLine="436"/>
        <w:spacing w:after="0" w:line="266" w:lineRule="auto"/>
        <w:tabs>
          <w:tab w:leader="none" w:pos="6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When and Extent to Which Options may be Exercised</w:t>
      </w:r>
      <w:r>
        <w:rPr>
          <w:rFonts w:ascii="Arial" w:cs="Arial" w:eastAsia="Arial" w:hAnsi="Arial"/>
          <w:sz w:val="18"/>
          <w:szCs w:val="18"/>
          <w:b w:val="1"/>
          <w:bCs w:val="1"/>
          <w:color w:val="auto"/>
        </w:rPr>
        <w:t xml:space="preserve"> . </w:t>
      </w:r>
      <w:r>
        <w:rPr>
          <w:rFonts w:ascii="Arial" w:cs="Arial" w:eastAsia="Arial" w:hAnsi="Arial"/>
          <w:sz w:val="18"/>
          <w:szCs w:val="18"/>
          <w:color w:val="auto"/>
        </w:rPr>
        <w:t>At such time as the Option shall become exercisable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Optionee, in his discretion, may exercise all or any portion of the Option, subject to paragraph 7 hereof. The Option shall terminate as provided in paragraph 8 hereof.</w:t>
      </w:r>
    </w:p>
    <w:p>
      <w:pPr>
        <w:spacing w:after="0" w:line="67" w:lineRule="exact"/>
        <w:rPr>
          <w:rFonts w:ascii="Arial" w:cs="Arial" w:eastAsia="Arial" w:hAnsi="Arial"/>
          <w:sz w:val="18"/>
          <w:szCs w:val="18"/>
          <w:b w:val="1"/>
          <w:bCs w:val="1"/>
          <w:color w:val="auto"/>
        </w:rPr>
      </w:pPr>
    </w:p>
    <w:p>
      <w:pPr>
        <w:ind w:left="-20" w:firstLine="436"/>
        <w:spacing w:after="0" w:line="269" w:lineRule="auto"/>
        <w:tabs>
          <w:tab w:leader="none" w:pos="60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Method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shall be exercised by written notice to the Committee signed by the Optionee or by such other person as may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entitled to exercise the Option,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In the exercise of the Option, the aggregate Option Price for the Shares being purchased shall be payable to the Company (i) in United States dollars, in cash or by check, or money order payable to the order of the Company, or (ii) through the delivery of shares of the Stock owned by the Optionee with a Fair Market Value as of the date of delivery equal to the Option Price for all shares exercised, or (iii) in the sole discretion of the Committee at the time of exercise, through a cashless net exercise program established by the Company involving the surrender of Option Shares then-issuable upon exercise of the Option having a Fair Market Value on the date of exercise equal to the aggregate exercise price of the portion of the Option being exercised, or (iv) by a combination of (i), (ii) and (iii) above. Payment must be accompanied by a notice of exercise,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written notice shall state the number of Shares with respect to which the Option is being exercised and, shall be accompanied by the payment of the aggregate Option Price for such Shares. The Optionee shall not exercise the Option to purchase less than one thousand (1,000) Shares, unless the number purchased is the total number at that time purchasable under all Options granted to the Optionee. An Optionee shall have no rights as a shareholder of the Company with respect to any Shares covered by Options granted to the Optionee until payment in full of the Option Price by such Optionee for the Shares being purchased and until Shares have been duly issued by the Company.</w:t>
      </w:r>
    </w:p>
    <w:p>
      <w:pPr>
        <w:spacing w:after="0" w:line="67" w:lineRule="exact"/>
        <w:rPr>
          <w:rFonts w:ascii="Arial" w:cs="Arial" w:eastAsia="Arial" w:hAnsi="Arial"/>
          <w:sz w:val="17"/>
          <w:szCs w:val="17"/>
          <w:b w:val="1"/>
          <w:bCs w:val="1"/>
          <w:color w:val="auto"/>
        </w:rPr>
      </w:pPr>
    </w:p>
    <w:p>
      <w:pPr>
        <w:ind w:left="-20" w:right="180" w:firstLine="436"/>
        <w:spacing w:after="0" w:line="282" w:lineRule="auto"/>
        <w:tabs>
          <w:tab w:leader="none" w:pos="6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terminate, and shall thereupon be available again for grant to Participants as may be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as follows:</w:t>
      </w:r>
    </w:p>
    <w:p>
      <w:pPr>
        <w:spacing w:after="0" w:line="57" w:lineRule="exact"/>
        <w:rPr>
          <w:rFonts w:ascii="Arial" w:cs="Arial" w:eastAsia="Arial" w:hAnsi="Arial"/>
          <w:sz w:val="18"/>
          <w:szCs w:val="18"/>
          <w:b w:val="1"/>
          <w:bCs w:val="1"/>
          <w:color w:val="auto"/>
        </w:rPr>
      </w:pPr>
    </w:p>
    <w:p>
      <w:pPr>
        <w:ind w:left="-20" w:right="60" w:firstLine="987"/>
        <w:spacing w:after="0" w:line="277" w:lineRule="auto"/>
        <w:tabs>
          <w:tab w:leader="none" w:pos="121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Except as provided in subparagraphs (b), (c), (d) and (e) below, the Option, to the extent that it has not been exercised or expired, shall terminate on the date which is ten (10) years after the date of grant of the Option as set forth in paragraph 2 hereof.</w:t>
      </w:r>
    </w:p>
    <w:p>
      <w:pPr>
        <w:spacing w:after="0" w:line="62" w:lineRule="exact"/>
        <w:rPr>
          <w:rFonts w:ascii="Arial" w:cs="Arial" w:eastAsia="Arial" w:hAnsi="Arial"/>
          <w:sz w:val="18"/>
          <w:szCs w:val="18"/>
          <w:color w:val="auto"/>
        </w:rPr>
      </w:pPr>
    </w:p>
    <w:p>
      <w:pPr>
        <w:ind w:left="-20" w:right="100" w:firstLine="987"/>
        <w:spacing w:after="0" w:line="286" w:lineRule="auto"/>
        <w:tabs>
          <w:tab w:leader="none" w:pos="1226" w:val="left"/>
        </w:tabs>
        <w:numPr>
          <w:ilvl w:val="1"/>
          <w:numId w:val="179"/>
        </w:numPr>
        <w:rPr>
          <w:rFonts w:ascii="Arial" w:cs="Arial" w:eastAsia="Arial" w:hAnsi="Arial"/>
          <w:sz w:val="17"/>
          <w:szCs w:val="17"/>
          <w:color w:val="auto"/>
        </w:rPr>
      </w:pPr>
      <w:r>
        <w:rPr>
          <w:rFonts w:ascii="Arial" w:cs="Arial" w:eastAsia="Arial" w:hAnsi="Arial"/>
          <w:sz w:val="17"/>
          <w:szCs w:val="17"/>
          <w:color w:val="auto"/>
        </w:rPr>
        <w:t>In the event of the termination of employment of an Optionee either by reason of (i) Just Cause Termination, or (ii) voluntary separation on the part of such Optionee for a reason other than Retirement or Disability, any Option or Options granted to the Optionee under this Plan, to the extent not previously exercised or surrendered by the Optionee, or expired by their terms, shall immediately terminate.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0" w:right="479" w:bottom="1440" w:gutter="0" w:footer="0" w:header="0"/>
        </w:sectPr>
      </w:pPr>
    </w:p>
    <w:bookmarkStart w:id="279" w:name="page280"/>
    <w:bookmarkEnd w:id="279"/>
    <w:p>
      <w:pPr>
        <w:ind w:firstLine="987"/>
        <w:spacing w:after="0" w:line="257" w:lineRule="auto"/>
        <w:tabs>
          <w:tab w:leader="none" w:pos="1236" w:val="left"/>
        </w:tabs>
        <w:numPr>
          <w:ilvl w:val="1"/>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the termination of employment of an Optionee as a result of such Optionee’s Retirement, such Optionee shall have the right to exercise any Option or Options granted to the Optionee under this Plan, to the extent that they have not previously been exercised or surrendered by the Optionee, or expired by their terms, for a period of three (3) months after the date of retirement, but in no event may any Option be exercised later than the end of the Option Period. Notwithstanding any other provision contained herein, or in any Option Agreement, upon Retirement, any Option then held by an Optionee shall be exercisable immediately in full.</w:t>
      </w:r>
    </w:p>
    <w:p>
      <w:pPr>
        <w:spacing w:after="0" w:line="79" w:lineRule="exact"/>
        <w:rPr>
          <w:rFonts w:ascii="Arial" w:cs="Arial" w:eastAsia="Arial" w:hAnsi="Arial"/>
          <w:sz w:val="18"/>
          <w:szCs w:val="18"/>
          <w:color w:val="auto"/>
        </w:rPr>
      </w:pPr>
    </w:p>
    <w:p>
      <w:pPr>
        <w:ind w:right="60" w:firstLine="987"/>
        <w:spacing w:after="0" w:line="275" w:lineRule="auto"/>
        <w:tabs>
          <w:tab w:leader="none" w:pos="1246"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In the event of the termination of employment of an Optionee by reason of such Optionee’s Disability, such Optionee shall have the right to exercise any Option or Options held by the Optionee, to the extent that they previously have not been exercised or surrendered by the Optionee, or expired by their terms, notwithstanding any limitations placed on the exercise of such Options by the Plan or this Agreement, immediately in full and at any time within twelve (12) months after the last date on which such Optionee provides services as an officer or an employee of the Company before being disabled, but in no event may any Option be exercised later than the end of the Option Period.</w:t>
      </w:r>
    </w:p>
    <w:p>
      <w:pPr>
        <w:spacing w:after="0" w:line="68" w:lineRule="exact"/>
        <w:rPr>
          <w:rFonts w:ascii="Arial" w:cs="Arial" w:eastAsia="Arial" w:hAnsi="Arial"/>
          <w:sz w:val="17"/>
          <w:szCs w:val="17"/>
          <w:color w:val="auto"/>
        </w:rPr>
      </w:pPr>
    </w:p>
    <w:p>
      <w:pPr>
        <w:ind w:right="60" w:firstLine="987"/>
        <w:spacing w:after="0" w:line="272" w:lineRule="auto"/>
        <w:tabs>
          <w:tab w:leader="none" w:pos="1236"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In the event that an Optionee should die while employed by the Company, or within three (3) months after Retirement, any Option or Options granted to the Optionee under this Plan and not previously exercised or surrendered by the Optionee, or expired by their terms, shall vest and shall be exercisable, according to their respective terms, by the personal representative of such Optionee or by any person or persons who acquired such Options by bequest or inheritance from such Optionee, notwithstanding any limitations placed on the exercise of such Options by this Plan or any Option Agreement, immediately in full and at any time within twelve (12) months after the Death of such Optionee, but in no event may any Option be exercised later than the end of the Option Period. Any references herein to an Optionee shall be deemed to include any person entitled to exercise an Option under the terms of this Plan after the Death of such Optionee.</w:t>
      </w:r>
    </w:p>
    <w:p>
      <w:pPr>
        <w:spacing w:after="0" w:line="65" w:lineRule="exact"/>
        <w:rPr>
          <w:rFonts w:ascii="Arial" w:cs="Arial" w:eastAsia="Arial" w:hAnsi="Arial"/>
          <w:sz w:val="17"/>
          <w:szCs w:val="17"/>
          <w:color w:val="auto"/>
        </w:rPr>
      </w:pPr>
    </w:p>
    <w:p>
      <w:pPr>
        <w:ind w:right="60" w:firstLine="436"/>
        <w:spacing w:after="0" w:line="266" w:lineRule="auto"/>
        <w:tabs>
          <w:tab w:leader="none" w:pos="62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on Status of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in the Plan, this Agreement, or in any other agreement executed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granting of an Option will confer upon the Optionee any right with respect to the continuation of his or her status as an employee of the Company or any Subsidiary.</w:t>
      </w:r>
    </w:p>
    <w:p>
      <w:pPr>
        <w:spacing w:after="0" w:line="67" w:lineRule="exact"/>
        <w:rPr>
          <w:rFonts w:ascii="Arial" w:cs="Arial" w:eastAsia="Arial" w:hAnsi="Arial"/>
          <w:sz w:val="18"/>
          <w:szCs w:val="18"/>
          <w:b w:val="1"/>
          <w:bCs w:val="1"/>
          <w:color w:val="auto"/>
        </w:rPr>
      </w:pPr>
    </w:p>
    <w:p>
      <w:pPr>
        <w:ind w:right="60" w:firstLine="436"/>
        <w:spacing w:after="0" w:line="298" w:lineRule="auto"/>
        <w:tabs>
          <w:tab w:leader="none" w:pos="71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Listing and Registration of Option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obligation to issue Shares upon exercise of the Option is expressly conditioned</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completion by the Company of any registration or other qualification of such Shares under any state or federal law or regulations or rulings of any governmental regulatory body or the making of such investment representations or other representations and agreements by the Optionee or any person entitled to exercise the Option in order to comply with the requirements of any exemption from any such registration or other qualification of the Option Shares which the Committee shall, in its discretion, deem necessary or advisable. Notwithstanding the foregoing, the Company shall be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80" w:name="page281"/>
    <w:bookmarkEnd w:id="280"/>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no obligation to register or qualify the Option Shares under any state or federal law. The required representations and agreements referenced above may include representations and agreements that the Optionee, or any other person entitled to exercise the Option, (i) is purchasing such Shares on his or her own behalf as an investment and not with a present intention of distribution or re-sale and (ii) agrees to have placed upon any certificates representing the Option Shares a legend setting forth any representations and agreements which have been given to the Committee or a reference thereto and stating that such shares may not be transferred except in accordance with all applicable state and federal securities laws and regulations, and further representing that, prior to making any sale or other disposition of the Option Shares, the Optionee, or any other person entitled to exercise the Option, will give the Company notice of the intention to sell or dispose of such shares not less than five (5) days prior to such sale or disposition.</w:t>
      </w:r>
    </w:p>
    <w:p>
      <w:pPr>
        <w:spacing w:after="0" w:line="54" w:lineRule="exact"/>
        <w:rPr>
          <w:sz w:val="20"/>
          <w:szCs w:val="20"/>
          <w:color w:val="auto"/>
        </w:rPr>
      </w:pPr>
    </w:p>
    <w:p>
      <w:pPr>
        <w:ind w:left="700" w:hanging="264"/>
        <w:spacing w:after="0"/>
        <w:tabs>
          <w:tab w:leader="none" w:pos="70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Upon Changes in Capitalization; Dissolution or Liquidation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firstLine="987"/>
        <w:spacing w:after="0" w:line="289" w:lineRule="auto"/>
        <w:tabs>
          <w:tab w:leader="none" w:pos="123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In the event the outstanding Shares are increased, decreased, changed into or exchanged for a different number or kind of securities as a result of a split, reverse split, dividend, recapitalization, merger, acquisition, combination or reclassification, appropriate proportionate adjustments will be made in: (i) the aggregate number of Shares in the Plan Pool that may be issued pursuant to the exercise of, or that are underlying, Rights granted under the Plan; (ii) the exercise or other purchase price or value pertaining to, and the number of Shares called for with respect to, or underlying, each outstanding Right granted under the Plan; and (iii) other rights and matters determined on a per Shares basis under the Plan or this Agreement. Any such adjustments will be made only by the Committee and when so approved will be effective, conclusive and binding for all purposes with respect to the Plan and all Rights then outstanding. No such adjustments will be required by reason of (i) the issuance or sale by the Company for cash of additional shares of Common Stock or securities convertible into or exchangeable for Common Stock, or (ii) the issuance of Common Stock in exchange for shares of the capital stock of any corporation, financial institution or other entity acquired by the Company or any Subsidiary in connection therewith.</w:t>
      </w:r>
    </w:p>
    <w:p>
      <w:pPr>
        <w:spacing w:after="0" w:line="58" w:lineRule="exact"/>
        <w:rPr>
          <w:rFonts w:ascii="Arial" w:cs="Arial" w:eastAsia="Arial" w:hAnsi="Arial"/>
          <w:sz w:val="16"/>
          <w:szCs w:val="16"/>
          <w:color w:val="auto"/>
        </w:rPr>
      </w:pPr>
    </w:p>
    <w:p>
      <w:pPr>
        <w:ind w:right="200" w:firstLine="987"/>
        <w:spacing w:after="0" w:line="263" w:lineRule="auto"/>
        <w:tabs>
          <w:tab w:leader="none" w:pos="124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grant of a Right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No fractional Shares shall be issued under the Plan for any adjustment under this section.</w:t>
      </w:r>
    </w:p>
    <w:p>
      <w:pPr>
        <w:spacing w:after="0" w:line="113" w:lineRule="exact"/>
        <w:rPr>
          <w:rFonts w:ascii="Arial" w:cs="Arial" w:eastAsia="Arial" w:hAnsi="Arial"/>
          <w:sz w:val="18"/>
          <w:szCs w:val="18"/>
          <w:color w:val="auto"/>
        </w:rPr>
      </w:pPr>
    </w:p>
    <w:p>
      <w:pPr>
        <w:ind w:right="140" w:firstLine="436"/>
        <w:spacing w:after="0" w:line="282" w:lineRule="auto"/>
        <w:tabs>
          <w:tab w:leader="none" w:pos="71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granted under this Agreement may not be Transferred except by will or the laws of descent and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during the lifetime of the Optionee to whom it was granted, may be exercised only by such Optionee.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81" w:name="page282"/>
    <w:bookmarkEnd w:id="281"/>
    <w:p>
      <w:pPr>
        <w:ind w:left="-20" w:right="80" w:firstLine="436"/>
        <w:spacing w:after="0" w:line="255" w:lineRule="auto"/>
        <w:tabs>
          <w:tab w:leader="none" w:pos="69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the Option and Option Shares delivered pursuant to this Agreement, and any amounts distributed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may be subject to applicable federal, state and local withholding for taxes. The Optionee expressly acknowledges and agrees to such withholding, where applicable, without regard to whether the Option Shares may then be sold or otherwise transferred by the Optionee. In addition, if the Option qualifies as an incentive stock option under Section 422 of the Code and is exercised through a cashless exercise process as described in Section 7(iii) above, the exercise may be treated as a disqualifying disposition as to the Option Shares surrendered such that the difference between the fair market value of the Option Shares surrendered over the exercise price for those Option Shares will be treated as compensation income (taxable at ordinary income rates).</w:t>
      </w:r>
    </w:p>
    <w:p>
      <w:pPr>
        <w:spacing w:after="0" w:line="80" w:lineRule="exact"/>
        <w:rPr>
          <w:rFonts w:ascii="Arial" w:cs="Arial" w:eastAsia="Arial" w:hAnsi="Arial"/>
          <w:sz w:val="18"/>
          <w:szCs w:val="18"/>
          <w:b w:val="1"/>
          <w:bCs w:val="1"/>
          <w:color w:val="auto"/>
        </w:rPr>
      </w:pPr>
    </w:p>
    <w:p>
      <w:pPr>
        <w:ind w:left="-20" w:right="60" w:firstLine="436"/>
        <w:spacing w:after="0" w:line="274" w:lineRule="auto"/>
        <w:tabs>
          <w:tab w:leader="none" w:pos="69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notices or other communications required or permitted to be given under this Agreement shall be in writing and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to have been sufficiently given if delivered personally or when deposited in the United States mail as Certified Mail, return receipt requested, properly addressed and postage prepaid, if to the Company, at its principal office at 2605 Iron Gate Drive, Wilmington, NC 28412; and, if to the Optionee, at the most current address on record in the records of the Company. The Company and the Optionee may change their address or addresses by giving written notice of such change as provided herein. Any notice or other communication hereunder shall be deemed to have been given on the date actually delivered or as of the third (3</w:t>
      </w:r>
      <w:r>
        <w:rPr>
          <w:rFonts w:ascii="Arial" w:cs="Arial" w:eastAsia="Arial" w:hAnsi="Arial"/>
          <w:sz w:val="14"/>
          <w:szCs w:val="14"/>
          <w:color w:val="auto"/>
        </w:rPr>
        <w:t>rd</w:t>
      </w:r>
      <w:r>
        <w:rPr>
          <w:rFonts w:ascii="Arial" w:cs="Arial" w:eastAsia="Arial" w:hAnsi="Arial"/>
          <w:sz w:val="17"/>
          <w:szCs w:val="17"/>
          <w:color w:val="auto"/>
        </w:rPr>
        <w:t>) business day following the date mailed, as the case may be.</w:t>
      </w:r>
    </w:p>
    <w:p>
      <w:pPr>
        <w:spacing w:after="0" w:line="65" w:lineRule="exact"/>
        <w:rPr>
          <w:rFonts w:ascii="Arial" w:cs="Arial" w:eastAsia="Arial" w:hAnsi="Arial"/>
          <w:sz w:val="17"/>
          <w:szCs w:val="17"/>
          <w:b w:val="1"/>
          <w:bCs w:val="1"/>
          <w:color w:val="auto"/>
        </w:rPr>
      </w:pPr>
    </w:p>
    <w:p>
      <w:pPr>
        <w:ind w:left="-20" w:firstLine="436"/>
        <w:spacing w:after="0" w:line="266" w:lineRule="auto"/>
        <w:tabs>
          <w:tab w:leader="none" w:pos="69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 Controlled by Plan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so as to be consistent with the Plan; and the provisions of the Plan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controlling in the event that any provision hereof should appear to be inconsistent therewith. The Optionee hereby acknowledges receipt of a copy of the Plan from the Company.</w:t>
      </w:r>
    </w:p>
    <w:p>
      <w:pPr>
        <w:spacing w:after="0" w:line="67" w:lineRule="exact"/>
        <w:rPr>
          <w:rFonts w:ascii="Arial" w:cs="Arial" w:eastAsia="Arial" w:hAnsi="Arial"/>
          <w:sz w:val="18"/>
          <w:szCs w:val="18"/>
          <w:b w:val="1"/>
          <w:bCs w:val="1"/>
          <w:color w:val="auto"/>
        </w:rPr>
      </w:pPr>
    </w:p>
    <w:p>
      <w:pPr>
        <w:ind w:left="-20" w:right="220" w:firstLine="436"/>
        <w:spacing w:after="0" w:line="261" w:lineRule="auto"/>
        <w:tabs>
          <w:tab w:leader="none" w:pos="69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each provision of this Agreement shall be interpreted in such manner as to be valid and enforceable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but if any provision of this Agreement is determined to be unenforceable, invalid or illegal, the validity of any other provision or part thereof, shall not be affected thereby and this Agreement shall continue to be binding on the parties hereto as if such unenforceable, invalid or illegal provision or part thereof had not been included herein.</w:t>
      </w:r>
    </w:p>
    <w:p>
      <w:pPr>
        <w:spacing w:after="0" w:line="71" w:lineRule="exact"/>
        <w:rPr>
          <w:rFonts w:ascii="Arial" w:cs="Arial" w:eastAsia="Arial" w:hAnsi="Arial"/>
          <w:sz w:val="18"/>
          <w:szCs w:val="18"/>
          <w:b w:val="1"/>
          <w:bCs w:val="1"/>
          <w:color w:val="auto"/>
        </w:rPr>
      </w:pPr>
    </w:p>
    <w:p>
      <w:pPr>
        <w:jc w:val="both"/>
        <w:ind w:left="-20" w:right="160" w:firstLine="436"/>
        <w:spacing w:after="0" w:line="266" w:lineRule="auto"/>
        <w:tabs>
          <w:tab w:leader="none" w:pos="69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Agreement; 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modified, amended, suspended or terminated, and any terms,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or conditions may be waived, but only by a written instrument signed by each of the parties hereto. No waiver hereunder shall constitute a waiver with respect to any subsequent occurrence or other transaction hereunder or of any other provision hereof.</w:t>
      </w:r>
    </w:p>
    <w:p>
      <w:pPr>
        <w:spacing w:after="0" w:line="67" w:lineRule="exact"/>
        <w:rPr>
          <w:rFonts w:ascii="Arial" w:cs="Arial" w:eastAsia="Arial" w:hAnsi="Arial"/>
          <w:sz w:val="18"/>
          <w:szCs w:val="18"/>
          <w:b w:val="1"/>
          <w:bCs w:val="1"/>
          <w:color w:val="auto"/>
        </w:rPr>
      </w:pPr>
    </w:p>
    <w:p>
      <w:pPr>
        <w:ind w:left="-20" w:right="40" w:firstLine="436"/>
        <w:spacing w:after="0" w:line="261" w:lineRule="auto"/>
        <w:tabs>
          <w:tab w:leader="none" w:pos="69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Captions and Hearings; Gender and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Captions and paragraph headings used herein are for convenience only, do not modify or</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of any provision herein, are not a part hereof, and shall not serve as a basis for interpretation or in construction of this Agreement. As used herein, the masculine gender shall include the feminine and neuter, the singular number, the plural, and vice versa, whenever such meanings are appropriate.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0" w:right="459" w:bottom="1440" w:gutter="0" w:footer="0" w:header="0"/>
        </w:sectPr>
      </w:pPr>
    </w:p>
    <w:bookmarkStart w:id="282" w:name="page283"/>
    <w:bookmarkEnd w:id="282"/>
    <w:p>
      <w:pPr>
        <w:ind w:left="-80" w:firstLine="436"/>
        <w:spacing w:after="0" w:line="261" w:lineRule="auto"/>
        <w:tabs>
          <w:tab w:leader="none" w:pos="63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 Venue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the principles of conflicts of laws, the laws of the State of North Carolina shall</w:t>
      </w:r>
      <w:r>
        <w:rPr>
          <w:rFonts w:ascii="Arial" w:cs="Arial" w:eastAsia="Arial" w:hAnsi="Arial"/>
          <w:sz w:val="18"/>
          <w:szCs w:val="18"/>
          <w:b w:val="1"/>
          <w:bCs w:val="1"/>
          <w:color w:val="auto"/>
        </w:rPr>
        <w:t xml:space="preserve"> </w:t>
      </w:r>
      <w:r>
        <w:rPr>
          <w:rFonts w:ascii="Arial" w:cs="Arial" w:eastAsia="Arial" w:hAnsi="Arial"/>
          <w:sz w:val="18"/>
          <w:szCs w:val="18"/>
          <w:color w:val="auto"/>
        </w:rPr>
        <w:t>govern and control the validity, interpretation, performance, and enforcement of this Agreement. The parties hereto agree that any suit or action relating to this Agreement shall be instituted and prosecuted in the courts of the County of New Hanover, State of North Carolina, and each party hereby does waive any right or defense relating to such jurisdiction and venue.</w:t>
      </w:r>
    </w:p>
    <w:p>
      <w:pPr>
        <w:spacing w:after="0" w:line="71" w:lineRule="exact"/>
        <w:rPr>
          <w:rFonts w:ascii="Arial" w:cs="Arial" w:eastAsia="Arial" w:hAnsi="Arial"/>
          <w:sz w:val="18"/>
          <w:szCs w:val="18"/>
          <w:b w:val="1"/>
          <w:bCs w:val="1"/>
          <w:color w:val="auto"/>
        </w:rPr>
      </w:pPr>
    </w:p>
    <w:p>
      <w:pPr>
        <w:ind w:left="-80" w:right="80" w:firstLine="436"/>
        <w:spacing w:after="0" w:line="312" w:lineRule="auto"/>
        <w:tabs>
          <w:tab w:leader="none" w:pos="63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Binding Effect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and shall inure to the benefit of the Company, its successors and assigns,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and inure to the benefit of the Optionee, his heirs, legatees, personal representatives, executors, and administrators.</w:t>
      </w:r>
    </w:p>
    <w:p>
      <w:pPr>
        <w:spacing w:after="0" w:line="31" w:lineRule="exact"/>
        <w:rPr>
          <w:rFonts w:ascii="Arial" w:cs="Arial" w:eastAsia="Arial" w:hAnsi="Arial"/>
          <w:sz w:val="17"/>
          <w:szCs w:val="17"/>
          <w:b w:val="1"/>
          <w:bCs w:val="1"/>
          <w:color w:val="auto"/>
        </w:rPr>
      </w:pPr>
    </w:p>
    <w:p>
      <w:pPr>
        <w:ind w:left="-80" w:right="300" w:firstLine="436"/>
        <w:spacing w:after="0" w:line="266" w:lineRule="auto"/>
        <w:tabs>
          <w:tab w:leader="none" w:pos="63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and embodies the entire understanding and agreement of the parties hereto and,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hereunder, there are no other agreements or understandings, written or oral, in effect between the parties hereto relating to the matters addressed herein.</w:t>
      </w:r>
    </w:p>
    <w:p>
      <w:pPr>
        <w:spacing w:after="0" w:line="67" w:lineRule="exact"/>
        <w:rPr>
          <w:rFonts w:ascii="Arial" w:cs="Arial" w:eastAsia="Arial" w:hAnsi="Arial"/>
          <w:sz w:val="18"/>
          <w:szCs w:val="18"/>
          <w:b w:val="1"/>
          <w:bCs w:val="1"/>
          <w:color w:val="auto"/>
        </w:rPr>
      </w:pPr>
    </w:p>
    <w:p>
      <w:pPr>
        <w:ind w:left="-80" w:right="20" w:firstLine="436"/>
        <w:spacing w:after="0" w:line="282" w:lineRule="auto"/>
        <w:tabs>
          <w:tab w:leader="none" w:pos="63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executed and delivered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all of which taken together shall constitute but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520" w:top="270" w:right="539" w:bottom="1440" w:gutter="0" w:footer="0" w:header="0"/>
        </w:sectPr>
      </w:pPr>
    </w:p>
    <w:bookmarkStart w:id="283" w:name="page284"/>
    <w:bookmarkEnd w:id="28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Company has caused this instrument to be executed in its corporate name by the undersigned officer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has hereunto set his or her hand, all done this the 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NCINO, INC.</w:t>
      </w:r>
    </w:p>
    <w:p>
      <w:pPr>
        <w:spacing w:after="0" w:line="22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222885</wp:posOffset>
            </wp:positionV>
            <wp:extent cx="25203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20"/>
          </w:cols>
          <w:pgMar w:left="440" w:top="270" w:right="839" w:bottom="1440" w:gutter="0" w:footer="0" w:header="0"/>
        </w:sectPr>
      </w:pPr>
    </w:p>
    <w:bookmarkStart w:id="284" w:name="page285"/>
    <w:bookmarkEnd w:id="28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EXERCISE OF OPTION</w:t>
      </w:r>
    </w:p>
    <w:p>
      <w:pPr>
        <w:spacing w:after="0" w:line="2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The Compensation Committee of NCINO,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hereby elects to purchase ________ whole shares of common stock of nCino, Inc. (the “Company”), pursuant to the stock option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granted to the undersigned in that certain Option Agreement between the Company and the undersigned dated the ____ day of 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 The aggregate purchase price for such shares is $_________, which amount is (i) being tendered herewith in cash or by check or money order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payable to the Company, and/or (ii) through the delivery of __________ Shares owned by the undersigned with a Fair Market Value equal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 and/or (iii) via net cashless exercise, to the extent the Committee so permits in its sole discretion.</w:t>
      </w:r>
    </w:p>
    <w:p>
      <w:pPr>
        <w:spacing w:after="0" w:line="211" w:lineRule="exact"/>
        <w:rPr>
          <w:sz w:val="20"/>
          <w:szCs w:val="20"/>
          <w:color w:val="auto"/>
        </w:rPr>
      </w:pPr>
    </w:p>
    <w:p>
      <w:pPr>
        <w:ind w:left="440"/>
        <w:spacing w:after="0"/>
        <w:tabs>
          <w:tab w:leader="none" w:pos="4760" w:val="left"/>
          <w:tab w:leader="none" w:pos="5760" w:val="left"/>
        </w:tabs>
        <w:rPr>
          <w:sz w:val="20"/>
          <w:szCs w:val="20"/>
          <w:color w:val="auto"/>
        </w:rPr>
      </w:pPr>
      <w:r>
        <w:rPr>
          <w:rFonts w:ascii="Arial" w:cs="Arial" w:eastAsia="Arial" w:hAnsi="Arial"/>
          <w:sz w:val="18"/>
          <w:szCs w:val="18"/>
          <w:color w:val="auto"/>
        </w:rPr>
        <w:t>Executed this ___ day of ___________________,</w:t>
      </w:r>
      <w:r>
        <w:rPr>
          <w:sz w:val="20"/>
          <w:szCs w:val="20"/>
          <w:color w:val="auto"/>
        </w:rPr>
        <w:tab/>
      </w:r>
      <w:r>
        <w:rPr>
          <w:rFonts w:ascii="Arial" w:cs="Arial" w:eastAsia="Arial" w:hAnsi="Arial"/>
          <w:sz w:val="18"/>
          <w:szCs w:val="18"/>
          <w:color w:val="auto"/>
        </w:rPr>
        <w:t>, at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460375</wp:posOffset>
            </wp:positionV>
            <wp:extent cx="27946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683260</wp:posOffset>
            </wp:positionV>
            <wp:extent cx="27946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-10160</wp:posOffset>
            </wp:positionV>
            <wp:extent cx="108204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Security Number)</w:t>
      </w:r>
    </w:p>
    <w:p>
      <w:pPr>
        <w:sectPr>
          <w:pgSz w:w="11900" w:h="16838" w:orient="portrait"/>
          <w:cols w:equalWidth="0" w:num="1">
            <w:col w:w="10960"/>
          </w:cols>
          <w:pgMar w:left="440" w:top="270" w:right="49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SFDC Final Draft for Redacting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PARTNER APPLICATION DISTRIBUTION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Template last updated June 27, 2019</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Signature Page</w:t>
      </w:r>
    </w:p>
    <w:p>
      <w:pPr>
        <w:spacing w:after="0" w:line="225" w:lineRule="exact"/>
        <w:rPr>
          <w:sz w:val="20"/>
          <w:szCs w:val="20"/>
          <w:color w:val="auto"/>
        </w:rPr>
      </w:pPr>
    </w:p>
    <w:p>
      <w:pPr>
        <w:ind w:left="4" w:right="20" w:hanging="4"/>
        <w:spacing w:after="0" w:line="312" w:lineRule="auto"/>
        <w:tabs>
          <w:tab w:leader="none" w:pos="229"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ectPr>
          <w:pgSz w:w="11900" w:h="16838" w:orient="portrait"/>
          <w:cols w:equalWidth="0" w:num="1">
            <w:col w:w="11024"/>
          </w:cols>
          <w:pgMar w:left="436" w:top="121" w:right="439" w:bottom="1440" w:gutter="0" w:footer="0" w:header="0"/>
        </w:sectPr>
      </w:pP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Partner Full Legal Name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nCino, Inc.</w:t>
      </w:r>
    </w:p>
    <w:p>
      <w:pPr>
        <w:spacing w:after="0" w:line="136" w:lineRule="exact"/>
        <w:rPr>
          <w:sz w:val="20"/>
          <w:szCs w:val="20"/>
          <w:color w:val="auto"/>
        </w:rPr>
      </w:pPr>
    </w:p>
    <w:p>
      <w:pPr>
        <w:sectPr>
          <w:pgSz w:w="11900" w:h="16838" w:orient="portrait"/>
          <w:cols w:equalWidth="0" w:num="2">
            <w:col w:w="5024" w:space="720"/>
            <w:col w:w="5280"/>
          </w:cols>
          <w:pgMar w:left="436" w:top="121" w:right="43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Partner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6770 Parker Farm Drive, Suite 200, Wilmington NC 28405</w:t>
      </w:r>
    </w:p>
    <w:p>
      <w:pPr>
        <w:spacing w:after="0" w:line="136" w:lineRule="exact"/>
        <w:rPr>
          <w:sz w:val="20"/>
          <w:szCs w:val="20"/>
          <w:color w:val="auto"/>
        </w:rPr>
      </w:pPr>
    </w:p>
    <w:p>
      <w:pPr>
        <w:sectPr>
          <w:pgSz w:w="11900" w:h="16838" w:orient="portrait"/>
          <w:cols w:equalWidth="0" w:num="2">
            <w:col w:w="5024" w:space="720"/>
            <w:col w:w="5280"/>
          </w:cols>
          <w:pgMar w:left="436" w:top="121" w:right="43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Address for Legal Notices to Partner</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(only if different from above)</w:t>
      </w:r>
    </w:p>
    <w:p>
      <w:pPr>
        <w:sectPr>
          <w:pgSz w:w="11900" w:h="16838" w:orient="portrait"/>
          <w:cols w:equalWidth="0" w:num="1">
            <w:col w:w="11024"/>
          </w:cols>
          <w:pgMar w:left="436" w:top="121" w:right="439" w:bottom="1440" w:gutter="0" w:footer="0" w:header="0"/>
          <w:type w:val="continuous"/>
        </w:sectPr>
      </w:pPr>
    </w:p>
    <w:p>
      <w:pPr>
        <w:spacing w:after="0" w:line="220" w:lineRule="exact"/>
        <w:rPr>
          <w:sz w:val="20"/>
          <w:szCs w:val="20"/>
          <w:color w:val="auto"/>
        </w:rPr>
      </w:pPr>
    </w:p>
    <w:p>
      <w:pPr>
        <w:ind w:left="4" w:right="140"/>
        <w:spacing w:after="0" w:line="277" w:lineRule="auto"/>
        <w:rPr>
          <w:sz w:val="20"/>
          <w:szCs w:val="20"/>
          <w:color w:val="auto"/>
        </w:rPr>
      </w:pPr>
      <w:r>
        <w:rPr>
          <w:rFonts w:ascii="Arial" w:cs="Arial" w:eastAsia="Arial" w:hAnsi="Arial"/>
          <w:sz w:val="17"/>
          <w:szCs w:val="17"/>
          <w:color w:val="auto"/>
        </w:rPr>
        <w:t>This Partner Application Distribution Agreement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between </w:t>
      </w:r>
      <w:r>
        <w:rPr>
          <w:rFonts w:ascii="Arial" w:cs="Arial" w:eastAsia="Arial" w:hAnsi="Arial"/>
          <w:sz w:val="17"/>
          <w:szCs w:val="17"/>
          <w:b w:val="1"/>
          <w:bCs w:val="1"/>
          <w:color w:val="auto"/>
        </w:rPr>
        <w:t>salesforce.com, inc</w:t>
      </w:r>
      <w:r>
        <w:rPr>
          <w:rFonts w:ascii="Arial" w:cs="Arial" w:eastAsia="Arial" w:hAnsi="Arial"/>
          <w:sz w:val="17"/>
          <w:szCs w:val="17"/>
          <w:color w:val="auto"/>
        </w:rPr>
        <w:t>., a Delaware corporation having its principal place of business at Salesforce Tower, 415 Mission Street, 3rd Floor, San Francisco, California, 94105 (“</w:t>
      </w:r>
      <w:r>
        <w:rPr>
          <w:rFonts w:ascii="Arial" w:cs="Arial" w:eastAsia="Arial" w:hAnsi="Arial"/>
          <w:sz w:val="17"/>
          <w:szCs w:val="17"/>
          <w:b w:val="1"/>
          <w:bCs w:val="1"/>
          <w:color w:val="auto"/>
        </w:rPr>
        <w:t>SFDC</w:t>
      </w:r>
      <w:r>
        <w:rPr>
          <w:rFonts w:ascii="Arial" w:cs="Arial" w:eastAsia="Arial" w:hAnsi="Arial"/>
          <w:sz w:val="17"/>
          <w:szCs w:val="17"/>
          <w:color w:val="auto"/>
        </w:rPr>
        <w:t>”) and the Partner listed above (“</w:t>
      </w:r>
      <w:r>
        <w:rPr>
          <w:rFonts w:ascii="Arial" w:cs="Arial" w:eastAsia="Arial" w:hAnsi="Arial"/>
          <w:sz w:val="17"/>
          <w:szCs w:val="17"/>
          <w:b w:val="1"/>
          <w:bCs w:val="1"/>
          <w:color w:val="auto"/>
        </w:rPr>
        <w:t>Partner</w:t>
      </w:r>
      <w:r>
        <w:rPr>
          <w:rFonts w:ascii="Arial" w:cs="Arial" w:eastAsia="Arial" w:hAnsi="Arial"/>
          <w:sz w:val="17"/>
          <w:szCs w:val="17"/>
          <w:color w:val="auto"/>
        </w:rPr>
        <w:t>”). SFDC and Partner are collectively the “</w:t>
      </w:r>
      <w:r>
        <w:rPr>
          <w:rFonts w:ascii="Arial" w:cs="Arial" w:eastAsia="Arial" w:hAnsi="Arial"/>
          <w:sz w:val="17"/>
          <w:szCs w:val="17"/>
          <w:b w:val="1"/>
          <w:bCs w:val="1"/>
          <w:color w:val="auto"/>
        </w:rPr>
        <w:t>Parties</w:t>
      </w:r>
      <w:r>
        <w:rPr>
          <w:rFonts w:ascii="Arial" w:cs="Arial" w:eastAsia="Arial" w:hAnsi="Arial"/>
          <w:sz w:val="17"/>
          <w:szCs w:val="17"/>
          <w:color w:val="auto"/>
        </w:rPr>
        <w:t>” and each a “</w:t>
      </w:r>
      <w:r>
        <w:rPr>
          <w:rFonts w:ascii="Arial" w:cs="Arial" w:eastAsia="Arial" w:hAnsi="Arial"/>
          <w:sz w:val="17"/>
          <w:szCs w:val="17"/>
          <w:b w:val="1"/>
          <w:bCs w:val="1"/>
          <w:color w:val="auto"/>
        </w:rPr>
        <w:t>Party</w:t>
      </w:r>
      <w:r>
        <w:rPr>
          <w:rFonts w:ascii="Arial" w:cs="Arial" w:eastAsia="Arial" w:hAnsi="Arial"/>
          <w:sz w:val="17"/>
          <w:szCs w:val="17"/>
          <w:color w:val="auto"/>
        </w:rPr>
        <w:t>” to this Agreement. Partner may also be referred to herein as “</w:t>
      </w:r>
      <w:r>
        <w:rPr>
          <w:rFonts w:ascii="Arial" w:cs="Arial" w:eastAsia="Arial" w:hAnsi="Arial"/>
          <w:sz w:val="17"/>
          <w:szCs w:val="17"/>
          <w:b w:val="1"/>
          <w:bCs w:val="1"/>
          <w:color w:val="auto"/>
        </w:rPr>
        <w:t>Reseller</w:t>
      </w:r>
      <w:r>
        <w:rPr>
          <w:rFonts w:ascii="Arial" w:cs="Arial" w:eastAsia="Arial" w:hAnsi="Arial"/>
          <w:sz w:val="17"/>
          <w:szCs w:val="17"/>
          <w:color w:val="auto"/>
        </w:rPr>
        <w:t>.” This Agreement is effective as of the later of the dates beneath the Parties’ signatures below (the “</w:t>
      </w:r>
      <w:r>
        <w:rPr>
          <w:rFonts w:ascii="Arial" w:cs="Arial" w:eastAsia="Arial" w:hAnsi="Arial"/>
          <w:sz w:val="17"/>
          <w:szCs w:val="17"/>
          <w:b w:val="1"/>
          <w:bCs w:val="1"/>
          <w:color w:val="auto"/>
        </w:rPr>
        <w:t>Effective Date</w:t>
      </w:r>
      <w:r>
        <w:rPr>
          <w:rFonts w:ascii="Arial" w:cs="Arial" w:eastAsia="Arial" w:hAnsi="Arial"/>
          <w:sz w:val="17"/>
          <w:szCs w:val="17"/>
          <w:color w:val="auto"/>
        </w:rPr>
        <w:t>”); provided, however that if such dates are separated by more than thirty (30) days this Agreement will be deemed null and void.</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by their respective authorized signatories, have duly executed this Agreement as of the Effective Date.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SFDC</w:t>
            </w:r>
          </w:p>
        </w:tc>
        <w:tc>
          <w:tcPr>
            <w:tcW w:w="462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62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w w:val="98"/>
              </w:rPr>
              <w:t>Name:</w:t>
            </w:r>
          </w:p>
        </w:tc>
        <w:tc>
          <w:tcPr>
            <w:tcW w:w="462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4"/>
          </w:cols>
          <w:pgMar w:left="436" w:top="121" w:right="439" w:bottom="1440" w:gutter="0" w:footer="0" w:header="0"/>
          <w:type w:val="continuous"/>
        </w:sectPr>
      </w:pPr>
    </w:p>
    <w:bookmarkStart w:id="286" w:name="page287"/>
    <w:bookmarkEnd w:id="28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Background</w:t>
      </w:r>
    </w:p>
    <w:p>
      <w:pPr>
        <w:spacing w:after="0" w:line="256" w:lineRule="exact"/>
        <w:rPr>
          <w:sz w:val="20"/>
          <w:szCs w:val="20"/>
          <w:color w:val="auto"/>
        </w:rPr>
      </w:pPr>
    </w:p>
    <w:p>
      <w:pPr>
        <w:ind w:left="964" w:right="20" w:hanging="532"/>
        <w:spacing w:after="0" w:line="277" w:lineRule="auto"/>
        <w:tabs>
          <w:tab w:leader="none" w:pos="964" w:val="left"/>
        </w:tabs>
        <w:numPr>
          <w:ilvl w:val="1"/>
          <w:numId w:val="186"/>
        </w:numPr>
        <w:rPr>
          <w:rFonts w:ascii="Arial" w:cs="Arial" w:eastAsia="Arial" w:hAnsi="Arial"/>
          <w:sz w:val="18"/>
          <w:szCs w:val="18"/>
          <w:b w:val="1"/>
          <w:bCs w:val="1"/>
          <w:color w:val="auto"/>
        </w:rPr>
      </w:pPr>
      <w:r>
        <w:rPr>
          <w:rFonts w:ascii="Arial" w:cs="Arial" w:eastAsia="Arial" w:hAnsi="Arial"/>
          <w:sz w:val="18"/>
          <w:szCs w:val="18"/>
          <w:color w:val="auto"/>
        </w:rPr>
        <w:t>SFDC and Partner previously entered into the Reseller Agreement dated December 22, 2011, as amended (the “Prior Agreement”) which is hereby superseded and replaced in its entirety by this Agreement.</w:t>
      </w:r>
    </w:p>
    <w:p>
      <w:pPr>
        <w:spacing w:after="0" w:line="75" w:lineRule="exact"/>
        <w:rPr>
          <w:rFonts w:ascii="Arial" w:cs="Arial" w:eastAsia="Arial" w:hAnsi="Arial"/>
          <w:sz w:val="18"/>
          <w:szCs w:val="18"/>
          <w:b w:val="1"/>
          <w:bCs w:val="1"/>
          <w:color w:val="auto"/>
        </w:rPr>
      </w:pPr>
    </w:p>
    <w:p>
      <w:pPr>
        <w:ind w:left="964" w:right="60" w:hanging="532"/>
        <w:spacing w:after="0" w:line="263" w:lineRule="auto"/>
        <w:tabs>
          <w:tab w:leader="none" w:pos="964" w:val="left"/>
        </w:tabs>
        <w:numPr>
          <w:ilvl w:val="1"/>
          <w:numId w:val="186"/>
        </w:numPr>
        <w:rPr>
          <w:rFonts w:ascii="Arial" w:cs="Arial" w:eastAsia="Arial" w:hAnsi="Arial"/>
          <w:sz w:val="18"/>
          <w:szCs w:val="18"/>
          <w:b w:val="1"/>
          <w:bCs w:val="1"/>
          <w:color w:val="auto"/>
        </w:rPr>
      </w:pPr>
      <w:r>
        <w:rPr>
          <w:rFonts w:ascii="Arial" w:cs="Arial" w:eastAsia="Arial" w:hAnsi="Arial"/>
          <w:sz w:val="18"/>
          <w:szCs w:val="18"/>
          <w:color w:val="auto"/>
        </w:rPr>
        <w:t>Under this Agreement, SFDC and Partner wish to continue an arrangement that allows Partner to market, demonstrate, sell and support the Partner Applications in combination with the Distribution Services to Customers as part of a Combined Solution, in accordance with the terms and conditions of this Agreement.</w:t>
      </w:r>
    </w:p>
    <w:p>
      <w:pPr>
        <w:spacing w:after="0" w:line="206" w:lineRule="exact"/>
        <w:rPr>
          <w:rFonts w:ascii="Arial" w:cs="Arial" w:eastAsia="Arial" w:hAnsi="Arial"/>
          <w:sz w:val="18"/>
          <w:szCs w:val="18"/>
          <w:b w:val="1"/>
          <w:bCs w:val="1"/>
          <w:color w:val="auto"/>
        </w:rPr>
      </w:pPr>
    </w:p>
    <w:p>
      <w:pPr>
        <w:ind w:left="424" w:hanging="424"/>
        <w:spacing w:after="0"/>
        <w:tabs>
          <w:tab w:leader="none" w:pos="424"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 w:right="3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any entity which directly or indirectly controls, is controlled by, or is under common control with the subject entity. “Control,” for purposes of this definition, means direct or indirect ownership or control of more than 50% of the voting interests of the subject entity.</w:t>
      </w:r>
    </w:p>
    <w:p>
      <w:pPr>
        <w:spacing w:after="0" w:line="140"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AppExchange</w:t>
      </w:r>
      <w:r>
        <w:rPr>
          <w:rFonts w:ascii="Arial" w:cs="Arial" w:eastAsia="Arial" w:hAnsi="Arial"/>
          <w:sz w:val="18"/>
          <w:szCs w:val="18"/>
          <w:color w:val="auto"/>
        </w:rPr>
        <w:t>” means the online directory of applications that interoperate with the Services, located at http://www.salesforce.com/appexchange or at any successor websites.</w:t>
      </w:r>
    </w:p>
    <w:p>
      <w:pPr>
        <w:spacing w:after="0" w:line="162"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Affiliate</w:t>
      </w:r>
      <w:r>
        <w:rPr>
          <w:rFonts w:ascii="Arial" w:cs="Arial" w:eastAsia="Arial" w:hAnsi="Arial"/>
          <w:sz w:val="18"/>
          <w:szCs w:val="18"/>
          <w:color w:val="auto"/>
        </w:rPr>
        <w:t>” means an Affiliate of Partner that is not a direct competitor of SFDC or its Affiliates and the name of which (i) Partner has submitted to SFDC; (ii) SFDC has approved following SFDC’s compliance review process; and (iii) is listed in Exhibit E hereto as of the Effective Date, or if after the Effective Date, by a written amendment to this Agreement.</w:t>
      </w:r>
    </w:p>
    <w:p>
      <w:pPr>
        <w:spacing w:after="0" w:line="176" w:lineRule="exact"/>
        <w:rPr>
          <w:sz w:val="20"/>
          <w:szCs w:val="20"/>
          <w:color w:val="auto"/>
        </w:rPr>
      </w:pPr>
    </w:p>
    <w:p>
      <w:pPr>
        <w:ind w:left="4" w:right="1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Beta Services</w:t>
      </w:r>
      <w:r>
        <w:rPr>
          <w:rFonts w:ascii="Arial" w:cs="Arial" w:eastAsia="Arial" w:hAnsi="Arial"/>
          <w:sz w:val="17"/>
          <w:szCs w:val="17"/>
          <w:color w:val="auto"/>
        </w:rPr>
        <w:t>” means SFDC services or functionality that may be made available to Partner to try at Partner’s option at no additional charge which is clearly designated as beta, pilot, limited release, developer preview, non-production, evaluation, or by a similar description.</w:t>
      </w:r>
    </w:p>
    <w:p>
      <w:pPr>
        <w:spacing w:after="0" w:line="140" w:lineRule="exact"/>
        <w:rPr>
          <w:sz w:val="20"/>
          <w:szCs w:val="20"/>
          <w:color w:val="auto"/>
        </w:rPr>
      </w:pPr>
    </w:p>
    <w:p>
      <w:pPr>
        <w:ind w:left="4" w:right="5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merger, acquisition or other corporate transaction in which the owners of all of the subject entity’s voting interests immediately prior to the transaction own less than 50% of the voting interests of the successor entity resulting from the transaction.</w:t>
      </w:r>
    </w:p>
    <w:p>
      <w:pPr>
        <w:spacing w:after="0" w:line="116"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Channel Partner</w:t>
      </w:r>
      <w:r>
        <w:rPr>
          <w:rFonts w:ascii="Arial" w:cs="Arial" w:eastAsia="Arial" w:hAnsi="Arial"/>
          <w:sz w:val="18"/>
          <w:szCs w:val="18"/>
          <w:color w:val="auto"/>
        </w:rPr>
        <w:t>” means a Partner channel/reseller partner that is not a direct competitor of SFDC or its Affiliates and (i) that Partner has submitted to SFDC; (ii) that SFDC has approved following SFDC’s standard compliance review process; and (iii) the name of which is listed in Exhibit D as of the Effective Date, or if after the Effective Date, by a written amendment to this Agreement.</w:t>
      </w:r>
    </w:p>
    <w:p>
      <w:pPr>
        <w:spacing w:after="0" w:line="176" w:lineRule="exact"/>
        <w:rPr>
          <w:sz w:val="20"/>
          <w:szCs w:val="20"/>
          <w:color w:val="auto"/>
        </w:rPr>
      </w:pPr>
    </w:p>
    <w:p>
      <w:pPr>
        <w:ind w:left="4" w:righ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Solution</w:t>
      </w:r>
      <w:r>
        <w:rPr>
          <w:rFonts w:ascii="Arial" w:cs="Arial" w:eastAsia="Arial" w:hAnsi="Arial"/>
          <w:sz w:val="18"/>
          <w:szCs w:val="18"/>
          <w:color w:val="auto"/>
        </w:rPr>
        <w:t>” means the combination of a Partner Application with the Distribution Services that Partner is authorized to use or resell in combination with such Partner Application.</w:t>
      </w:r>
    </w:p>
    <w:p>
      <w:pPr>
        <w:spacing w:after="0" w:line="162"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Content</w:t>
      </w:r>
      <w:r>
        <w:rPr>
          <w:rFonts w:ascii="Arial" w:cs="Arial" w:eastAsia="Arial" w:hAnsi="Arial"/>
          <w:sz w:val="18"/>
          <w:szCs w:val="18"/>
          <w:color w:val="auto"/>
        </w:rPr>
        <w:t>” means information obtained by SFDC from publicly available sources or its third party content providers and made available to Customer through the Services, Beta Services or pursuant to an Order Form, as more fully described in the Documentation.</w:t>
      </w:r>
    </w:p>
    <w:p>
      <w:pPr>
        <w:spacing w:after="0" w:line="162"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w:t>
      </w:r>
      <w:r>
        <w:rPr>
          <w:rFonts w:ascii="Arial" w:cs="Arial" w:eastAsia="Arial" w:hAnsi="Arial"/>
          <w:sz w:val="18"/>
          <w:szCs w:val="18"/>
          <w:color w:val="auto"/>
        </w:rPr>
        <w:t>” means an entity to whom a Partner Application is distributed or made available to for its use in combination with the Distribution Services as part of a Combined Solution pursuant to this Agreement.</w:t>
      </w:r>
    </w:p>
    <w:p>
      <w:pPr>
        <w:spacing w:after="0" w:line="162" w:lineRule="exact"/>
        <w:rPr>
          <w:sz w:val="20"/>
          <w:szCs w:val="20"/>
          <w:color w:val="auto"/>
        </w:rPr>
      </w:pPr>
    </w:p>
    <w:p>
      <w:pPr>
        <w:ind w:left="4" w:right="28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Customer Data</w:t>
      </w:r>
      <w:r>
        <w:rPr>
          <w:rFonts w:ascii="Arial" w:cs="Arial" w:eastAsia="Arial" w:hAnsi="Arial"/>
          <w:sz w:val="17"/>
          <w:szCs w:val="17"/>
          <w:color w:val="auto"/>
        </w:rPr>
        <w:t>” means electronic data and information submitted by or for a Customer to the Services which are accessible by the Customer while resident on SFDC’s systems, including through the Partner Application, excluding Content and Non-SFDC Applications.</w:t>
      </w:r>
    </w:p>
    <w:p>
      <w:pPr>
        <w:spacing w:after="0" w:line="140" w:lineRule="exact"/>
        <w:rPr>
          <w:sz w:val="20"/>
          <w:szCs w:val="20"/>
          <w:color w:val="auto"/>
        </w:rPr>
      </w:pPr>
    </w:p>
    <w:p>
      <w:pPr>
        <w:ind w:left="4" w:right="1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Distribution Services</w:t>
      </w:r>
      <w:r>
        <w:rPr>
          <w:rFonts w:ascii="Arial" w:cs="Arial" w:eastAsia="Arial" w:hAnsi="Arial"/>
          <w:sz w:val="16"/>
          <w:szCs w:val="16"/>
          <w:color w:val="auto"/>
        </w:rPr>
        <w:t>” means the services provided by SFDC for use or resale by Partner with a Partner Application as part of a Combined Solution, including OEM Services (as defined in the OEM Addendum) as detailed in the Partner Category Addendum(s) attached hereto, as may be applicable.</w:t>
      </w:r>
    </w:p>
    <w:p>
      <w:pPr>
        <w:spacing w:after="0" w:line="116"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w:t>
      </w:r>
      <w:r>
        <w:rPr>
          <w:rFonts w:ascii="Arial" w:cs="Arial" w:eastAsia="Arial" w:hAnsi="Arial"/>
          <w:sz w:val="18"/>
          <w:szCs w:val="18"/>
          <w:color w:val="auto"/>
        </w:rPr>
        <w:t>” means the applicable Services’ Trust and Compliance documentation, and its usage guides and policies, as updated from time to time, accessible via help.salesforce.com or login to the applicable Services.</w:t>
      </w:r>
    </w:p>
    <w:p>
      <w:pPr>
        <w:spacing w:after="0" w:line="162" w:lineRule="exact"/>
        <w:rPr>
          <w:sz w:val="20"/>
          <w:szCs w:val="20"/>
          <w:color w:val="auto"/>
        </w:rPr>
      </w:pPr>
    </w:p>
    <w:p>
      <w:pPr>
        <w:ind w:left="4" w:right="160"/>
        <w:spacing w:after="0" w:line="266" w:lineRule="auto"/>
        <w:rPr>
          <w:sz w:val="20"/>
          <w:szCs w:val="20"/>
          <w:color w:val="auto"/>
        </w:rPr>
      </w:pPr>
      <w:r>
        <w:rPr>
          <w:rFonts w:ascii="Arial" w:cs="Arial" w:eastAsia="Arial" w:hAnsi="Arial"/>
          <w:sz w:val="18"/>
          <w:szCs w:val="18"/>
          <w:b w:val="1"/>
          <w:bCs w:val="1"/>
          <w:color w:val="auto"/>
        </w:rPr>
        <w:t xml:space="preserve">“Non-SFDC Application” </w:t>
      </w:r>
      <w:r>
        <w:rPr>
          <w:rFonts w:ascii="Arial" w:cs="Arial" w:eastAsia="Arial" w:hAnsi="Arial"/>
          <w:sz w:val="18"/>
          <w:szCs w:val="18"/>
          <w:color w:val="auto"/>
        </w:rPr>
        <w:t>means a Web-based, mobile, offline or other software application functionality that is provided by a Customer, Partner or a</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and interoperates with a SFDC Service, including, for example, an application that is developed by or for a Customer, is listed on the AppExchange, or is identified as Salesforce Labs or by a similar designation.</w:t>
      </w:r>
    </w:p>
    <w:p>
      <w:pPr>
        <w:spacing w:after="0" w:line="176"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w:t>
      </w:r>
      <w:r>
        <w:rPr>
          <w:rFonts w:ascii="Arial" w:cs="Arial" w:eastAsia="Arial" w:hAnsi="Arial"/>
          <w:sz w:val="18"/>
          <w:szCs w:val="18"/>
          <w:color w:val="auto"/>
        </w:rPr>
        <w:t>” or “</w:t>
      </w:r>
      <w:r>
        <w:rPr>
          <w:rFonts w:ascii="Arial" w:cs="Arial" w:eastAsia="Arial" w:hAnsi="Arial"/>
          <w:sz w:val="18"/>
          <w:szCs w:val="18"/>
          <w:b w:val="1"/>
          <w:bCs w:val="1"/>
          <w:color w:val="auto"/>
        </w:rPr>
        <w:t>Organization</w:t>
      </w:r>
      <w:r>
        <w:rPr>
          <w:rFonts w:ascii="Arial" w:cs="Arial" w:eastAsia="Arial" w:hAnsi="Arial"/>
          <w:sz w:val="18"/>
          <w:szCs w:val="18"/>
          <w:color w:val="auto"/>
        </w:rPr>
        <w:t>” means a unique instance of the Services, i.e., a separate set of Customer Data and Customer-specific Services customizations held by SFDC in a logically separated database (i.e., a database segregated through password-controlled access).</w:t>
      </w:r>
    </w:p>
    <w:p>
      <w:pPr>
        <w:sectPr>
          <w:pgSz w:w="11900" w:h="16838" w:orient="portrait"/>
          <w:cols w:equalWidth="0" w:num="1">
            <w:col w:w="11024"/>
          </w:cols>
          <w:pgMar w:left="436" w:top="270" w:right="439" w:bottom="1440" w:gutter="0" w:footer="0" w:header="0"/>
        </w:sectPr>
      </w:pPr>
    </w:p>
    <w:bookmarkStart w:id="287" w:name="page288"/>
    <w:bookmarkEnd w:id="287"/>
    <w:p>
      <w:pPr>
        <w:ind w:left="4" w:right="1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Partner Application</w:t>
      </w:r>
      <w:r>
        <w:rPr>
          <w:rFonts w:ascii="Arial" w:cs="Arial" w:eastAsia="Arial" w:hAnsi="Arial"/>
          <w:sz w:val="18"/>
          <w:szCs w:val="18"/>
          <w:color w:val="auto"/>
        </w:rPr>
        <w:t xml:space="preserve">” means each Partner application approved by SFDC and described in a Partner Application Description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OEM Addendum. Partner Applications may also be referred to as “</w:t>
      </w:r>
      <w:r>
        <w:rPr>
          <w:rFonts w:ascii="Arial" w:cs="Arial" w:eastAsia="Arial" w:hAnsi="Arial"/>
          <w:sz w:val="18"/>
          <w:szCs w:val="18"/>
          <w:b w:val="1"/>
          <w:bCs w:val="1"/>
          <w:color w:val="auto"/>
        </w:rPr>
        <w:t>Reseller Applications</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Partner Application Description</w:t>
      </w:r>
      <w:r>
        <w:rPr>
          <w:rFonts w:ascii="Arial" w:cs="Arial" w:eastAsia="Arial" w:hAnsi="Arial"/>
          <w:sz w:val="17"/>
          <w:szCs w:val="17"/>
          <w:color w:val="auto"/>
        </w:rPr>
        <w:t>” means each description of a Partner Application attached as an exhibit to a Partner Category Addendum.</w:t>
      </w:r>
    </w:p>
    <w:p>
      <w:pPr>
        <w:spacing w:after="0" w:line="237"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 Category</w:t>
      </w:r>
      <w:r>
        <w:rPr>
          <w:rFonts w:ascii="Arial" w:cs="Arial" w:eastAsia="Arial" w:hAnsi="Arial"/>
          <w:sz w:val="18"/>
          <w:szCs w:val="18"/>
          <w:color w:val="auto"/>
        </w:rPr>
        <w:t>” means an SFDC-designated category of SFDC’s AppExchange Partner Program, as more fully described in each Partner Category Addendum attached to this Agreement.</w:t>
      </w:r>
    </w:p>
    <w:p>
      <w:pPr>
        <w:spacing w:after="0" w:line="162" w:lineRule="exact"/>
        <w:rPr>
          <w:sz w:val="20"/>
          <w:szCs w:val="20"/>
          <w:color w:val="auto"/>
        </w:rPr>
      </w:pPr>
    </w:p>
    <w:p>
      <w:pPr>
        <w:ind w:left="4"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 Category Addendum</w:t>
      </w:r>
      <w:r>
        <w:rPr>
          <w:rFonts w:ascii="Arial" w:cs="Arial" w:eastAsia="Arial" w:hAnsi="Arial"/>
          <w:sz w:val="18"/>
          <w:szCs w:val="18"/>
          <w:color w:val="auto"/>
        </w:rPr>
        <w:t>” means each addendum that is attached to this Agreement, depending on which Partner Category(ies) the Partner is participating in.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Partner Community</w:t>
      </w:r>
      <w:r>
        <w:rPr>
          <w:rFonts w:ascii="Arial" w:cs="Arial" w:eastAsia="Arial" w:hAnsi="Arial"/>
          <w:sz w:val="17"/>
          <w:szCs w:val="17"/>
          <w:color w:val="auto"/>
        </w:rPr>
        <w:t xml:space="preserve">” means the SFDC partner community at </w:t>
      </w:r>
      <w:r>
        <w:rPr>
          <w:rFonts w:ascii="Arial" w:cs="Arial" w:eastAsia="Arial" w:hAnsi="Arial"/>
          <w:sz w:val="17"/>
          <w:szCs w:val="17"/>
          <w:u w:val="single" w:color="auto"/>
          <w:color w:val="auto"/>
        </w:rPr>
        <w:t>https://partners.salesforce.com/</w:t>
      </w:r>
      <w:r>
        <w:rPr>
          <w:rFonts w:ascii="Arial" w:cs="Arial" w:eastAsia="Arial" w:hAnsi="Arial"/>
          <w:sz w:val="17"/>
          <w:szCs w:val="17"/>
          <w:color w:val="auto"/>
        </w:rPr>
        <w:t xml:space="preserve"> (as such URL may be updated from time to time).</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 Orders</w:t>
      </w:r>
      <w:r>
        <w:rPr>
          <w:rFonts w:ascii="Arial" w:cs="Arial" w:eastAsia="Arial" w:hAnsi="Arial"/>
          <w:sz w:val="16"/>
          <w:szCs w:val="16"/>
          <w:color w:val="auto"/>
        </w:rPr>
        <w:t>” means orders for Distribution Services that are entered into between Partner and SFDC or any of SFDC’s Affiliates from time to time.</w:t>
      </w:r>
    </w:p>
    <w:p>
      <w:pPr>
        <w:spacing w:after="0" w:line="248" w:lineRule="exact"/>
        <w:rPr>
          <w:sz w:val="20"/>
          <w:szCs w:val="20"/>
          <w:color w:val="auto"/>
        </w:rPr>
      </w:pPr>
    </w:p>
    <w:p>
      <w:pPr>
        <w:jc w:val="both"/>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or “</w:t>
      </w:r>
      <w:r>
        <w:rPr>
          <w:rFonts w:ascii="Arial" w:cs="Arial" w:eastAsia="Arial" w:hAnsi="Arial"/>
          <w:sz w:val="18"/>
          <w:szCs w:val="18"/>
          <w:b w:val="1"/>
          <w:bCs w:val="1"/>
          <w:color w:val="auto"/>
        </w:rPr>
        <w:t>SFDC Services</w:t>
      </w:r>
      <w:r>
        <w:rPr>
          <w:rFonts w:ascii="Arial" w:cs="Arial" w:eastAsia="Arial" w:hAnsi="Arial"/>
          <w:sz w:val="18"/>
          <w:szCs w:val="18"/>
          <w:color w:val="auto"/>
        </w:rPr>
        <w:t>” means the products or services made available on-line by SFDC, including associated offline or mobile components, as described in the Documentation. Services exclude Content and Non-SFDC Applications, including but not limited to applications made available on the AppExchange and each Partner Application.</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SFDC MSA</w:t>
      </w:r>
      <w:r>
        <w:rPr>
          <w:rFonts w:ascii="Arial" w:cs="Arial" w:eastAsia="Arial" w:hAnsi="Arial"/>
          <w:sz w:val="18"/>
          <w:szCs w:val="18"/>
          <w:color w:val="auto"/>
        </w:rPr>
        <w:t>” means a master subscription agreement to Services between SFDC and a Customer.</w:t>
      </w:r>
    </w:p>
    <w:p>
      <w:pPr>
        <w:spacing w:after="0" w:line="225" w:lineRule="exact"/>
        <w:rPr>
          <w:sz w:val="20"/>
          <w:szCs w:val="20"/>
          <w:color w:val="auto"/>
        </w:rPr>
      </w:pPr>
    </w:p>
    <w:p>
      <w:pPr>
        <w:ind w:left="4"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Shared Org</w:t>
      </w:r>
      <w:r>
        <w:rPr>
          <w:rFonts w:ascii="Arial" w:cs="Arial" w:eastAsia="Arial" w:hAnsi="Arial"/>
          <w:sz w:val="18"/>
          <w:szCs w:val="18"/>
          <w:color w:val="auto"/>
        </w:rPr>
        <w:t>” means an active Services Org in which both of the following are provisioned: (i) a Partner Application; and (ii) Services subscriptions purchased by Customer from SFDC or an SFDC partner other than Partner.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specified in Section 7.1.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Period</w:t>
      </w:r>
      <w:r>
        <w:rPr>
          <w:rFonts w:ascii="Arial" w:cs="Arial" w:eastAsia="Arial" w:hAnsi="Arial"/>
          <w:sz w:val="18"/>
          <w:szCs w:val="18"/>
          <w:color w:val="auto"/>
        </w:rPr>
        <w:t>” has the meaning specified in Section 7.3.2.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Trial Subscription</w:t>
      </w:r>
      <w:r>
        <w:rPr>
          <w:rFonts w:ascii="Arial" w:cs="Arial" w:eastAsia="Arial" w:hAnsi="Arial"/>
          <w:sz w:val="18"/>
          <w:szCs w:val="18"/>
          <w:color w:val="auto"/>
        </w:rPr>
        <w:t>” means a free subscription to the Distribution Services for use with a free trial subscription to a Partner Application.</w:t>
      </w:r>
    </w:p>
    <w:p>
      <w:pPr>
        <w:spacing w:after="0" w:line="252" w:lineRule="exact"/>
        <w:rPr>
          <w:sz w:val="20"/>
          <w:szCs w:val="20"/>
          <w:color w:val="auto"/>
        </w:rPr>
      </w:pPr>
    </w:p>
    <w:p>
      <w:pPr>
        <w:ind w:left="424" w:hanging="424"/>
        <w:spacing w:after="0"/>
        <w:tabs>
          <w:tab w:leader="none" w:pos="424"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Partner Relationship</w:t>
      </w:r>
    </w:p>
    <w:p>
      <w:pPr>
        <w:spacing w:after="0" w:line="131" w:lineRule="exact"/>
        <w:rPr>
          <w:sz w:val="20"/>
          <w:szCs w:val="20"/>
          <w:color w:val="auto"/>
        </w:rPr>
      </w:pPr>
    </w:p>
    <w:p>
      <w:pPr>
        <w:ind w:left="1424" w:right="220" w:hanging="431"/>
        <w:spacing w:after="0" w:line="347" w:lineRule="auto"/>
        <w:tabs>
          <w:tab w:leader="none" w:pos="1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Partner Applications</w:t>
      </w:r>
      <w:r>
        <w:rPr>
          <w:rFonts w:ascii="Arial" w:cs="Arial" w:eastAsia="Arial" w:hAnsi="Arial"/>
          <w:sz w:val="16"/>
          <w:szCs w:val="16"/>
          <w:color w:val="auto"/>
        </w:rPr>
        <w:t>. This Agreement sets forth the terms and conditions of Partner’s distribution of Partner Applications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with the Distribution Services as part of a Combined Solution and as part of SFDC’s AppExchange Partner Program.</w:t>
      </w:r>
    </w:p>
    <w:p>
      <w:pPr>
        <w:spacing w:after="0" w:line="21" w:lineRule="exact"/>
        <w:rPr>
          <w:sz w:val="20"/>
          <w:szCs w:val="20"/>
          <w:color w:val="auto"/>
        </w:rPr>
      </w:pPr>
    </w:p>
    <w:p>
      <w:pPr>
        <w:ind w:left="1424" w:hanging="431"/>
        <w:spacing w:after="0" w:line="303" w:lineRule="auto"/>
        <w:tabs>
          <w:tab w:leader="none" w:pos="1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Partner Category Addenda</w:t>
      </w:r>
      <w:r>
        <w:rPr>
          <w:rFonts w:ascii="Arial" w:cs="Arial" w:eastAsia="Arial" w:hAnsi="Arial"/>
          <w:sz w:val="16"/>
          <w:szCs w:val="16"/>
          <w:color w:val="auto"/>
        </w:rPr>
        <w:t>. The AppExchange Partner Program consists of one or more Partner Categories. Each Partner Category</w:t>
      </w:r>
      <w:r>
        <w:rPr>
          <w:rFonts w:ascii="Arial" w:cs="Arial" w:eastAsia="Arial" w:hAnsi="Arial"/>
          <w:sz w:val="16"/>
          <w:szCs w:val="16"/>
          <w:b w:val="1"/>
          <w:bCs w:val="1"/>
          <w:color w:val="auto"/>
        </w:rPr>
        <w:t xml:space="preserve"> </w:t>
      </w:r>
      <w:r>
        <w:rPr>
          <w:rFonts w:ascii="Arial" w:cs="Arial" w:eastAsia="Arial" w:hAnsi="Arial"/>
          <w:sz w:val="16"/>
          <w:szCs w:val="16"/>
          <w:color w:val="auto"/>
        </w:rPr>
        <w:t>Addendum attached hereto contains terms and conditions regarding Partner’s distribution of Partner Applications in combination with the Distribution Services as part of a Combined Solution pursuant to such Partner Category, including fees and other amounts due to SFDC in connection with such distribution. Each Partner Category Addendum is incorporated herein by reference.</w:t>
      </w:r>
    </w:p>
    <w:p>
      <w:pPr>
        <w:spacing w:after="0" w:line="56" w:lineRule="exact"/>
        <w:rPr>
          <w:sz w:val="20"/>
          <w:szCs w:val="20"/>
          <w:color w:val="auto"/>
        </w:rPr>
      </w:pPr>
    </w:p>
    <w:p>
      <w:pPr>
        <w:ind w:left="1424" w:right="40" w:hanging="431"/>
        <w:spacing w:after="0" w:line="261" w:lineRule="auto"/>
        <w:tabs>
          <w:tab w:leader="none" w:pos="1404" w:val="left"/>
        </w:tabs>
        <w:rPr>
          <w:sz w:val="20"/>
          <w:szCs w:val="20"/>
          <w:color w:val="auto"/>
        </w:rPr>
      </w:pPr>
      <w:r>
        <w:rPr>
          <w:rFonts w:ascii="Arial" w:cs="Arial" w:eastAsia="Arial" w:hAnsi="Arial"/>
          <w:sz w:val="18"/>
          <w:szCs w:val="18"/>
          <w:b w:val="1"/>
          <w:bCs w:val="1"/>
          <w:color w:val="auto"/>
        </w:rPr>
        <w:t>2.3.</w:t>
        <w:tab/>
        <w:t>Distribution Services</w:t>
      </w:r>
      <w:r>
        <w:rPr>
          <w:rFonts w:ascii="Arial" w:cs="Arial" w:eastAsia="Arial" w:hAnsi="Arial"/>
          <w:sz w:val="18"/>
          <w:szCs w:val="18"/>
          <w:color w:val="auto"/>
        </w:rPr>
        <w:t>. Partner will not provide any Customer with a product quotation listing any Platform Subscription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OEM Addendum) as a line item separate from the Combined Solution. Partner will be solely responsible for setting the price that Partner charges Customers for any Partner Application, or if Partner is reselling Distribution Services with a Partner Application, for any Combined Solution.</w:t>
      </w:r>
    </w:p>
    <w:p>
      <w:pPr>
        <w:spacing w:after="0" w:line="85" w:lineRule="exact"/>
        <w:rPr>
          <w:sz w:val="20"/>
          <w:szCs w:val="20"/>
          <w:color w:val="auto"/>
        </w:rPr>
      </w:pPr>
    </w:p>
    <w:p>
      <w:pPr>
        <w:ind w:left="1424" w:right="20" w:hanging="431"/>
        <w:spacing w:after="0" w:line="261" w:lineRule="auto"/>
        <w:tabs>
          <w:tab w:leader="none" w:pos="1404" w:val="left"/>
        </w:tabs>
        <w:rPr>
          <w:sz w:val="20"/>
          <w:szCs w:val="20"/>
          <w:color w:val="auto"/>
        </w:rPr>
      </w:pPr>
      <w:r>
        <w:rPr>
          <w:rFonts w:ascii="Arial" w:cs="Arial" w:eastAsia="Arial" w:hAnsi="Arial"/>
          <w:sz w:val="18"/>
          <w:szCs w:val="18"/>
          <w:b w:val="1"/>
          <w:bCs w:val="1"/>
          <w:color w:val="auto"/>
        </w:rPr>
        <w:t>2.4.</w:t>
        <w:tab/>
        <w:t>Relationship Managers</w:t>
      </w:r>
      <w:r>
        <w:rPr>
          <w:rFonts w:ascii="Arial" w:cs="Arial" w:eastAsia="Arial" w:hAnsi="Arial"/>
          <w:sz w:val="18"/>
          <w:szCs w:val="18"/>
          <w:color w:val="auto"/>
        </w:rPr>
        <w:t>. Each Party will designate a representative (each a “</w:t>
      </w:r>
      <w:r>
        <w:rPr>
          <w:rFonts w:ascii="Arial" w:cs="Arial" w:eastAsia="Arial" w:hAnsi="Arial"/>
          <w:sz w:val="18"/>
          <w:szCs w:val="18"/>
          <w:b w:val="1"/>
          <w:bCs w:val="1"/>
          <w:color w:val="auto"/>
        </w:rPr>
        <w:t>Relationship Manager</w:t>
      </w:r>
      <w:r>
        <w:rPr>
          <w:rFonts w:ascii="Arial" w:cs="Arial" w:eastAsia="Arial" w:hAnsi="Arial"/>
          <w:sz w:val="18"/>
          <w:szCs w:val="18"/>
          <w:color w:val="auto"/>
        </w:rPr>
        <w:t>”) who will oversee that Party’s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under this Agreement. Each Party’s Relationship Manager will serve as its principal point of contact for the other Party for the resolution of any issues that may arise under this Agreement. Each Party may change its Relationship Manager by notifying the other Party. [***].</w:t>
      </w:r>
    </w:p>
    <w:p>
      <w:pPr>
        <w:spacing w:after="0" w:line="85" w:lineRule="exact"/>
        <w:rPr>
          <w:sz w:val="20"/>
          <w:szCs w:val="20"/>
          <w:color w:val="auto"/>
        </w:rPr>
      </w:pPr>
    </w:p>
    <w:p>
      <w:pPr>
        <w:ind w:left="1424" w:right="280" w:hanging="431"/>
        <w:spacing w:after="0" w:line="303" w:lineRule="auto"/>
        <w:tabs>
          <w:tab w:leader="none" w:pos="1404"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Sales Forecasts</w:t>
      </w:r>
      <w:r>
        <w:rPr>
          <w:rFonts w:ascii="Arial" w:cs="Arial" w:eastAsia="Arial" w:hAnsi="Arial"/>
          <w:sz w:val="16"/>
          <w:szCs w:val="16"/>
          <w:color w:val="auto"/>
        </w:rPr>
        <w:t>. Upon SFDC’s request, Partner will provide SFDC with a one year sales forecast (i.e., a projection of the fees</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estimates it will pay SFDC for such year) for each Partner Application. SFDC may request an update of this forecast on a quarterly basis. The foregoing information will be considered Partner’s Confidential Information (as defined herein). SFDC acknowledges that any forecasts are merely estimates and that Partner shall have no liability for failure to achieve any forecasts.</w:t>
      </w:r>
    </w:p>
    <w:p>
      <w:pPr>
        <w:spacing w:after="0" w:line="56" w:lineRule="exact"/>
        <w:rPr>
          <w:sz w:val="20"/>
          <w:szCs w:val="20"/>
          <w:color w:val="auto"/>
        </w:rPr>
      </w:pPr>
    </w:p>
    <w:p>
      <w:pPr>
        <w:ind w:left="1424" w:right="180" w:hanging="431"/>
        <w:spacing w:after="0" w:line="261" w:lineRule="auto"/>
        <w:tabs>
          <w:tab w:leader="none" w:pos="1404" w:val="left"/>
        </w:tabs>
        <w:rPr>
          <w:sz w:val="20"/>
          <w:szCs w:val="20"/>
          <w:color w:val="auto"/>
        </w:rPr>
      </w:pPr>
      <w:r>
        <w:rPr>
          <w:rFonts w:ascii="Arial" w:cs="Arial" w:eastAsia="Arial" w:hAnsi="Arial"/>
          <w:sz w:val="18"/>
          <w:szCs w:val="18"/>
          <w:b w:val="1"/>
          <w:bCs w:val="1"/>
          <w:color w:val="auto"/>
        </w:rPr>
        <w:t>2.6.</w:t>
        <w:tab/>
        <w:t>Authorized Affiliates</w:t>
      </w:r>
      <w:r>
        <w:rPr>
          <w:rFonts w:ascii="Arial" w:cs="Arial" w:eastAsia="Arial" w:hAnsi="Arial"/>
          <w:sz w:val="18"/>
          <w:szCs w:val="18"/>
          <w:color w:val="auto"/>
        </w:rPr>
        <w:t>. Partner’s Authorized Affiliates may distribute the Distribution Services in combination with the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as part of a Combined Solution to Customers as specified in the applicable Partner Category Addendum. Distribution through an Authorized Affiliate in no way changes the obligations of Partner to SFDC. Partner must ensure that each Authorized Affiliate complies with the terms of this Agreement applicable to</w:t>
      </w:r>
    </w:p>
    <w:p>
      <w:pPr>
        <w:sectPr>
          <w:pgSz w:w="11900" w:h="16838" w:orient="portrait"/>
          <w:cols w:equalWidth="0" w:num="1">
            <w:col w:w="11004"/>
          </w:cols>
          <w:pgMar w:left="436" w:top="270" w:right="459" w:bottom="1440" w:gutter="0" w:footer="0" w:header="0"/>
        </w:sectPr>
      </w:pPr>
    </w:p>
    <w:bookmarkStart w:id="288" w:name="page289"/>
    <w:bookmarkEnd w:id="288"/>
    <w:p>
      <w:pPr>
        <w:ind w:left="1424"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Partner as if each Authorized Affiliate were an original party to this Agreement. If an Authorized Affiliate breaches this Agreement, that breach will be deemed a breach by Partner, and Partner will be fully liable to SFDC for any such breach subject to Section 12 (Limitation of Liability). Authorized Affiliates are not third-party beneficiaries of this Agreement.</w:t>
      </w:r>
    </w:p>
    <w:p>
      <w:pPr>
        <w:spacing w:after="0" w:line="67" w:lineRule="exact"/>
        <w:rPr>
          <w:sz w:val="20"/>
          <w:szCs w:val="20"/>
          <w:color w:val="auto"/>
        </w:rPr>
      </w:pPr>
    </w:p>
    <w:p>
      <w:pPr>
        <w:ind w:left="1424" w:right="380" w:hanging="431"/>
        <w:spacing w:after="0" w:line="266" w:lineRule="auto"/>
        <w:tabs>
          <w:tab w:leader="none" w:pos="1404" w:val="left"/>
        </w:tabs>
        <w:rPr>
          <w:sz w:val="20"/>
          <w:szCs w:val="20"/>
          <w:color w:val="auto"/>
        </w:rPr>
      </w:pPr>
      <w:r>
        <w:rPr>
          <w:rFonts w:ascii="Arial" w:cs="Arial" w:eastAsia="Arial" w:hAnsi="Arial"/>
          <w:sz w:val="18"/>
          <w:szCs w:val="18"/>
          <w:b w:val="1"/>
          <w:bCs w:val="1"/>
          <w:color w:val="auto"/>
        </w:rPr>
        <w:t>2.7.</w:t>
        <w:tab/>
        <w:t>Channel Partners</w:t>
      </w:r>
      <w:r>
        <w:rPr>
          <w:rFonts w:ascii="Arial" w:cs="Arial" w:eastAsia="Arial" w:hAnsi="Arial"/>
          <w:sz w:val="18"/>
          <w:szCs w:val="18"/>
          <w:color w:val="auto"/>
        </w:rPr>
        <w:t>. Subject to the terms and conditions of this Agreement, including this Section 2.7, Partner may resell the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Services in combination with the Partner Applications as part of a Combined Solution as specified in the applicable Partner Category Addendum to Channel Partners for resale to Customers:</w:t>
      </w:r>
    </w:p>
    <w:p>
      <w:pPr>
        <w:spacing w:after="0" w:line="72" w:lineRule="exact"/>
        <w:rPr>
          <w:sz w:val="20"/>
          <w:szCs w:val="20"/>
          <w:color w:val="auto"/>
        </w:rPr>
      </w:pPr>
    </w:p>
    <w:p>
      <w:pPr>
        <w:ind w:left="984" w:right="20" w:firstLine="7"/>
        <w:spacing w:after="0" w:line="259" w:lineRule="auto"/>
        <w:tabs>
          <w:tab w:leader="none" w:pos="122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Resale through a Channel Partner in no way changes the obligations of Partner to SFDC. Partner must ensure that each Channel Partner complies with the terms of this Agreement applicable to Partner as if each Channel Partner were an original party to this Agreement. If a Channel Partner breaches this Agreement, that breach will be deemed a breach by Partner, and Partner will be fully liable to SFDC for any such breach subject to Section 12 (Limitation of Liability).</w:t>
      </w:r>
    </w:p>
    <w:p>
      <w:pPr>
        <w:spacing w:after="0" w:line="78" w:lineRule="exact"/>
        <w:rPr>
          <w:rFonts w:ascii="Arial" w:cs="Arial" w:eastAsia="Arial" w:hAnsi="Arial"/>
          <w:sz w:val="18"/>
          <w:szCs w:val="18"/>
          <w:color w:val="auto"/>
        </w:rPr>
      </w:pPr>
    </w:p>
    <w:p>
      <w:pPr>
        <w:ind w:left="1244" w:hanging="253"/>
        <w:spacing w:after="0"/>
        <w:tabs>
          <w:tab w:leader="none" w:pos="124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Channel Partners will not be third-party beneficiaries of this Agreement between SFDC and Partner.</w:t>
      </w:r>
    </w:p>
    <w:p>
      <w:pPr>
        <w:spacing w:after="0" w:line="117" w:lineRule="exact"/>
        <w:rPr>
          <w:rFonts w:ascii="Arial" w:cs="Arial" w:eastAsia="Arial" w:hAnsi="Arial"/>
          <w:sz w:val="18"/>
          <w:szCs w:val="18"/>
          <w:color w:val="auto"/>
        </w:rPr>
      </w:pPr>
    </w:p>
    <w:p>
      <w:pPr>
        <w:jc w:val="both"/>
        <w:ind w:left="984" w:right="140" w:firstLine="7"/>
        <w:spacing w:after="0" w:line="301" w:lineRule="auto"/>
        <w:tabs>
          <w:tab w:leader="none" w:pos="122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 provision a sale of a Combined Solution through a Channel Partner, Partner must submit a Service Order for such sale that follows the same guidelines as outlined in Section 5 of the OEM Addendum (Service Orders). Notwithstanding the foregoing, for the purposes of this Section 2.7, in the defined term “</w:t>
      </w:r>
      <w:r>
        <w:rPr>
          <w:rFonts w:ascii="Arial" w:cs="Arial" w:eastAsia="Arial" w:hAnsi="Arial"/>
          <w:sz w:val="16"/>
          <w:szCs w:val="16"/>
          <w:b w:val="1"/>
          <w:bCs w:val="1"/>
          <w:color w:val="auto"/>
        </w:rPr>
        <w:t>Provisioning Information</w:t>
      </w:r>
      <w:r>
        <w:rPr>
          <w:rFonts w:ascii="Arial" w:cs="Arial" w:eastAsia="Arial" w:hAnsi="Arial"/>
          <w:sz w:val="16"/>
          <w:szCs w:val="16"/>
          <w:color w:val="auto"/>
        </w:rPr>
        <w:t>” (i) references to “</w:t>
      </w:r>
      <w:r>
        <w:rPr>
          <w:rFonts w:ascii="Arial" w:cs="Arial" w:eastAsia="Arial" w:hAnsi="Arial"/>
          <w:sz w:val="16"/>
          <w:szCs w:val="16"/>
          <w:b w:val="1"/>
          <w:bCs w:val="1"/>
          <w:color w:val="auto"/>
        </w:rPr>
        <w:t>Customer</w:t>
      </w:r>
      <w:r>
        <w:rPr>
          <w:rFonts w:ascii="Arial" w:cs="Arial" w:eastAsia="Arial" w:hAnsi="Arial"/>
          <w:sz w:val="16"/>
          <w:szCs w:val="16"/>
          <w:color w:val="auto"/>
        </w:rPr>
        <w:t>” in subsections (g) and (h) of such definition are deemed to refer to “</w:t>
      </w:r>
      <w:r>
        <w:rPr>
          <w:rFonts w:ascii="Arial" w:cs="Arial" w:eastAsia="Arial" w:hAnsi="Arial"/>
          <w:sz w:val="16"/>
          <w:szCs w:val="16"/>
          <w:b w:val="1"/>
          <w:bCs w:val="1"/>
          <w:color w:val="auto"/>
        </w:rPr>
        <w:t>Channel Partner</w:t>
      </w:r>
      <w:r>
        <w:rPr>
          <w:rFonts w:ascii="Arial" w:cs="Arial" w:eastAsia="Arial" w:hAnsi="Arial"/>
          <w:sz w:val="16"/>
          <w:szCs w:val="16"/>
          <w:color w:val="auto"/>
        </w:rPr>
        <w:t>” and (ii) the following is added to such section as a new subsection (j):</w:t>
      </w:r>
    </w:p>
    <w:p>
      <w:pPr>
        <w:spacing w:after="0" w:line="4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‘(j) Channel Partner Name (if included as a field in the applicable Service Order).’</w:t>
      </w:r>
    </w:p>
    <w:p>
      <w:pPr>
        <w:spacing w:after="0" w:line="113" w:lineRule="exact"/>
        <w:rPr>
          <w:sz w:val="20"/>
          <w:szCs w:val="20"/>
          <w:color w:val="auto"/>
        </w:rPr>
      </w:pPr>
    </w:p>
    <w:p>
      <w:pPr>
        <w:ind w:left="984" w:right="20" w:firstLine="7"/>
        <w:spacing w:after="0" w:line="266" w:lineRule="auto"/>
        <w:tabs>
          <w:tab w:leader="none" w:pos="123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For the purposes of any Service Order for Services that Partner is reselling to a Channel Partner, in any definition of “</w:t>
      </w:r>
      <w:r>
        <w:rPr>
          <w:rFonts w:ascii="Arial" w:cs="Arial" w:eastAsia="Arial" w:hAnsi="Arial"/>
          <w:sz w:val="18"/>
          <w:szCs w:val="18"/>
          <w:b w:val="1"/>
          <w:bCs w:val="1"/>
          <w:color w:val="auto"/>
        </w:rPr>
        <w:t>PNR</w:t>
      </w:r>
      <w:r>
        <w:rPr>
          <w:rFonts w:ascii="Arial" w:cs="Arial" w:eastAsia="Arial" w:hAnsi="Arial"/>
          <w:sz w:val="18"/>
          <w:szCs w:val="18"/>
          <w:color w:val="auto"/>
        </w:rPr>
        <w:t>”, references to the sales price of the applicable Combined Solution to Customer are changed to refer to the sales price of the applicable Combined Solution to the Channel Partner.”</w:t>
      </w:r>
    </w:p>
    <w:p>
      <w:pPr>
        <w:spacing w:after="0" w:line="202" w:lineRule="exact"/>
        <w:rPr>
          <w:rFonts w:ascii="Arial" w:cs="Arial" w:eastAsia="Arial" w:hAnsi="Arial"/>
          <w:sz w:val="18"/>
          <w:szCs w:val="18"/>
          <w:color w:val="auto"/>
        </w:rPr>
      </w:pPr>
    </w:p>
    <w:p>
      <w:pPr>
        <w:ind w:left="424" w:hanging="424"/>
        <w:spacing w:after="0"/>
        <w:tabs>
          <w:tab w:leader="none" w:pos="42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Partner Applications</w:t>
      </w:r>
    </w:p>
    <w:p>
      <w:pPr>
        <w:spacing w:after="0" w:line="131"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Scope of Partner Application</w:t>
      </w:r>
      <w:r>
        <w:rPr>
          <w:rFonts w:ascii="Arial" w:cs="Arial" w:eastAsia="Arial" w:hAnsi="Arial"/>
          <w:sz w:val="16"/>
          <w:szCs w:val="16"/>
          <w:color w:val="auto"/>
        </w:rPr>
        <w:t>.</w:t>
      </w:r>
    </w:p>
    <w:p>
      <w:pPr>
        <w:spacing w:after="0" w:line="131" w:lineRule="exact"/>
        <w:rPr>
          <w:sz w:val="20"/>
          <w:szCs w:val="20"/>
          <w:color w:val="auto"/>
        </w:rPr>
      </w:pPr>
    </w:p>
    <w:p>
      <w:pPr>
        <w:ind w:left="1744" w:right="20" w:hanging="539"/>
        <w:spacing w:after="0" w:line="259" w:lineRule="auto"/>
        <w:tabs>
          <w:tab w:leader="none" w:pos="1724"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8"/>
          <w:szCs w:val="18"/>
          <w:color w:val="auto"/>
        </w:rPr>
        <w:t>Each Partner Application distributed by Partner shall at all times materially conform to the applicable Partner Application Description. Without limiting the foregoing, each Partner Application may only utilize the number of Services components (e.g., apps, tabs and objects) required to deliver the Partner Application in the form and with the functionality as approved by SFDC and reflected in the Partner Application Description.</w:t>
      </w:r>
    </w:p>
    <w:p>
      <w:pPr>
        <w:spacing w:after="0" w:line="92" w:lineRule="exact"/>
        <w:rPr>
          <w:sz w:val="20"/>
          <w:szCs w:val="20"/>
          <w:color w:val="auto"/>
        </w:rPr>
      </w:pPr>
    </w:p>
    <w:p>
      <w:pPr>
        <w:ind w:left="1744" w:right="180" w:hanging="539"/>
        <w:spacing w:after="0" w:line="282" w:lineRule="auto"/>
        <w:tabs>
          <w:tab w:leader="none" w:pos="1724"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color w:val="auto"/>
        </w:rPr>
        <w:t xml:space="preserve">SFDC reserves the right to review each Partner Application </w:t>
      </w:r>
      <w:r>
        <w:rPr>
          <w:rFonts w:ascii="Arial" w:cs="Arial" w:eastAsia="Arial" w:hAnsi="Arial"/>
          <w:sz w:val="18"/>
          <w:szCs w:val="18"/>
          <w:b w:val="1"/>
          <w:bCs w:val="1"/>
          <w:color w:val="auto"/>
        </w:rPr>
        <w:t>[***]</w:t>
      </w:r>
      <w:r>
        <w:rPr>
          <w:rFonts w:ascii="Arial" w:cs="Arial" w:eastAsia="Arial" w:hAnsi="Arial"/>
          <w:sz w:val="18"/>
          <w:szCs w:val="18"/>
          <w:color w:val="auto"/>
        </w:rPr>
        <w:t xml:space="preserve"> to verify that the Partner Application continues to materially conform to the applicable Partner Application Description.</w:t>
      </w:r>
    </w:p>
    <w:p>
      <w:pPr>
        <w:spacing w:after="0" w:line="67" w:lineRule="exact"/>
        <w:rPr>
          <w:sz w:val="20"/>
          <w:szCs w:val="20"/>
          <w:color w:val="auto"/>
        </w:rPr>
      </w:pPr>
    </w:p>
    <w:p>
      <w:pPr>
        <w:ind w:left="1744" w:right="480" w:hanging="539"/>
        <w:spacing w:after="0" w:line="266" w:lineRule="auto"/>
        <w:tabs>
          <w:tab w:leader="none" w:pos="1724" w:val="left"/>
        </w:tabs>
        <w:rPr>
          <w:sz w:val="20"/>
          <w:szCs w:val="20"/>
          <w:color w:val="auto"/>
        </w:rPr>
      </w:pPr>
      <w:r>
        <w:rPr>
          <w:rFonts w:ascii="Arial" w:cs="Arial" w:eastAsia="Arial" w:hAnsi="Arial"/>
          <w:sz w:val="18"/>
          <w:szCs w:val="18"/>
          <w:b w:val="1"/>
          <w:bCs w:val="1"/>
          <w:color w:val="auto"/>
        </w:rPr>
        <w:t>3.1.3.</w:t>
        <w:tab/>
        <w:t>[***]</w:t>
      </w:r>
      <w:r>
        <w:rPr>
          <w:rFonts w:ascii="Arial" w:cs="Arial" w:eastAsia="Arial" w:hAnsi="Arial"/>
          <w:sz w:val="18"/>
          <w:szCs w:val="18"/>
          <w:color w:val="auto"/>
        </w:rPr>
        <w:t>, a Partner Application may not recreate substantially similar functionality to the following standard SFDC objects:</w:t>
      </w:r>
      <w:r>
        <w:rPr>
          <w:rFonts w:ascii="Arial" w:cs="Arial" w:eastAsia="Arial" w:hAnsi="Arial"/>
          <w:sz w:val="18"/>
          <w:szCs w:val="18"/>
          <w:b w:val="1"/>
          <w:bCs w:val="1"/>
          <w:color w:val="auto"/>
        </w:rPr>
        <w:t xml:space="preserve"> </w:t>
      </w:r>
      <w:r>
        <w:rPr>
          <w:rFonts w:ascii="Arial" w:cs="Arial" w:eastAsia="Arial" w:hAnsi="Arial"/>
          <w:sz w:val="18"/>
          <w:szCs w:val="18"/>
          <w:color w:val="auto"/>
        </w:rPr>
        <w:t>Campaigns, Cases, Entitlements, Leads, Opportunities, Quotes, Sales Contracts, Service Contracts, Solutions and/or Work Orders.</w:t>
      </w:r>
    </w:p>
    <w:p>
      <w:pPr>
        <w:spacing w:after="0" w:line="81"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Material Modifications</w:t>
      </w:r>
      <w:r>
        <w:rPr>
          <w:rFonts w:ascii="Arial" w:cs="Arial" w:eastAsia="Arial" w:hAnsi="Arial"/>
          <w:sz w:val="16"/>
          <w:szCs w:val="16"/>
          <w:color w:val="auto"/>
        </w:rPr>
        <w:t>.</w:t>
      </w:r>
    </w:p>
    <w:p>
      <w:pPr>
        <w:spacing w:after="0" w:line="131" w:lineRule="exact"/>
        <w:rPr>
          <w:sz w:val="20"/>
          <w:szCs w:val="20"/>
          <w:color w:val="auto"/>
        </w:rPr>
      </w:pPr>
    </w:p>
    <w:p>
      <w:pPr>
        <w:ind w:left="1744" w:right="200" w:hanging="539"/>
        <w:spacing w:after="0" w:line="255" w:lineRule="auto"/>
        <w:tabs>
          <w:tab w:leader="none" w:pos="1724"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8"/>
          <w:szCs w:val="18"/>
          <w:color w:val="auto"/>
        </w:rPr>
        <w:t>SFDC must review, approve and reflect in this Agreement via a mutually executed amendment of the Partner Application Description, any Material Modifications. “</w:t>
      </w:r>
      <w:r>
        <w:rPr>
          <w:rFonts w:ascii="Arial" w:cs="Arial" w:eastAsia="Arial" w:hAnsi="Arial"/>
          <w:sz w:val="18"/>
          <w:szCs w:val="18"/>
          <w:b w:val="1"/>
          <w:bCs w:val="1"/>
          <w:color w:val="auto"/>
        </w:rPr>
        <w:t>Material Modifications</w:t>
      </w:r>
      <w:r>
        <w:rPr>
          <w:rFonts w:ascii="Arial" w:cs="Arial" w:eastAsia="Arial" w:hAnsi="Arial"/>
          <w:sz w:val="18"/>
          <w:szCs w:val="18"/>
          <w:color w:val="auto"/>
        </w:rPr>
        <w:t>” are modifications and/or updates to a Partner Application that cause the Partner Application not to materially conform with the Partner Application Description or that are otherwise material. For the avoidance of doubt, modifications and/or updates to a Partner Application that requires or enables the use of any Services functionality not contemplated by the Partner Application Description are material for the purposes of this Agreement.</w:t>
      </w:r>
    </w:p>
    <w:p>
      <w:pPr>
        <w:spacing w:after="0" w:line="98" w:lineRule="exact"/>
        <w:rPr>
          <w:sz w:val="20"/>
          <w:szCs w:val="20"/>
          <w:color w:val="auto"/>
        </w:rPr>
      </w:pPr>
    </w:p>
    <w:p>
      <w:pPr>
        <w:ind w:left="1744" w:right="340" w:hanging="539"/>
        <w:spacing w:after="0" w:line="286" w:lineRule="auto"/>
        <w:tabs>
          <w:tab w:leader="none" w:pos="1724"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color w:val="auto"/>
        </w:rPr>
        <w:t>If Partner breaches its obligations under this Section 3 (Partner Applications), SFDC may, upon written notice to Partner, (a) suspend, [***], Partner’s right to distribute Partner Applications with and/or use Distribution Services hereunder, or (b) terminate this Agreement [***], in accordance with Section 7.2 (Termination for Cause) below, [***].</w:t>
      </w:r>
    </w:p>
    <w:p>
      <w:pPr>
        <w:spacing w:after="0" w:line="71" w:lineRule="exact"/>
        <w:rPr>
          <w:sz w:val="20"/>
          <w:szCs w:val="20"/>
          <w:color w:val="auto"/>
        </w:rPr>
      </w:pPr>
    </w:p>
    <w:p>
      <w:pPr>
        <w:ind w:left="1744" w:right="160" w:hanging="539"/>
        <w:spacing w:after="0" w:line="308" w:lineRule="auto"/>
        <w:tabs>
          <w:tab w:leader="none" w:pos="1724"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7"/>
          <w:szCs w:val="17"/>
          <w:color w:val="auto"/>
        </w:rPr>
        <w:t>For the avoidance of doubt, all modifications to a Partner Application and/or updated versions of a Partner Application may be subject to a Security Review (as defined below), even if they do not include a Material Modification.</w:t>
      </w:r>
    </w:p>
    <w:p>
      <w:pPr>
        <w:spacing w:after="0" w:line="52" w:lineRule="exact"/>
        <w:rPr>
          <w:sz w:val="20"/>
          <w:szCs w:val="20"/>
          <w:color w:val="auto"/>
        </w:rPr>
      </w:pPr>
    </w:p>
    <w:p>
      <w:pPr>
        <w:ind w:left="1424" w:hanging="431"/>
        <w:spacing w:after="0" w:line="268" w:lineRule="auto"/>
        <w:tabs>
          <w:tab w:leader="none" w:pos="140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Partner Application Security Review</w:t>
      </w:r>
      <w:r>
        <w:rPr>
          <w:rFonts w:ascii="Arial" w:cs="Arial" w:eastAsia="Arial" w:hAnsi="Arial"/>
          <w:sz w:val="17"/>
          <w:szCs w:val="17"/>
          <w:color w:val="auto"/>
        </w:rPr>
        <w:t>. SFDC may conduct periodic security evaluations of the Partner Applications (“</w:t>
      </w:r>
      <w:r>
        <w:rPr>
          <w:rFonts w:ascii="Arial" w:cs="Arial" w:eastAsia="Arial" w:hAnsi="Arial"/>
          <w:sz w:val="17"/>
          <w:szCs w:val="17"/>
          <w:b w:val="1"/>
          <w:bCs w:val="1"/>
          <w:color w:val="auto"/>
        </w:rPr>
        <w:t>Security Reviews</w:t>
      </w:r>
      <w:r>
        <w:rPr>
          <w:rFonts w:ascii="Arial" w:cs="Arial" w:eastAsia="Arial" w:hAnsi="Arial"/>
          <w:sz w:val="17"/>
          <w:szCs w:val="17"/>
          <w:color w:val="auto"/>
        </w:rPr>
        <w:t>”), which may include a qualitative assessment involving review of a questionnaire completed by Partner, an interview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Partner personnel, and/or security testing. SFDC conducts such Security Reviews for its own benefit and Partner may not rely on, publicly disclose or promote a Partner Application’s successful passage of such Security Review. SFDC may not provision Distribution Services hereunder unless such Partner Application has successfully passed the Partner Application Security Review. There may be reasonable fees associated with such review; provided that SFDC will charge Partner the same fees that SFDC charges SFDC’s similarly situated partners on a programmatic basis. If a Partner Application, in whole or in part, runs outside SFDC’s systems, such Security Review may include remote application-level security testing of each Partner Application, and network-level security testing including a vulnerability threat assessment. SFDC may conduct such testing itself or through a third party. SFDC will provide reasonable notice to Partner before starting such testing. SFDC will cooperate reasonably with Partner to mitigate the effects of such testing on Partner’s business and operations. Partner agrees to cooperate reasonably with such testing. Despite the foregoing, such testing may in rare cases cause downtime or other adverse effects on a Partner Application or Partner’s systems. Partner agrees that SFDC and its agents or contractors conducting the testing will bear no responsibility or liability arising from such testing [***]. Any Partner Confidential Information to which SFDC obtains access in the course of a Security Review will be subject to Section 8 (Confidentiality).</w:t>
      </w:r>
    </w:p>
    <w:p>
      <w:pPr>
        <w:sectPr>
          <w:pgSz w:w="11900" w:h="16838" w:orient="portrait"/>
          <w:cols w:equalWidth="0" w:num="1">
            <w:col w:w="11024"/>
          </w:cols>
          <w:pgMar w:left="436" w:top="274" w:right="439" w:bottom="1440" w:gutter="0" w:footer="0" w:header="0"/>
        </w:sectPr>
      </w:pPr>
    </w:p>
    <w:bookmarkStart w:id="289" w:name="page290"/>
    <w:bookmarkEnd w:id="289"/>
    <w:p>
      <w:pPr>
        <w:ind w:left="984"/>
        <w:spacing w:after="0"/>
        <w:tabs>
          <w:tab w:leader="none" w:pos="1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w:t>
      </w:r>
      <w:r>
        <w:rPr>
          <w:sz w:val="20"/>
          <w:szCs w:val="20"/>
          <w:color w:val="auto"/>
        </w:rPr>
        <w:tab/>
      </w:r>
      <w:r>
        <w:rPr>
          <w:rFonts w:ascii="Arial" w:cs="Arial" w:eastAsia="Arial" w:hAnsi="Arial"/>
          <w:sz w:val="16"/>
          <w:szCs w:val="16"/>
          <w:b w:val="1"/>
          <w:bCs w:val="1"/>
          <w:color w:val="auto"/>
        </w:rPr>
        <w:t>Privacy and Security of Customer Data Accessed by Partner Application [***].</w:t>
      </w:r>
    </w:p>
    <w:p>
      <w:pPr>
        <w:spacing w:after="0" w:line="252" w:lineRule="exact"/>
        <w:rPr>
          <w:sz w:val="20"/>
          <w:szCs w:val="20"/>
          <w:color w:val="auto"/>
        </w:rPr>
      </w:pPr>
    </w:p>
    <w:p>
      <w:pPr>
        <w:ind w:left="424" w:hanging="424"/>
        <w:spacing w:after="0"/>
        <w:tabs>
          <w:tab w:leader="none" w:pos="424"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Customer Relationship</w:t>
      </w:r>
    </w:p>
    <w:p>
      <w:pPr>
        <w:spacing w:after="0" w:line="131" w:lineRule="exact"/>
        <w:rPr>
          <w:sz w:val="20"/>
          <w:szCs w:val="20"/>
          <w:color w:val="auto"/>
        </w:rPr>
      </w:pPr>
    </w:p>
    <w:p>
      <w:pPr>
        <w:ind w:left="1424" w:right="500" w:hanging="431"/>
        <w:spacing w:after="0" w:line="282" w:lineRule="auto"/>
        <w:tabs>
          <w:tab w:leader="none" w:pos="1404" w:val="left"/>
        </w:tabs>
        <w:rPr>
          <w:sz w:val="20"/>
          <w:szCs w:val="20"/>
          <w:color w:val="auto"/>
        </w:rPr>
      </w:pPr>
      <w:r>
        <w:rPr>
          <w:rFonts w:ascii="Arial" w:cs="Arial" w:eastAsia="Arial" w:hAnsi="Arial"/>
          <w:sz w:val="18"/>
          <w:szCs w:val="18"/>
          <w:b w:val="1"/>
          <w:bCs w:val="1"/>
          <w:color w:val="auto"/>
        </w:rPr>
        <w:t>4.1.</w:t>
        <w:tab/>
        <w:t>Customer Agreements</w:t>
      </w:r>
      <w:r>
        <w:rPr>
          <w:rFonts w:ascii="Arial" w:cs="Arial" w:eastAsia="Arial" w:hAnsi="Arial"/>
          <w:sz w:val="18"/>
          <w:szCs w:val="18"/>
          <w:color w:val="auto"/>
        </w:rPr>
        <w:t>. Customers will contract directly with Partner for the use of Partner Applications and any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resold by Partner to such Customer.</w:t>
      </w:r>
    </w:p>
    <w:p>
      <w:pPr>
        <w:spacing w:after="0" w:line="67" w:lineRule="exact"/>
        <w:rPr>
          <w:sz w:val="20"/>
          <w:szCs w:val="20"/>
          <w:color w:val="auto"/>
        </w:rPr>
      </w:pPr>
    </w:p>
    <w:p>
      <w:pPr>
        <w:ind w:left="1424" w:right="380" w:hanging="431"/>
        <w:spacing w:after="0" w:line="347" w:lineRule="auto"/>
        <w:tabs>
          <w:tab w:leader="none" w:pos="1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Customer Billing and Collection</w:t>
      </w:r>
      <w:r>
        <w:rPr>
          <w:rFonts w:ascii="Arial" w:cs="Arial" w:eastAsia="Arial" w:hAnsi="Arial"/>
          <w:sz w:val="16"/>
          <w:szCs w:val="16"/>
          <w:color w:val="auto"/>
        </w:rPr>
        <w:t>. Partner will be solely responsible for billing and collecting fees for each Partner Application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from Customers. Payments due from Partner to SFDC will not depend on Partner’s receipt of payments from Customers.</w:t>
      </w:r>
    </w:p>
    <w:p>
      <w:pPr>
        <w:spacing w:after="0" w:line="21" w:lineRule="exact"/>
        <w:rPr>
          <w:sz w:val="20"/>
          <w:szCs w:val="20"/>
          <w:color w:val="auto"/>
        </w:rPr>
      </w:pPr>
    </w:p>
    <w:p>
      <w:pPr>
        <w:ind w:left="1424" w:right="140" w:hanging="431"/>
        <w:spacing w:after="0" w:line="266" w:lineRule="auto"/>
        <w:tabs>
          <w:tab w:leader="none" w:pos="1404" w:val="left"/>
        </w:tabs>
        <w:rPr>
          <w:sz w:val="20"/>
          <w:szCs w:val="20"/>
          <w:color w:val="auto"/>
        </w:rPr>
      </w:pPr>
      <w:r>
        <w:rPr>
          <w:rFonts w:ascii="Arial" w:cs="Arial" w:eastAsia="Arial" w:hAnsi="Arial"/>
          <w:sz w:val="18"/>
          <w:szCs w:val="18"/>
          <w:b w:val="1"/>
          <w:bCs w:val="1"/>
          <w:color w:val="auto"/>
        </w:rPr>
        <w:t>4.3.</w:t>
        <w:tab/>
        <w:t>Partner Solely Responsible to Customers</w:t>
      </w:r>
      <w:r>
        <w:rPr>
          <w:rFonts w:ascii="Arial" w:cs="Arial" w:eastAsia="Arial" w:hAnsi="Arial"/>
          <w:sz w:val="18"/>
          <w:szCs w:val="18"/>
          <w:color w:val="auto"/>
        </w:rPr>
        <w:t>. In the event that Partner ceases business and/or provision of a Partner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SFDC is under no obligation to provide the Partner Applications, to refund to Customer any fees paid by Customer to Partner, or to assume the relationship with Customer.</w:t>
      </w:r>
    </w:p>
    <w:p>
      <w:pPr>
        <w:spacing w:after="0" w:line="81" w:lineRule="exact"/>
        <w:rPr>
          <w:sz w:val="20"/>
          <w:szCs w:val="20"/>
          <w:color w:val="auto"/>
        </w:rPr>
      </w:pPr>
    </w:p>
    <w:p>
      <w:pPr>
        <w:ind w:left="1424" w:hanging="431"/>
        <w:spacing w:after="0" w:line="271" w:lineRule="auto"/>
        <w:tabs>
          <w:tab w:leader="none" w:pos="1404"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Customer Support</w:t>
      </w:r>
      <w:r>
        <w:rPr>
          <w:rFonts w:ascii="Arial" w:cs="Arial" w:eastAsia="Arial" w:hAnsi="Arial"/>
          <w:sz w:val="17"/>
          <w:szCs w:val="17"/>
          <w:color w:val="auto"/>
        </w:rPr>
        <w:t>. Partner will itself provide all technical support for Partner Applications and any Distribution Services used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resold by Reseller with such Partner Applications in accordance with the following: (i) Partner will provide telephone, web-based and/or email support to Customers during normal business hours; (ii) Partner will </w:t>
      </w:r>
      <w:r>
        <w:rPr>
          <w:rFonts w:ascii="Arial" w:cs="Arial" w:eastAsia="Arial" w:hAnsi="Arial"/>
          <w:sz w:val="17"/>
          <w:szCs w:val="17"/>
          <w:b w:val="1"/>
          <w:bCs w:val="1"/>
          <w:color w:val="auto"/>
        </w:rPr>
        <w:t>[***]</w:t>
      </w:r>
      <w:r>
        <w:rPr>
          <w:rFonts w:ascii="Arial" w:cs="Arial" w:eastAsia="Arial" w:hAnsi="Arial"/>
          <w:sz w:val="17"/>
          <w:szCs w:val="17"/>
          <w:color w:val="auto"/>
        </w:rPr>
        <w:t xml:space="preserve"> to respond to all Customers’ support queries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and (iii) Partner will clearly and conspicuously, within the online help information provided for the Partner Applications, direct Users (as defined in the OEM Addendum) to contact only Partner for technical support. Partner will not direct Customers to seek support from SFDC in connection with this Agreement or the Combined Solution and SFDC will not, except in its sole discretion on a case by case basis, provide any technical support to Customers for Partner Applications or Distribution Services. SFDC has no obligation to provide such support. If </w:t>
      </w:r>
      <w:r>
        <w:rPr>
          <w:rFonts w:ascii="Arial" w:cs="Arial" w:eastAsia="Arial" w:hAnsi="Arial"/>
          <w:sz w:val="17"/>
          <w:szCs w:val="17"/>
          <w:b w:val="1"/>
          <w:bCs w:val="1"/>
          <w:color w:val="auto"/>
        </w:rPr>
        <w:t>[***]</w:t>
      </w:r>
      <w:r>
        <w:rPr>
          <w:rFonts w:ascii="Arial" w:cs="Arial" w:eastAsia="Arial" w:hAnsi="Arial"/>
          <w:sz w:val="17"/>
          <w:szCs w:val="17"/>
          <w:color w:val="auto"/>
        </w:rPr>
        <w:t xml:space="preserve"> Partner cannot adequately resolve such issue, Partner may seek assistance from SFDC’s support organization by logging a case with SFDC via the Partner Community.</w:t>
      </w:r>
    </w:p>
    <w:p>
      <w:pPr>
        <w:spacing w:after="0" w:line="79" w:lineRule="exact"/>
        <w:rPr>
          <w:sz w:val="20"/>
          <w:szCs w:val="20"/>
          <w:color w:val="auto"/>
        </w:rPr>
      </w:pPr>
    </w:p>
    <w:p>
      <w:pPr>
        <w:ind w:left="1424" w:right="80" w:hanging="431"/>
        <w:spacing w:after="0" w:line="274" w:lineRule="auto"/>
        <w:tabs>
          <w:tab w:leader="none" w:pos="140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Trial Subscriptions</w:t>
      </w:r>
      <w:r>
        <w:rPr>
          <w:rFonts w:ascii="Arial" w:cs="Arial" w:eastAsia="Arial" w:hAnsi="Arial"/>
          <w:sz w:val="17"/>
          <w:szCs w:val="17"/>
          <w:color w:val="auto"/>
        </w:rPr>
        <w:t>. Trial Subscriptions may not exceed</w:t>
      </w:r>
      <w:r>
        <w:rPr>
          <w:rFonts w:ascii="Arial" w:cs="Arial" w:eastAsia="Arial" w:hAnsi="Arial"/>
          <w:sz w:val="17"/>
          <w:szCs w:val="17"/>
          <w:b w:val="1"/>
          <w:bCs w:val="1"/>
          <w:color w:val="auto"/>
        </w:rPr>
        <w:t xml:space="preserve"> [***]</w:t>
      </w:r>
      <w:r>
        <w:rPr>
          <w:rFonts w:ascii="Arial" w:cs="Arial" w:eastAsia="Arial" w:hAnsi="Arial"/>
          <w:sz w:val="17"/>
          <w:szCs w:val="17"/>
          <w:color w:val="auto"/>
        </w:rPr>
        <w:t>. Partner will prominently inform all prospective Customers signing</w:t>
      </w:r>
      <w:r>
        <w:rPr>
          <w:rFonts w:ascii="Arial" w:cs="Arial" w:eastAsia="Arial" w:hAnsi="Arial"/>
          <w:sz w:val="17"/>
          <w:szCs w:val="17"/>
          <w:b w:val="1"/>
          <w:bCs w:val="1"/>
          <w:color w:val="auto"/>
        </w:rPr>
        <w:t xml:space="preserve"> </w:t>
      </w:r>
      <w:r>
        <w:rPr>
          <w:rFonts w:ascii="Arial" w:cs="Arial" w:eastAsia="Arial" w:hAnsi="Arial"/>
          <w:sz w:val="17"/>
          <w:szCs w:val="17"/>
          <w:color w:val="auto"/>
        </w:rPr>
        <w:t>up for a Trial Subscription to a Partner Application that their registration information will be disclosed to SFDC and will be used by SFDC pursuant to its privacy policy available at http://www.salesforce.com. All data provided by a prospective Customer through a Trial Subscription to a Partner Application will be treated by the Parties as Customer Data belonging to that prospective Customer, and Partner will provide the Customer with the ability to access and download all of its Customer Data submitted, accessed or processed by the Partner Applications throughout the term of such Trial Subscription.</w:t>
      </w:r>
    </w:p>
    <w:p>
      <w:pPr>
        <w:spacing w:after="0" w:line="79" w:lineRule="exact"/>
        <w:rPr>
          <w:sz w:val="20"/>
          <w:szCs w:val="20"/>
          <w:color w:val="auto"/>
        </w:rPr>
      </w:pPr>
    </w:p>
    <w:p>
      <w:pPr>
        <w:ind w:left="1424" w:right="20" w:hanging="431"/>
        <w:spacing w:after="0" w:line="258" w:lineRule="auto"/>
        <w:tabs>
          <w:tab w:leader="none" w:pos="1404" w:val="left"/>
        </w:tabs>
        <w:rPr>
          <w:sz w:val="20"/>
          <w:szCs w:val="20"/>
          <w:color w:val="auto"/>
        </w:rPr>
      </w:pPr>
      <w:r>
        <w:rPr>
          <w:rFonts w:ascii="Arial" w:cs="Arial" w:eastAsia="Arial" w:hAnsi="Arial"/>
          <w:sz w:val="18"/>
          <w:szCs w:val="18"/>
          <w:b w:val="1"/>
          <w:bCs w:val="1"/>
          <w:color w:val="auto"/>
        </w:rPr>
        <w:t>4.6.</w:t>
        <w:tab/>
        <w:t>Suspension and Termination of Shared Org</w:t>
      </w:r>
      <w:r>
        <w:rPr>
          <w:rFonts w:ascii="Arial" w:cs="Arial" w:eastAsia="Arial" w:hAnsi="Arial"/>
          <w:sz w:val="18"/>
          <w:szCs w:val="18"/>
          <w:color w:val="auto"/>
        </w:rPr>
        <w:t>. Partner acknowledges and understands that a Customer’s access to a Shared Org may</w:t>
      </w:r>
      <w:r>
        <w:rPr>
          <w:rFonts w:ascii="Arial" w:cs="Arial" w:eastAsia="Arial" w:hAnsi="Arial"/>
          <w:sz w:val="18"/>
          <w:szCs w:val="18"/>
          <w:b w:val="1"/>
          <w:bCs w:val="1"/>
          <w:color w:val="auto"/>
        </w:rPr>
        <w:t xml:space="preserve"> </w:t>
      </w:r>
      <w:r>
        <w:rPr>
          <w:rFonts w:ascii="Arial" w:cs="Arial" w:eastAsia="Arial" w:hAnsi="Arial"/>
          <w:sz w:val="18"/>
          <w:szCs w:val="18"/>
          <w:color w:val="auto"/>
        </w:rPr>
        <w:t>be suspended or terminated due to breach or expiration of the SFDC MSA. Partner will remain liable to SFDC for the fees for the Distribution Services, including those remaining under the applicable Service Order, notwithstanding any such suspension or termination. In no case will any such termination or suspension give rise to any liability of SFDC to Partner or to the Customer, including for a refund or damages.</w:t>
      </w:r>
    </w:p>
    <w:p>
      <w:pPr>
        <w:spacing w:after="0" w:line="210" w:lineRule="exact"/>
        <w:rPr>
          <w:sz w:val="20"/>
          <w:szCs w:val="20"/>
          <w:color w:val="auto"/>
        </w:rPr>
      </w:pPr>
    </w:p>
    <w:p>
      <w:pPr>
        <w:ind w:left="424" w:hanging="424"/>
        <w:spacing w:after="0"/>
        <w:tabs>
          <w:tab w:leader="none" w:pos="424"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131" w:lineRule="exact"/>
        <w:rPr>
          <w:sz w:val="20"/>
          <w:szCs w:val="20"/>
          <w:color w:val="auto"/>
        </w:rPr>
      </w:pPr>
    </w:p>
    <w:p>
      <w:pPr>
        <w:ind w:left="1424" w:right="120" w:hanging="431"/>
        <w:spacing w:after="0" w:line="274" w:lineRule="auto"/>
        <w:tabs>
          <w:tab w:leader="none" w:pos="1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Taxes</w:t>
      </w:r>
      <w:r>
        <w:rPr>
          <w:rFonts w:ascii="Arial" w:cs="Arial" w:eastAsia="Arial" w:hAnsi="Arial"/>
          <w:sz w:val="17"/>
          <w:szCs w:val="17"/>
          <w:color w:val="auto"/>
        </w:rPr>
        <w:t>. Unless otherwise stated, SFDC’s fees do not include any direct or indirect local, state, federal or foreign taxes, levies, duties</w:t>
      </w:r>
      <w:r>
        <w:rPr>
          <w:rFonts w:ascii="Arial" w:cs="Arial" w:eastAsia="Arial" w:hAnsi="Arial"/>
          <w:sz w:val="17"/>
          <w:szCs w:val="17"/>
          <w:b w:val="1"/>
          <w:bCs w:val="1"/>
          <w:color w:val="auto"/>
        </w:rPr>
        <w:t xml:space="preserve"> </w:t>
      </w:r>
      <w:r>
        <w:rPr>
          <w:rFonts w:ascii="Arial" w:cs="Arial" w:eastAsia="Arial" w:hAnsi="Arial"/>
          <w:sz w:val="17"/>
          <w:szCs w:val="17"/>
          <w:color w:val="auto"/>
        </w:rPr>
        <w:t>or similar governmental assessments of any nature, including value-added, use or withholding taxes (collectively, “</w:t>
      </w:r>
      <w:r>
        <w:rPr>
          <w:rFonts w:ascii="Arial" w:cs="Arial" w:eastAsia="Arial" w:hAnsi="Arial"/>
          <w:sz w:val="17"/>
          <w:szCs w:val="17"/>
          <w:b w:val="1"/>
          <w:bCs w:val="1"/>
          <w:color w:val="auto"/>
        </w:rPr>
        <w:t>Taxes</w:t>
      </w:r>
      <w:r>
        <w:rPr>
          <w:rFonts w:ascii="Arial" w:cs="Arial" w:eastAsia="Arial" w:hAnsi="Arial"/>
          <w:sz w:val="17"/>
          <w:szCs w:val="17"/>
          <w:color w:val="auto"/>
        </w:rPr>
        <w:t xml:space="preserve">”). Partner is responsible for paying all Taxes associated with its purchases of Distribution Services, excluding taxes based on SFDC’s net income or property. If SFDC has the legal obligation to pay or collect Taxes for which Partner is responsible under this section, the appropriate amount shall be invoiced to and paid by Partner, unless Partner provides SFDC with a valid tax exemption certificate authorized by the appropriate taxing authority.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79" w:lineRule="exact"/>
        <w:rPr>
          <w:sz w:val="20"/>
          <w:szCs w:val="20"/>
          <w:color w:val="auto"/>
        </w:rPr>
      </w:pPr>
    </w:p>
    <w:p>
      <w:pPr>
        <w:ind w:left="1424" w:right="120" w:hanging="431"/>
        <w:spacing w:after="0" w:line="273" w:lineRule="auto"/>
        <w:tabs>
          <w:tab w:leader="none" w:pos="1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Audits</w:t>
      </w:r>
      <w:r>
        <w:rPr>
          <w:rFonts w:ascii="Arial" w:cs="Arial" w:eastAsia="Arial" w:hAnsi="Arial"/>
          <w:sz w:val="17"/>
          <w:szCs w:val="17"/>
          <w:color w:val="auto"/>
        </w:rPr>
        <w:t>. SFDC will have the right to audit, no more than once per calendar year, Partner’s records relating to Partner’s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under this Agreement, including without limitation fee calculations, records relating to the provisioning of the Partner Applications and any fees required to be paid to Partner in order to install, access and/or use any version of such Partner Applications or its features and capabilities, and the documentation underlying any information provided to SFDC with respect to Service Orders, upon reasonable notice and under reasonable time, place and manner conditions. If such audit shows underpayment by Partner of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Irregularity</w:t>
      </w:r>
      <w:r>
        <w:rPr>
          <w:rFonts w:ascii="Arial" w:cs="Arial" w:eastAsia="Arial" w:hAnsi="Arial"/>
          <w:sz w:val="17"/>
          <w:szCs w:val="17"/>
          <w:color w:val="auto"/>
        </w:rPr>
        <w:t xml:space="preserve">”), Partner shall be responsible for the full cost of the audit and SFDC shall subsequently be entitled to perform quarterly audits, at its sole discretion, for the remainder of this Agreement.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77"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Overdue Payments</w:t>
      </w:r>
      <w:r>
        <w:rPr>
          <w:rFonts w:ascii="Arial" w:cs="Arial" w:eastAsia="Arial" w:hAnsi="Arial"/>
          <w:sz w:val="16"/>
          <w:szCs w:val="16"/>
          <w:color w:val="auto"/>
        </w:rPr>
        <w:t>.</w:t>
      </w:r>
    </w:p>
    <w:p>
      <w:pPr>
        <w:spacing w:after="0" w:line="131" w:lineRule="exact"/>
        <w:rPr>
          <w:sz w:val="20"/>
          <w:szCs w:val="20"/>
          <w:color w:val="auto"/>
        </w:rPr>
      </w:pPr>
    </w:p>
    <w:p>
      <w:pPr>
        <w:ind w:left="1744" w:right="60" w:hanging="539"/>
        <w:spacing w:after="0" w:line="303" w:lineRule="auto"/>
        <w:tabs>
          <w:tab w:leader="none" w:pos="1724" w:val="left"/>
        </w:tabs>
        <w:rPr>
          <w:sz w:val="20"/>
          <w:szCs w:val="20"/>
          <w:color w:val="auto"/>
        </w:rPr>
      </w:pPr>
      <w:r>
        <w:rPr>
          <w:rFonts w:ascii="Arial" w:cs="Arial" w:eastAsia="Arial" w:hAnsi="Arial"/>
          <w:sz w:val="18"/>
          <w:szCs w:val="18"/>
          <w:b w:val="1"/>
          <w:bCs w:val="1"/>
          <w:color w:val="auto"/>
        </w:rPr>
        <w:t>5.3.1.</w:t>
      </w:r>
      <w:r>
        <w:rPr>
          <w:sz w:val="20"/>
          <w:szCs w:val="20"/>
          <w:color w:val="auto"/>
        </w:rPr>
        <w:tab/>
      </w:r>
      <w:r>
        <w:rPr>
          <w:rFonts w:ascii="Arial" w:cs="Arial" w:eastAsia="Arial" w:hAnsi="Arial"/>
          <w:sz w:val="16"/>
          <w:szCs w:val="16"/>
          <w:b w:val="1"/>
          <w:bCs w:val="1"/>
          <w:color w:val="auto"/>
        </w:rPr>
        <w:t>Suspension of Service</w:t>
      </w:r>
      <w:r>
        <w:rPr>
          <w:rFonts w:ascii="Arial" w:cs="Arial" w:eastAsia="Arial" w:hAnsi="Arial"/>
          <w:sz w:val="16"/>
          <w:szCs w:val="16"/>
          <w:color w:val="auto"/>
        </w:rPr>
        <w:t>. If any charge owing by Partner is</w:t>
      </w:r>
      <w:r>
        <w:rPr>
          <w:rFonts w:ascii="Arial" w:cs="Arial" w:eastAsia="Arial" w:hAnsi="Arial"/>
          <w:sz w:val="16"/>
          <w:szCs w:val="16"/>
          <w:b w:val="1"/>
          <w:bCs w:val="1"/>
          <w:color w:val="auto"/>
        </w:rPr>
        <w:t xml:space="preserve"> [***] </w:t>
      </w:r>
      <w:r>
        <w:rPr>
          <w:rFonts w:ascii="Arial" w:cs="Arial" w:eastAsia="Arial" w:hAnsi="Arial"/>
          <w:sz w:val="16"/>
          <w:szCs w:val="16"/>
          <w:color w:val="auto"/>
        </w:rPr>
        <w:t>or more overdue, SFDC may, without limiting its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remedies, suspend all or some Distribution Services until such amounts are paid in full, provided that SFDC has given Partner at least </w:t>
      </w:r>
      <w:r>
        <w:rPr>
          <w:rFonts w:ascii="Arial" w:cs="Arial" w:eastAsia="Arial" w:hAnsi="Arial"/>
          <w:sz w:val="16"/>
          <w:szCs w:val="16"/>
          <w:b w:val="1"/>
          <w:bCs w:val="1"/>
          <w:color w:val="auto"/>
        </w:rPr>
        <w:t>[***]</w:t>
      </w:r>
      <w:r>
        <w:rPr>
          <w:rFonts w:ascii="Arial" w:cs="Arial" w:eastAsia="Arial" w:hAnsi="Arial"/>
          <w:sz w:val="16"/>
          <w:szCs w:val="16"/>
          <w:color w:val="auto"/>
        </w:rPr>
        <w:t xml:space="preserve"> that its account is overdue in accordance with the “Notices” section of this Agreement. In no case will any such suspension give rise to any liability of SFDC to Partner or to the Customer, including for a refund or damages.</w:t>
      </w:r>
    </w:p>
    <w:p>
      <w:pPr>
        <w:sectPr>
          <w:pgSz w:w="11900" w:h="16838" w:orient="portrait"/>
          <w:cols w:equalWidth="0" w:num="1">
            <w:col w:w="11004"/>
          </w:cols>
          <w:pgMar w:left="436" w:top="270" w:right="459" w:bottom="1440" w:gutter="0" w:footer="0" w:header="0"/>
        </w:sectPr>
      </w:pPr>
    </w:p>
    <w:bookmarkStart w:id="290" w:name="page291"/>
    <w:bookmarkEnd w:id="290"/>
    <w:p>
      <w:pPr>
        <w:ind w:left="1744" w:right="100" w:hanging="539"/>
        <w:spacing w:after="0" w:line="303" w:lineRule="auto"/>
        <w:tabs>
          <w:tab w:leader="none" w:pos="17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5.3.2.</w:t>
      </w:r>
      <w:r>
        <w:rPr>
          <w:sz w:val="20"/>
          <w:szCs w:val="20"/>
          <w:color w:val="auto"/>
        </w:rPr>
        <w:tab/>
      </w:r>
      <w:r>
        <w:rPr>
          <w:rFonts w:ascii="Arial" w:cs="Arial" w:eastAsia="Arial" w:hAnsi="Arial"/>
          <w:sz w:val="16"/>
          <w:szCs w:val="16"/>
          <w:b w:val="1"/>
          <w:bCs w:val="1"/>
          <w:color w:val="auto"/>
        </w:rPr>
        <w:t>AppExchange</w:t>
      </w:r>
      <w:r>
        <w:rPr>
          <w:rFonts w:ascii="Arial" w:cs="Arial" w:eastAsia="Arial" w:hAnsi="Arial"/>
          <w:sz w:val="16"/>
          <w:szCs w:val="16"/>
          <w:color w:val="auto"/>
        </w:rPr>
        <w:t>. Without limiting any other terms and conditions relating to Partner’s listing of a Partner Application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AppExchange, Partner acknowledges that SFDC may delist a Partner Application from the AppExchange if Salesforce has not received payments due to SFDC from Partner under this Agreement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following the payment due date provided that SFDC has given Partner at least </w:t>
      </w:r>
      <w:r>
        <w:rPr>
          <w:rFonts w:ascii="Arial" w:cs="Arial" w:eastAsia="Arial" w:hAnsi="Arial"/>
          <w:sz w:val="16"/>
          <w:szCs w:val="16"/>
          <w:b w:val="1"/>
          <w:bCs w:val="1"/>
          <w:color w:val="auto"/>
        </w:rPr>
        <w:t>[***]</w:t>
      </w:r>
      <w:r>
        <w:rPr>
          <w:rFonts w:ascii="Arial" w:cs="Arial" w:eastAsia="Arial" w:hAnsi="Arial"/>
          <w:sz w:val="16"/>
          <w:szCs w:val="16"/>
          <w:color w:val="auto"/>
        </w:rPr>
        <w:t xml:space="preserve"> that its account is overdue in accordance with the “Notices” section of this Agreement.</w:t>
      </w:r>
    </w:p>
    <w:p>
      <w:pPr>
        <w:spacing w:after="0" w:line="56" w:lineRule="exact"/>
        <w:rPr>
          <w:sz w:val="20"/>
          <w:szCs w:val="20"/>
          <w:color w:val="auto"/>
        </w:rPr>
      </w:pPr>
    </w:p>
    <w:p>
      <w:pPr>
        <w:ind w:left="1744" w:right="100" w:hanging="539"/>
        <w:spacing w:after="0" w:line="266" w:lineRule="auto"/>
        <w:tabs>
          <w:tab w:leader="none" w:pos="1724" w:val="left"/>
        </w:tabs>
        <w:rPr>
          <w:sz w:val="20"/>
          <w:szCs w:val="20"/>
          <w:color w:val="auto"/>
        </w:rPr>
      </w:pPr>
      <w:r>
        <w:rPr>
          <w:rFonts w:ascii="Arial" w:cs="Arial" w:eastAsia="Arial" w:hAnsi="Arial"/>
          <w:sz w:val="18"/>
          <w:szCs w:val="18"/>
          <w:b w:val="1"/>
          <w:bCs w:val="1"/>
          <w:color w:val="auto"/>
        </w:rPr>
        <w:t>5.3.3.</w:t>
        <w:tab/>
        <w:t>Overdue Charges</w:t>
      </w:r>
      <w:r>
        <w:rPr>
          <w:rFonts w:ascii="Arial" w:cs="Arial" w:eastAsia="Arial" w:hAnsi="Arial"/>
          <w:sz w:val="18"/>
          <w:szCs w:val="18"/>
          <w:color w:val="auto"/>
        </w:rPr>
        <w:t>. If any invoiced amount is not received by SFDC by the due date, then without limiting SFDC’s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remedies, those charges may accrue late interest at the rate of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outstanding balance per month, or the maximum rate permitted by law, whichever is lower.</w:t>
      </w:r>
    </w:p>
    <w:p>
      <w:pPr>
        <w:spacing w:after="0" w:line="81" w:lineRule="exact"/>
        <w:rPr>
          <w:sz w:val="20"/>
          <w:szCs w:val="20"/>
          <w:color w:val="auto"/>
        </w:rPr>
      </w:pPr>
    </w:p>
    <w:p>
      <w:pPr>
        <w:ind w:left="1744" w:right="20" w:hanging="539"/>
        <w:spacing w:after="0" w:line="261" w:lineRule="auto"/>
        <w:tabs>
          <w:tab w:leader="none" w:pos="1724" w:val="left"/>
        </w:tabs>
        <w:rPr>
          <w:sz w:val="20"/>
          <w:szCs w:val="20"/>
          <w:color w:val="auto"/>
        </w:rPr>
      </w:pPr>
      <w:r>
        <w:rPr>
          <w:rFonts w:ascii="Arial" w:cs="Arial" w:eastAsia="Arial" w:hAnsi="Arial"/>
          <w:sz w:val="18"/>
          <w:szCs w:val="18"/>
          <w:b w:val="1"/>
          <w:bCs w:val="1"/>
          <w:color w:val="auto"/>
        </w:rPr>
        <w:t>5.3.4.</w:t>
        <w:tab/>
        <w:t>Payment Disputes</w:t>
      </w:r>
      <w:r>
        <w:rPr>
          <w:rFonts w:ascii="Arial" w:cs="Arial" w:eastAsia="Arial" w:hAnsi="Arial"/>
          <w:sz w:val="18"/>
          <w:szCs w:val="18"/>
          <w:color w:val="auto"/>
        </w:rPr>
        <w:t>. SFDC will not exercise its rights under the “Overdue Charges,” “AppExchange,” or “Suspension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Service” sections above if Partner is disputing the applicable charges reasonably and in good faith and is cooperating diligently to resolve the dispute. Any such dispute must be initiated by Partner, in writing,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date on which the applicable payment was due.</w:t>
      </w:r>
    </w:p>
    <w:p>
      <w:pPr>
        <w:spacing w:after="0" w:line="207" w:lineRule="exact"/>
        <w:rPr>
          <w:sz w:val="20"/>
          <w:szCs w:val="20"/>
          <w:color w:val="auto"/>
        </w:rPr>
      </w:pPr>
    </w:p>
    <w:p>
      <w:pPr>
        <w:ind w:left="424" w:hanging="424"/>
        <w:spacing w:after="0"/>
        <w:tabs>
          <w:tab w:leader="none" w:pos="42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Marketing and Publicity</w:t>
      </w:r>
    </w:p>
    <w:p>
      <w:pPr>
        <w:spacing w:after="0" w:line="131" w:lineRule="exact"/>
        <w:rPr>
          <w:sz w:val="20"/>
          <w:szCs w:val="20"/>
          <w:color w:val="auto"/>
        </w:rPr>
      </w:pPr>
    </w:p>
    <w:p>
      <w:pPr>
        <w:ind w:left="1424" w:right="120" w:hanging="431"/>
        <w:spacing w:after="0" w:line="261" w:lineRule="auto"/>
        <w:tabs>
          <w:tab w:leader="none" w:pos="1404" w:val="left"/>
        </w:tabs>
        <w:rPr>
          <w:sz w:val="20"/>
          <w:szCs w:val="20"/>
          <w:color w:val="auto"/>
        </w:rPr>
      </w:pPr>
      <w:r>
        <w:rPr>
          <w:rFonts w:ascii="Arial" w:cs="Arial" w:eastAsia="Arial" w:hAnsi="Arial"/>
          <w:sz w:val="18"/>
          <w:szCs w:val="18"/>
          <w:b w:val="1"/>
          <w:bCs w:val="1"/>
          <w:color w:val="auto"/>
        </w:rPr>
        <w:t>6.1.</w:t>
        <w:tab/>
        <w:t>Press Release, etc</w:t>
      </w:r>
      <w:r>
        <w:rPr>
          <w:rFonts w:ascii="Arial" w:cs="Arial" w:eastAsia="Arial" w:hAnsi="Arial"/>
          <w:sz w:val="18"/>
          <w:szCs w:val="18"/>
          <w:color w:val="auto"/>
        </w:rPr>
        <w:t>. Neither Party will issue a press release announcing the Parties’ relationship under this Agreement unless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by both Parties in writing. Partner agrees to comply with SFDC’s Partner Press Release Guidelines on all press releases </w:t>
      </w:r>
      <w:r>
        <w:rPr>
          <w:rFonts w:ascii="Arial" w:cs="Arial" w:eastAsia="Arial" w:hAnsi="Arial"/>
          <w:sz w:val="18"/>
          <w:szCs w:val="18"/>
          <w:b w:val="1"/>
          <w:bCs w:val="1"/>
          <w:color w:val="auto"/>
        </w:rPr>
        <w:t>[***]</w:t>
      </w:r>
      <w:r>
        <w:rPr>
          <w:rFonts w:ascii="Arial" w:cs="Arial" w:eastAsia="Arial" w:hAnsi="Arial"/>
          <w:sz w:val="18"/>
          <w:szCs w:val="18"/>
          <w:color w:val="auto"/>
        </w:rPr>
        <w:t>, unless otherwise agreed to in writing. The Parties may collaborate on such items as marketing collateral, public relations, newsflashes, webinars, events, and other promotional activities.</w:t>
      </w:r>
    </w:p>
    <w:p>
      <w:pPr>
        <w:spacing w:after="0" w:line="85"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Marketing Statements. [***].</w:t>
      </w:r>
    </w:p>
    <w:p>
      <w:pPr>
        <w:spacing w:after="0" w:line="131" w:lineRule="exact"/>
        <w:rPr>
          <w:sz w:val="20"/>
          <w:szCs w:val="20"/>
          <w:color w:val="auto"/>
        </w:rPr>
      </w:pPr>
    </w:p>
    <w:p>
      <w:pPr>
        <w:ind w:left="1424" w:right="860" w:hanging="431"/>
        <w:spacing w:after="0" w:line="312" w:lineRule="auto"/>
        <w:tabs>
          <w:tab w:leader="none" w:pos="140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SFDC Marketing Collateral</w:t>
      </w:r>
      <w:r>
        <w:rPr>
          <w:rFonts w:ascii="Arial" w:cs="Arial" w:eastAsia="Arial" w:hAnsi="Arial"/>
          <w:sz w:val="17"/>
          <w:szCs w:val="17"/>
          <w:color w:val="auto"/>
        </w:rPr>
        <w:t>. Partner may, at its own expense, copy and distribute SFDC’s standard product literature to</w:t>
      </w:r>
      <w:r>
        <w:rPr>
          <w:rFonts w:ascii="Arial" w:cs="Arial" w:eastAsia="Arial" w:hAnsi="Arial"/>
          <w:sz w:val="17"/>
          <w:szCs w:val="17"/>
          <w:b w:val="1"/>
          <w:bCs w:val="1"/>
          <w:color w:val="auto"/>
        </w:rPr>
        <w:t xml:space="preserve"> </w:t>
      </w:r>
      <w:r>
        <w:rPr>
          <w:rFonts w:ascii="Arial" w:cs="Arial" w:eastAsia="Arial" w:hAnsi="Arial"/>
          <w:sz w:val="17"/>
          <w:szCs w:val="17"/>
          <w:color w:val="auto"/>
        </w:rPr>
        <w:t>prospective Customers. Partner may not alter any pre-existing SFDC branding or marketing collateral.</w:t>
      </w:r>
    </w:p>
    <w:p>
      <w:pPr>
        <w:spacing w:after="0" w:line="45"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Partner Marketing Collateral</w:t>
      </w:r>
      <w:r>
        <w:rPr>
          <w:rFonts w:ascii="Arial" w:cs="Arial" w:eastAsia="Arial" w:hAnsi="Arial"/>
          <w:sz w:val="17"/>
          <w:szCs w:val="17"/>
          <w:color w:val="auto"/>
        </w:rPr>
        <w:t>.</w:t>
      </w:r>
    </w:p>
    <w:p>
      <w:pPr>
        <w:spacing w:after="0" w:line="131" w:lineRule="exact"/>
        <w:rPr>
          <w:sz w:val="20"/>
          <w:szCs w:val="20"/>
          <w:color w:val="auto"/>
        </w:rPr>
      </w:pPr>
    </w:p>
    <w:p>
      <w:pPr>
        <w:ind w:left="1744" w:right="140" w:hanging="539"/>
        <w:spacing w:after="0" w:line="257" w:lineRule="auto"/>
        <w:tabs>
          <w:tab w:leader="none" w:pos="1724" w:val="left"/>
        </w:tabs>
        <w:rPr>
          <w:sz w:val="20"/>
          <w:szCs w:val="20"/>
          <w:color w:val="auto"/>
        </w:rPr>
      </w:pPr>
      <w:r>
        <w:rPr>
          <w:rFonts w:ascii="Arial" w:cs="Arial" w:eastAsia="Arial" w:hAnsi="Arial"/>
          <w:sz w:val="18"/>
          <w:szCs w:val="18"/>
          <w:b w:val="1"/>
          <w:bCs w:val="1"/>
          <w:color w:val="auto"/>
        </w:rPr>
        <w:t>6.4.1.</w:t>
      </w:r>
      <w:r>
        <w:rPr>
          <w:sz w:val="20"/>
          <w:szCs w:val="20"/>
          <w:color w:val="auto"/>
        </w:rPr>
        <w:tab/>
      </w:r>
      <w:r>
        <w:rPr>
          <w:rFonts w:ascii="Arial" w:cs="Arial" w:eastAsia="Arial" w:hAnsi="Arial"/>
          <w:sz w:val="18"/>
          <w:szCs w:val="18"/>
          <w:color w:val="auto"/>
        </w:rPr>
        <w:t>Partner shall comply with SFDC’s current branding guidelines, including the Trademark Usage Guidelines (currently available at https://www.salesforce.com/company/legal/) and Partner Branding Guidelines (currently available at https://partners.salesforce.com/s/education/general/Branding_Guidelines ) and Partner Public Relations Guidelines (available through https://partners.salesforce.com/s/education/general/PR_Guidelines ) (collectively, “</w:t>
      </w:r>
      <w:r>
        <w:rPr>
          <w:rFonts w:ascii="Arial" w:cs="Arial" w:eastAsia="Arial" w:hAnsi="Arial"/>
          <w:sz w:val="18"/>
          <w:szCs w:val="18"/>
          <w:b w:val="1"/>
          <w:bCs w:val="1"/>
          <w:color w:val="auto"/>
        </w:rPr>
        <w:t>SFDC Branding Guidelines</w:t>
      </w:r>
      <w:r>
        <w:rPr>
          <w:rFonts w:ascii="Arial" w:cs="Arial" w:eastAsia="Arial" w:hAnsi="Arial"/>
          <w:sz w:val="18"/>
          <w:szCs w:val="18"/>
          <w:color w:val="auto"/>
        </w:rPr>
        <w:t>”), when applicable.</w:t>
      </w:r>
    </w:p>
    <w:p>
      <w:pPr>
        <w:spacing w:after="0" w:line="93" w:lineRule="exact"/>
        <w:rPr>
          <w:sz w:val="20"/>
          <w:szCs w:val="20"/>
          <w:color w:val="auto"/>
        </w:rPr>
      </w:pPr>
    </w:p>
    <w:p>
      <w:pPr>
        <w:ind w:left="1744" w:right="480" w:hanging="539"/>
        <w:spacing w:after="0" w:line="263" w:lineRule="auto"/>
        <w:tabs>
          <w:tab w:leader="none" w:pos="1724" w:val="left"/>
        </w:tabs>
        <w:rPr>
          <w:sz w:val="20"/>
          <w:szCs w:val="20"/>
          <w:color w:val="auto"/>
        </w:rPr>
      </w:pPr>
      <w:r>
        <w:rPr>
          <w:rFonts w:ascii="Arial" w:cs="Arial" w:eastAsia="Arial" w:hAnsi="Arial"/>
          <w:sz w:val="18"/>
          <w:szCs w:val="18"/>
          <w:b w:val="1"/>
          <w:bCs w:val="1"/>
          <w:color w:val="auto"/>
        </w:rPr>
        <w:t>6.4.2.</w:t>
      </w:r>
      <w:r>
        <w:rPr>
          <w:sz w:val="20"/>
          <w:szCs w:val="20"/>
          <w:color w:val="auto"/>
        </w:rPr>
        <w:tab/>
      </w:r>
      <w:r>
        <w:rPr>
          <w:rFonts w:ascii="Arial" w:cs="Arial" w:eastAsia="Arial" w:hAnsi="Arial"/>
          <w:sz w:val="18"/>
          <w:szCs w:val="18"/>
          <w:color w:val="auto"/>
        </w:rPr>
        <w:t>During the Term, Partner Applications may only be described by Partner in a manner that (i) is consistent with the Partner Application Description and, when applicable, the SFDC Branding Guidelines or (ii) has been pre-approved by SFDC in writing.</w:t>
      </w:r>
    </w:p>
    <w:p>
      <w:pPr>
        <w:spacing w:after="0" w:line="89"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6.4.3.</w:t>
      </w:r>
      <w:r>
        <w:rPr>
          <w:sz w:val="20"/>
          <w:szCs w:val="20"/>
          <w:color w:val="auto"/>
        </w:rPr>
        <w:tab/>
      </w:r>
      <w:r>
        <w:rPr>
          <w:rFonts w:ascii="Arial" w:cs="Arial" w:eastAsia="Arial" w:hAnsi="Arial"/>
          <w:sz w:val="16"/>
          <w:szCs w:val="16"/>
          <w:color w:val="auto"/>
        </w:rPr>
        <w:t>SFDC may not alter any pre-existing Partner branding or marketing collateral within the Partner Applications.</w:t>
      </w:r>
    </w:p>
    <w:p>
      <w:pPr>
        <w:spacing w:after="0" w:line="252" w:lineRule="exact"/>
        <w:rPr>
          <w:sz w:val="20"/>
          <w:szCs w:val="20"/>
          <w:color w:val="auto"/>
        </w:rPr>
      </w:pPr>
    </w:p>
    <w:p>
      <w:pPr>
        <w:ind w:left="424" w:hanging="424"/>
        <w:spacing w:after="0"/>
        <w:tabs>
          <w:tab w:leader="none" w:pos="424"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31" w:lineRule="exact"/>
        <w:rPr>
          <w:sz w:val="20"/>
          <w:szCs w:val="20"/>
          <w:color w:val="auto"/>
        </w:rPr>
      </w:pPr>
    </w:p>
    <w:p>
      <w:pPr>
        <w:ind w:left="424" w:right="140" w:hanging="431"/>
        <w:spacing w:after="0" w:line="282" w:lineRule="auto"/>
        <w:tabs>
          <w:tab w:leader="none" w:pos="404" w:val="left"/>
        </w:tabs>
        <w:rPr>
          <w:sz w:val="20"/>
          <w:szCs w:val="20"/>
          <w:color w:val="auto"/>
        </w:rPr>
      </w:pPr>
      <w:r>
        <w:rPr>
          <w:rFonts w:ascii="Arial" w:cs="Arial" w:eastAsia="Arial" w:hAnsi="Arial"/>
          <w:sz w:val="18"/>
          <w:szCs w:val="18"/>
          <w:b w:val="1"/>
          <w:bCs w:val="1"/>
          <w:color w:val="auto"/>
        </w:rPr>
        <w:t>7.1.</w:t>
        <w:tab/>
        <w:t>Term</w:t>
      </w:r>
      <w:r>
        <w:rPr>
          <w:rFonts w:ascii="Arial" w:cs="Arial" w:eastAsia="Arial" w:hAnsi="Arial"/>
          <w:sz w:val="18"/>
          <w:szCs w:val="18"/>
          <w:color w:val="auto"/>
        </w:rPr>
        <w:t>. This Agreement is effective as of the Effective Date and will remain in effect for so long as a Partner Category Addendum is in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67" w:lineRule="exact"/>
        <w:rPr>
          <w:sz w:val="20"/>
          <w:szCs w:val="20"/>
          <w:color w:val="auto"/>
        </w:rPr>
      </w:pPr>
    </w:p>
    <w:p>
      <w:pPr>
        <w:ind w:left="424" w:hanging="431"/>
        <w:spacing w:after="0" w:line="298" w:lineRule="auto"/>
        <w:tabs>
          <w:tab w:leader="none" w:pos="40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A Party may terminate this Agreement or any Partner Category Addendum for cause (i) upon</w:t>
      </w:r>
      <w:r>
        <w:rPr>
          <w:rFonts w:ascii="Arial" w:cs="Arial" w:eastAsia="Arial" w:hAnsi="Arial"/>
          <w:sz w:val="16"/>
          <w:szCs w:val="16"/>
          <w:b w:val="1"/>
          <w:bCs w:val="1"/>
          <w:color w:val="auto"/>
        </w:rPr>
        <w:t xml:space="preserve"> [***] </w:t>
      </w:r>
      <w:r>
        <w:rPr>
          <w:rFonts w:ascii="Arial" w:cs="Arial" w:eastAsia="Arial" w:hAnsi="Arial"/>
          <w:sz w:val="16"/>
          <w:szCs w:val="16"/>
          <w:color w:val="auto"/>
        </w:rPr>
        <w:t>to the other Party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material breach if such breach remains uncured at the expiration of such period, (ii) if the other Party becomes the subject of a petition in bankruptcy or any other proceeding relating to insolvency, receivership, liquidation or assignment for the benefit of creditors, (iii) if the other Party is subject to a Change in Control in favor of a direct competitor of the terminating Party, [***], or (iv) if an allegation is brought against it by a third-party alleging </w:t>
      </w:r>
      <w:r>
        <w:rPr>
          <w:rFonts w:ascii="Arial" w:cs="Arial" w:eastAsia="Arial" w:hAnsi="Arial"/>
          <w:sz w:val="16"/>
          <w:szCs w:val="16"/>
          <w:b w:val="1"/>
          <w:bCs w:val="1"/>
          <w:color w:val="auto"/>
        </w:rPr>
        <w:t>[***]</w:t>
      </w:r>
      <w:r>
        <w:rPr>
          <w:rFonts w:ascii="Arial" w:cs="Arial" w:eastAsia="Arial" w:hAnsi="Arial"/>
          <w:sz w:val="16"/>
          <w:szCs w:val="16"/>
          <w:color w:val="auto"/>
        </w:rPr>
        <w:t xml:space="preserve"> intellectual property infringement by the other Party as the basis for such claim (an “I</w:t>
      </w:r>
      <w:r>
        <w:rPr>
          <w:rFonts w:ascii="Arial" w:cs="Arial" w:eastAsia="Arial" w:hAnsi="Arial"/>
          <w:sz w:val="16"/>
          <w:szCs w:val="16"/>
          <w:b w:val="1"/>
          <w:bCs w:val="1"/>
          <w:color w:val="auto"/>
        </w:rPr>
        <w:t>nfringement Claim</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59" w:lineRule="exact"/>
        <w:rPr>
          <w:sz w:val="20"/>
          <w:szCs w:val="20"/>
          <w:color w:val="auto"/>
        </w:rPr>
      </w:pPr>
    </w:p>
    <w:p>
      <w:pPr>
        <w:ind w:left="1424" w:right="100" w:hanging="431"/>
        <w:spacing w:after="0" w:line="261" w:lineRule="auto"/>
        <w:tabs>
          <w:tab w:leader="none" w:pos="1404" w:val="left"/>
        </w:tabs>
        <w:rPr>
          <w:sz w:val="20"/>
          <w:szCs w:val="20"/>
          <w:color w:val="auto"/>
        </w:rPr>
      </w:pPr>
      <w:r>
        <w:rPr>
          <w:rFonts w:ascii="Arial" w:cs="Arial" w:eastAsia="Arial" w:hAnsi="Arial"/>
          <w:sz w:val="18"/>
          <w:szCs w:val="18"/>
          <w:b w:val="1"/>
          <w:bCs w:val="1"/>
          <w:color w:val="auto"/>
        </w:rPr>
        <w:t>7.3.</w:t>
        <w:tab/>
        <w:t>Effect of Termination Notice/Non-Renewal</w:t>
      </w:r>
      <w:r>
        <w:rPr>
          <w:rFonts w:ascii="Arial" w:cs="Arial" w:eastAsia="Arial" w:hAnsi="Arial"/>
          <w:sz w:val="18"/>
          <w:szCs w:val="18"/>
          <w:color w:val="auto"/>
        </w:rPr>
        <w:t>. If a Party delivers a written termination notice pursuant to Section 7.2, or if a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Category Addendum is not renewed after the expiration of the Initial Term or a Renewal Term, the following shall apply (in the event a Partner Category Addendum is not renewed and other Partner Category Addendums remain in effect, then just with respect to such non-renewed Partner Category Addendum):</w:t>
      </w:r>
    </w:p>
    <w:p>
      <w:pPr>
        <w:spacing w:after="0" w:line="85" w:lineRule="exact"/>
        <w:rPr>
          <w:sz w:val="20"/>
          <w:szCs w:val="20"/>
          <w:color w:val="auto"/>
        </w:rPr>
      </w:pPr>
    </w:p>
    <w:p>
      <w:pPr>
        <w:ind w:left="1744" w:right="60" w:hanging="539"/>
        <w:spacing w:after="0" w:line="293" w:lineRule="auto"/>
        <w:tabs>
          <w:tab w:leader="none" w:pos="1724" w:val="left"/>
        </w:tabs>
        <w:rPr>
          <w:sz w:val="20"/>
          <w:szCs w:val="20"/>
          <w:color w:val="auto"/>
        </w:rPr>
      </w:pPr>
      <w:r>
        <w:rPr>
          <w:rFonts w:ascii="Arial" w:cs="Arial" w:eastAsia="Arial" w:hAnsi="Arial"/>
          <w:sz w:val="18"/>
          <w:szCs w:val="18"/>
          <w:b w:val="1"/>
          <w:bCs w:val="1"/>
          <w:color w:val="auto"/>
        </w:rPr>
        <w:t>7.3.1.</w:t>
      </w:r>
      <w:r>
        <w:rPr>
          <w:sz w:val="20"/>
          <w:szCs w:val="20"/>
          <w:color w:val="auto"/>
        </w:rPr>
        <w:tab/>
      </w:r>
      <w:r>
        <w:rPr>
          <w:rFonts w:ascii="Arial" w:cs="Arial" w:eastAsia="Arial" w:hAnsi="Arial"/>
          <w:sz w:val="16"/>
          <w:szCs w:val="16"/>
          <w:b w:val="1"/>
          <w:bCs w:val="1"/>
          <w:color w:val="auto"/>
        </w:rPr>
        <w:t>No New Distribution</w:t>
      </w:r>
      <w:r>
        <w:rPr>
          <w:rFonts w:ascii="Arial" w:cs="Arial" w:eastAsia="Arial" w:hAnsi="Arial"/>
          <w:sz w:val="16"/>
          <w:szCs w:val="16"/>
          <w:color w:val="auto"/>
        </w:rPr>
        <w:t>. Except as set forth in Section 7.3.2, SFDC will have no obligation to continue providing the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Partner and Partner will (i) immediately cease distribution of each Partner Application for use with any Services,</w:t>
      </w:r>
    </w:p>
    <w:p>
      <w:pPr>
        <w:spacing w:after="0" w:line="1" w:lineRule="exact"/>
        <w:rPr>
          <w:sz w:val="20"/>
          <w:szCs w:val="20"/>
          <w:color w:val="auto"/>
        </w:rPr>
      </w:pPr>
    </w:p>
    <w:p>
      <w:pPr>
        <w:ind w:left="1744" w:hanging="3"/>
        <w:spacing w:after="0" w:line="255" w:lineRule="auto"/>
        <w:tabs>
          <w:tab w:leader="none" w:pos="200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 enter into any new or renewal orders with Customers for any Combined Solution and (iii) not enter into any new or renewal Service Orders with SFDC for the Distribution Services. The Parties will meet to discuss in good faith whether and how to transition and/or accommodate existing Customers.</w:t>
      </w:r>
    </w:p>
    <w:p>
      <w:pPr>
        <w:spacing w:after="0" w:line="91" w:lineRule="exact"/>
        <w:rPr>
          <w:sz w:val="20"/>
          <w:szCs w:val="20"/>
          <w:color w:val="auto"/>
        </w:rPr>
      </w:pPr>
    </w:p>
    <w:p>
      <w:pPr>
        <w:ind w:left="1744" w:right="160" w:hanging="539"/>
        <w:spacing w:after="0" w:line="266" w:lineRule="auto"/>
        <w:tabs>
          <w:tab w:leader="none" w:pos="1724" w:val="left"/>
        </w:tabs>
        <w:rPr>
          <w:sz w:val="20"/>
          <w:szCs w:val="20"/>
          <w:color w:val="auto"/>
        </w:rPr>
      </w:pPr>
      <w:r>
        <w:rPr>
          <w:rFonts w:ascii="Arial" w:cs="Arial" w:eastAsia="Arial" w:hAnsi="Arial"/>
          <w:sz w:val="18"/>
          <w:szCs w:val="18"/>
          <w:b w:val="1"/>
          <w:bCs w:val="1"/>
          <w:color w:val="auto"/>
        </w:rPr>
        <w:t>7.3.2.</w:t>
        <w:tab/>
        <w:t>Transition Periods</w:t>
      </w:r>
      <w:r>
        <w:rPr>
          <w:rFonts w:ascii="Arial" w:cs="Arial" w:eastAsia="Arial" w:hAnsi="Arial"/>
          <w:sz w:val="18"/>
          <w:szCs w:val="18"/>
          <w:color w:val="auto"/>
        </w:rPr>
        <w:t>. If either Party elects not to renew a Partner Category Addendum, unless otherwise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Partner Category Addendum, the Parties will continue to perform their respective obligations under this Agreement with respect to any Service Orders in effect as of such termination or expiration for the</w:t>
      </w:r>
    </w:p>
    <w:p>
      <w:pPr>
        <w:sectPr>
          <w:pgSz w:w="11900" w:h="16838" w:orient="portrait"/>
          <w:cols w:equalWidth="0" w:num="1">
            <w:col w:w="11004"/>
          </w:cols>
          <w:pgMar w:left="436" w:top="270" w:right="459" w:bottom="1440" w:gutter="0" w:footer="0" w:header="0"/>
        </w:sectPr>
      </w:pPr>
    </w:p>
    <w:bookmarkStart w:id="291" w:name="page292"/>
    <w:bookmarkEnd w:id="291"/>
    <w:p>
      <w:pPr>
        <w:ind w:left="1764" w:right="12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remainder of the then-current term of each such Service Order (the “</w:t>
      </w:r>
      <w:r>
        <w:rPr>
          <w:rFonts w:ascii="Arial" w:cs="Arial" w:eastAsia="Arial" w:hAnsi="Arial"/>
          <w:sz w:val="16"/>
          <w:szCs w:val="16"/>
          <w:b w:val="1"/>
          <w:bCs w:val="1"/>
          <w:color w:val="auto"/>
        </w:rPr>
        <w:t>Transition Period</w:t>
      </w:r>
      <w:r>
        <w:rPr>
          <w:rFonts w:ascii="Arial" w:cs="Arial" w:eastAsia="Arial" w:hAnsi="Arial"/>
          <w:sz w:val="16"/>
          <w:szCs w:val="16"/>
          <w:color w:val="auto"/>
        </w:rPr>
        <w:t>”). SFDC reserves the right to terminate the Customer relationship with any Customer that is in breach of its SFDC MSA during the Transition Period. In no case will any such termination give rise to any liability of Salesforce to Partner or to the Customer for a refund or damages.</w:t>
      </w:r>
    </w:p>
    <w:p>
      <w:pPr>
        <w:spacing w:after="0" w:line="47" w:lineRule="exact"/>
        <w:rPr>
          <w:sz w:val="20"/>
          <w:szCs w:val="20"/>
          <w:color w:val="auto"/>
        </w:rPr>
      </w:pPr>
    </w:p>
    <w:p>
      <w:pPr>
        <w:ind w:left="424" w:hanging="431"/>
        <w:spacing w:after="0" w:line="253" w:lineRule="auto"/>
        <w:tabs>
          <w:tab w:leader="none" w:pos="404" w:val="left"/>
        </w:tabs>
        <w:rPr>
          <w:sz w:val="20"/>
          <w:szCs w:val="20"/>
          <w:color w:val="auto"/>
        </w:rPr>
      </w:pPr>
      <w:r>
        <w:rPr>
          <w:rFonts w:ascii="Arial" w:cs="Arial" w:eastAsia="Arial" w:hAnsi="Arial"/>
          <w:sz w:val="18"/>
          <w:szCs w:val="18"/>
          <w:b w:val="1"/>
          <w:bCs w:val="1"/>
          <w:color w:val="auto"/>
        </w:rPr>
        <w:t>7.4.</w:t>
        <w:tab/>
        <w:t>Survival</w:t>
      </w:r>
      <w:r>
        <w:rPr>
          <w:rFonts w:ascii="Arial" w:cs="Arial" w:eastAsia="Arial" w:hAnsi="Arial"/>
          <w:sz w:val="18"/>
          <w:szCs w:val="18"/>
          <w:color w:val="auto"/>
        </w:rPr>
        <w:t>. Notwithstanding any other provision of this Agreement: (a) the termination or expiration of this Agreement will not relieve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of its outstanding payment obligations at the time of such termination or expiration; and (b) those provisions that by their nature are intended to survive termination of this Agreement, including the following provisions of this Agreement and those specified as surviving provisions in this Agreement, and all other provisions necessary to their interpretation or enforcement (including those set forth in any applicable Partner Category Addendum), will survive indefinitely after the expiration or termination of this Agreement and will remain in full force and effect and be binding upon the Parties as applicable: Sections 5 (Fees), 7.4 (Survival), 8 (Confidentiality), 9.2 (Ownership of Intellectual Property), 9.4 (Ownership/Good Faith Covenants), 10.3 (Warranty Disclaimer), 11 (Mutual Indemnification), 12 (Exclusions and Limitations of Liability) and 14 (General). For the avoidance of doubt, termination under Section 7.2 (Termination for Cause) shall not relieve the indemnifying party of its indemnification obligations hereunder. In addition, this Agreement will continue to apply in full force and effect with respect to Service Orders in effect during the Transition Period.</w:t>
      </w:r>
    </w:p>
    <w:p>
      <w:pPr>
        <w:spacing w:after="0" w:line="221" w:lineRule="exact"/>
        <w:rPr>
          <w:sz w:val="20"/>
          <w:szCs w:val="20"/>
          <w:color w:val="auto"/>
        </w:rPr>
      </w:pPr>
    </w:p>
    <w:p>
      <w:pPr>
        <w:ind w:left="424" w:hanging="424"/>
        <w:spacing w:after="0"/>
        <w:tabs>
          <w:tab w:leader="none" w:pos="424"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1" w:lineRule="exact"/>
        <w:rPr>
          <w:sz w:val="20"/>
          <w:szCs w:val="20"/>
          <w:color w:val="auto"/>
        </w:rPr>
      </w:pPr>
    </w:p>
    <w:p>
      <w:pPr>
        <w:ind w:left="1424" w:right="40" w:hanging="431"/>
        <w:spacing w:after="0" w:line="287" w:lineRule="auto"/>
        <w:tabs>
          <w:tab w:leader="none" w:pos="140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Definition of Confidential Information</w:t>
      </w:r>
      <w:r>
        <w:rPr>
          <w:rFonts w:ascii="Arial" w:cs="Arial" w:eastAsia="Arial" w:hAnsi="Arial"/>
          <w:sz w:val="16"/>
          <w:szCs w:val="16"/>
          <w:color w:val="auto"/>
        </w:rPr>
        <w:t>. In this Agreement,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information disclosed by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to the 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orally or in writing, that is designated as confidential or that reasonably should be understood to be confidential given the nature of the information and the circumstances of disclosure, including without limitation and without the need to designate as confidential: (a) the terms and conditions of this Agreement (which are both SFDC’s and Partner’s Confidential Information); (b) the Distribution Services and the Services, including their underlying technology and architecture (which are SFDC’s Confidential Information); (c) the Disclosing Party’s business and marketing plans, technologies and technical information, product designs, financial information, and business processes; and (d) the Partner Applications (which are Partner’s Confidential Information). For avoidance of doubt, Customer Data is the confidential information of the applicable Customer. However, Confidential Information does not include any information that (i) is or becomes generally known to the public without breach of any obligation owed to the Disclosing Party, (ii) was known to the Receiving Party prior to its disclosure by the Disclosing Party without breach of any obligation owed to the Disclosing Party, (iii) is received from a third party without breach of any obligation owed to the Disclosing Party, or (iv) was independently developed by the Receiving Party.</w:t>
      </w:r>
    </w:p>
    <w:p>
      <w:pPr>
        <w:spacing w:after="0" w:line="73" w:lineRule="exact"/>
        <w:rPr>
          <w:sz w:val="20"/>
          <w:szCs w:val="20"/>
          <w:color w:val="auto"/>
        </w:rPr>
      </w:pPr>
    </w:p>
    <w:p>
      <w:pPr>
        <w:ind w:left="1424" w:right="220" w:hanging="431"/>
        <w:spacing w:after="0" w:line="255" w:lineRule="auto"/>
        <w:tabs>
          <w:tab w:leader="none" w:pos="1404" w:val="left"/>
        </w:tabs>
        <w:rPr>
          <w:sz w:val="20"/>
          <w:szCs w:val="20"/>
          <w:color w:val="auto"/>
        </w:rPr>
      </w:pPr>
      <w:r>
        <w:rPr>
          <w:rFonts w:ascii="Arial" w:cs="Arial" w:eastAsia="Arial" w:hAnsi="Arial"/>
          <w:sz w:val="18"/>
          <w:szCs w:val="18"/>
          <w:b w:val="1"/>
          <w:bCs w:val="1"/>
          <w:color w:val="auto"/>
        </w:rPr>
        <w:t>8.2.</w:t>
        <w:tab/>
        <w:t>Protection of Confidential Information</w:t>
      </w:r>
      <w:r>
        <w:rPr>
          <w:rFonts w:ascii="Arial" w:cs="Arial" w:eastAsia="Arial" w:hAnsi="Arial"/>
          <w:sz w:val="18"/>
          <w:szCs w:val="18"/>
          <w:color w:val="auto"/>
        </w:rPr>
        <w:t>. The Receiving Party will use the same degree of care that it uses to protect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confidentiality of its own confidential information of like kind (but not less than reasonable care) to (i) not use any Confidential Information of the Disclosing Party for any purpose outside the scope of this Agreement and (ii) </w:t>
      </w:r>
      <w:r>
        <w:rPr>
          <w:rFonts w:ascii="Arial" w:cs="Arial" w:eastAsia="Arial" w:hAnsi="Arial"/>
          <w:sz w:val="18"/>
          <w:szCs w:val="18"/>
          <w:b w:val="1"/>
          <w:bCs w:val="1"/>
          <w:color w:val="auto"/>
        </w:rPr>
        <w:t>[***]</w:t>
      </w:r>
      <w:r>
        <w:rPr>
          <w:rFonts w:ascii="Arial" w:cs="Arial" w:eastAsia="Arial" w:hAnsi="Arial"/>
          <w:sz w:val="18"/>
          <w:szCs w:val="18"/>
          <w:color w:val="auto"/>
        </w:rPr>
        <w:t>. Neither Party will disclose the terms of this Agreement or any Service Order to any third party other than its Affiliates, legal counsel and accountants without the other Party’s prior written consent, provided that a Party that makes any such disclosure to its Affiliate, legal counsel or accountants will remain responsible for such Affiliate’s, legal counsel’s or accountant’s compliance with this “Confidentiality” section.</w:t>
      </w:r>
    </w:p>
    <w:p>
      <w:pPr>
        <w:spacing w:after="0" w:line="94" w:lineRule="exact"/>
        <w:rPr>
          <w:sz w:val="20"/>
          <w:szCs w:val="20"/>
          <w:color w:val="auto"/>
        </w:rPr>
      </w:pPr>
    </w:p>
    <w:p>
      <w:pPr>
        <w:ind w:left="1424" w:right="40" w:hanging="431"/>
        <w:spacing w:after="0" w:line="261" w:lineRule="auto"/>
        <w:tabs>
          <w:tab w:leader="none" w:pos="1404" w:val="left"/>
        </w:tabs>
        <w:rPr>
          <w:sz w:val="20"/>
          <w:szCs w:val="20"/>
          <w:color w:val="auto"/>
        </w:rPr>
      </w:pPr>
      <w:r>
        <w:rPr>
          <w:rFonts w:ascii="Arial" w:cs="Arial" w:eastAsia="Arial" w:hAnsi="Arial"/>
          <w:sz w:val="18"/>
          <w:szCs w:val="18"/>
          <w:b w:val="1"/>
          <w:bCs w:val="1"/>
          <w:color w:val="auto"/>
        </w:rPr>
        <w:t>8.3.</w:t>
        <w:tab/>
        <w:t>Compelled Disclosure</w:t>
      </w:r>
      <w:r>
        <w:rPr>
          <w:rFonts w:ascii="Arial" w:cs="Arial" w:eastAsia="Arial" w:hAnsi="Arial"/>
          <w:sz w:val="18"/>
          <w:szCs w:val="18"/>
          <w:color w:val="auto"/>
        </w:rPr>
        <w:t>. Notwithstanding the foregoing provisions of Section 8, the Receiving Party may disclose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of the Disclosing Party </w:t>
      </w:r>
      <w:r>
        <w:rPr>
          <w:rFonts w:ascii="Arial" w:cs="Arial" w:eastAsia="Arial" w:hAnsi="Arial"/>
          <w:sz w:val="18"/>
          <w:szCs w:val="18"/>
          <w:b w:val="1"/>
          <w:bCs w:val="1"/>
          <w:color w:val="auto"/>
        </w:rPr>
        <w:t>[***]</w:t>
      </w:r>
      <w:r>
        <w:rPr>
          <w:rFonts w:ascii="Arial" w:cs="Arial" w:eastAsia="Arial" w:hAnsi="Arial"/>
          <w:sz w:val="18"/>
          <w:szCs w:val="18"/>
          <w:color w:val="auto"/>
        </w:rPr>
        <w:t xml:space="preserve"> to the extent compelled by law to do so, provided the Receiving Party gives the Disclosing Party prior notice of the compelled disclosure (to the extent legally permitted) and reasonable assistance, at the Disclosing Party’s cost, if the Disclosing Party wishes to contest the disclosure [***].</w:t>
      </w:r>
    </w:p>
    <w:p>
      <w:pPr>
        <w:spacing w:after="0" w:line="85" w:lineRule="exact"/>
        <w:rPr>
          <w:sz w:val="20"/>
          <w:szCs w:val="20"/>
          <w:color w:val="auto"/>
        </w:rPr>
      </w:pPr>
    </w:p>
    <w:p>
      <w:pPr>
        <w:ind w:left="1424" w:right="60" w:hanging="431"/>
        <w:spacing w:after="0" w:line="285" w:lineRule="auto"/>
        <w:tabs>
          <w:tab w:leader="none" w:pos="1404"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Return of Confidential Information</w:t>
      </w:r>
      <w:r>
        <w:rPr>
          <w:rFonts w:ascii="Arial" w:cs="Arial" w:eastAsia="Arial" w:hAnsi="Arial"/>
          <w:sz w:val="16"/>
          <w:szCs w:val="16"/>
          <w:color w:val="auto"/>
        </w:rPr>
        <w:t>. Upon Disclosing Party’s written request upon expiration or termination of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at any earlier time upon written request by the Disclosing Party), the Receiving Party will: (a) promptly deliver to the Disclosing Party all originals and copies of all the Disclosing Party’s Confidential Information and all documents, records, data and materials containing such Confidential Information in the Receiving Party’s possession, power or control and the Receiving Party will delete all of the Disclosing Party’s Confidential Information from any and all of the Receiving Party’s computer systems, retrieval systems and databases except to the extent such systems retain such information in the ordinary course of business for back-up purposes; and</w:t>
      </w:r>
    </w:p>
    <w:p>
      <w:pPr>
        <w:spacing w:after="0" w:line="3" w:lineRule="exact"/>
        <w:rPr>
          <w:sz w:val="20"/>
          <w:szCs w:val="20"/>
          <w:color w:val="auto"/>
        </w:rPr>
      </w:pPr>
    </w:p>
    <w:p>
      <w:pPr>
        <w:ind w:left="1424" w:right="680" w:hanging="7"/>
        <w:spacing w:after="0" w:line="290" w:lineRule="auto"/>
        <w:tabs>
          <w:tab w:leader="none" w:pos="1679" w:val="left"/>
        </w:tabs>
        <w:numPr>
          <w:ilvl w:val="1"/>
          <w:numId w:val="198"/>
        </w:numPr>
        <w:rPr>
          <w:rFonts w:ascii="Arial" w:cs="Arial" w:eastAsia="Arial" w:hAnsi="Arial"/>
          <w:sz w:val="17"/>
          <w:szCs w:val="17"/>
          <w:color w:val="auto"/>
        </w:rPr>
      </w:pPr>
      <w:r>
        <w:rPr>
          <w:rFonts w:ascii="Arial" w:cs="Arial" w:eastAsia="Arial" w:hAnsi="Arial"/>
          <w:sz w:val="17"/>
          <w:szCs w:val="17"/>
          <w:color w:val="auto"/>
        </w:rPr>
        <w:t>request that all persons to whom it has provided any of the Disclosing Party’s Confidential Information comply with this Section 8.4. For the avoidance of doubt, Customer Data will be deleted in accordance with the Documentation.</w:t>
      </w:r>
    </w:p>
    <w:p>
      <w:pPr>
        <w:spacing w:after="0" w:line="184" w:lineRule="exact"/>
        <w:rPr>
          <w:rFonts w:ascii="Arial" w:cs="Arial" w:eastAsia="Arial" w:hAnsi="Arial"/>
          <w:sz w:val="17"/>
          <w:szCs w:val="17"/>
          <w:color w:val="auto"/>
        </w:rPr>
      </w:pPr>
    </w:p>
    <w:p>
      <w:pPr>
        <w:ind w:left="424" w:hanging="424"/>
        <w:spacing w:after="0"/>
        <w:tabs>
          <w:tab w:leader="none" w:pos="424"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31" w:lineRule="exact"/>
        <w:rPr>
          <w:sz w:val="20"/>
          <w:szCs w:val="20"/>
          <w:color w:val="auto"/>
        </w:rPr>
      </w:pPr>
    </w:p>
    <w:p>
      <w:pPr>
        <w:ind w:left="1424" w:right="20" w:hanging="431"/>
        <w:spacing w:after="0" w:line="277" w:lineRule="auto"/>
        <w:tabs>
          <w:tab w:leader="none" w:pos="140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License to Partner Applications</w:t>
      </w:r>
      <w:r>
        <w:rPr>
          <w:rFonts w:ascii="Arial" w:cs="Arial" w:eastAsia="Arial" w:hAnsi="Arial"/>
          <w:sz w:val="17"/>
          <w:szCs w:val="17"/>
          <w:color w:val="auto"/>
        </w:rPr>
        <w:t>. Subject to the terms and conditions of this Agreement, Partner hereby grants to SFDC a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nonexclusive, nontransferable (except as set forth in the Assignment Section), non-sublicensable (except to SFDC’s Affiliates and third party service providers and/or contractors) license during the Term to host, copy, transmit and display the Partner Applications as necessary for SFDC to fulfill its obligations under this Agreement, including as reasonably necessary to facilitate proper operation with the Services to fulfill its obligations under this Agreement. </w:t>
      </w:r>
      <w:r>
        <w:rPr>
          <w:rFonts w:ascii="Arial" w:cs="Arial" w:eastAsia="Arial" w:hAnsi="Arial"/>
          <w:sz w:val="17"/>
          <w:szCs w:val="17"/>
          <w:b w:val="1"/>
          <w:bCs w:val="1"/>
          <w:color w:val="auto"/>
        </w:rPr>
        <w:t>[***]</w:t>
      </w:r>
      <w:r>
        <w:rPr>
          <w:rFonts w:ascii="Arial" w:cs="Arial" w:eastAsia="Arial" w:hAnsi="Arial"/>
          <w:sz w:val="17"/>
          <w:szCs w:val="17"/>
          <w:color w:val="auto"/>
        </w:rPr>
        <w:t>.</w:t>
      </w:r>
    </w:p>
    <w:p>
      <w:pPr>
        <w:sectPr>
          <w:pgSz w:w="11900" w:h="16838" w:orient="portrait"/>
          <w:cols w:equalWidth="0" w:num="1">
            <w:col w:w="11024"/>
          </w:cols>
          <w:pgMar w:left="436" w:top="270" w:right="439" w:bottom="1440" w:gutter="0" w:footer="0" w:header="0"/>
        </w:sectPr>
      </w:pPr>
    </w:p>
    <w:bookmarkStart w:id="292" w:name="page293"/>
    <w:bookmarkEnd w:id="292"/>
    <w:p>
      <w:pPr>
        <w:ind w:left="984"/>
        <w:spacing w:after="0"/>
        <w:tabs>
          <w:tab w:leader="none" w:pos="1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w:t>
      </w:r>
      <w:r>
        <w:rPr>
          <w:sz w:val="20"/>
          <w:szCs w:val="20"/>
          <w:color w:val="auto"/>
        </w:rPr>
        <w:tab/>
      </w:r>
      <w:r>
        <w:rPr>
          <w:rFonts w:ascii="Arial" w:cs="Arial" w:eastAsia="Arial" w:hAnsi="Arial"/>
          <w:sz w:val="16"/>
          <w:szCs w:val="16"/>
          <w:b w:val="1"/>
          <w:bCs w:val="1"/>
          <w:color w:val="auto"/>
        </w:rPr>
        <w:t>Ownership of Intellectual Property</w:t>
      </w:r>
      <w:r>
        <w:rPr>
          <w:rFonts w:ascii="Arial" w:cs="Arial" w:eastAsia="Arial" w:hAnsi="Arial"/>
          <w:sz w:val="16"/>
          <w:szCs w:val="16"/>
          <w:color w:val="auto"/>
        </w:rPr>
        <w:t>.</w:t>
      </w:r>
    </w:p>
    <w:p>
      <w:pPr>
        <w:spacing w:after="0" w:line="131" w:lineRule="exact"/>
        <w:rPr>
          <w:sz w:val="20"/>
          <w:szCs w:val="20"/>
          <w:color w:val="auto"/>
        </w:rPr>
      </w:pPr>
    </w:p>
    <w:p>
      <w:pPr>
        <w:ind w:left="1744" w:hanging="539"/>
        <w:spacing w:after="0" w:line="274" w:lineRule="auto"/>
        <w:tabs>
          <w:tab w:leader="none" w:pos="1724" w:val="left"/>
        </w:tabs>
        <w:rPr>
          <w:sz w:val="20"/>
          <w:szCs w:val="20"/>
          <w:color w:val="auto"/>
        </w:rPr>
      </w:pPr>
      <w:r>
        <w:rPr>
          <w:rFonts w:ascii="Arial" w:cs="Arial" w:eastAsia="Arial" w:hAnsi="Arial"/>
          <w:sz w:val="18"/>
          <w:szCs w:val="18"/>
          <w:b w:val="1"/>
          <w:bCs w:val="1"/>
          <w:color w:val="auto"/>
        </w:rPr>
        <w:t>9.2.1.</w:t>
      </w:r>
      <w:r>
        <w:rPr>
          <w:sz w:val="20"/>
          <w:szCs w:val="20"/>
          <w:color w:val="auto"/>
        </w:rPr>
        <w:tab/>
      </w:r>
      <w:r>
        <w:rPr>
          <w:rFonts w:ascii="Arial" w:cs="Arial" w:eastAsia="Arial" w:hAnsi="Arial"/>
          <w:sz w:val="17"/>
          <w:szCs w:val="17"/>
          <w:b w:val="1"/>
          <w:bCs w:val="1"/>
          <w:color w:val="auto"/>
        </w:rPr>
        <w:t>SFDC Property</w:t>
      </w:r>
      <w:r>
        <w:rPr>
          <w:rFonts w:ascii="Arial" w:cs="Arial" w:eastAsia="Arial" w:hAnsi="Arial"/>
          <w:sz w:val="17"/>
          <w:szCs w:val="17"/>
          <w:color w:val="auto"/>
        </w:rPr>
        <w:t>. Partner acknowledges that, as between the Parties, the Services, the Distribution Services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AppExchange, and all intellectual property rights therein, are and will remain the sole property of SFDC, and no rights are granted to Partner under this Agreement with respect to the Services, the Distribution Services, or the AppExchange, or the intellectual property rights therein, other than the limited licenses and rights specified in this Agreement. Partner will not use the Services, the Distribution Services, or the AppExchange, or the intellectual property rights therein, except as expressly permitted by this Agreement or as otherwise agreed to in writing with SFDC.</w:t>
      </w:r>
    </w:p>
    <w:p>
      <w:pPr>
        <w:spacing w:after="0" w:line="79" w:lineRule="exact"/>
        <w:rPr>
          <w:sz w:val="20"/>
          <w:szCs w:val="20"/>
          <w:color w:val="auto"/>
        </w:rPr>
      </w:pPr>
    </w:p>
    <w:p>
      <w:pPr>
        <w:jc w:val="both"/>
        <w:ind w:left="1744" w:right="20" w:hanging="539"/>
        <w:spacing w:after="0" w:line="289" w:lineRule="auto"/>
        <w:tabs>
          <w:tab w:leader="none" w:pos="1724"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6"/>
          <w:szCs w:val="16"/>
          <w:b w:val="1"/>
          <w:bCs w:val="1"/>
          <w:color w:val="auto"/>
        </w:rPr>
        <w:t>Partner Property</w:t>
      </w:r>
      <w:r>
        <w:rPr>
          <w:rFonts w:ascii="Arial" w:cs="Arial" w:eastAsia="Arial" w:hAnsi="Arial"/>
          <w:sz w:val="16"/>
          <w:szCs w:val="16"/>
          <w:color w:val="auto"/>
        </w:rPr>
        <w:t>. SFDC acknowledges that, as between the Parties, the Partner Applications and all intellectual property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therein are and will remain the sole property of Partner, and no rights are granted to SFDC under this Agreement with respect to the Partner Applications or the intellectual property rights therein, other than the limited licenses specified in this Agreement.</w:t>
      </w:r>
    </w:p>
    <w:p>
      <w:pPr>
        <w:spacing w:after="0" w:line="2" w:lineRule="exact"/>
        <w:rPr>
          <w:sz w:val="20"/>
          <w:szCs w:val="20"/>
          <w:color w:val="auto"/>
        </w:rPr>
      </w:pPr>
    </w:p>
    <w:p>
      <w:pPr>
        <w:ind w:left="1744" w:right="140"/>
        <w:spacing w:after="0" w:line="260" w:lineRule="auto"/>
        <w:rPr>
          <w:sz w:val="20"/>
          <w:szCs w:val="20"/>
          <w:color w:val="auto"/>
        </w:rPr>
      </w:pPr>
      <w:r>
        <w:rPr>
          <w:rFonts w:ascii="Arial" w:cs="Arial" w:eastAsia="Arial" w:hAnsi="Arial"/>
          <w:sz w:val="18"/>
          <w:szCs w:val="18"/>
          <w:color w:val="auto"/>
        </w:rPr>
        <w:t>SFDC will not use the Partner Applications or the intellectual property rights therein, except as permitted by this Agreement or as otherwise agreed to in writing with Partner.</w:t>
      </w:r>
    </w:p>
    <w:p>
      <w:pPr>
        <w:spacing w:after="0" w:line="87"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Trademark Cross-License</w:t>
      </w:r>
      <w:r>
        <w:rPr>
          <w:rFonts w:ascii="Arial" w:cs="Arial" w:eastAsia="Arial" w:hAnsi="Arial"/>
          <w:sz w:val="16"/>
          <w:szCs w:val="16"/>
          <w:color w:val="auto"/>
        </w:rPr>
        <w:t>.</w:t>
      </w:r>
    </w:p>
    <w:p>
      <w:pPr>
        <w:spacing w:after="0" w:line="131" w:lineRule="exact"/>
        <w:rPr>
          <w:sz w:val="20"/>
          <w:szCs w:val="20"/>
          <w:color w:val="auto"/>
        </w:rPr>
      </w:pPr>
    </w:p>
    <w:p>
      <w:pPr>
        <w:ind w:left="1744" w:hanging="539"/>
        <w:spacing w:after="0" w:line="268" w:lineRule="auto"/>
        <w:tabs>
          <w:tab w:leader="none" w:pos="1724" w:val="left"/>
        </w:tabs>
        <w:rPr>
          <w:sz w:val="20"/>
          <w:szCs w:val="20"/>
          <w:color w:val="auto"/>
        </w:rPr>
      </w:pPr>
      <w:r>
        <w:rPr>
          <w:rFonts w:ascii="Arial" w:cs="Arial" w:eastAsia="Arial" w:hAnsi="Arial"/>
          <w:sz w:val="18"/>
          <w:szCs w:val="18"/>
          <w:b w:val="1"/>
          <w:bCs w:val="1"/>
          <w:color w:val="auto"/>
        </w:rPr>
        <w:t>9.3.1.</w:t>
      </w:r>
      <w:r>
        <w:rPr>
          <w:sz w:val="20"/>
          <w:szCs w:val="20"/>
          <w:color w:val="auto"/>
        </w:rPr>
        <w:tab/>
      </w:r>
      <w:r>
        <w:rPr>
          <w:rFonts w:ascii="Arial" w:cs="Arial" w:eastAsia="Arial" w:hAnsi="Arial"/>
          <w:sz w:val="17"/>
          <w:szCs w:val="17"/>
          <w:b w:val="1"/>
          <w:bCs w:val="1"/>
          <w:color w:val="auto"/>
        </w:rPr>
        <w:t>License</w:t>
      </w:r>
      <w:r>
        <w:rPr>
          <w:rFonts w:ascii="Arial" w:cs="Arial" w:eastAsia="Arial" w:hAnsi="Arial"/>
          <w:sz w:val="17"/>
          <w:szCs w:val="17"/>
          <w:color w:val="auto"/>
        </w:rPr>
        <w:t>. Each Party (the “</w:t>
      </w:r>
      <w:r>
        <w:rPr>
          <w:rFonts w:ascii="Arial" w:cs="Arial" w:eastAsia="Arial" w:hAnsi="Arial"/>
          <w:sz w:val="17"/>
          <w:szCs w:val="17"/>
          <w:b w:val="1"/>
          <w:bCs w:val="1"/>
          <w:color w:val="auto"/>
        </w:rPr>
        <w:t>Granting Party</w:t>
      </w:r>
      <w:r>
        <w:rPr>
          <w:rFonts w:ascii="Arial" w:cs="Arial" w:eastAsia="Arial" w:hAnsi="Arial"/>
          <w:sz w:val="17"/>
          <w:szCs w:val="17"/>
          <w:color w:val="auto"/>
        </w:rPr>
        <w:t>”) hereby grants to the other Party (the “</w:t>
      </w:r>
      <w:r>
        <w:rPr>
          <w:rFonts w:ascii="Arial" w:cs="Arial" w:eastAsia="Arial" w:hAnsi="Arial"/>
          <w:sz w:val="17"/>
          <w:szCs w:val="17"/>
          <w:b w:val="1"/>
          <w:bCs w:val="1"/>
          <w:color w:val="auto"/>
        </w:rPr>
        <w:t>Licensed Party</w:t>
      </w:r>
      <w:r>
        <w:rPr>
          <w:rFonts w:ascii="Arial" w:cs="Arial" w:eastAsia="Arial" w:hAnsi="Arial"/>
          <w:sz w:val="17"/>
          <w:szCs w:val="17"/>
          <w:color w:val="auto"/>
        </w:rPr>
        <w:t>”) a limited, nonexclusive,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nontransferable, non-sublicensable, royalty-free license during the Term to use the Granting Party’s Marks (“</w:t>
      </w:r>
      <w:r>
        <w:rPr>
          <w:rFonts w:ascii="Arial" w:cs="Arial" w:eastAsia="Arial" w:hAnsi="Arial"/>
          <w:sz w:val="17"/>
          <w:szCs w:val="17"/>
          <w:b w:val="1"/>
          <w:bCs w:val="1"/>
          <w:color w:val="auto"/>
        </w:rPr>
        <w:t>Licensed Marks</w:t>
      </w:r>
      <w:r>
        <w:rPr>
          <w:rFonts w:ascii="Arial" w:cs="Arial" w:eastAsia="Arial" w:hAnsi="Arial"/>
          <w:sz w:val="17"/>
          <w:szCs w:val="17"/>
          <w:color w:val="auto"/>
        </w:rPr>
        <w:t>”) for the sole purpose of identifying and promoting the Granting Party’s business, products and services strictly in accordance with this Agreement. If the Granting Party is SFDC, its Licensed Marks are such marks identified publicly by SFDC as available for use by Partners in the Partner Category(ies) in which Partner is participating, and such associated designs and logos as specified or approved in writing by SFDC in its discretion from time to time (see, e.g., SFDC Branding Guidelines) (“</w:t>
      </w:r>
      <w:r>
        <w:rPr>
          <w:rFonts w:ascii="Arial" w:cs="Arial" w:eastAsia="Arial" w:hAnsi="Arial"/>
          <w:sz w:val="17"/>
          <w:szCs w:val="17"/>
          <w:b w:val="1"/>
          <w:bCs w:val="1"/>
          <w:color w:val="auto"/>
        </w:rPr>
        <w:t>SFDC</w:t>
      </w:r>
      <w:r>
        <w:rPr>
          <w:rFonts w:ascii="Arial" w:cs="Arial" w:eastAsia="Arial" w:hAnsi="Arial"/>
          <w:sz w:val="17"/>
          <w:szCs w:val="17"/>
          <w:color w:val="auto"/>
        </w:rPr>
        <w:t xml:space="preserve"> </w:t>
      </w:r>
      <w:r>
        <w:rPr>
          <w:rFonts w:ascii="Arial" w:cs="Arial" w:eastAsia="Arial" w:hAnsi="Arial"/>
          <w:sz w:val="17"/>
          <w:szCs w:val="17"/>
          <w:b w:val="1"/>
          <w:bCs w:val="1"/>
          <w:color w:val="auto"/>
        </w:rPr>
        <w:t>Marks</w:t>
      </w:r>
      <w:r>
        <w:rPr>
          <w:rFonts w:ascii="Arial" w:cs="Arial" w:eastAsia="Arial" w:hAnsi="Arial"/>
          <w:sz w:val="17"/>
          <w:szCs w:val="17"/>
          <w:color w:val="auto"/>
        </w:rPr>
        <w:t>”). Partner may use the SFDC Marks solely: (i) for so long as Partner remains a Partner in the applicable Partner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Category(ies); and (ii) in any jurisdiction in which Partner is authorized to be a Partner and SFDC has rights. This License does not grant rights to use any trademark of SFDC other than those identified as SFDC Marks herein. If the Granting Party is Partner, its Licensed Marks are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Partner Marks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Each Party represents and warrants that it owns or otherwise has sufficient rights to its Licensed Marks, to the extent the Parties have obtained rights in a given jurisdiction, to grant the rights granted in this Agreement and its Marks do not infringe any intellectual property rights of any third party. All of the benefit and goodwill associated with the Licensed Party’s use of the Granting Party’s Licensed Marks will inure entirely to the Granting Party.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90" w:lineRule="exact"/>
        <w:rPr>
          <w:sz w:val="20"/>
          <w:szCs w:val="20"/>
          <w:color w:val="auto"/>
        </w:rPr>
      </w:pPr>
    </w:p>
    <w:p>
      <w:pPr>
        <w:ind w:left="1744" w:right="120" w:hanging="539"/>
        <w:spacing w:after="0" w:line="255" w:lineRule="auto"/>
        <w:tabs>
          <w:tab w:leader="none" w:pos="1724" w:val="left"/>
        </w:tabs>
        <w:rPr>
          <w:sz w:val="20"/>
          <w:szCs w:val="20"/>
          <w:color w:val="auto"/>
        </w:rPr>
      </w:pPr>
      <w:r>
        <w:rPr>
          <w:rFonts w:ascii="Arial" w:cs="Arial" w:eastAsia="Arial" w:hAnsi="Arial"/>
          <w:sz w:val="18"/>
          <w:szCs w:val="18"/>
          <w:b w:val="1"/>
          <w:bCs w:val="1"/>
          <w:color w:val="auto"/>
        </w:rPr>
        <w:t>9.3.2.</w:t>
        <w:tab/>
        <w:t>Usage Guidelines and Required Approvals</w:t>
      </w:r>
      <w:r>
        <w:rPr>
          <w:rFonts w:ascii="Arial" w:cs="Arial" w:eastAsia="Arial" w:hAnsi="Arial"/>
          <w:sz w:val="18"/>
          <w:szCs w:val="18"/>
          <w:color w:val="auto"/>
        </w:rPr>
        <w:t>. The Licensed Party’s use of the Granting Party’s Licensed Marks will strictly</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Granting Party’s written trademark usage policies communicated to the Licensed Party from time to time, including the use of proper notices and legends (see, e.g., SFDC Branding Guidelines). The Licensed Party will obtain the Granting Party’s prior written approval of all uses of the Granting Party’s Licensed Marks, which approval may be granted or withheld in the Granting Party’s discretion. The Granting Party may withdraw any approval of any use of its Licensed Marks at any time in its discretion, although no such withdrawal will require the recall of any previously published or distributed written materials.</w:t>
      </w:r>
    </w:p>
    <w:p>
      <w:pPr>
        <w:spacing w:after="0" w:line="94" w:lineRule="exact"/>
        <w:rPr>
          <w:sz w:val="20"/>
          <w:szCs w:val="20"/>
          <w:color w:val="auto"/>
        </w:rPr>
      </w:pPr>
    </w:p>
    <w:p>
      <w:pPr>
        <w:ind w:left="1744" w:right="20" w:hanging="539"/>
        <w:spacing w:after="0" w:line="294" w:lineRule="auto"/>
        <w:tabs>
          <w:tab w:leader="none" w:pos="1724" w:val="left"/>
        </w:tabs>
        <w:rPr>
          <w:sz w:val="20"/>
          <w:szCs w:val="20"/>
          <w:color w:val="auto"/>
        </w:rPr>
      </w:pPr>
      <w:r>
        <w:rPr>
          <w:rFonts w:ascii="Arial" w:cs="Arial" w:eastAsia="Arial" w:hAnsi="Arial"/>
          <w:sz w:val="18"/>
          <w:szCs w:val="18"/>
          <w:b w:val="1"/>
          <w:bCs w:val="1"/>
          <w:color w:val="auto"/>
        </w:rPr>
        <w:t>9.3.3.</w:t>
      </w:r>
      <w:r>
        <w:rPr>
          <w:sz w:val="20"/>
          <w:szCs w:val="20"/>
          <w:color w:val="auto"/>
        </w:rPr>
        <w:tab/>
      </w:r>
      <w:r>
        <w:rPr>
          <w:rFonts w:ascii="Arial" w:cs="Arial" w:eastAsia="Arial" w:hAnsi="Arial"/>
          <w:sz w:val="16"/>
          <w:szCs w:val="16"/>
          <w:b w:val="1"/>
          <w:bCs w:val="1"/>
          <w:color w:val="auto"/>
        </w:rPr>
        <w:t>Standards</w:t>
      </w:r>
      <w:r>
        <w:rPr>
          <w:rFonts w:ascii="Arial" w:cs="Arial" w:eastAsia="Arial" w:hAnsi="Arial"/>
          <w:sz w:val="16"/>
          <w:szCs w:val="16"/>
          <w:color w:val="auto"/>
        </w:rPr>
        <w:t>. During the Term, the Licensed Party will reasonably cooperate with the Granting Party in facilitating the Granting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Party’s monitoring and control of the nature and quality of the materials, products and services bearing the Granting Party’s Licensed Marks, and will supply the Granting Party with specimens of the Licensed Party’s use of the Granting Party’s Licensed Marks upon request. If the Granting Party notifies the Licensed Party that the Licensed Party’s use of the Granting Party’s Licensed Marks is not in compliance with the Granting Party’s trademark policies or is otherwise in breach of this Agreement, then the Licensed Party will promptly take such reasonable corrective action as directed by the Granting Party.</w:t>
      </w:r>
    </w:p>
    <w:p>
      <w:pPr>
        <w:spacing w:after="0" w:line="65" w:lineRule="exact"/>
        <w:rPr>
          <w:sz w:val="20"/>
          <w:szCs w:val="20"/>
          <w:color w:val="auto"/>
        </w:rPr>
      </w:pPr>
    </w:p>
    <w:p>
      <w:pPr>
        <w:ind w:left="1424" w:hanging="431"/>
        <w:spacing w:after="0" w:line="269" w:lineRule="auto"/>
        <w:tabs>
          <w:tab w:leader="none" w:pos="1404"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7"/>
          <w:szCs w:val="17"/>
          <w:b w:val="1"/>
          <w:bCs w:val="1"/>
          <w:color w:val="auto"/>
        </w:rPr>
        <w:t>Ownership/Good Faith Covenants</w:t>
      </w:r>
      <w:r>
        <w:rPr>
          <w:rFonts w:ascii="Arial" w:cs="Arial" w:eastAsia="Arial" w:hAnsi="Arial"/>
          <w:sz w:val="17"/>
          <w:szCs w:val="17"/>
          <w:color w:val="auto"/>
        </w:rPr>
        <w:t>. Partner acknowledges and agrees that the SFDC Marks are and will remain the sole and</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property of SFDC. Partner will not acquire any right, title, or interest in, to or associated with the SFDC Marks other than the limited license to use the SFDC’s Licensed Marks identified above pursuant to this Agreement. Both during and after the Term, Partner will not itself, and will not assist, permit, or encourage any other person to, do anything or omit to do anything that might prejudice, impair, jeopardize, violate, dilute, depreciate, or infringe any of the SFDC Marks or SFDC’s interest in the SFDC Marks without SFDC’s prior express written approval. SFDC acknowledges and agrees that the Partner Marks are and will remain the sole and exclusive property of Partner. SFDC will not acquire any right, title, or interest in, to or associated with the Partner Marks other than the limited license to use the Partner’s Licensed Marks identified above pursuant to this Agreement. Both during and after the Term, SFDC will not itself, and will not assist, permit, or encourage any other person to, do anything or omit to do anything that might prejudice, impair, jeopardize, violate, dilute, depreciate, or infringe any of the Partner Marks or Partner’s interest in the Partner Marks without Partner’s prior express written approval.</w:t>
      </w:r>
    </w:p>
    <w:p>
      <w:pPr>
        <w:spacing w:after="0" w:line="209" w:lineRule="exact"/>
        <w:rPr>
          <w:sz w:val="20"/>
          <w:szCs w:val="20"/>
          <w:color w:val="auto"/>
        </w:rPr>
      </w:pPr>
    </w:p>
    <w:p>
      <w:pPr>
        <w:ind w:left="424" w:hanging="424"/>
        <w:spacing w:after="0"/>
        <w:tabs>
          <w:tab w:leader="none" w:pos="424"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1" w:lineRule="exact"/>
        <w:rPr>
          <w:sz w:val="20"/>
          <w:szCs w:val="20"/>
          <w:color w:val="auto"/>
        </w:rPr>
      </w:pPr>
    </w:p>
    <w:p>
      <w:pPr>
        <w:ind w:left="1424" w:right="200" w:hanging="431"/>
        <w:spacing w:after="0" w:line="266" w:lineRule="auto"/>
        <w:rPr>
          <w:sz w:val="20"/>
          <w:szCs w:val="20"/>
          <w:color w:val="auto"/>
        </w:rPr>
      </w:pPr>
      <w:r>
        <w:rPr>
          <w:rFonts w:ascii="Arial" w:cs="Arial" w:eastAsia="Arial" w:hAnsi="Arial"/>
          <w:sz w:val="18"/>
          <w:szCs w:val="18"/>
          <w:b w:val="1"/>
          <w:bCs w:val="1"/>
          <w:color w:val="auto"/>
        </w:rPr>
        <w:t>10.1. SFDC</w:t>
      </w:r>
      <w:r>
        <w:rPr>
          <w:rFonts w:ascii="Arial" w:cs="Arial" w:eastAsia="Arial" w:hAnsi="Arial"/>
          <w:sz w:val="18"/>
          <w:szCs w:val="18"/>
          <w:color w:val="auto"/>
        </w:rPr>
        <w:t>. SFDC represents and warrants that: (a) it will not materially decrease the overall features and functionalities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Services during the Initial Term or during any individual subsequent Renewal Term; (b) it has the legal power to enter into and perform its obligations under this Agreement; (c) </w:t>
      </w: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1024"/>
          </w:cols>
          <w:pgMar w:left="436" w:top="270" w:right="439" w:bottom="1440" w:gutter="0" w:footer="0" w:header="0"/>
        </w:sectPr>
      </w:pPr>
    </w:p>
    <w:bookmarkStart w:id="293" w:name="page294"/>
    <w:bookmarkEnd w:id="293"/>
    <w:p>
      <w:pPr>
        <w:jc w:val="both"/>
        <w:ind w:left="1424" w:right="40" w:hanging="431"/>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10.2. Partner</w:t>
      </w:r>
      <w:r>
        <w:rPr>
          <w:rFonts w:ascii="Arial" w:cs="Arial" w:eastAsia="Arial" w:hAnsi="Arial"/>
          <w:sz w:val="16"/>
          <w:szCs w:val="16"/>
          <w:color w:val="auto"/>
        </w:rPr>
        <w:t>. Partner represents and warrants that: (a) any Partner Application(s) will perform materially in accordance with the relevant</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documentation as amended from time to time by Partner and as provided to Customers; (b) it will not materially decrease the overall features and functionalities of any Partner Application during the Initial Term or during any individual subsequent Renewal Term;</w:t>
      </w:r>
    </w:p>
    <w:p>
      <w:pPr>
        <w:spacing w:after="0" w:line="2" w:lineRule="exact"/>
        <w:rPr>
          <w:sz w:val="20"/>
          <w:szCs w:val="20"/>
          <w:color w:val="auto"/>
        </w:rPr>
      </w:pPr>
    </w:p>
    <w:p>
      <w:pPr>
        <w:ind w:left="1424" w:right="60" w:hanging="7"/>
        <w:spacing w:after="0" w:line="260" w:lineRule="auto"/>
        <w:tabs>
          <w:tab w:leader="none" w:pos="166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it has the legal power to enter into and perform its obligations under this Agreement; and (d) it will not make any representations or warranties on SFDC’s behalf.</w:t>
      </w:r>
    </w:p>
    <w:p>
      <w:pPr>
        <w:spacing w:after="0" w:line="87" w:lineRule="exact"/>
        <w:rPr>
          <w:sz w:val="20"/>
          <w:szCs w:val="20"/>
          <w:color w:val="auto"/>
        </w:rPr>
      </w:pPr>
    </w:p>
    <w:p>
      <w:pPr>
        <w:ind w:left="1424" w:hanging="431"/>
        <w:spacing w:after="0" w:line="269" w:lineRule="auto"/>
        <w:rPr>
          <w:sz w:val="20"/>
          <w:szCs w:val="20"/>
          <w:color w:val="auto"/>
        </w:rPr>
      </w:pPr>
      <w:r>
        <w:rPr>
          <w:rFonts w:ascii="Arial" w:cs="Arial" w:eastAsia="Arial" w:hAnsi="Arial"/>
          <w:sz w:val="17"/>
          <w:szCs w:val="17"/>
          <w:b w:val="1"/>
          <w:bCs w:val="1"/>
          <w:color w:val="auto"/>
        </w:rPr>
        <w:t>10.3. WARRANTY DISCLAIMER</w:t>
      </w:r>
      <w:r>
        <w:rPr>
          <w:rFonts w:ascii="Arial" w:cs="Arial" w:eastAsia="Arial" w:hAnsi="Arial"/>
          <w:sz w:val="17"/>
          <w:szCs w:val="17"/>
          <w:color w:val="auto"/>
        </w:rPr>
        <w:t>. EXCEPT AS EXPRESSLY PROVIDED HEREIN, NEITHER PARTY MAKES ANY</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 OR WARRANTY OF ANY KIND WHETHER EXPRESS, IMPLIED, STATUTORY OR OTHERWISE, AND EACH PARTY SPECIFICALLY DISCLAIMS ALL IMPLIED REPRESENTATIONS AND WARRANTIES, INCLUDING ANY IMPLIED WARRANTY OF MERCHANTABILITY, FITNESS FOR A PARTICULAR PURPOSE OR NON-INFRINGEMENT, TO THE MAXIMUM EXTENT PERMITTED BY APPLICABLE LAW. CONTENT AND BETA SERVICES ARE PROVIDED “AS IS,” AND AS AVAILABLE EXCLUSIVE OF ANY WARRANTY WHATSOEVER. WITH RESPECT TO NON-SFDC APPLICATIONS (INCLUDING, WITHOUT LIMITATION, ALL PARTNER APPLICATIONS), SFDC MAKES NO REPRESENTATION OR WARRANTY OF ANY KIND WHETHER EXPRESS, IMPLIED, STATUTORY OR OTHERWISE, AND SPECIFICALLY DISCLAIMS ALL IMPLIED REPRESENTATIONS AND WARRANTIES, INCLUDING ANY IMPLIED WARRANTY OF MERCHANTABILITY, FITNESS FOR A PARTICULAR PURPOSE OR NON-INFRINGEMENT, TO THE MAXIMUM EXTENT PERMITTED BY APPLICABLE LAW.</w:t>
      </w:r>
    </w:p>
    <w:p>
      <w:pPr>
        <w:spacing w:after="0" w:line="209" w:lineRule="exact"/>
        <w:rPr>
          <w:sz w:val="20"/>
          <w:szCs w:val="20"/>
          <w:color w:val="auto"/>
        </w:rPr>
      </w:pPr>
    </w:p>
    <w:p>
      <w:pPr>
        <w:ind w:left="424" w:hanging="424"/>
        <w:spacing w:after="0"/>
        <w:tabs>
          <w:tab w:leader="none" w:pos="424"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Mutual Indemnification</w:t>
      </w:r>
    </w:p>
    <w:p>
      <w:pPr>
        <w:spacing w:after="0" w:line="131" w:lineRule="exact"/>
        <w:rPr>
          <w:sz w:val="20"/>
          <w:szCs w:val="20"/>
          <w:color w:val="auto"/>
        </w:rPr>
      </w:pPr>
    </w:p>
    <w:p>
      <w:pPr>
        <w:ind w:left="1424" w:hanging="431"/>
        <w:spacing w:after="0" w:line="285" w:lineRule="auto"/>
        <w:rPr>
          <w:sz w:val="20"/>
          <w:szCs w:val="20"/>
          <w:color w:val="auto"/>
        </w:rPr>
      </w:pPr>
      <w:r>
        <w:rPr>
          <w:rFonts w:ascii="Arial" w:cs="Arial" w:eastAsia="Arial" w:hAnsi="Arial"/>
          <w:sz w:val="16"/>
          <w:szCs w:val="16"/>
          <w:b w:val="1"/>
          <w:bCs w:val="1"/>
          <w:color w:val="auto"/>
        </w:rPr>
        <w:t>11.1. Indemnification by Partner</w:t>
      </w:r>
      <w:r>
        <w:rPr>
          <w:rFonts w:ascii="Arial" w:cs="Arial" w:eastAsia="Arial" w:hAnsi="Arial"/>
          <w:sz w:val="16"/>
          <w:szCs w:val="16"/>
          <w:color w:val="auto"/>
        </w:rPr>
        <w:t>. Partner will defend SFDC against any claim, demand, suit or proceeding made or brought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SFDC by a third party (i) alleging that that the Partner Applications or Combined Solution (provided the claim would not have arisen but for such combination) infringe or misappropriate such third party’s intellectual property rights; [***] based upon a representation made by Partner to such third party [***] (each, a “</w:t>
      </w:r>
      <w:r>
        <w:rPr>
          <w:rFonts w:ascii="Arial" w:cs="Arial" w:eastAsia="Arial" w:hAnsi="Arial"/>
          <w:sz w:val="16"/>
          <w:szCs w:val="16"/>
          <w:b w:val="1"/>
          <w:bCs w:val="1"/>
          <w:color w:val="auto"/>
        </w:rPr>
        <w:t>Claim Against SFDC</w:t>
      </w:r>
      <w:r>
        <w:rPr>
          <w:rFonts w:ascii="Arial" w:cs="Arial" w:eastAsia="Arial" w:hAnsi="Arial"/>
          <w:sz w:val="16"/>
          <w:szCs w:val="16"/>
          <w:color w:val="auto"/>
        </w:rPr>
        <w:t>”), and will indemnify SFDC from any damages, attorney fees and costs finally awarded against SFDC as a result of, or for amounts paid by SFDC under a settlement approved by Partner in writing of, a Claim Against SFDC, provided that SFDC (a) promptly gives Partner written notice of the Claim Against SFDC,</w:t>
      </w:r>
    </w:p>
    <w:p>
      <w:pPr>
        <w:spacing w:after="0" w:line="3" w:lineRule="exact"/>
        <w:rPr>
          <w:sz w:val="20"/>
          <w:szCs w:val="20"/>
          <w:color w:val="auto"/>
        </w:rPr>
      </w:pPr>
    </w:p>
    <w:p>
      <w:pPr>
        <w:ind w:left="1424" w:right="20" w:hanging="7"/>
        <w:spacing w:after="0" w:line="285" w:lineRule="auto"/>
        <w:tabs>
          <w:tab w:leader="none" w:pos="167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gives Partner sole control of the defense and settlement of the Claim Against SFDC (except that Partner may not settle any Claim Against SFDC unless it unconditionally releases SFDC of all liability), and (c) gives Partner all reasonable assistance, at Partner’s expense. In the event of a Claim Against SFDC by a third party alleging that a Partner Application infringes the intellectual property rights of a third party, or if Partner reasonably believes a Partner Application may infringe or misappropriate, Partner may in its discretion and without any reduction in any payment due to SFDC (A) modify (without materially reducing the overall functionality of) such Partner Application so that it no longer infringes or misappropriates, (B) obtain a license for Customer’s and SFDC’s continued use of such Partner Application in accordance with this Agreement and such other agreements between Partner and Customer, as applicable or (C) terminate any then -active Distribution Services subscriptions for use with such Partner Application upon </w:t>
      </w:r>
      <w:r>
        <w:rPr>
          <w:rFonts w:ascii="Arial" w:cs="Arial" w:eastAsia="Arial" w:hAnsi="Arial"/>
          <w:sz w:val="16"/>
          <w:szCs w:val="16"/>
          <w:b w:val="1"/>
          <w:bCs w:val="1"/>
          <w:color w:val="auto"/>
        </w:rPr>
        <w:t>[***]</w:t>
      </w:r>
      <w:r>
        <w:rPr>
          <w:rFonts w:ascii="Arial" w:cs="Arial" w:eastAsia="Arial" w:hAnsi="Arial"/>
          <w:sz w:val="16"/>
          <w:szCs w:val="16"/>
          <w:color w:val="auto"/>
        </w:rPr>
        <w:t xml:space="preserve"> written notice to SFDC, provided that if Partner terminates such subscriptions, Partner will be prohibited from distributing such Partner Application for use with the Services and, to the extent that Partner has listed such Partner Application on the AppExchange, Partner must remove such listing from the AppExchange.</w:t>
      </w:r>
    </w:p>
    <w:p>
      <w:pPr>
        <w:spacing w:after="0" w:line="76" w:lineRule="exact"/>
        <w:rPr>
          <w:sz w:val="20"/>
          <w:szCs w:val="20"/>
          <w:color w:val="auto"/>
        </w:rPr>
      </w:pPr>
    </w:p>
    <w:p>
      <w:pPr>
        <w:ind w:left="1424" w:right="120" w:hanging="431"/>
        <w:spacing w:after="0" w:line="268" w:lineRule="auto"/>
        <w:rPr>
          <w:sz w:val="20"/>
          <w:szCs w:val="20"/>
          <w:color w:val="auto"/>
        </w:rPr>
      </w:pPr>
      <w:r>
        <w:rPr>
          <w:rFonts w:ascii="Arial" w:cs="Arial" w:eastAsia="Arial" w:hAnsi="Arial"/>
          <w:sz w:val="17"/>
          <w:szCs w:val="17"/>
          <w:b w:val="1"/>
          <w:bCs w:val="1"/>
          <w:color w:val="auto"/>
        </w:rPr>
        <w:t>11.2. Indemnification by SFDC</w:t>
      </w:r>
      <w:r>
        <w:rPr>
          <w:rFonts w:ascii="Arial" w:cs="Arial" w:eastAsia="Arial" w:hAnsi="Arial"/>
          <w:sz w:val="17"/>
          <w:szCs w:val="17"/>
          <w:color w:val="auto"/>
        </w:rPr>
        <w:t>. SFDC will defend Partner against any claim, demand, suit or proceeding made or brought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Partner by a third party (i) alleging that the Distribution Services infringe or misappropriate the intellectual property rights of such third party, </w:t>
      </w:r>
      <w:r>
        <w:rPr>
          <w:rFonts w:ascii="Arial" w:cs="Arial" w:eastAsia="Arial" w:hAnsi="Arial"/>
          <w:sz w:val="17"/>
          <w:szCs w:val="17"/>
          <w:b w:val="1"/>
          <w:bCs w:val="1"/>
          <w:color w:val="auto"/>
        </w:rPr>
        <w:t>[***]</w:t>
      </w:r>
      <w:r>
        <w:rPr>
          <w:rFonts w:ascii="Arial" w:cs="Arial" w:eastAsia="Arial" w:hAnsi="Arial"/>
          <w:sz w:val="17"/>
          <w:szCs w:val="17"/>
          <w:color w:val="auto"/>
        </w:rPr>
        <w:t xml:space="preserve"> (each, a “</w:t>
      </w:r>
      <w:r>
        <w:rPr>
          <w:rFonts w:ascii="Arial" w:cs="Arial" w:eastAsia="Arial" w:hAnsi="Arial"/>
          <w:sz w:val="17"/>
          <w:szCs w:val="17"/>
          <w:b w:val="1"/>
          <w:bCs w:val="1"/>
          <w:color w:val="auto"/>
        </w:rPr>
        <w:t>Claim Against Partner</w:t>
      </w:r>
      <w:r>
        <w:rPr>
          <w:rFonts w:ascii="Arial" w:cs="Arial" w:eastAsia="Arial" w:hAnsi="Arial"/>
          <w:sz w:val="17"/>
          <w:szCs w:val="17"/>
          <w:color w:val="auto"/>
        </w:rPr>
        <w:t xml:space="preserve">”), and will indemnify Partner from any damages, attorney fees and costs finally awarded against Partner as a result of, or for amounts paid by Partner under a settlement approved by SFDC in writing of, a Claim Against Partner, provided that Partner (a) promptly gives SFDC written notice of the Claim Against Partner, (b) gives SFDC sole control of the defense and settlement of the Claim Against Partner (except that SFDC may not settle any Claim Against Partner unless it unconditionally releases Partner of all liability), and (c) gives SFDC all reasonable assistance, at SFDC’s expense. In the event of a Claim Against Partner by a third party alleging that the use of the Distribution Services infringe the intellectual property rights of a third party, or if SFDC reasonably believes the Distribution Services may infringe or misappropriate, SFDC may in its discretion and at no cost to Partner (A) modify the Distribution Services so that they are no longer claimed to infringe or misappropriate (without breaching the warranty in 10.1(a) above), (B) obtain a license for Partner’s continued use and resale of the Distribution Services in accordance with this Agreement or (C) terminate the Distribution Services upon </w:t>
      </w:r>
      <w:r>
        <w:rPr>
          <w:rFonts w:ascii="Arial" w:cs="Arial" w:eastAsia="Arial" w:hAnsi="Arial"/>
          <w:sz w:val="17"/>
          <w:szCs w:val="17"/>
          <w:b w:val="1"/>
          <w:bCs w:val="1"/>
          <w:color w:val="auto"/>
        </w:rPr>
        <w:t>[***]</w:t>
      </w:r>
      <w:r>
        <w:rPr>
          <w:rFonts w:ascii="Arial" w:cs="Arial" w:eastAsia="Arial" w:hAnsi="Arial"/>
          <w:sz w:val="17"/>
          <w:szCs w:val="17"/>
          <w:color w:val="auto"/>
        </w:rPr>
        <w:t xml:space="preserve"> written notice and refund Partner any prepaid fees covering the period following such termination; provided that SFDC will use commercially reasonable efforts in connection with alternatives (A) and (B) prior to terminating Customer’s subscription in accordance with alternative (C) above.</w:t>
      </w:r>
    </w:p>
    <w:p>
      <w:pPr>
        <w:sectPr>
          <w:pgSz w:w="11900" w:h="16838" w:orient="portrait"/>
          <w:cols w:equalWidth="0" w:num="1">
            <w:col w:w="11004"/>
          </w:cols>
          <w:pgMar w:left="436" w:top="270" w:right="459" w:bottom="1440" w:gutter="0" w:footer="0" w:header="0"/>
        </w:sectPr>
      </w:pPr>
    </w:p>
    <w:bookmarkStart w:id="294" w:name="page295"/>
    <w:bookmarkEnd w:id="294"/>
    <w:p>
      <w:pPr>
        <w:ind w:left="1424" w:right="380" w:hanging="43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11.3. Exclusive Remedy. </w:t>
      </w:r>
      <w:r>
        <w:rPr>
          <w:rFonts w:ascii="Arial" w:cs="Arial" w:eastAsia="Arial" w:hAnsi="Arial"/>
          <w:sz w:val="18"/>
          <w:szCs w:val="18"/>
          <w:color w:val="auto"/>
        </w:rPr>
        <w:t>This “Mutual Indemnification” section states the indemnifying Party’s sole liability to, and the indemnified</w:t>
      </w:r>
      <w:r>
        <w:rPr>
          <w:rFonts w:ascii="Arial" w:cs="Arial" w:eastAsia="Arial" w:hAnsi="Arial"/>
          <w:sz w:val="18"/>
          <w:szCs w:val="18"/>
          <w:b w:val="1"/>
          <w:bCs w:val="1"/>
          <w:color w:val="auto"/>
        </w:rPr>
        <w:t xml:space="preserve"> </w:t>
      </w:r>
      <w:r>
        <w:rPr>
          <w:rFonts w:ascii="Arial" w:cs="Arial" w:eastAsia="Arial" w:hAnsi="Arial"/>
          <w:sz w:val="18"/>
          <w:szCs w:val="18"/>
          <w:color w:val="auto"/>
        </w:rPr>
        <w:t>Party’s exclusive remedy against, the other party for any type of claim described in this section.</w:t>
      </w:r>
    </w:p>
    <w:p>
      <w:pPr>
        <w:spacing w:after="0" w:line="189" w:lineRule="exact"/>
        <w:rPr>
          <w:sz w:val="20"/>
          <w:szCs w:val="20"/>
          <w:color w:val="auto"/>
        </w:rPr>
      </w:pPr>
    </w:p>
    <w:p>
      <w:pPr>
        <w:ind w:left="424" w:hanging="424"/>
        <w:spacing w:after="0"/>
        <w:tabs>
          <w:tab w:leader="none" w:pos="424"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 and Limitations of Liability</w:t>
      </w:r>
    </w:p>
    <w:p>
      <w:pPr>
        <w:spacing w:after="0" w:line="131" w:lineRule="exact"/>
        <w:rPr>
          <w:sz w:val="20"/>
          <w:szCs w:val="20"/>
          <w:color w:val="auto"/>
        </w:rPr>
      </w:pPr>
    </w:p>
    <w:p>
      <w:pPr>
        <w:ind w:left="1424" w:hanging="431"/>
        <w:spacing w:after="0" w:line="256" w:lineRule="auto"/>
        <w:rPr>
          <w:sz w:val="20"/>
          <w:szCs w:val="20"/>
          <w:color w:val="auto"/>
        </w:rPr>
      </w:pPr>
      <w:r>
        <w:rPr>
          <w:rFonts w:ascii="Arial" w:cs="Arial" w:eastAsia="Arial" w:hAnsi="Arial"/>
          <w:sz w:val="18"/>
          <w:szCs w:val="18"/>
          <w:b w:val="1"/>
          <w:bCs w:val="1"/>
          <w:color w:val="auto"/>
        </w:rPr>
        <w:t>12.1. LIMITATION OF LIABILITY</w:t>
      </w:r>
      <w:r>
        <w:rPr>
          <w:rFonts w:ascii="Arial" w:cs="Arial" w:eastAsia="Arial" w:hAnsi="Arial"/>
          <w:sz w:val="18"/>
          <w:szCs w:val="18"/>
          <w:color w:val="auto"/>
        </w:rPr>
        <w:t>. SUBJECT TO SECTION 12.3, IN NO EVENT WILL THE AGGREGATE LIABILITY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EACH PARTY TOGETHER WITH ITS AFFILIATES ARISING OUT OF OR RELATED TO THIS AGREEMENT EXCEED THE GREATER OF </w:t>
      </w:r>
      <w:r>
        <w:rPr>
          <w:rFonts w:ascii="Arial" w:cs="Arial" w:eastAsia="Arial" w:hAnsi="Arial"/>
          <w:sz w:val="18"/>
          <w:szCs w:val="18"/>
          <w:b w:val="1"/>
          <w:bCs w:val="1"/>
          <w:color w:val="auto"/>
        </w:rPr>
        <w:t>[***]</w:t>
      </w:r>
      <w:r>
        <w:rPr>
          <w:rFonts w:ascii="Arial" w:cs="Arial" w:eastAsia="Arial" w:hAnsi="Arial"/>
          <w:sz w:val="18"/>
          <w:szCs w:val="18"/>
          <w:color w:val="auto"/>
        </w:rPr>
        <w:t xml:space="preserve"> OR THE TOTAL AMOUNTS PAID BY PARTNER HEREUNDER IN THE TWELVE MONTHS PRECEDING THE FIRST INCIDENT OUT OF WHICH THE LIABILITY AROSE. THE FOREGOING LIMITATION WILL APPLY WHETHER AN ACTION IS IN CONTRACT OR TORT AND REGARDLESS OF THE THEORY OF LIABILITY, BUT WILL NOT LIMIT PARTNER’S PAYMENT OBLIGATIONS HEREUNDER.</w:t>
      </w:r>
    </w:p>
    <w:p>
      <w:pPr>
        <w:spacing w:after="0" w:line="93" w:lineRule="exact"/>
        <w:rPr>
          <w:sz w:val="20"/>
          <w:szCs w:val="20"/>
          <w:color w:val="auto"/>
        </w:rPr>
      </w:pPr>
    </w:p>
    <w:p>
      <w:pPr>
        <w:ind w:left="1424" w:hanging="431"/>
        <w:spacing w:after="0" w:line="273" w:lineRule="auto"/>
        <w:rPr>
          <w:sz w:val="20"/>
          <w:szCs w:val="20"/>
          <w:color w:val="auto"/>
        </w:rPr>
      </w:pPr>
      <w:r>
        <w:rPr>
          <w:rFonts w:ascii="Arial" w:cs="Arial" w:eastAsia="Arial" w:hAnsi="Arial"/>
          <w:sz w:val="17"/>
          <w:szCs w:val="17"/>
          <w:b w:val="1"/>
          <w:bCs w:val="1"/>
          <w:color w:val="auto"/>
        </w:rPr>
        <w:t>12.2. EXCLUSION OF CONSEQUENTIAL AND RELATED DAMAGES</w:t>
      </w:r>
      <w:r>
        <w:rPr>
          <w:rFonts w:ascii="Arial" w:cs="Arial" w:eastAsia="Arial" w:hAnsi="Arial"/>
          <w:sz w:val="17"/>
          <w:szCs w:val="17"/>
          <w:color w:val="auto"/>
        </w:rPr>
        <w:t>. IN NO EVENT WILL EITHER PARTY OR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HAVE ANY LIABILITY ARISING OUT OF OR RELATED TO THIS AGREEMENT FOR ANY LOST PROFITS, REVENUES, GOODWILL, OR INDIRECT, SPECIAL, INCIDENTAL, CONSEQUENTIAL, COVER, BUSINESS INTERRUPTION OR PUNITIVE DAMAGES, WHETHER AN ACTION IS IN CONTRACT OR TORT AND REGARDLESS OF THE THEORY OF LIABILITY, EVEN IF A PARTY OR ITS AFFILIATES HAVE BEEN ADVISED OF THE POSSIBILITY OF SUCH DAMAGES OR IF A PARTY’S OR ITS AFFILIATES’ REMEDY OTHERWISE FAILS OF ITS ESSENTIAL PURPOSE. THE FOREGOING DISCLAIMER WILL NOT APPLY TO THE EXTENT PROHIBITED BY LAW.</w:t>
      </w:r>
    </w:p>
    <w:p>
      <w:pPr>
        <w:spacing w:after="0" w:line="77" w:lineRule="exact"/>
        <w:rPr>
          <w:sz w:val="20"/>
          <w:szCs w:val="20"/>
          <w:color w:val="auto"/>
        </w:rPr>
      </w:pPr>
    </w:p>
    <w:p>
      <w:pPr>
        <w:ind w:left="1424" w:right="400" w:hanging="431"/>
        <w:spacing w:after="0" w:line="289" w:lineRule="auto"/>
        <w:rPr>
          <w:sz w:val="20"/>
          <w:szCs w:val="20"/>
          <w:color w:val="auto"/>
        </w:rPr>
      </w:pPr>
      <w:r>
        <w:rPr>
          <w:rFonts w:ascii="Arial" w:cs="Arial" w:eastAsia="Arial" w:hAnsi="Arial"/>
          <w:sz w:val="17"/>
          <w:szCs w:val="17"/>
          <w:b w:val="1"/>
          <w:bCs w:val="1"/>
          <w:color w:val="auto"/>
        </w:rPr>
        <w:t xml:space="preserve">12.3. EXCEPTIONS: </w:t>
      </w:r>
      <w:r>
        <w:rPr>
          <w:rFonts w:ascii="Arial" w:cs="Arial" w:eastAsia="Arial" w:hAnsi="Arial"/>
          <w:sz w:val="17"/>
          <w:szCs w:val="17"/>
          <w:color w:val="auto"/>
        </w:rPr>
        <w:t>SECTION 12.1 DOES NOT APPLY TO: (i) THE OBLIGATIONS SET FORTH IN SECTIONS 11.1, 11.2(i),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11.2(iii) OF THIS AGREEMENT; (ii) PARTNER’S LIABILITY ARISING FROM ITS BREACH OF SECTION 3.4 (PRIVACY AND SECURITY OF CUSTOMER DATA ACCESSED BY PARTNER APPLICATION)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85" w:lineRule="exact"/>
        <w:rPr>
          <w:sz w:val="20"/>
          <w:szCs w:val="20"/>
          <w:color w:val="auto"/>
        </w:rPr>
      </w:pPr>
    </w:p>
    <w:p>
      <w:pPr>
        <w:ind w:left="424" w:hanging="424"/>
        <w:spacing w:after="0"/>
        <w:tabs>
          <w:tab w:leader="none" w:pos="42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p>
    <w:p>
      <w:pPr>
        <w:spacing w:after="0" w:line="131" w:lineRule="exact"/>
        <w:rPr>
          <w:sz w:val="20"/>
          <w:szCs w:val="20"/>
          <w:color w:val="auto"/>
        </w:rPr>
      </w:pPr>
    </w:p>
    <w:p>
      <w:pPr>
        <w:ind w:left="1424" w:right="20" w:hanging="431"/>
        <w:spacing w:after="0" w:line="292" w:lineRule="auto"/>
        <w:rPr>
          <w:sz w:val="20"/>
          <w:szCs w:val="20"/>
          <w:color w:val="auto"/>
        </w:rPr>
      </w:pPr>
      <w:r>
        <w:rPr>
          <w:rFonts w:ascii="Arial" w:cs="Arial" w:eastAsia="Arial" w:hAnsi="Arial"/>
          <w:sz w:val="16"/>
          <w:szCs w:val="16"/>
          <w:b w:val="1"/>
          <w:bCs w:val="1"/>
          <w:color w:val="auto"/>
        </w:rPr>
        <w:t>13.1. Compliance with Ethical Brand Representation Standards</w:t>
      </w:r>
      <w:r>
        <w:rPr>
          <w:rFonts w:ascii="Arial" w:cs="Arial" w:eastAsia="Arial" w:hAnsi="Arial"/>
          <w:sz w:val="16"/>
          <w:szCs w:val="16"/>
          <w:color w:val="auto"/>
        </w:rPr>
        <w:t>. Partner shall comply with all applicable laws and regulations in its</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activities hereunder and shall not engage in any deceptive, misleading, illegal or unethical marketing activities, or activities that SFDC reasonably believes may be detrimental to SFDC and shall perform its obligations hereunder in a manner that in SFDC’s judgment reflects well upon SFDC and its brands. SFDC will provide the Distribution Services in accordance with laws and government regulations applicable to SFDC’s provision of the Distribution Services to its partners generally (i.e., without regard for Partner’s or any Customer’s particular use of the Distribution Services), and subject to Partner and Customer’s use of the Distribution Services in accordance with this Agreement, the Documentation, and the applicable Service Order.</w:t>
      </w:r>
    </w:p>
    <w:p>
      <w:pPr>
        <w:spacing w:after="0" w:line="67" w:lineRule="exact"/>
        <w:rPr>
          <w:sz w:val="20"/>
          <w:szCs w:val="20"/>
          <w:color w:val="auto"/>
        </w:rPr>
      </w:pPr>
    </w:p>
    <w:p>
      <w:pPr>
        <w:ind w:left="1424" w:right="40" w:hanging="431"/>
        <w:spacing w:after="0" w:line="283" w:lineRule="auto"/>
        <w:rPr>
          <w:sz w:val="20"/>
          <w:szCs w:val="20"/>
          <w:color w:val="auto"/>
        </w:rPr>
      </w:pPr>
      <w:r>
        <w:rPr>
          <w:rFonts w:ascii="Arial" w:cs="Arial" w:eastAsia="Arial" w:hAnsi="Arial"/>
          <w:sz w:val="16"/>
          <w:szCs w:val="16"/>
          <w:b w:val="1"/>
          <w:bCs w:val="1"/>
          <w:color w:val="auto"/>
        </w:rPr>
        <w:t>13.2. Compliance with Global Trade Laws</w:t>
      </w:r>
      <w:r>
        <w:rPr>
          <w:rFonts w:ascii="Arial" w:cs="Arial" w:eastAsia="Arial" w:hAnsi="Arial"/>
          <w:sz w:val="16"/>
          <w:szCs w:val="16"/>
          <w:color w:val="auto"/>
        </w:rPr>
        <w:t>. The Parties, as well as the Distribution Services, Services, Content, and other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SFDC makes available may be subject to export and economic sanctions laws and regulations of the United States and other jurisdictions. Each Party represents that as of the Effective Date neither the Party, nor its Affiliates, is: (a) currently identified on any sanctions or export control list maintained by the U.S. government, including, but not limited to, the Specially Designated Nationals (“</w:t>
      </w:r>
      <w:r>
        <w:rPr>
          <w:rFonts w:ascii="Arial" w:cs="Arial" w:eastAsia="Arial" w:hAnsi="Arial"/>
          <w:sz w:val="16"/>
          <w:szCs w:val="16"/>
          <w:b w:val="1"/>
          <w:bCs w:val="1"/>
          <w:color w:val="auto"/>
        </w:rPr>
        <w:t>SDN</w:t>
      </w:r>
      <w:r>
        <w:rPr>
          <w:rFonts w:ascii="Arial" w:cs="Arial" w:eastAsia="Arial" w:hAnsi="Arial"/>
          <w:sz w:val="16"/>
          <w:szCs w:val="16"/>
          <w:color w:val="auto"/>
        </w:rPr>
        <w:t>”) List maintained by the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or the Denied Persons or Entity Lists maintained by the Department of Commerce, Bureau of Industry and Security (“</w:t>
      </w:r>
      <w:r>
        <w:rPr>
          <w:rFonts w:ascii="Arial" w:cs="Arial" w:eastAsia="Arial" w:hAnsi="Arial"/>
          <w:sz w:val="16"/>
          <w:szCs w:val="16"/>
          <w:b w:val="1"/>
          <w:bCs w:val="1"/>
          <w:color w:val="auto"/>
        </w:rPr>
        <w:t>BIS</w:t>
      </w:r>
      <w:r>
        <w:rPr>
          <w:rFonts w:ascii="Arial" w:cs="Arial" w:eastAsia="Arial" w:hAnsi="Arial"/>
          <w:sz w:val="16"/>
          <w:szCs w:val="16"/>
          <w:color w:val="auto"/>
        </w:rPr>
        <w:t>”) (collectively “</w:t>
      </w:r>
      <w:r>
        <w:rPr>
          <w:rFonts w:ascii="Arial" w:cs="Arial" w:eastAsia="Arial" w:hAnsi="Arial"/>
          <w:sz w:val="16"/>
          <w:szCs w:val="16"/>
          <w:b w:val="1"/>
          <w:bCs w:val="1"/>
          <w:color w:val="auto"/>
        </w:rPr>
        <w:t>Sanctioned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Persons</w:t>
      </w:r>
      <w:r>
        <w:rPr>
          <w:rFonts w:ascii="Arial" w:cs="Arial" w:eastAsia="Arial" w:hAnsi="Arial"/>
          <w:sz w:val="16"/>
          <w:szCs w:val="16"/>
          <w:color w:val="auto"/>
        </w:rPr>
        <w:t>”); nor (b) located, organized or ordinarily resident in a U.S.-embargoed country or territory (currently Cuba, Iran, North</w:t>
      </w:r>
      <w:r>
        <w:rPr>
          <w:rFonts w:ascii="Arial" w:cs="Arial" w:eastAsia="Arial" w:hAnsi="Arial"/>
          <w:sz w:val="16"/>
          <w:szCs w:val="16"/>
          <w:b w:val="1"/>
          <w:bCs w:val="1"/>
          <w:color w:val="auto"/>
        </w:rPr>
        <w:t xml:space="preserve"> </w:t>
      </w:r>
      <w:r>
        <w:rPr>
          <w:rFonts w:ascii="Arial" w:cs="Arial" w:eastAsia="Arial" w:hAnsi="Arial"/>
          <w:sz w:val="16"/>
          <w:szCs w:val="16"/>
          <w:color w:val="auto"/>
        </w:rPr>
        <w:t>Korea, Sudan, Syria and the Crimea Region of Ukraine) (each, an “</w:t>
      </w:r>
      <w:r>
        <w:rPr>
          <w:rFonts w:ascii="Arial" w:cs="Arial" w:eastAsia="Arial" w:hAnsi="Arial"/>
          <w:sz w:val="16"/>
          <w:szCs w:val="16"/>
          <w:b w:val="1"/>
          <w:bCs w:val="1"/>
          <w:color w:val="auto"/>
        </w:rPr>
        <w:t>Embargoed Territory</w:t>
      </w:r>
      <w:r>
        <w:rPr>
          <w:rFonts w:ascii="Arial" w:cs="Arial" w:eastAsia="Arial" w:hAnsi="Arial"/>
          <w:sz w:val="16"/>
          <w:szCs w:val="16"/>
          <w:color w:val="auto"/>
        </w:rPr>
        <w:t>”). Unless otherwise authorized by a specific license, general license, exemption, or other authorization from the U.S. government, Partner shall not (a) sell a Partner Application or Combined Solution into or from, or permit Users (as defined in the OEM Addendum) to access or use any Partner Application or Combined Solution from, an Embargoed Territory; (b) engage in any transaction with, or allow access or use of any Partner Application or Combined Solution by, a Sanctioned Person, in connection with Partner’s activities contemplated by this Agreement; or (c) engage in any other activity or transaction pursuant to this Agreement that would be in violation of any</w:t>
      </w:r>
    </w:p>
    <w:p>
      <w:pPr>
        <w:spacing w:after="0" w:line="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U.S. export or economic sanctions law or regulation.</w:t>
      </w:r>
    </w:p>
    <w:p>
      <w:pPr>
        <w:spacing w:after="0" w:line="112" w:lineRule="exact"/>
        <w:rPr>
          <w:sz w:val="20"/>
          <w:szCs w:val="20"/>
          <w:color w:val="auto"/>
        </w:rPr>
      </w:pPr>
    </w:p>
    <w:p>
      <w:pPr>
        <w:ind w:left="1424" w:right="100" w:hanging="431"/>
        <w:spacing w:after="0" w:line="277" w:lineRule="auto"/>
        <w:rPr>
          <w:sz w:val="20"/>
          <w:szCs w:val="20"/>
          <w:color w:val="auto"/>
        </w:rPr>
      </w:pPr>
      <w:r>
        <w:rPr>
          <w:rFonts w:ascii="Arial" w:cs="Arial" w:eastAsia="Arial" w:hAnsi="Arial"/>
          <w:sz w:val="17"/>
          <w:szCs w:val="17"/>
          <w:b w:val="1"/>
          <w:bCs w:val="1"/>
          <w:color w:val="auto"/>
        </w:rPr>
        <w:t>13.3. Compliance with Anti-corruption Laws</w:t>
      </w:r>
      <w:r>
        <w:rPr>
          <w:rFonts w:ascii="Arial" w:cs="Arial" w:eastAsia="Arial" w:hAnsi="Arial"/>
          <w:sz w:val="17"/>
          <w:szCs w:val="17"/>
          <w:color w:val="auto"/>
        </w:rPr>
        <w:t>. Partner shall comply with the U.S. Foreign Corrupt Practices Act, the U.K. Bribery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anti-corruption laws of other countries, to the extent applicable. Partner hereby represents and warrants that, in its performance under this Agreement, Partner has not, and will not at any time, directly or indirectly (through a sub-Partner or other third party), pay, offer, give or promise to pay or give, or authorize the payment of, any monies or any other thing of value to secure an improper advantage or to improperly influence or reward the performance of any party.</w:t>
      </w:r>
    </w:p>
    <w:p>
      <w:pPr>
        <w:spacing w:after="0" w:line="73" w:lineRule="exact"/>
        <w:rPr>
          <w:sz w:val="20"/>
          <w:szCs w:val="20"/>
          <w:color w:val="auto"/>
        </w:rPr>
      </w:pPr>
    </w:p>
    <w:p>
      <w:pPr>
        <w:ind w:left="1424" w:hanging="431"/>
        <w:spacing w:after="0" w:line="255" w:lineRule="auto"/>
        <w:rPr>
          <w:sz w:val="20"/>
          <w:szCs w:val="20"/>
          <w:color w:val="auto"/>
        </w:rPr>
      </w:pPr>
      <w:r>
        <w:rPr>
          <w:rFonts w:ascii="Arial" w:cs="Arial" w:eastAsia="Arial" w:hAnsi="Arial"/>
          <w:sz w:val="18"/>
          <w:szCs w:val="18"/>
          <w:b w:val="1"/>
          <w:bCs w:val="1"/>
          <w:color w:val="auto"/>
        </w:rPr>
        <w:t>13.4. Consequences of Violation</w:t>
      </w:r>
      <w:r>
        <w:rPr>
          <w:rFonts w:ascii="Arial" w:cs="Arial" w:eastAsia="Arial" w:hAnsi="Arial"/>
          <w:sz w:val="18"/>
          <w:szCs w:val="18"/>
          <w:color w:val="auto"/>
        </w:rPr>
        <w:t>. Partner shall promptly inform SFDC in writing upon becoming aware of any potential violations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laws in connection with this Agreement. Partner hereby acknowledges and agrees that any violation by Partner of the Compliance with Trade Law and Ethical Brand Representation Standards and Compliance with Anti-Corruption Laws sections of this Agreement will constitute a material breach of this Agreement. In the event SFDC reasonably believes such a violation has occurred, SFDC will have the right to terminate this Agreement, without any liability whatsoever to Partner, immediately upon providing written notice of termination to Partner. Termination of this Agreement by SFDC under this section shall be in addition to, and not in lieu of, SFDC’s other legal rights and remedies.</w:t>
      </w:r>
    </w:p>
    <w:p>
      <w:pPr>
        <w:sectPr>
          <w:pgSz w:w="11900" w:h="16838" w:orient="portrait"/>
          <w:cols w:equalWidth="0" w:num="1">
            <w:col w:w="11004"/>
          </w:cols>
          <w:pgMar w:left="436" w:top="270" w:right="459" w:bottom="1440" w:gutter="0" w:footer="0" w:header="0"/>
        </w:sectPr>
      </w:pPr>
    </w:p>
    <w:bookmarkStart w:id="295" w:name="page296"/>
    <w:bookmarkEnd w:id="295"/>
    <w:p>
      <w:pPr>
        <w:ind w:left="1424" w:right="60" w:hanging="43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13.5. Training</w:t>
      </w:r>
      <w:r>
        <w:rPr>
          <w:rFonts w:ascii="Arial" w:cs="Arial" w:eastAsia="Arial" w:hAnsi="Arial"/>
          <w:sz w:val="18"/>
          <w:szCs w:val="18"/>
          <w:color w:val="auto"/>
        </w:rPr>
        <w:t>. To comply with applicable law and any obligations set forth in this Section 13 (Compliance), Partner agrees to implement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maintain an internal training program for its employees (and to the extent applicable, Partner’s contractors) to help ensure Partner’s compliance with applicable laws, including international anti-corruption laws such as the FCPA, the UK Bribery Act and local anti-corruption law as well as US export control law.</w:t>
      </w:r>
    </w:p>
    <w:p>
      <w:pPr>
        <w:spacing w:after="0" w:line="85" w:lineRule="exact"/>
        <w:rPr>
          <w:sz w:val="20"/>
          <w:szCs w:val="20"/>
          <w:color w:val="auto"/>
        </w:rPr>
      </w:pPr>
    </w:p>
    <w:p>
      <w:pPr>
        <w:ind w:left="1424" w:hanging="431"/>
        <w:spacing w:after="0" w:line="269" w:lineRule="auto"/>
        <w:rPr>
          <w:sz w:val="20"/>
          <w:szCs w:val="20"/>
          <w:color w:val="auto"/>
        </w:rPr>
      </w:pPr>
      <w:r>
        <w:rPr>
          <w:rFonts w:ascii="Arial" w:cs="Arial" w:eastAsia="Arial" w:hAnsi="Arial"/>
          <w:sz w:val="17"/>
          <w:szCs w:val="17"/>
          <w:b w:val="1"/>
          <w:bCs w:val="1"/>
          <w:color w:val="auto"/>
        </w:rPr>
        <w:t>13.6. Certification</w:t>
      </w:r>
      <w:r>
        <w:rPr>
          <w:rFonts w:ascii="Arial" w:cs="Arial" w:eastAsia="Arial" w:hAnsi="Arial"/>
          <w:sz w:val="17"/>
          <w:szCs w:val="17"/>
          <w:color w:val="auto"/>
        </w:rPr>
        <w:t>. Partner agrees to periodically</w:t>
      </w:r>
      <w:r>
        <w:rPr>
          <w:rFonts w:ascii="Arial" w:cs="Arial" w:eastAsia="Arial" w:hAnsi="Arial"/>
          <w:sz w:val="17"/>
          <w:szCs w:val="17"/>
          <w:b w:val="1"/>
          <w:bCs w:val="1"/>
          <w:color w:val="auto"/>
        </w:rPr>
        <w:t xml:space="preserve"> [***]</w:t>
      </w:r>
      <w:r>
        <w:rPr>
          <w:rFonts w:ascii="Arial" w:cs="Arial" w:eastAsia="Arial" w:hAnsi="Arial"/>
          <w:sz w:val="17"/>
          <w:szCs w:val="17"/>
          <w:color w:val="auto"/>
        </w:rPr>
        <w:t>, at SFDC’s request, complete SFDC’s Due Diligence Questionnaire and</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Certification. Partner agrees that, to comply with applicable laws, Partner and its employees and contractors participating on Partner’s behalf in the activities contemplated under this Agreement may be subject to periodic certification as determined by SFDC. Partner may be subject to additional due diligence, questions and training, as reasonably determined by SFDC. Without limiting the foregoing, to the extent that Partner or a Partner contractor has completed SFDC’s then-standard compliance certification (“</w:t>
      </w:r>
      <w:r>
        <w:rPr>
          <w:rFonts w:ascii="Arial" w:cs="Arial" w:eastAsia="Arial" w:hAnsi="Arial"/>
          <w:sz w:val="17"/>
          <w:szCs w:val="17"/>
          <w:b w:val="1"/>
          <w:bCs w:val="1"/>
          <w:color w:val="auto"/>
        </w:rPr>
        <w:t>Compliance Certification</w:t>
      </w:r>
      <w:r>
        <w:rPr>
          <w:rFonts w:ascii="Arial" w:cs="Arial" w:eastAsia="Arial" w:hAnsi="Arial"/>
          <w:sz w:val="17"/>
          <w:szCs w:val="17"/>
          <w:color w:val="auto"/>
        </w:rPr>
        <w:t>”), Partner and/or the contractor shall remain in full compliance with the terms of its Compliance Certification. If SFDC reasonably believes that Partner has violated or is violating the terms of its Compliance Certification, Partner shall cooperate in good faith with SFDC (i) in determining the existence, nature and extent of any such violation, and (ii) to undertake any actions required to correct the violation. In the event SFDC reasonably and in good faith disputes Partner’s certification or reasonably believes Partner has violated its obligations set forth herein, SFDC shall have the right to review Partner’s records to ensure compliance upon reasonable notice.</w:t>
      </w:r>
    </w:p>
    <w:p>
      <w:pPr>
        <w:spacing w:after="0" w:line="8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13.7. Cooperation. [***]</w:t>
      </w:r>
      <w:r>
        <w:rPr>
          <w:rFonts w:ascii="Arial" w:cs="Arial" w:eastAsia="Arial" w:hAnsi="Arial"/>
          <w:sz w:val="18"/>
          <w:szCs w:val="18"/>
          <w:color w:val="auto"/>
        </w:rPr>
        <w:t>.</w:t>
      </w:r>
    </w:p>
    <w:p>
      <w:pPr>
        <w:spacing w:after="0" w:line="252" w:lineRule="exact"/>
        <w:rPr>
          <w:sz w:val="20"/>
          <w:szCs w:val="20"/>
          <w:color w:val="auto"/>
        </w:rPr>
      </w:pPr>
    </w:p>
    <w:p>
      <w:pPr>
        <w:ind w:left="424" w:hanging="424"/>
        <w:spacing w:after="0"/>
        <w:tabs>
          <w:tab w:leader="none" w:pos="424"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ind w:left="1424" w:right="140" w:hanging="431"/>
        <w:spacing w:after="0" w:line="266" w:lineRule="auto"/>
        <w:rPr>
          <w:sz w:val="20"/>
          <w:szCs w:val="20"/>
          <w:color w:val="auto"/>
        </w:rPr>
      </w:pPr>
      <w:r>
        <w:rPr>
          <w:rFonts w:ascii="Arial" w:cs="Arial" w:eastAsia="Arial" w:hAnsi="Arial"/>
          <w:sz w:val="18"/>
          <w:szCs w:val="18"/>
          <w:b w:val="1"/>
          <w:bCs w:val="1"/>
          <w:color w:val="auto"/>
        </w:rPr>
        <w:t>14.1. Personnel; Use of Third Parties</w:t>
      </w:r>
      <w:r>
        <w:rPr>
          <w:rFonts w:ascii="Arial" w:cs="Arial" w:eastAsia="Arial" w:hAnsi="Arial"/>
          <w:sz w:val="18"/>
          <w:szCs w:val="18"/>
          <w:color w:val="auto"/>
        </w:rPr>
        <w:t>. Each Party will be responsible for the performance of its personnel (including its employees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and any third parties it uses in the performance of this Agreement, and the compliance of such personnel and third parties with such Party’s obligations under this Agreement.</w:t>
      </w:r>
    </w:p>
    <w:p>
      <w:pPr>
        <w:spacing w:after="0" w:line="81" w:lineRule="exact"/>
        <w:rPr>
          <w:sz w:val="20"/>
          <w:szCs w:val="20"/>
          <w:color w:val="auto"/>
        </w:rPr>
      </w:pPr>
    </w:p>
    <w:p>
      <w:pPr>
        <w:ind w:left="1424" w:right="640" w:hanging="431"/>
        <w:spacing w:after="0" w:line="266" w:lineRule="auto"/>
        <w:rPr>
          <w:sz w:val="20"/>
          <w:szCs w:val="20"/>
          <w:color w:val="auto"/>
        </w:rPr>
      </w:pPr>
      <w:r>
        <w:rPr>
          <w:rFonts w:ascii="Arial" w:cs="Arial" w:eastAsia="Arial" w:hAnsi="Arial"/>
          <w:sz w:val="18"/>
          <w:szCs w:val="18"/>
          <w:b w:val="1"/>
          <w:bCs w:val="1"/>
          <w:color w:val="auto"/>
        </w:rPr>
        <w:t>14.2. Relationship of the Parties</w:t>
      </w:r>
      <w:r>
        <w:rPr>
          <w:rFonts w:ascii="Arial" w:cs="Arial" w:eastAsia="Arial" w:hAnsi="Arial"/>
          <w:sz w:val="18"/>
          <w:szCs w:val="18"/>
          <w:color w:val="auto"/>
        </w:rPr>
        <w:t>. The Parties are non-exclusive, independent contractors, and nothing in this Agreement or done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Agreement will create or be construed to create a partnership, franchise, joint venture, agency, fiduciary or employment relationship between the Parties.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8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14.3. No Third Party Beneficiaries</w:t>
      </w:r>
      <w:r>
        <w:rPr>
          <w:rFonts w:ascii="Arial" w:cs="Arial" w:eastAsia="Arial" w:hAnsi="Arial"/>
          <w:sz w:val="18"/>
          <w:szCs w:val="18"/>
          <w:color w:val="auto"/>
        </w:rPr>
        <w:t>. There are no third party beneficiaries under this Agreement.</w:t>
      </w:r>
    </w:p>
    <w:p>
      <w:pPr>
        <w:spacing w:after="0" w:line="131" w:lineRule="exact"/>
        <w:rPr>
          <w:sz w:val="20"/>
          <w:szCs w:val="20"/>
          <w:color w:val="auto"/>
        </w:rPr>
      </w:pPr>
    </w:p>
    <w:p>
      <w:pPr>
        <w:ind w:left="1424" w:hanging="431"/>
        <w:spacing w:after="0" w:line="289" w:lineRule="auto"/>
        <w:rPr>
          <w:sz w:val="20"/>
          <w:szCs w:val="20"/>
          <w:color w:val="auto"/>
        </w:rPr>
      </w:pPr>
      <w:r>
        <w:rPr>
          <w:rFonts w:ascii="Arial" w:cs="Arial" w:eastAsia="Arial" w:hAnsi="Arial"/>
          <w:sz w:val="16"/>
          <w:szCs w:val="16"/>
          <w:b w:val="1"/>
          <w:bCs w:val="1"/>
          <w:color w:val="auto"/>
        </w:rPr>
        <w:t>14.4. Notices</w:t>
      </w:r>
      <w:r>
        <w:rPr>
          <w:rFonts w:ascii="Arial" w:cs="Arial" w:eastAsia="Arial" w:hAnsi="Arial"/>
          <w:sz w:val="16"/>
          <w:szCs w:val="16"/>
          <w:color w:val="auto"/>
        </w:rPr>
        <w:t>. Except as otherwise specified in this Agreement, all notices related to this Agreement will be in writing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upon (a) personal delivery, (b) the business day after mailing via overnight delivery service, (c) the second business day after mailing, (d) the second business day after sending by confirmed facsimile, or (e), except for notices of termination or an indemnifiable claim (“</w:t>
      </w:r>
      <w:r>
        <w:rPr>
          <w:rFonts w:ascii="Arial" w:cs="Arial" w:eastAsia="Arial" w:hAnsi="Arial"/>
          <w:sz w:val="16"/>
          <w:szCs w:val="16"/>
          <w:b w:val="1"/>
          <w:bCs w:val="1"/>
          <w:color w:val="auto"/>
        </w:rPr>
        <w:t>Legal Notices</w:t>
      </w:r>
      <w:r>
        <w:rPr>
          <w:rFonts w:ascii="Arial" w:cs="Arial" w:eastAsia="Arial" w:hAnsi="Arial"/>
          <w:sz w:val="16"/>
          <w:szCs w:val="16"/>
          <w:color w:val="auto"/>
        </w:rPr>
        <w:t>”), the day of sending by email. Notices to SFDC will be addressed to the attention of the Partner Program Manager, with a copy to SFDC’s General Counsel, at salesforce.com, inc., Salesforce Tower, 415 Mission Street, 3rd Floor, San Francisco, California, 94105; fax (415) 901-7040; legal@salesforce.com; or as updated by SFDC via written notice to Partner. Billing-related notices to Partner will be addressed to the relevant billing contact designated by Partner, and Legal Notices to Partner will be addressed to the address provided above and be clearly identifiable as Legal Notices. All other notices to Partner will be addressed to the relevant Relationship Manager or Distribution Services system administrator designated by Partner.</w:t>
      </w:r>
    </w:p>
    <w:p>
      <w:pPr>
        <w:spacing w:after="0" w:line="72" w:lineRule="exact"/>
        <w:rPr>
          <w:sz w:val="20"/>
          <w:szCs w:val="20"/>
          <w:color w:val="auto"/>
        </w:rPr>
      </w:pPr>
    </w:p>
    <w:p>
      <w:pPr>
        <w:ind w:left="984"/>
        <w:spacing w:after="0"/>
        <w:rPr>
          <w:sz w:val="20"/>
          <w:szCs w:val="20"/>
          <w:color w:val="auto"/>
        </w:rPr>
      </w:pPr>
      <w:r>
        <w:rPr>
          <w:rFonts w:ascii="Arial" w:cs="Arial" w:eastAsia="Arial" w:hAnsi="Arial"/>
          <w:sz w:val="17"/>
          <w:szCs w:val="17"/>
          <w:b w:val="1"/>
          <w:bCs w:val="1"/>
          <w:color w:val="auto"/>
        </w:rPr>
        <w:t>14.5. Waiver</w:t>
      </w:r>
      <w:r>
        <w:rPr>
          <w:rFonts w:ascii="Arial" w:cs="Arial" w:eastAsia="Arial" w:hAnsi="Arial"/>
          <w:sz w:val="17"/>
          <w:szCs w:val="17"/>
          <w:color w:val="auto"/>
        </w:rPr>
        <w:t>. No failure or delay by either Party in exercising any right under this Agreement will constitute a waiver of that right.</w:t>
      </w:r>
    </w:p>
    <w:p>
      <w:pPr>
        <w:spacing w:after="0" w:line="142" w:lineRule="exact"/>
        <w:rPr>
          <w:sz w:val="20"/>
          <w:szCs w:val="20"/>
          <w:color w:val="auto"/>
        </w:rPr>
      </w:pPr>
    </w:p>
    <w:p>
      <w:pPr>
        <w:ind w:left="1424" w:right="60" w:hanging="431"/>
        <w:spacing w:after="0" w:line="282" w:lineRule="auto"/>
        <w:rPr>
          <w:sz w:val="20"/>
          <w:szCs w:val="20"/>
          <w:color w:val="auto"/>
        </w:rPr>
      </w:pPr>
      <w:r>
        <w:rPr>
          <w:rFonts w:ascii="Arial" w:cs="Arial" w:eastAsia="Arial" w:hAnsi="Arial"/>
          <w:sz w:val="18"/>
          <w:szCs w:val="18"/>
          <w:b w:val="1"/>
          <w:bCs w:val="1"/>
          <w:color w:val="auto"/>
        </w:rPr>
        <w:t>14.6. Severability</w:t>
      </w:r>
      <w:r>
        <w:rPr>
          <w:rFonts w:ascii="Arial" w:cs="Arial" w:eastAsia="Arial" w:hAnsi="Arial"/>
          <w:sz w:val="18"/>
          <w:szCs w:val="18"/>
          <w:color w:val="auto"/>
        </w:rPr>
        <w:t>. If any provision of this Agreement is held by a court of competent jurisdiction to be contrary to law, the provision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null and void, and the remaining provisions of this Agreement will remain in effect.</w:t>
      </w:r>
    </w:p>
    <w:p>
      <w:pPr>
        <w:spacing w:after="0" w:line="67" w:lineRule="exact"/>
        <w:rPr>
          <w:sz w:val="20"/>
          <w:szCs w:val="20"/>
          <w:color w:val="auto"/>
        </w:rPr>
      </w:pPr>
    </w:p>
    <w:p>
      <w:pPr>
        <w:ind w:left="1424" w:hanging="431"/>
        <w:spacing w:after="0" w:line="273" w:lineRule="auto"/>
        <w:rPr>
          <w:sz w:val="20"/>
          <w:szCs w:val="20"/>
          <w:color w:val="auto"/>
        </w:rPr>
      </w:pPr>
      <w:r>
        <w:rPr>
          <w:rFonts w:ascii="Arial" w:cs="Arial" w:eastAsia="Arial" w:hAnsi="Arial"/>
          <w:sz w:val="17"/>
          <w:szCs w:val="17"/>
          <w:b w:val="1"/>
          <w:bCs w:val="1"/>
          <w:color w:val="auto"/>
        </w:rPr>
        <w:t>14.7. Assignment</w:t>
      </w:r>
      <w:r>
        <w:rPr>
          <w:rFonts w:ascii="Arial" w:cs="Arial" w:eastAsia="Arial" w:hAnsi="Arial"/>
          <w:sz w:val="17"/>
          <w:szCs w:val="17"/>
          <w:color w:val="auto"/>
        </w:rPr>
        <w:t>. Neither Party may assign any of its rights or obligations under this Agreement, whether by operation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otherwise, without the prior written consent of the other Party (not to be unreasonably withheld); provided however, either Party may assign this Agreement together with all rights and obligations hereunder, without consent of the other Party, in connection with a merger, acquisition, corporate reorganization, or sale of all or substantially all of its assets. Notwithstanding the foregoing, if a Party is acquired by, sells substantially all of its assets to, or undergoes a Change in Control in favor of, a direct competitor of the other Party, then such other Party may terminate this Agreement upon written notice </w:t>
      </w:r>
      <w:r>
        <w:rPr>
          <w:rFonts w:ascii="Arial" w:cs="Arial" w:eastAsia="Arial" w:hAnsi="Arial"/>
          <w:sz w:val="17"/>
          <w:szCs w:val="17"/>
          <w:b w:val="1"/>
          <w:bCs w:val="1"/>
          <w:color w:val="auto"/>
        </w:rPr>
        <w:t>[***]</w:t>
      </w:r>
      <w:r>
        <w:rPr>
          <w:rFonts w:ascii="Arial" w:cs="Arial" w:eastAsia="Arial" w:hAnsi="Arial"/>
          <w:sz w:val="17"/>
          <w:szCs w:val="17"/>
          <w:color w:val="auto"/>
        </w:rPr>
        <w:t>. Subject to the foregoing, this Agreement will bind and inure to the benefit of the Parties, their respective successors and permitted assigns.</w:t>
      </w:r>
    </w:p>
    <w:p>
      <w:pPr>
        <w:spacing w:after="0" w:line="77" w:lineRule="exact"/>
        <w:rPr>
          <w:sz w:val="20"/>
          <w:szCs w:val="20"/>
          <w:color w:val="auto"/>
        </w:rPr>
      </w:pPr>
    </w:p>
    <w:p>
      <w:pPr>
        <w:ind w:left="1424" w:right="80" w:hanging="431"/>
        <w:spacing w:after="0" w:line="256" w:lineRule="auto"/>
        <w:rPr>
          <w:sz w:val="20"/>
          <w:szCs w:val="20"/>
          <w:color w:val="auto"/>
        </w:rPr>
      </w:pPr>
      <w:r>
        <w:rPr>
          <w:rFonts w:ascii="Arial" w:cs="Arial" w:eastAsia="Arial" w:hAnsi="Arial"/>
          <w:sz w:val="18"/>
          <w:szCs w:val="18"/>
          <w:b w:val="1"/>
          <w:bCs w:val="1"/>
          <w:color w:val="auto"/>
        </w:rPr>
        <w:t>14.8. Entire Agreement</w:t>
      </w:r>
      <w:r>
        <w:rPr>
          <w:rFonts w:ascii="Arial" w:cs="Arial" w:eastAsia="Arial" w:hAnsi="Arial"/>
          <w:sz w:val="18"/>
          <w:szCs w:val="18"/>
          <w:color w:val="auto"/>
        </w:rPr>
        <w:t>. This Agreement, and each applicable Partner Category Addendum, constitute the entire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SFDC and Partner regarding Partner’s distribution of Partner Applications in combination with the Distribution Services as part of a Combined Solution and supersedes all prior and contemporaneous agreements, including the Prior Agreement, proposals or representations, written or oral, concerning its subject matter. The Parties agree that any term or condition stated in a Partner order form or in any other Partner order documentation, including a purchase order (but excluding Service Orders) is void. In the event of any conflict or inconsistency</w:t>
      </w:r>
    </w:p>
    <w:p>
      <w:pPr>
        <w:sectPr>
          <w:pgSz w:w="11900" w:h="16838" w:orient="portrait"/>
          <w:cols w:equalWidth="0" w:num="1">
            <w:col w:w="11004"/>
          </w:cols>
          <w:pgMar w:left="436" w:top="270" w:right="459" w:bottom="1440" w:gutter="0" w:footer="0" w:header="0"/>
        </w:sectPr>
      </w:pPr>
    </w:p>
    <w:bookmarkStart w:id="296" w:name="page297"/>
    <w:bookmarkEnd w:id="296"/>
    <w:p>
      <w:pPr>
        <w:ind w:lef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among the following documents, the order of precedence shall be: (1) the applicable Service Order, (2) any exhibit schedule or addendum to this Agreement, (3) the body of this Agreement, (4) the Documentation and SFDC Branding Guidelines, and (5) the Salesforce Partner Program Agreement entered into between Partner and SFDC.</w:t>
      </w:r>
    </w:p>
    <w:p>
      <w:pPr>
        <w:spacing w:after="0" w:line="85" w:lineRule="exact"/>
        <w:rPr>
          <w:sz w:val="20"/>
          <w:szCs w:val="20"/>
          <w:color w:val="auto"/>
        </w:rPr>
      </w:pPr>
    </w:p>
    <w:p>
      <w:pPr>
        <w:jc w:val="both"/>
        <w:ind w:left="420" w:right="60" w:hanging="431"/>
        <w:spacing w:after="0" w:line="266" w:lineRule="auto"/>
        <w:rPr>
          <w:sz w:val="20"/>
          <w:szCs w:val="20"/>
          <w:color w:val="auto"/>
        </w:rPr>
      </w:pPr>
      <w:r>
        <w:rPr>
          <w:rFonts w:ascii="Arial" w:cs="Arial" w:eastAsia="Arial" w:hAnsi="Arial"/>
          <w:sz w:val="18"/>
          <w:szCs w:val="18"/>
          <w:b w:val="1"/>
          <w:bCs w:val="1"/>
          <w:color w:val="auto"/>
        </w:rPr>
        <w:t>14.9. Governing Law</w:t>
      </w:r>
      <w:r>
        <w:rPr>
          <w:rFonts w:ascii="Arial" w:cs="Arial" w:eastAsia="Arial" w:hAnsi="Arial"/>
          <w:sz w:val="18"/>
          <w:szCs w:val="18"/>
          <w:color w:val="auto"/>
        </w:rPr>
        <w:t>. This Agreement, and any disputes arising out of or related hereto, will be governed exclusively by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California, without regard to its conflicts of laws rules or the United Nations Convention on the International Sale of Goods.</w:t>
      </w:r>
    </w:p>
    <w:p>
      <w:pPr>
        <w:spacing w:after="0" w:line="81" w:lineRule="exact"/>
        <w:rPr>
          <w:sz w:val="20"/>
          <w:szCs w:val="20"/>
          <w:color w:val="auto"/>
        </w:rPr>
      </w:pPr>
    </w:p>
    <w:p>
      <w:pPr>
        <w:ind w:left="440" w:right="20" w:hanging="458"/>
        <w:spacing w:after="0" w:line="282" w:lineRule="auto"/>
        <w:rPr>
          <w:sz w:val="20"/>
          <w:szCs w:val="20"/>
          <w:color w:val="auto"/>
        </w:rPr>
      </w:pPr>
      <w:r>
        <w:rPr>
          <w:rFonts w:ascii="Arial" w:cs="Arial" w:eastAsia="Arial" w:hAnsi="Arial"/>
          <w:sz w:val="18"/>
          <w:szCs w:val="18"/>
          <w:b w:val="1"/>
          <w:bCs w:val="1"/>
          <w:color w:val="auto"/>
        </w:rPr>
        <w:t>14.10.Venue</w:t>
      </w:r>
      <w:r>
        <w:rPr>
          <w:rFonts w:ascii="Arial" w:cs="Arial" w:eastAsia="Arial" w:hAnsi="Arial"/>
          <w:sz w:val="18"/>
          <w:szCs w:val="18"/>
          <w:color w:val="auto"/>
        </w:rPr>
        <w:t>. The state and federal courts located in San Francisco County, California will have exclusive jurisdiction over any dispute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this Agreement, and each party consents to the exclusive jurisdiction of those courts.</w:t>
      </w:r>
    </w:p>
    <w:p>
      <w:pPr>
        <w:spacing w:after="0" w:line="67" w:lineRule="exact"/>
        <w:rPr>
          <w:sz w:val="20"/>
          <w:szCs w:val="20"/>
          <w:color w:val="auto"/>
        </w:rPr>
      </w:pPr>
    </w:p>
    <w:p>
      <w:pPr>
        <w:ind w:left="420" w:right="400" w:hanging="445"/>
        <w:spacing w:after="0" w:line="282" w:lineRule="auto"/>
        <w:rPr>
          <w:sz w:val="20"/>
          <w:szCs w:val="20"/>
          <w:color w:val="auto"/>
        </w:rPr>
      </w:pPr>
      <w:r>
        <w:rPr>
          <w:rFonts w:ascii="Arial" w:cs="Arial" w:eastAsia="Arial" w:hAnsi="Arial"/>
          <w:sz w:val="18"/>
          <w:szCs w:val="18"/>
          <w:b w:val="1"/>
          <w:bCs w:val="1"/>
          <w:color w:val="auto"/>
        </w:rPr>
        <w:t>14.11.Counterparts and Delivery by Electronic Means</w:t>
      </w:r>
      <w:r>
        <w:rPr>
          <w:rFonts w:ascii="Arial" w:cs="Arial" w:eastAsia="Arial" w:hAnsi="Arial"/>
          <w:sz w:val="18"/>
          <w:szCs w:val="18"/>
          <w:color w:val="auto"/>
        </w:rPr>
        <w:t>. This Agreement may be executed electronically, via facsimile, email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signature, and in counterparts.</w:t>
      </w:r>
    </w:p>
    <w:p>
      <w:pPr>
        <w:sectPr>
          <w:pgSz w:w="11900" w:h="16838" w:orient="portrait"/>
          <w:cols w:equalWidth="0" w:num="1">
            <w:col w:w="9740"/>
          </w:cols>
          <w:pgMar w:left="1440" w:top="274" w:right="719" w:bottom="1440" w:gutter="0" w:footer="0" w:header="0"/>
        </w:sectPr>
      </w:pPr>
    </w:p>
    <w:bookmarkStart w:id="297" w:name="page298"/>
    <w:bookmarkEnd w:id="297"/>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OEM ADDENDUM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PARTNER APPLICATION DISTRIBUTION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Template last updated June 27,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w:t>
      </w:r>
    </w:p>
    <w:p>
      <w:pPr>
        <w:sectPr>
          <w:pgSz w:w="11900" w:h="16838" w:orient="portrait"/>
          <w:cols w:equalWidth="0" w:num="1">
            <w:col w:w="11020"/>
          </w:cols>
          <w:pgMar w:left="440" w:top="144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Partner Name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4480"/>
        <w:spacing w:after="0"/>
        <w:rPr>
          <w:sz w:val="20"/>
          <w:szCs w:val="20"/>
          <w:color w:val="auto"/>
        </w:rPr>
      </w:pPr>
      <w:r>
        <w:rPr>
          <w:rFonts w:ascii="Arial" w:cs="Arial" w:eastAsia="Arial" w:hAnsi="Arial"/>
          <w:sz w:val="16"/>
          <w:szCs w:val="16"/>
          <w:color w:val="auto"/>
        </w:rPr>
        <w:t>nCino, Inc.</w:t>
      </w:r>
    </w:p>
    <w:p>
      <w:pPr>
        <w:spacing w:after="0" w:line="136" w:lineRule="exact"/>
        <w:rPr>
          <w:sz w:val="20"/>
          <w:szCs w:val="20"/>
          <w:color w:val="auto"/>
        </w:rPr>
      </w:pPr>
    </w:p>
    <w:p>
      <w:pPr>
        <w:sectPr>
          <w:pgSz w:w="11900" w:h="16838" w:orient="portrait"/>
          <w:cols w:equalWidth="0" w:num="2">
            <w:col w:w="5020" w:space="720"/>
            <w:col w:w="5280"/>
          </w:cols>
          <w:pgMar w:left="440" w:top="144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Partner Application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nCino Bank Operating System</w:t>
      </w:r>
    </w:p>
    <w:p>
      <w:pPr>
        <w:spacing w:after="0" w:line="200" w:lineRule="exact"/>
        <w:rPr>
          <w:sz w:val="20"/>
          <w:szCs w:val="20"/>
          <w:color w:val="auto"/>
        </w:rPr>
      </w:pPr>
    </w:p>
    <w:p>
      <w:pPr>
        <w:sectPr>
          <w:pgSz w:w="11900" w:h="16838" w:orient="portrait"/>
          <w:cols w:equalWidth="0" w:num="2">
            <w:col w:w="5020" w:space="720"/>
            <w:col w:w="5280"/>
          </w:cols>
          <w:pgMar w:left="440" w:top="1440" w:right="439" w:bottom="1440" w:gutter="0" w:footer="0" w:header="0"/>
          <w:type w:val="continuous"/>
        </w:sectPr>
      </w:pPr>
    </w:p>
    <w:p>
      <w:pPr>
        <w:spacing w:after="0" w:line="4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OEM Addendum (“</w:t>
      </w:r>
      <w:r>
        <w:rPr>
          <w:rFonts w:ascii="Arial" w:cs="Arial" w:eastAsia="Arial" w:hAnsi="Arial"/>
          <w:sz w:val="16"/>
          <w:szCs w:val="16"/>
          <w:b w:val="1"/>
          <w:bCs w:val="1"/>
          <w:color w:val="auto"/>
        </w:rPr>
        <w:t>OEM Addendum</w:t>
      </w:r>
      <w:r>
        <w:rPr>
          <w:rFonts w:ascii="Arial" w:cs="Arial" w:eastAsia="Arial" w:hAnsi="Arial"/>
          <w:sz w:val="16"/>
          <w:szCs w:val="16"/>
          <w:color w:val="auto"/>
        </w:rPr>
        <w:t>”) amends and supplements the Partner Application Distribution Agreement (the “</w:t>
      </w:r>
      <w:r>
        <w:rPr>
          <w:rFonts w:ascii="Arial" w:cs="Arial" w:eastAsia="Arial" w:hAnsi="Arial"/>
          <w:sz w:val="16"/>
          <w:szCs w:val="16"/>
          <w:b w:val="1"/>
          <w:bCs w:val="1"/>
          <w:color w:val="auto"/>
        </w:rPr>
        <w:t>PADA</w:t>
      </w:r>
      <w:r>
        <w:rPr>
          <w:rFonts w:ascii="Arial" w:cs="Arial" w:eastAsia="Arial" w:hAnsi="Arial"/>
          <w:sz w:val="16"/>
          <w:szCs w:val="16"/>
          <w:color w:val="auto"/>
        </w:rPr>
        <w:t>”) (the PADA, together with this OEM Addendum, the “</w:t>
      </w:r>
      <w:r>
        <w:rPr>
          <w:rFonts w:ascii="Arial" w:cs="Arial" w:eastAsia="Arial" w:hAnsi="Arial"/>
          <w:sz w:val="16"/>
          <w:szCs w:val="16"/>
          <w:b w:val="1"/>
          <w:bCs w:val="1"/>
          <w:color w:val="auto"/>
        </w:rPr>
        <w:t>Agreement</w:t>
      </w:r>
      <w:r>
        <w:rPr>
          <w:rFonts w:ascii="Arial" w:cs="Arial" w:eastAsia="Arial" w:hAnsi="Arial"/>
          <w:sz w:val="16"/>
          <w:szCs w:val="16"/>
          <w:color w:val="auto"/>
        </w:rPr>
        <w:t>”) between Partner and SFDC (as defined in the Agreement). This OEM Addendum is effective as of the later of the dates beneath the parties’ signatures below (the “</w:t>
      </w:r>
      <w:r>
        <w:rPr>
          <w:rFonts w:ascii="Arial" w:cs="Arial" w:eastAsia="Arial" w:hAnsi="Arial"/>
          <w:sz w:val="16"/>
          <w:szCs w:val="16"/>
          <w:b w:val="1"/>
          <w:bCs w:val="1"/>
          <w:color w:val="auto"/>
        </w:rPr>
        <w:t>OEM Addendum Effective Date</w:t>
      </w:r>
      <w:r>
        <w:rPr>
          <w:rFonts w:ascii="Arial" w:cs="Arial" w:eastAsia="Arial" w:hAnsi="Arial"/>
          <w:sz w:val="16"/>
          <w:szCs w:val="16"/>
          <w:color w:val="auto"/>
        </w:rPr>
        <w:t>”); provided, however that if such dates are separated by more than thirty (30) days this OEM Addendum will be deemed null and void. Except as otherwise set forth herein, the terms of the PADA shall apply to this OEM Addendum, and capitalized terms used but not defined in this OEM Addendum shall have the meanings set forth in the PADA.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OEM Addendum is a “Partner Category Addendum” as such term is defined in the PADA.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parties’ authorized signatories have duly executed this OEM Addendum as of the OEM Addendum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SFDC</w:t>
            </w:r>
          </w:p>
        </w:tc>
        <w:tc>
          <w:tcPr>
            <w:tcW w:w="120" w:type="dxa"/>
            <w:vAlign w:val="bottom"/>
          </w:tcPr>
          <w:p>
            <w:pPr>
              <w:spacing w:after="0"/>
              <w:rPr>
                <w:sz w:val="20"/>
                <w:szCs w:val="20"/>
                <w:color w:val="auto"/>
              </w:rPr>
            </w:pPr>
          </w:p>
        </w:tc>
        <w:tc>
          <w:tcPr>
            <w:tcW w:w="5860" w:type="dxa"/>
            <w:vAlign w:val="bottom"/>
            <w:gridSpan w:val="3"/>
          </w:tcPr>
          <w:p>
            <w:pPr>
              <w:ind w:left="760"/>
              <w:spacing w:after="0"/>
              <w:rPr>
                <w:sz w:val="20"/>
                <w:szCs w:val="20"/>
                <w:color w:val="auto"/>
              </w:rPr>
            </w:pPr>
            <w:r>
              <w:rPr>
                <w:rFonts w:ascii="Arial" w:cs="Arial" w:eastAsia="Arial" w:hAnsi="Arial"/>
                <w:sz w:val="18"/>
                <w:szCs w:val="18"/>
                <w:b w:val="1"/>
                <w:bCs w:val="1"/>
                <w:color w:val="auto"/>
              </w:rPr>
              <w:t>Partner</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3"/>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4"/>
                <w:szCs w:val="24"/>
                <w:color w:val="auto"/>
              </w:rPr>
            </w:pPr>
          </w:p>
        </w:tc>
      </w:tr>
      <w:tr>
        <w:trPr>
          <w:trHeight w:val="425"/>
        </w:trPr>
        <w:tc>
          <w:tcPr>
            <w:tcW w:w="980" w:type="dxa"/>
            <w:vAlign w:val="bottom"/>
            <w:gridSpan w:val="3"/>
          </w:tcPr>
          <w:p>
            <w:pPr>
              <w:spacing w:after="0"/>
              <w:rPr>
                <w:sz w:val="20"/>
                <w:szCs w:val="20"/>
                <w:color w:val="auto"/>
              </w:rPr>
            </w:pPr>
            <w:r>
              <w:rPr>
                <w:rFonts w:ascii="Arial" w:cs="Arial" w:eastAsia="Arial" w:hAnsi="Arial"/>
                <w:sz w:val="18"/>
                <w:szCs w:val="18"/>
                <w:color w:val="auto"/>
              </w:rPr>
              <w:t>Print Name:</w:t>
            </w:r>
          </w:p>
        </w:tc>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Print Name:</w:t>
            </w:r>
          </w:p>
        </w:tc>
        <w:tc>
          <w:tcPr>
            <w:tcW w:w="4180" w:type="dxa"/>
            <w:vAlign w:val="bottom"/>
            <w:tcBorders>
              <w:bottom w:val="single" w:sz="8" w:color="auto"/>
            </w:tcBorders>
          </w:tcPr>
          <w:p>
            <w:pPr>
              <w:spacing w:after="0"/>
              <w:rPr>
                <w:sz w:val="24"/>
                <w:szCs w:val="24"/>
                <w:color w:val="auto"/>
              </w:rPr>
            </w:pPr>
          </w:p>
        </w:tc>
      </w:tr>
      <w:tr>
        <w:trPr>
          <w:trHeight w:val="425"/>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gridSpan w:val="2"/>
          </w:tcPr>
          <w:p>
            <w:pPr>
              <w:spacing w:after="0"/>
              <w:rPr>
                <w:sz w:val="24"/>
                <w:szCs w:val="24"/>
                <w:color w:val="auto"/>
              </w:rPr>
            </w:pPr>
          </w:p>
        </w:tc>
      </w:tr>
      <w:tr>
        <w:trPr>
          <w:trHeight w:val="412"/>
        </w:trPr>
        <w:tc>
          <w:tcPr>
            <w:tcW w:w="420" w:type="dxa"/>
            <w:vAlign w:val="bottom"/>
            <w:gridSpan w:val="2"/>
          </w:tcPr>
          <w:p>
            <w:pPr>
              <w:spacing w:after="0"/>
              <w:rPr>
                <w:sz w:val="20"/>
                <w:szCs w:val="20"/>
                <w:color w:val="auto"/>
              </w:rPr>
            </w:pPr>
            <w:r>
              <w:rPr>
                <w:rFonts w:ascii="Arial" w:cs="Arial" w:eastAsia="Arial" w:hAnsi="Arial"/>
                <w:sz w:val="18"/>
                <w:szCs w:val="18"/>
                <w:color w:val="auto"/>
                <w:w w:val="92"/>
              </w:rPr>
              <w:t>Date:</w:t>
            </w:r>
          </w:p>
        </w:tc>
        <w:tc>
          <w:tcPr>
            <w:tcW w:w="462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w w:val="92"/>
              </w:rPr>
              <w:t>Date:</w:t>
            </w:r>
          </w:p>
        </w:tc>
        <w:tc>
          <w:tcPr>
            <w:tcW w:w="4740" w:type="dxa"/>
            <w:vAlign w:val="bottom"/>
            <w:tcBorders>
              <w:bottom w:val="single" w:sz="8" w:color="auto"/>
            </w:tcBorders>
            <w:gridSpan w:val="2"/>
          </w:tcPr>
          <w:p>
            <w:pPr>
              <w:spacing w:after="0"/>
              <w:rPr>
                <w:sz w:val="24"/>
                <w:szCs w:val="24"/>
                <w:color w:val="auto"/>
              </w:rPr>
            </w:pPr>
          </w:p>
        </w:tc>
      </w:tr>
    </w:tbl>
    <w:p>
      <w:pPr>
        <w:sectPr>
          <w:pgSz w:w="11900" w:h="16838" w:orient="portrait"/>
          <w:cols w:equalWidth="0" w:num="1">
            <w:col w:w="11020"/>
          </w:cols>
          <w:pgMar w:left="440" w:top="1440" w:right="439" w:bottom="1440" w:gutter="0" w:footer="0" w:header="0"/>
          <w:type w:val="continuous"/>
        </w:sectPr>
      </w:pPr>
    </w:p>
    <w:bookmarkStart w:id="298" w:name="page299"/>
    <w:bookmarkEnd w:id="298"/>
    <w:p>
      <w:pPr>
        <w:ind w:left="424" w:hanging="424"/>
        <w:spacing w:after="0"/>
        <w:tabs>
          <w:tab w:leader="none" w:pos="424"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Definitions</w:t>
      </w:r>
    </w:p>
    <w:p>
      <w:pPr>
        <w:spacing w:after="0" w:line="225"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 User</w:t>
      </w:r>
      <w:r>
        <w:rPr>
          <w:rFonts w:ascii="Arial" w:cs="Arial" w:eastAsia="Arial" w:hAnsi="Arial"/>
          <w:sz w:val="18"/>
          <w:szCs w:val="18"/>
          <w:color w:val="auto"/>
        </w:rPr>
        <w:t>” means a subscription to an OEM Service that may be used by a Customer only to configure and administer the OEM Services in support of the Customer’s use of the Combined Solution. An Admin User may not be used to access, distribute, or use OEM Services to access standard objects through standard tabs and related lists in custom tabs through the SFDC web services API or through reports and dashboards. Standard objects include campaigns, leads, opportunities, cases, solutions and forecasts.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Agreement</w:t>
      </w:r>
      <w:r>
        <w:rPr>
          <w:rFonts w:ascii="Arial" w:cs="Arial" w:eastAsia="Arial" w:hAnsi="Arial"/>
          <w:sz w:val="18"/>
          <w:szCs w:val="18"/>
          <w:color w:val="auto"/>
        </w:rPr>
        <w:t>” has the meaning set forth in Section 9 (Customer Agreements).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Embedded Edition Restriction</w:t>
      </w:r>
      <w:r>
        <w:rPr>
          <w:rFonts w:ascii="Arial" w:cs="Arial" w:eastAsia="Arial" w:hAnsi="Arial"/>
          <w:sz w:val="18"/>
          <w:szCs w:val="18"/>
          <w:color w:val="auto"/>
        </w:rPr>
        <w:t>” means the terms set forth in Exhibit C hereto.</w:t>
      </w:r>
    </w:p>
    <w:p>
      <w:pPr>
        <w:spacing w:after="0" w:line="225" w:lineRule="exact"/>
        <w:rPr>
          <w:sz w:val="20"/>
          <w:szCs w:val="20"/>
          <w:color w:val="auto"/>
        </w:rPr>
      </w:pPr>
    </w:p>
    <w:p>
      <w:pPr>
        <w:ind w:left="4" w:right="3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OEM Services</w:t>
      </w:r>
      <w:r>
        <w:rPr>
          <w:rFonts w:ascii="Arial" w:cs="Arial" w:eastAsia="Arial" w:hAnsi="Arial"/>
          <w:sz w:val="17"/>
          <w:szCs w:val="17"/>
          <w:color w:val="auto"/>
        </w:rPr>
        <w:t>” means the Services that SFDC provides for the use or resale by Partner as part of a Combined Solution, as set forth in the Product Catalog and each Service Order accepted by SFDC. For the avoidance of doubt, the OEM Services are also Distribution Services.</w:t>
      </w:r>
    </w:p>
    <w:p>
      <w:pPr>
        <w:spacing w:after="0" w:line="140"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 Subscription</w:t>
      </w:r>
      <w:r>
        <w:rPr>
          <w:rFonts w:ascii="Arial" w:cs="Arial" w:eastAsia="Arial" w:hAnsi="Arial"/>
          <w:sz w:val="18"/>
          <w:szCs w:val="18"/>
          <w:color w:val="auto"/>
        </w:rPr>
        <w:t>” means a Force.com OEM Services subscription, or a subscription to other OEM Services designated in the Product Catalog as “fulfilling the 1:1 requirement” or similar designation.</w:t>
      </w:r>
    </w:p>
    <w:p>
      <w:pPr>
        <w:spacing w:after="0" w:line="162" w:lineRule="exact"/>
        <w:rPr>
          <w:sz w:val="20"/>
          <w:szCs w:val="20"/>
          <w:color w:val="auto"/>
        </w:rPr>
      </w:pPr>
    </w:p>
    <w:p>
      <w:pPr>
        <w:ind w:left="4" w:right="10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Product Catalog</w:t>
      </w:r>
      <w:r>
        <w:rPr>
          <w:rFonts w:ascii="Arial" w:cs="Arial" w:eastAsia="Arial" w:hAnsi="Arial"/>
          <w:sz w:val="17"/>
          <w:szCs w:val="17"/>
          <w:color w:val="auto"/>
        </w:rPr>
        <w:t xml:space="preserve">” means the listing of OEM Services, pricing and product specific terms that SFDC makes available for Partner to purchase pursuant to Service Orders, as set forth initially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as updated from time to time by SFDC in the Channel Order App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Provisioning Information</w:t>
      </w:r>
      <w:r>
        <w:rPr>
          <w:rFonts w:ascii="Arial" w:cs="Arial" w:eastAsia="Arial" w:hAnsi="Arial"/>
          <w:sz w:val="18"/>
          <w:szCs w:val="18"/>
          <w:color w:val="auto"/>
        </w:rPr>
        <w:t>” means the following information regarding the applicable Service Order:</w:t>
      </w:r>
    </w:p>
    <w:p>
      <w:pPr>
        <w:spacing w:after="0" w:line="135" w:lineRule="exact"/>
        <w:rPr>
          <w:sz w:val="20"/>
          <w:szCs w:val="20"/>
          <w:color w:val="auto"/>
        </w:rPr>
      </w:pPr>
    </w:p>
    <w:p>
      <w:pPr>
        <w:ind w:left="964" w:hanging="532"/>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Customer name and location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Org identification number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Name of OEM Services subscription type and quantity sold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Effective start date of Customer order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Term of Customer order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Auto-renewal (Y/N)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Date of Customer’s Acceptance of Customer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Date of Partner’s receipt of Customer order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Per User/month pricing (percentage of net revenue pricing only)</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Pass-Through Terms</w:t>
      </w:r>
      <w:r>
        <w:rPr>
          <w:rFonts w:ascii="Arial" w:cs="Arial" w:eastAsia="Arial" w:hAnsi="Arial"/>
          <w:sz w:val="18"/>
          <w:szCs w:val="18"/>
          <w:color w:val="auto"/>
        </w:rPr>
        <w:t xml:space="preserve">” means the SFDC Terms of Use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SFDC Terms of Use</w:t>
      </w:r>
      <w:r>
        <w:rPr>
          <w:rFonts w:ascii="Arial" w:cs="Arial" w:eastAsia="Arial" w:hAnsi="Arial"/>
          <w:sz w:val="18"/>
          <w:szCs w:val="18"/>
          <w:color w:val="auto"/>
        </w:rPr>
        <w:t xml:space="preserve">” means the terms that Partner must pass-through to the Customer set forth in Exhibit F-3 hereto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4" w:right="2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User</w:t>
      </w:r>
      <w:r>
        <w:rPr>
          <w:rFonts w:ascii="Arial" w:cs="Arial" w:eastAsia="Arial" w:hAnsi="Arial"/>
          <w:sz w:val="16"/>
          <w:szCs w:val="16"/>
          <w:color w:val="auto"/>
        </w:rPr>
        <w:t>” means an individual who is authorized by Customer to use a Service, for whom Customer has purchased a subscription (or in the case of any Services provided by SFDC or Partner without charge, for whom an Services subscription has been provisioned), and to whom Customer (or, when applicable, SFDC or Partner at Customer’s request) has supplied a user identification and password (for Services utilizing authentication). Users may include, for example, employees, consultants, contractors and agents of Customer, and third parties with which Customer transacts business.</w:t>
      </w:r>
    </w:p>
    <w:p>
      <w:pPr>
        <w:spacing w:after="0" w:line="178" w:lineRule="exact"/>
        <w:rPr>
          <w:sz w:val="20"/>
          <w:szCs w:val="20"/>
          <w:color w:val="auto"/>
        </w:rPr>
      </w:pPr>
    </w:p>
    <w:p>
      <w:pPr>
        <w:ind w:left="424" w:hanging="424"/>
        <w:spacing w:after="0"/>
        <w:tabs>
          <w:tab w:leader="none" w:pos="424"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134" w:lineRule="exact"/>
        <w:rPr>
          <w:rFonts w:ascii="Arial" w:cs="Arial" w:eastAsia="Arial" w:hAnsi="Arial"/>
          <w:sz w:val="18"/>
          <w:szCs w:val="18"/>
          <w:b w:val="1"/>
          <w:bCs w:val="1"/>
          <w:color w:val="auto"/>
        </w:rPr>
      </w:pPr>
    </w:p>
    <w:p>
      <w:pPr>
        <w:ind w:left="964" w:right="8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2.1 Subject to the terms and conditions of this Agreement, SFDC hereby grants to Partner a nonexclusive, nontransferable (except as set forth in this Agreement), non-sublicensable (except as set forth in this Agreement) right to market, demonstrate, resell and support OEM Services in connection with Partner Applications as part of a Combined Solution.</w:t>
      </w:r>
    </w:p>
    <w:p>
      <w:pPr>
        <w:spacing w:after="0" w:line="89" w:lineRule="exact"/>
        <w:rPr>
          <w:rFonts w:ascii="Arial" w:cs="Arial" w:eastAsia="Arial" w:hAnsi="Arial"/>
          <w:sz w:val="18"/>
          <w:szCs w:val="18"/>
          <w:b w:val="1"/>
          <w:bCs w:val="1"/>
          <w:color w:val="auto"/>
        </w:rPr>
      </w:pPr>
    </w:p>
    <w:p>
      <w:pPr>
        <w:ind w:left="964" w:right="2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2.2 Partner may not resell any Services other than the OEM Services and may not resell any such OEM Service(s) independent of a Combined Solution.</w:t>
      </w:r>
    </w:p>
    <w:p>
      <w:pPr>
        <w:spacing w:after="0" w:line="75"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2.3    The Partner Applications must provide substantial functionality that is not available through the Services alone.</w:t>
      </w:r>
    </w:p>
    <w:p>
      <w:pPr>
        <w:spacing w:after="0" w:line="130" w:lineRule="exact"/>
        <w:rPr>
          <w:rFonts w:ascii="Arial" w:cs="Arial" w:eastAsia="Arial" w:hAnsi="Arial"/>
          <w:sz w:val="18"/>
          <w:szCs w:val="18"/>
          <w:b w:val="1"/>
          <w:bCs w:val="1"/>
          <w:color w:val="auto"/>
        </w:rPr>
      </w:pPr>
    </w:p>
    <w:p>
      <w:pPr>
        <w:ind w:left="964" w:right="24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2.4 The Combined Solution must be provisioned to a unique Org for each Customer. A single Org may not contain Customer Data of, or be accessed by, more than one Customer.</w:t>
      </w:r>
    </w:p>
    <w:p>
      <w:pPr>
        <w:spacing w:after="0" w:line="75" w:lineRule="exact"/>
        <w:rPr>
          <w:rFonts w:ascii="Arial" w:cs="Arial" w:eastAsia="Arial" w:hAnsi="Arial"/>
          <w:sz w:val="18"/>
          <w:szCs w:val="18"/>
          <w:b w:val="1"/>
          <w:bCs w:val="1"/>
          <w:color w:val="auto"/>
        </w:rPr>
      </w:pPr>
    </w:p>
    <w:p>
      <w:pPr>
        <w:ind w:left="964"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2.5 Partner may not, without SFDC’s prior written consent (including pursuant to a separate written agreement), offer an application substantially similar to a Partner Application for use with Services, or any other services made available by SFDC that is not identified in a Partner Application Description.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964" w:right="200" w:hanging="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2.6 During and after the Term of this Agreement, to the extent that Partner creates an online application using the Services, Partner may not, without SFDC’s prior written consent, make available such application to third parties (i.e. other than Partner or its Affiliates) unless authorized pursuant to this Agreement and subject to the terms and conditions set forth herein or another written agreement between the Parties. Breach of this Section 2.6 will constitute a material breach of this Agreement.</w:t>
      </w:r>
    </w:p>
    <w:p>
      <w:pPr>
        <w:sectPr>
          <w:pgSz w:w="11900" w:h="16838" w:orient="portrait"/>
          <w:cols w:equalWidth="0" w:num="1">
            <w:col w:w="10984"/>
          </w:cols>
          <w:pgMar w:left="436" w:top="270" w:right="479" w:bottom="1440" w:gutter="0" w:footer="0" w:header="0"/>
        </w:sectPr>
      </w:pPr>
    </w:p>
    <w:bookmarkStart w:id="299" w:name="page300"/>
    <w:bookmarkEnd w:id="299"/>
    <w:p>
      <w:pPr>
        <w:ind w:left="964" w:right="580" w:hanging="539"/>
        <w:spacing w:after="0" w:line="277"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w:t>
      </w:r>
      <w:r>
        <w:rPr>
          <w:sz w:val="20"/>
          <w:szCs w:val="20"/>
          <w:color w:val="auto"/>
        </w:rPr>
        <w:tab/>
      </w:r>
      <w:r>
        <w:rPr>
          <w:rFonts w:ascii="Arial" w:cs="Arial" w:eastAsia="Arial" w:hAnsi="Arial"/>
          <w:sz w:val="18"/>
          <w:szCs w:val="18"/>
          <w:color w:val="auto"/>
        </w:rPr>
        <w:t>Unless otherwise specified in the Product Catalog or Service Order, OEM Services are purchased as User subscriptions and may be accessed by no more than the specified number of Users.</w:t>
      </w:r>
    </w:p>
    <w:p>
      <w:pPr>
        <w:spacing w:after="0" w:line="7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This Agreement does not grant Partner an internal use subscription for the Services.</w:t>
      </w:r>
    </w:p>
    <w:p>
      <w:pPr>
        <w:spacing w:after="0" w:line="248" w:lineRule="exact"/>
        <w:rPr>
          <w:sz w:val="20"/>
          <w:szCs w:val="20"/>
          <w:color w:val="auto"/>
        </w:rPr>
      </w:pPr>
    </w:p>
    <w:p>
      <w:pPr>
        <w:ind w:left="424" w:right="640" w:hanging="424"/>
        <w:spacing w:after="0" w:line="282" w:lineRule="auto"/>
        <w:tabs>
          <w:tab w:leader="none" w:pos="42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1:1 Requirement</w:t>
      </w:r>
      <w:r>
        <w:rPr>
          <w:rFonts w:ascii="Arial" w:cs="Arial" w:eastAsia="Arial" w:hAnsi="Arial"/>
          <w:sz w:val="18"/>
          <w:szCs w:val="18"/>
          <w:color w:val="auto"/>
        </w:rPr>
        <w:t>. Partner must sell one Platform Subscription with every one (1) subscription to a Partner Application it sells as part of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Solution. A breach of this Section 3 will constitute a material breach of this Agreement.</w:t>
      </w:r>
    </w:p>
    <w:p>
      <w:pPr>
        <w:spacing w:after="0" w:line="188" w:lineRule="exact"/>
        <w:rPr>
          <w:rFonts w:ascii="Arial" w:cs="Arial" w:eastAsia="Arial" w:hAnsi="Arial"/>
          <w:sz w:val="18"/>
          <w:szCs w:val="18"/>
          <w:b w:val="1"/>
          <w:bCs w:val="1"/>
          <w:color w:val="auto"/>
        </w:rPr>
      </w:pPr>
    </w:p>
    <w:p>
      <w:pPr>
        <w:ind w:left="424" w:hanging="424"/>
        <w:spacing w:after="0" w:line="261" w:lineRule="auto"/>
        <w:tabs>
          <w:tab w:leader="none" w:pos="42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Combined Solutions</w:t>
      </w:r>
      <w:r>
        <w:rPr>
          <w:rFonts w:ascii="Arial" w:cs="Arial" w:eastAsia="Arial" w:hAnsi="Arial"/>
          <w:sz w:val="18"/>
          <w:szCs w:val="18"/>
          <w:color w:val="auto"/>
        </w:rPr>
        <w:t>. Combined Solutions may only utilize the minimum number of OEM Services components (e.g., custom objects)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the applicable Partner Application. Customers may not increase the number of custom objects beyond that provided in the Partner Applications, nor may they develop applications for internal use or install additional applications in connection with the OEM Services included in the Combined Solution.</w:t>
      </w:r>
    </w:p>
    <w:p>
      <w:pPr>
        <w:spacing w:after="0" w:line="206" w:lineRule="exact"/>
        <w:rPr>
          <w:rFonts w:ascii="Arial" w:cs="Arial" w:eastAsia="Arial" w:hAnsi="Arial"/>
          <w:sz w:val="18"/>
          <w:szCs w:val="18"/>
          <w:b w:val="1"/>
          <w:bCs w:val="1"/>
          <w:color w:val="auto"/>
        </w:rPr>
      </w:pPr>
    </w:p>
    <w:p>
      <w:pPr>
        <w:ind w:left="424" w:hanging="424"/>
        <w:spacing w:after="0"/>
        <w:tabs>
          <w:tab w:leader="none" w:pos="42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Service Orders.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Delivery of Service Orders.</w:t>
      </w:r>
      <w:r>
        <w:rPr>
          <w:rFonts w:ascii="Arial" w:cs="Arial" w:eastAsia="Arial" w:hAnsi="Arial"/>
          <w:sz w:val="16"/>
          <w:szCs w:val="16"/>
          <w:color w:val="auto"/>
        </w:rPr>
        <w:t xml:space="preserve"> Partner will submit a complete and accurate Service Order to SFDC via SFDC’s Channel Order App (or such</w:t>
      </w:r>
    </w:p>
    <w:p>
      <w:pPr>
        <w:spacing w:after="0" w:line="50" w:lineRule="exact"/>
        <w:rPr>
          <w:rFonts w:ascii="Arial" w:cs="Arial" w:eastAsia="Arial" w:hAnsi="Arial"/>
          <w:sz w:val="18"/>
          <w:szCs w:val="18"/>
          <w:b w:val="1"/>
          <w:bCs w:val="1"/>
          <w:color w:val="auto"/>
        </w:rPr>
      </w:pPr>
    </w:p>
    <w:p>
      <w:pPr>
        <w:ind w:left="96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other method pre-approved by SFDC in writing) for all OEM Services subscriptions that Partner is required to purchase pursuant to Section 3 (1:1 Requirement) above. Each Service Order is subject to SFDC’s reasonable and good faith acceptance, which will not be unreasonably withheld or delayed </w:t>
      </w:r>
      <w:r>
        <w:rPr>
          <w:rFonts w:ascii="Arial" w:cs="Arial" w:eastAsia="Arial" w:hAnsi="Arial"/>
          <w:sz w:val="18"/>
          <w:szCs w:val="18"/>
          <w:b w:val="1"/>
          <w:bCs w:val="1"/>
          <w:color w:val="auto"/>
        </w:rPr>
        <w:t>[***]</w:t>
      </w:r>
      <w:r>
        <w:rPr>
          <w:rFonts w:ascii="Arial" w:cs="Arial" w:eastAsia="Arial" w:hAnsi="Arial"/>
          <w:sz w:val="18"/>
          <w:szCs w:val="18"/>
          <w:color w:val="auto"/>
        </w:rPr>
        <w:t>. For clarity, Service Orders entered into pursuant to the terms of the Prior Agreement will be considered Service Orders hereunder, and OEM Services subscriptions ordered under such Service Orders will be considered OEM Service subscriptions under this Agreement.</w:t>
      </w:r>
    </w:p>
    <w:p>
      <w:pPr>
        <w:spacing w:after="0" w:line="92" w:lineRule="exact"/>
        <w:rPr>
          <w:rFonts w:ascii="Arial" w:cs="Arial" w:eastAsia="Arial" w:hAnsi="Arial"/>
          <w:sz w:val="18"/>
          <w:szCs w:val="18"/>
          <w:b w:val="1"/>
          <w:bCs w:val="1"/>
          <w:color w:val="auto"/>
        </w:rPr>
      </w:pPr>
    </w:p>
    <w:p>
      <w:pPr>
        <w:jc w:val="both"/>
        <w:ind w:left="964" w:right="20" w:hanging="540"/>
        <w:spacing w:after="0" w:line="314" w:lineRule="auto"/>
        <w:rPr>
          <w:rFonts w:ascii="Arial" w:cs="Arial" w:eastAsia="Arial" w:hAnsi="Arial"/>
          <w:sz w:val="18"/>
          <w:szCs w:val="18"/>
          <w:b w:val="1"/>
          <w:bCs w:val="1"/>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Provisioning Information.</w:t>
      </w:r>
      <w:r>
        <w:rPr>
          <w:rFonts w:ascii="Arial" w:cs="Arial" w:eastAsia="Arial" w:hAnsi="Arial"/>
          <w:sz w:val="16"/>
          <w:szCs w:val="16"/>
          <w:color w:val="auto"/>
        </w:rPr>
        <w:t xml:space="preserve"> Each Service Order submitted via the Channel Order App must include the Provisioning Information. Partner represents and warrants that all such Provisioning Information submitted to SFDC will be true and correct and agrees to certify the same in writing, and to provide to SFDC copies of the documentation underlying the Provisioning Information, periodically, upon SFDC’s request.</w:t>
      </w:r>
    </w:p>
    <w:p>
      <w:pPr>
        <w:spacing w:after="0" w:line="47" w:lineRule="exact"/>
        <w:rPr>
          <w:rFonts w:ascii="Arial" w:cs="Arial" w:eastAsia="Arial" w:hAnsi="Arial"/>
          <w:sz w:val="18"/>
          <w:szCs w:val="18"/>
          <w:b w:val="1"/>
          <w:bCs w:val="1"/>
          <w:color w:val="auto"/>
        </w:rPr>
      </w:pPr>
    </w:p>
    <w:p>
      <w:pPr>
        <w:ind w:left="964" w:right="120" w:hanging="5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Trial Subscriptions.</w:t>
      </w:r>
      <w:r>
        <w:rPr>
          <w:rFonts w:ascii="Arial" w:cs="Arial" w:eastAsia="Arial" w:hAnsi="Arial"/>
          <w:sz w:val="17"/>
          <w:szCs w:val="17"/>
          <w:color w:val="auto"/>
        </w:rPr>
        <w:t xml:space="preserve"> Partner is not required to submit a Service Order to SFDC for Trial Subscriptions; provided, however, that Partner must submit the applicable Service Order to SFDC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expiration of a Trial Subscription to the extent Partner continues to provide the Partner Application. No more than five (5) Trial Subscriptions can be provisioned to an individual Customer.</w:t>
      </w:r>
    </w:p>
    <w:p>
      <w:pPr>
        <w:spacing w:after="0" w:line="63" w:lineRule="exact"/>
        <w:rPr>
          <w:rFonts w:ascii="Arial" w:cs="Arial" w:eastAsia="Arial" w:hAnsi="Arial"/>
          <w:sz w:val="18"/>
          <w:szCs w:val="18"/>
          <w:b w:val="1"/>
          <w:bCs w:val="1"/>
          <w:color w:val="auto"/>
        </w:rPr>
      </w:pPr>
    </w:p>
    <w:p>
      <w:pPr>
        <w:ind w:left="964" w:right="60" w:hanging="5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No Cancellation.</w:t>
      </w:r>
      <w:r>
        <w:rPr>
          <w:rFonts w:ascii="Arial" w:cs="Arial" w:eastAsia="Arial" w:hAnsi="Arial"/>
          <w:sz w:val="18"/>
          <w:szCs w:val="18"/>
          <w:color w:val="auto"/>
        </w:rPr>
        <w:t xml:space="preserve"> Service Orders are non-cancelable by Partner after acceptance by SFDC. The number of subscriptions specified in an accepted Service Order cannot be decreased prior to the end of the Service Order term, regardless of any termination, nonpayment, nonuse or other conduct or inaction on the part of the corresponding Customer.</w:t>
      </w:r>
    </w:p>
    <w:p>
      <w:pPr>
        <w:spacing w:after="0" w:line="81" w:lineRule="exact"/>
        <w:rPr>
          <w:rFonts w:ascii="Arial" w:cs="Arial" w:eastAsia="Arial" w:hAnsi="Arial"/>
          <w:sz w:val="18"/>
          <w:szCs w:val="18"/>
          <w:b w:val="1"/>
          <w:bCs w:val="1"/>
          <w:color w:val="auto"/>
        </w:rPr>
      </w:pPr>
    </w:p>
    <w:p>
      <w:pPr>
        <w:ind w:left="964" w:right="60" w:hanging="540"/>
        <w:spacing w:after="0" w:line="281" w:lineRule="auto"/>
        <w:rPr>
          <w:rFonts w:ascii="Arial" w:cs="Arial" w:eastAsia="Arial" w:hAnsi="Arial"/>
          <w:sz w:val="18"/>
          <w:szCs w:val="18"/>
          <w:b w:val="1"/>
          <w:bCs w:val="1"/>
          <w:color w:val="auto"/>
        </w:rPr>
      </w:pPr>
      <w:r>
        <w:rPr>
          <w:rFonts w:ascii="Arial" w:cs="Arial" w:eastAsia="Arial" w:hAnsi="Arial"/>
          <w:sz w:val="17"/>
          <w:szCs w:val="17"/>
          <w:color w:val="auto"/>
        </w:rPr>
        <w:t xml:space="preserve">5.5 </w:t>
      </w:r>
      <w:r>
        <w:rPr>
          <w:rFonts w:ascii="Arial" w:cs="Arial" w:eastAsia="Arial" w:hAnsi="Arial"/>
          <w:sz w:val="17"/>
          <w:szCs w:val="17"/>
          <w:b w:val="1"/>
          <w:bCs w:val="1"/>
          <w:color w:val="auto"/>
        </w:rPr>
        <w:t>Channel Order App Certification.</w:t>
      </w:r>
      <w:r>
        <w:rPr>
          <w:rFonts w:ascii="Arial" w:cs="Arial" w:eastAsia="Arial" w:hAnsi="Arial"/>
          <w:sz w:val="17"/>
          <w:szCs w:val="17"/>
          <w:color w:val="auto"/>
        </w:rPr>
        <w:t xml:space="preserve"> Partner agrees that its personnel who will be entering Service Orders via the Channel Order App will go through SFDC’s training process for the Channel Order App, including passing the related certification exam,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OEM Addendum Effective Date. In addition to the foregoing, any other Partner personnel who will be entering Service Orders via the Channel Order App will also have to complete such training and certification in a timely manner.</w:t>
      </w:r>
    </w:p>
    <w:p>
      <w:pPr>
        <w:spacing w:after="0" w:line="191" w:lineRule="exact"/>
        <w:rPr>
          <w:rFonts w:ascii="Arial" w:cs="Arial" w:eastAsia="Arial" w:hAnsi="Arial"/>
          <w:sz w:val="18"/>
          <w:szCs w:val="18"/>
          <w:b w:val="1"/>
          <w:bCs w:val="1"/>
          <w:color w:val="auto"/>
        </w:rPr>
      </w:pPr>
    </w:p>
    <w:p>
      <w:pPr>
        <w:ind w:left="424" w:hanging="424"/>
        <w:spacing w:after="0"/>
        <w:tabs>
          <w:tab w:leader="none" w:pos="42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OEM Services Subscriptions.</w:t>
      </w:r>
    </w:p>
    <w:p>
      <w:pPr>
        <w:spacing w:after="0" w:line="130" w:lineRule="exact"/>
        <w:rPr>
          <w:rFonts w:ascii="Arial" w:cs="Arial" w:eastAsia="Arial" w:hAnsi="Arial"/>
          <w:sz w:val="18"/>
          <w:szCs w:val="18"/>
          <w:b w:val="1"/>
          <w:bCs w:val="1"/>
          <w:color w:val="auto"/>
        </w:rPr>
      </w:pPr>
    </w:p>
    <w:p>
      <w:pPr>
        <w:ind w:left="964" w:right="80" w:hanging="540"/>
        <w:spacing w:after="0" w:line="314" w:lineRule="auto"/>
        <w:rPr>
          <w:rFonts w:ascii="Arial" w:cs="Arial" w:eastAsia="Arial" w:hAnsi="Arial"/>
          <w:sz w:val="18"/>
          <w:szCs w:val="18"/>
          <w:b w:val="1"/>
          <w:bCs w:val="1"/>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Subscription Term</w:t>
      </w:r>
      <w:r>
        <w:rPr>
          <w:rFonts w:ascii="Arial" w:cs="Arial" w:eastAsia="Arial" w:hAnsi="Arial"/>
          <w:sz w:val="16"/>
          <w:szCs w:val="16"/>
          <w:color w:val="auto"/>
        </w:rPr>
        <w:t xml:space="preserve">. The term of each OEM Services subscription and renewal thereof shall be </w:t>
      </w:r>
      <w:r>
        <w:rPr>
          <w:rFonts w:ascii="Arial" w:cs="Arial" w:eastAsia="Arial" w:hAnsi="Arial"/>
          <w:sz w:val="16"/>
          <w:szCs w:val="16"/>
          <w:b w:val="1"/>
          <w:bCs w:val="1"/>
          <w:color w:val="auto"/>
        </w:rPr>
        <w:t>[***]</w:t>
      </w:r>
      <w:r>
        <w:rPr>
          <w:rFonts w:ascii="Arial" w:cs="Arial" w:eastAsia="Arial" w:hAnsi="Arial"/>
          <w:sz w:val="16"/>
          <w:szCs w:val="16"/>
          <w:color w:val="auto"/>
        </w:rPr>
        <w:t>; provided, that if Partner has already resold one or more OEM Services subscriptions to such Customer, the term of each additional OEM Services subscription that Partner resells to such Customer (each, an “</w:t>
      </w:r>
      <w:r>
        <w:rPr>
          <w:rFonts w:ascii="Arial" w:cs="Arial" w:eastAsia="Arial" w:hAnsi="Arial"/>
          <w:sz w:val="16"/>
          <w:szCs w:val="16"/>
          <w:b w:val="1"/>
          <w:bCs w:val="1"/>
          <w:color w:val="auto"/>
        </w:rPr>
        <w:t>Add-On Subscription</w:t>
      </w:r>
      <w:r>
        <w:rPr>
          <w:rFonts w:ascii="Arial" w:cs="Arial" w:eastAsia="Arial" w:hAnsi="Arial"/>
          <w:sz w:val="16"/>
          <w:szCs w:val="16"/>
          <w:color w:val="auto"/>
        </w:rPr>
        <w:t>”) must coterminate with the term of such pre-existing Services subscriptions.</w:t>
      </w:r>
    </w:p>
    <w:p>
      <w:pPr>
        <w:spacing w:after="0" w:line="47"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Subscription Renewals.</w:t>
      </w:r>
      <w:r>
        <w:rPr>
          <w:rFonts w:ascii="Arial" w:cs="Arial" w:eastAsia="Arial" w:hAnsi="Arial"/>
          <w:sz w:val="17"/>
          <w:szCs w:val="17"/>
          <w:color w:val="auto"/>
        </w:rPr>
        <w:t xml:space="preserve"> Existing OEM Services subscriptions shall automatically renew unless terminated by (i) Partner by providing</w:t>
      </w:r>
    </w:p>
    <w:p>
      <w:pPr>
        <w:spacing w:after="0" w:line="38" w:lineRule="exact"/>
        <w:rPr>
          <w:rFonts w:ascii="Arial" w:cs="Arial" w:eastAsia="Arial" w:hAnsi="Arial"/>
          <w:sz w:val="18"/>
          <w:szCs w:val="18"/>
          <w:b w:val="1"/>
          <w:bCs w:val="1"/>
          <w:color w:val="auto"/>
        </w:rPr>
      </w:pPr>
    </w:p>
    <w:p>
      <w:pPr>
        <w:ind w:left="964" w:right="340" w:firstLine="8"/>
        <w:spacing w:after="0" w:line="260" w:lineRule="auto"/>
        <w:tabs>
          <w:tab w:leader="none" w:pos="1399" w:val="left"/>
        </w:tabs>
        <w:numPr>
          <w:ilvl w:val="1"/>
          <w:numId w:val="210"/>
        </w:numPr>
        <w:rPr>
          <w:rFonts w:ascii="Arial" w:cs="Arial" w:eastAsia="Arial" w:hAnsi="Arial"/>
          <w:sz w:val="18"/>
          <w:szCs w:val="18"/>
          <w:b w:val="1"/>
          <w:bCs w:val="1"/>
          <w:color w:val="auto"/>
        </w:rPr>
      </w:pPr>
      <w:r>
        <w:rPr>
          <w:rFonts w:ascii="Arial" w:cs="Arial" w:eastAsia="Arial" w:hAnsi="Arial"/>
          <w:sz w:val="18"/>
          <w:szCs w:val="18"/>
          <w:color w:val="auto"/>
        </w:rPr>
        <w:t xml:space="preserve">prior written notice to SFDC through the Channel Order App, or (ii) SFDC, in its reasonable discretion, by providing </w:t>
      </w:r>
      <w:r>
        <w:rPr>
          <w:rFonts w:ascii="Arial" w:cs="Arial" w:eastAsia="Arial" w:hAnsi="Arial"/>
          <w:sz w:val="18"/>
          <w:szCs w:val="18"/>
          <w:b w:val="1"/>
          <w:bCs w:val="1"/>
          <w:color w:val="auto"/>
        </w:rPr>
        <w:t>[***]</w:t>
      </w:r>
      <w:r>
        <w:rPr>
          <w:rFonts w:ascii="Arial" w:cs="Arial" w:eastAsia="Arial" w:hAnsi="Arial"/>
          <w:sz w:val="18"/>
          <w:szCs w:val="18"/>
          <w:color w:val="auto"/>
        </w:rPr>
        <w:t xml:space="preserve"> prior written notice to the Partner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8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Admin Subscriptions</w:t>
      </w:r>
      <w:r>
        <w:rPr>
          <w:rFonts w:ascii="Arial" w:cs="Arial" w:eastAsia="Arial" w:hAnsi="Arial"/>
          <w:sz w:val="16"/>
          <w:szCs w:val="16"/>
          <w:color w:val="auto"/>
        </w:rPr>
        <w:t>. SFDC will provision at least one Admin User Subscription to each Customer Org.</w:t>
      </w:r>
    </w:p>
    <w:p>
      <w:pPr>
        <w:spacing w:after="0" w:line="252" w:lineRule="exact"/>
        <w:rPr>
          <w:sz w:val="20"/>
          <w:szCs w:val="20"/>
          <w:color w:val="auto"/>
        </w:rPr>
      </w:pPr>
    </w:p>
    <w:p>
      <w:pPr>
        <w:ind w:left="424" w:hanging="424"/>
        <w:spacing w:after="0"/>
        <w:tabs>
          <w:tab w:leader="none" w:pos="424"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of OEM Services and Certain Limitations.</w:t>
      </w:r>
    </w:p>
    <w:p>
      <w:pPr>
        <w:spacing w:after="0" w:line="130" w:lineRule="exact"/>
        <w:rPr>
          <w:rFonts w:ascii="Arial" w:cs="Arial" w:eastAsia="Arial" w:hAnsi="Arial"/>
          <w:sz w:val="18"/>
          <w:szCs w:val="18"/>
          <w:b w:val="1"/>
          <w:bCs w:val="1"/>
          <w:color w:val="auto"/>
        </w:rPr>
      </w:pPr>
    </w:p>
    <w:p>
      <w:pPr>
        <w:ind w:left="964" w:right="20" w:hanging="54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Provision of OEM Services.</w:t>
      </w:r>
      <w:r>
        <w:rPr>
          <w:rFonts w:ascii="Arial" w:cs="Arial" w:eastAsia="Arial" w:hAnsi="Arial"/>
          <w:sz w:val="17"/>
          <w:szCs w:val="17"/>
          <w:color w:val="auto"/>
        </w:rPr>
        <w:t xml:space="preserve"> SFDC will use commercially reasonable efforts to make the online OEM Services available 24 hours a day, 7 days a week, except for: (a) planned downtime (of which SFDC shall give advance electronic notice as provided in the Documentation), and (b) any unavailability caused by circumstances beyond SFDC’s reasonable control, including, for example, an act of God, act of government, flood, fire, earthquake, civil unrest, act of terror, strike or other labor problem (other than one involving SFDC employees), Internet service provider failure or delay, Non-SFDC Application or denial of service attack.</w:t>
      </w:r>
    </w:p>
    <w:p>
      <w:pPr>
        <w:spacing w:after="0" w:line="194" w:lineRule="exact"/>
        <w:rPr>
          <w:rFonts w:ascii="Arial" w:cs="Arial" w:eastAsia="Arial" w:hAnsi="Arial"/>
          <w:sz w:val="18"/>
          <w:szCs w:val="18"/>
          <w:b w:val="1"/>
          <w:bCs w:val="1"/>
          <w:color w:val="auto"/>
        </w:rPr>
      </w:pPr>
    </w:p>
    <w:p>
      <w:pPr>
        <w:ind w:left="424" w:right="8320" w:hanging="424"/>
        <w:spacing w:after="0" w:line="423" w:lineRule="auto"/>
        <w:tabs>
          <w:tab w:leader="none" w:pos="424"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Fees, Invoicing and Payment. </w:t>
      </w:r>
      <w:r>
        <w:rPr>
          <w:rFonts w:ascii="Arial" w:cs="Arial" w:eastAsia="Arial" w:hAnsi="Arial"/>
          <w:sz w:val="18"/>
          <w:szCs w:val="18"/>
          <w:color w:val="auto"/>
        </w:rPr>
        <w:t xml:space="preserve">8.1 </w:t>
      </w:r>
      <w:r>
        <w:rPr>
          <w:rFonts w:ascii="Arial" w:cs="Arial" w:eastAsia="Arial" w:hAnsi="Arial"/>
          <w:sz w:val="18"/>
          <w:szCs w:val="18"/>
          <w:b w:val="1"/>
          <w:bCs w:val="1"/>
          <w:color w:val="auto"/>
        </w:rPr>
        <w:t>Fees</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300" w:name="page301"/>
    <w:bookmarkEnd w:id="300"/>
    <w:p>
      <w:pPr>
        <w:ind w:left="1744" w:right="740" w:hanging="539"/>
        <w:spacing w:after="0" w:line="277" w:lineRule="auto"/>
        <w:tabs>
          <w:tab w:leader="none" w:pos="17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8.1.1</w:t>
      </w:r>
      <w:r>
        <w:rPr>
          <w:sz w:val="20"/>
          <w:szCs w:val="20"/>
          <w:color w:val="auto"/>
        </w:rPr>
        <w:tab/>
      </w:r>
      <w:r>
        <w:rPr>
          <w:rFonts w:ascii="Arial" w:cs="Arial" w:eastAsia="Arial" w:hAnsi="Arial"/>
          <w:sz w:val="18"/>
          <w:szCs w:val="18"/>
          <w:color w:val="auto"/>
        </w:rPr>
        <w:t>Partner will pay SFDC fees for OEM Services as set forth in the applicable Service Order and in accordance with this Agreement.</w:t>
      </w:r>
    </w:p>
    <w:p>
      <w:pPr>
        <w:spacing w:after="0" w:line="76" w:lineRule="exact"/>
        <w:rPr>
          <w:sz w:val="20"/>
          <w:szCs w:val="20"/>
          <w:color w:val="auto"/>
        </w:rPr>
      </w:pPr>
    </w:p>
    <w:p>
      <w:pPr>
        <w:ind w:left="1744" w:hanging="539"/>
        <w:spacing w:after="0" w:line="256" w:lineRule="auto"/>
        <w:tabs>
          <w:tab w:leader="none" w:pos="1724"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8"/>
          <w:szCs w:val="18"/>
          <w:color w:val="auto"/>
        </w:rPr>
        <w:t xml:space="preserve">SFDC will invoice Partner on a </w:t>
      </w:r>
      <w:r>
        <w:rPr>
          <w:rFonts w:ascii="Arial" w:cs="Arial" w:eastAsia="Arial" w:hAnsi="Arial"/>
          <w:sz w:val="18"/>
          <w:szCs w:val="18"/>
          <w:b w:val="1"/>
          <w:bCs w:val="1"/>
          <w:color w:val="auto"/>
        </w:rPr>
        <w:t>[***]</w:t>
      </w:r>
      <w:r>
        <w:rPr>
          <w:rFonts w:ascii="Arial" w:cs="Arial" w:eastAsia="Arial" w:hAnsi="Arial"/>
          <w:sz w:val="18"/>
          <w:szCs w:val="18"/>
          <w:color w:val="auto"/>
        </w:rPr>
        <w:t xml:space="preserve"> set forth in the Service Orders for each Customer account. On or around the </w:t>
      </w:r>
      <w:r>
        <w:rPr>
          <w:rFonts w:ascii="Arial" w:cs="Arial" w:eastAsia="Arial" w:hAnsi="Arial"/>
          <w:sz w:val="18"/>
          <w:szCs w:val="18"/>
          <w:b w:val="1"/>
          <w:bCs w:val="1"/>
          <w:color w:val="auto"/>
        </w:rPr>
        <w:t>[***]</w:t>
      </w:r>
      <w:r>
        <w:rPr>
          <w:rFonts w:ascii="Arial" w:cs="Arial" w:eastAsia="Arial" w:hAnsi="Arial"/>
          <w:sz w:val="18"/>
          <w:szCs w:val="18"/>
          <w:color w:val="auto"/>
        </w:rPr>
        <w:t xml:space="preserve"> of each month, SFDC will provide Partner with an account statement (“</w:t>
      </w:r>
      <w:r>
        <w:rPr>
          <w:rFonts w:ascii="Arial" w:cs="Arial" w:eastAsia="Arial" w:hAnsi="Arial"/>
          <w:sz w:val="18"/>
          <w:szCs w:val="18"/>
          <w:b w:val="1"/>
          <w:bCs w:val="1"/>
          <w:color w:val="auto"/>
        </w:rPr>
        <w:t>Account Statement</w:t>
      </w:r>
      <w:r>
        <w:rPr>
          <w:rFonts w:ascii="Arial" w:cs="Arial" w:eastAsia="Arial" w:hAnsi="Arial"/>
          <w:sz w:val="18"/>
          <w:szCs w:val="18"/>
          <w:color w:val="auto"/>
        </w:rPr>
        <w:t xml:space="preserve">”) specifying the aggregate amounts due SFDC across all Customer accounts. Amounts invoiced under this OEM Addendum are due </w:t>
      </w:r>
      <w:r>
        <w:rPr>
          <w:rFonts w:ascii="Arial" w:cs="Arial" w:eastAsia="Arial" w:hAnsi="Arial"/>
          <w:sz w:val="18"/>
          <w:szCs w:val="18"/>
          <w:b w:val="1"/>
          <w:bCs w:val="1"/>
          <w:color w:val="auto"/>
        </w:rPr>
        <w:t>[***]</w:t>
      </w:r>
      <w:r>
        <w:rPr>
          <w:rFonts w:ascii="Arial" w:cs="Arial" w:eastAsia="Arial" w:hAnsi="Arial"/>
          <w:sz w:val="18"/>
          <w:szCs w:val="18"/>
          <w:color w:val="auto"/>
        </w:rPr>
        <w:t xml:space="preserve"> from receipt of the invoice (receipt deemed same day as sent, if sent via email), and paid by wire transfer once each month. With each wire transfer payment, Partner shall provide SFDC with a listing of the SFDC invoices that Partner is making payments against with such payment.</w:t>
      </w:r>
    </w:p>
    <w:p>
      <w:pPr>
        <w:spacing w:after="0" w:line="93"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b w:val="1"/>
          <w:bCs w:val="1"/>
          <w:color w:val="auto"/>
        </w:rPr>
        <w:t>8.1.3</w:t>
        <w:tab/>
        <w:t>[***].</w:t>
      </w:r>
    </w:p>
    <w:p>
      <w:pPr>
        <w:spacing w:after="0" w:line="131" w:lineRule="exact"/>
        <w:rPr>
          <w:sz w:val="20"/>
          <w:szCs w:val="20"/>
          <w:color w:val="auto"/>
        </w:rPr>
      </w:pPr>
    </w:p>
    <w:p>
      <w:pPr>
        <w:ind w:left="964" w:right="260" w:hanging="539"/>
        <w:spacing w:after="0" w:line="282" w:lineRule="auto"/>
        <w:tabs>
          <w:tab w:leader="none" w:pos="94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color w:val="auto"/>
        </w:rPr>
        <w:t>Customer Billing and Collection</w:t>
      </w:r>
      <w:r>
        <w:rPr>
          <w:rFonts w:ascii="Arial" w:cs="Arial" w:eastAsia="Arial" w:hAnsi="Arial"/>
          <w:sz w:val="18"/>
          <w:szCs w:val="18"/>
          <w:color w:val="auto"/>
        </w:rPr>
        <w:t>. Partner will be solely responsible for billing and collecting fees for the Combined Solution from all</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w:t>
      </w:r>
    </w:p>
    <w:p>
      <w:pPr>
        <w:spacing w:after="0" w:line="189" w:lineRule="exact"/>
        <w:rPr>
          <w:sz w:val="20"/>
          <w:szCs w:val="20"/>
          <w:color w:val="auto"/>
        </w:rPr>
      </w:pPr>
    </w:p>
    <w:p>
      <w:pPr>
        <w:ind w:left="424" w:hanging="424"/>
        <w:spacing w:after="0"/>
        <w:tabs>
          <w:tab w:leader="none" w:pos="424"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Customer Agreements.</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9.1    Customers will contract directly with Partner for use of the Combined Solution.</w:t>
      </w:r>
    </w:p>
    <w:p>
      <w:pPr>
        <w:spacing w:after="0" w:line="130" w:lineRule="exact"/>
        <w:rPr>
          <w:rFonts w:ascii="Arial" w:cs="Arial" w:eastAsia="Arial" w:hAnsi="Arial"/>
          <w:sz w:val="18"/>
          <w:szCs w:val="18"/>
          <w:b w:val="1"/>
          <w:bCs w:val="1"/>
          <w:color w:val="auto"/>
        </w:rPr>
      </w:pPr>
    </w:p>
    <w:p>
      <w:pPr>
        <w:ind w:left="964" w:right="44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 Partner agrees that it will directly enter into an agreement (either through an online click-through agreement allowing for tracking of acceptance or through a written agreement) with each Customer containing:</w:t>
      </w:r>
    </w:p>
    <w:p>
      <w:pPr>
        <w:spacing w:after="0" w:line="75" w:lineRule="exact"/>
        <w:rPr>
          <w:rFonts w:ascii="Arial" w:cs="Arial" w:eastAsia="Arial" w:hAnsi="Arial"/>
          <w:sz w:val="18"/>
          <w:szCs w:val="18"/>
          <w:b w:val="1"/>
          <w:bCs w:val="1"/>
          <w:color w:val="auto"/>
        </w:rPr>
      </w:pPr>
    </w:p>
    <w:p>
      <w:pPr>
        <w:ind w:left="2404" w:right="240" w:hanging="649"/>
        <w:spacing w:after="0" w:line="277" w:lineRule="auto"/>
        <w:tabs>
          <w:tab w:leader="none" w:pos="240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Other than as set forth in Section 9.5, the SFDC Terms of Use, or terms that are not materially different than or less protective of SFDC than the SFDC Terms of Use;</w:t>
      </w:r>
    </w:p>
    <w:p>
      <w:pPr>
        <w:spacing w:after="0" w:line="75" w:lineRule="exact"/>
        <w:rPr>
          <w:rFonts w:ascii="Arial" w:cs="Arial" w:eastAsia="Arial" w:hAnsi="Arial"/>
          <w:sz w:val="18"/>
          <w:szCs w:val="18"/>
          <w:color w:val="auto"/>
        </w:rPr>
      </w:pPr>
    </w:p>
    <w:p>
      <w:pPr>
        <w:ind w:left="2404" w:hanging="649"/>
        <w:spacing w:after="0"/>
        <w:tabs>
          <w:tab w:leader="none" w:pos="240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Other than as set forth in Section 9.5, the Embedded Edition Restriction; and</w:t>
      </w:r>
    </w:p>
    <w:p>
      <w:pPr>
        <w:spacing w:after="0" w:line="130" w:lineRule="exact"/>
        <w:rPr>
          <w:rFonts w:ascii="Arial" w:cs="Arial" w:eastAsia="Arial" w:hAnsi="Arial"/>
          <w:sz w:val="18"/>
          <w:szCs w:val="18"/>
          <w:color w:val="auto"/>
        </w:rPr>
      </w:pPr>
    </w:p>
    <w:p>
      <w:pPr>
        <w:ind w:left="2404" w:right="280" w:hanging="649"/>
        <w:spacing w:after="0" w:line="277" w:lineRule="auto"/>
        <w:tabs>
          <w:tab w:leader="none" w:pos="240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product specific terms specified by SFDC in the Product Catalog or the applicable Service Order for particular versions of the Services ((i), (ii) and (iii) together constitute the “</w:t>
      </w:r>
      <w:r>
        <w:rPr>
          <w:rFonts w:ascii="Arial" w:cs="Arial" w:eastAsia="Arial" w:hAnsi="Arial"/>
          <w:sz w:val="18"/>
          <w:szCs w:val="18"/>
          <w:b w:val="1"/>
          <w:bCs w:val="1"/>
          <w:color w:val="auto"/>
        </w:rPr>
        <w:t>Customer Agreement</w:t>
      </w:r>
      <w:r>
        <w:rPr>
          <w:rFonts w:ascii="Arial" w:cs="Arial" w:eastAsia="Arial" w:hAnsi="Arial"/>
          <w:sz w:val="18"/>
          <w:szCs w:val="18"/>
          <w:color w:val="auto"/>
        </w:rPr>
        <w:t>”).</w:t>
      </w:r>
    </w:p>
    <w:p>
      <w:pPr>
        <w:spacing w:after="0" w:line="170" w:lineRule="exact"/>
        <w:rPr>
          <w:sz w:val="20"/>
          <w:szCs w:val="20"/>
          <w:color w:val="auto"/>
        </w:rPr>
      </w:pPr>
    </w:p>
    <w:p>
      <w:pPr>
        <w:ind w:left="4" w:right="240"/>
        <w:spacing w:after="0" w:line="259" w:lineRule="auto"/>
        <w:rPr>
          <w:sz w:val="20"/>
          <w:szCs w:val="20"/>
          <w:color w:val="auto"/>
        </w:rPr>
      </w:pPr>
      <w:r>
        <w:rPr>
          <w:rFonts w:ascii="Arial" w:cs="Arial" w:eastAsia="Arial" w:hAnsi="Arial"/>
          <w:sz w:val="18"/>
          <w:szCs w:val="18"/>
          <w:color w:val="auto"/>
        </w:rPr>
        <w:t>For the avoidance of doubt, each Customer Agreement that Partner enters into with Customer must expressly state that the SFDC Terms of Use, Embedded Edition Restriction and product specific terms contained in such Customer Agreement are to the benefit of and enforceable by SFDC as a third party beneficiary. Except for the Customer Agreement, pricing and all other terms and conditions relating to Customers’ use of the Combined Solution will be solely between Customers and Partner.</w:t>
      </w:r>
    </w:p>
    <w:p>
      <w:pPr>
        <w:spacing w:after="0" w:line="92" w:lineRule="exact"/>
        <w:rPr>
          <w:sz w:val="20"/>
          <w:szCs w:val="20"/>
          <w:color w:val="auto"/>
        </w:rPr>
      </w:pPr>
    </w:p>
    <w:p>
      <w:pPr>
        <w:ind w:left="964" w:right="140" w:hanging="539"/>
        <w:spacing w:after="0" w:line="263" w:lineRule="auto"/>
        <w:tabs>
          <w:tab w:leader="none" w:pos="94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SFDC reserves the right to terminate any Service Order or suspend access to the Distribution Services if the applicable Customer is in breach of the Customer Agreement. In no case will any such termination or suspension give rise to any liability of SFDC to Partner or to the Customer, including for a refund or damages.</w:t>
      </w:r>
    </w:p>
    <w:p>
      <w:pPr>
        <w:spacing w:after="0" w:line="89" w:lineRule="exact"/>
        <w:rPr>
          <w:sz w:val="20"/>
          <w:szCs w:val="20"/>
          <w:color w:val="auto"/>
        </w:rPr>
      </w:pPr>
    </w:p>
    <w:p>
      <w:pPr>
        <w:ind w:left="964" w:right="100" w:hanging="539"/>
        <w:spacing w:after="0" w:line="257" w:lineRule="auto"/>
        <w:tabs>
          <w:tab w:leader="none" w:pos="94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Partner will prominently inform all Customers signing up for a Trial Subscription that registration information will be disclosed to SFDC and will be used by SFDC pursuant to its privacy policy available at http://www.salesforce.com. All data provided by a prospective Customer through a Trial Subscription will be treated by the Parties as that Customer’s Customer Data, and Partner will enable the Customer to access and download all of its Customer Data submitted, accessed or processed by the Partner Applications throughout the term of the Trial Subscription.</w:t>
      </w:r>
    </w:p>
    <w:p>
      <w:pPr>
        <w:spacing w:after="0" w:line="8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b w:val="1"/>
          <w:bCs w:val="1"/>
          <w:color w:val="auto"/>
        </w:rPr>
        <w:t>[***]</w:t>
      </w:r>
    </w:p>
    <w:p>
      <w:pPr>
        <w:spacing w:after="0" w:line="252" w:lineRule="exact"/>
        <w:rPr>
          <w:sz w:val="20"/>
          <w:szCs w:val="20"/>
          <w:color w:val="auto"/>
        </w:rPr>
      </w:pPr>
    </w:p>
    <w:p>
      <w:pPr>
        <w:jc w:val="both"/>
        <w:ind w:left="424" w:right="7520" w:hanging="424"/>
        <w:spacing w:after="0" w:line="440" w:lineRule="auto"/>
        <w:tabs>
          <w:tab w:leader="none" w:pos="424"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Customer Data and other Obligations. </w:t>
      </w:r>
      <w:r>
        <w:rPr>
          <w:rFonts w:ascii="Arial" w:cs="Arial" w:eastAsia="Arial" w:hAnsi="Arial"/>
          <w:sz w:val="16"/>
          <w:szCs w:val="16"/>
          <w:color w:val="auto"/>
        </w:rPr>
        <w:t xml:space="preserve">10.1 </w:t>
      </w:r>
      <w:r>
        <w:rPr>
          <w:rFonts w:ascii="Arial" w:cs="Arial" w:eastAsia="Arial" w:hAnsi="Arial"/>
          <w:sz w:val="16"/>
          <w:szCs w:val="16"/>
          <w:b w:val="1"/>
          <w:bCs w:val="1"/>
          <w:color w:val="auto"/>
        </w:rPr>
        <w:t>Additional Partner Obligations.</w:t>
      </w:r>
    </w:p>
    <w:p>
      <w:pPr>
        <w:ind w:left="1744" w:right="40" w:hanging="539"/>
        <w:spacing w:after="0" w:line="289" w:lineRule="auto"/>
        <w:rPr>
          <w:sz w:val="20"/>
          <w:szCs w:val="20"/>
          <w:color w:val="auto"/>
        </w:rPr>
      </w:pPr>
      <w:r>
        <w:rPr>
          <w:rFonts w:ascii="Arial" w:cs="Arial" w:eastAsia="Arial" w:hAnsi="Arial"/>
          <w:sz w:val="17"/>
          <w:szCs w:val="17"/>
          <w:b w:val="1"/>
          <w:bCs w:val="1"/>
          <w:color w:val="auto"/>
        </w:rPr>
        <w:t xml:space="preserve">10.1.1 </w:t>
      </w:r>
      <w:r>
        <w:rPr>
          <w:rFonts w:ascii="Arial" w:cs="Arial" w:eastAsia="Arial" w:hAnsi="Arial"/>
          <w:sz w:val="17"/>
          <w:szCs w:val="17"/>
          <w:color w:val="auto"/>
        </w:rPr>
        <w:t>Prior to accessing a Customer’s account and/or Customer Data in order to administer or configure the Combined Solution as an</w:t>
      </w:r>
      <w:r>
        <w:rPr>
          <w:rFonts w:ascii="Arial" w:cs="Arial" w:eastAsia="Arial" w:hAnsi="Arial"/>
          <w:sz w:val="17"/>
          <w:szCs w:val="17"/>
          <w:b w:val="1"/>
          <w:bCs w:val="1"/>
          <w:color w:val="auto"/>
        </w:rPr>
        <w:t xml:space="preserve"> </w:t>
      </w:r>
      <w:r>
        <w:rPr>
          <w:rFonts w:ascii="Arial" w:cs="Arial" w:eastAsia="Arial" w:hAnsi="Arial"/>
          <w:sz w:val="17"/>
          <w:szCs w:val="17"/>
          <w:color w:val="auto"/>
        </w:rPr>
        <w:t>Admin User or by other means, Partner must notify the applicable Customer in the Customer Agreement or in another agreement that Partner will have such access to the Customer’s account and/or Customer Data.</w:t>
      </w:r>
    </w:p>
    <w:p>
      <w:pPr>
        <w:spacing w:after="0" w:line="6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Additional SFDC Obligations.</w:t>
      </w:r>
    </w:p>
    <w:p>
      <w:pPr>
        <w:spacing w:after="0" w:line="131" w:lineRule="exact"/>
        <w:rPr>
          <w:sz w:val="20"/>
          <w:szCs w:val="20"/>
          <w:color w:val="auto"/>
        </w:rPr>
      </w:pPr>
    </w:p>
    <w:p>
      <w:pPr>
        <w:ind w:left="1744" w:right="20" w:hanging="539"/>
        <w:spacing w:after="0" w:line="277" w:lineRule="auto"/>
        <w:rPr>
          <w:sz w:val="20"/>
          <w:szCs w:val="20"/>
          <w:color w:val="auto"/>
        </w:rPr>
      </w:pPr>
      <w:r>
        <w:rPr>
          <w:rFonts w:ascii="Arial" w:cs="Arial" w:eastAsia="Arial" w:hAnsi="Arial"/>
          <w:sz w:val="17"/>
          <w:szCs w:val="17"/>
          <w:b w:val="1"/>
          <w:bCs w:val="1"/>
          <w:color w:val="auto"/>
        </w:rPr>
        <w:t xml:space="preserve">10.2.1 </w:t>
      </w:r>
      <w:r>
        <w:rPr>
          <w:rFonts w:ascii="Arial" w:cs="Arial" w:eastAsia="Arial" w:hAnsi="Arial"/>
          <w:sz w:val="17"/>
          <w:szCs w:val="17"/>
          <w:color w:val="auto"/>
        </w:rPr>
        <w:t>SFDC will maintain</w:t>
      </w:r>
      <w:r>
        <w:rPr>
          <w:rFonts w:ascii="Arial" w:cs="Arial" w:eastAsia="Arial" w:hAnsi="Arial"/>
          <w:sz w:val="17"/>
          <w:szCs w:val="17"/>
          <w:b w:val="1"/>
          <w:bCs w:val="1"/>
          <w:color w:val="auto"/>
        </w:rPr>
        <w:t xml:space="preserve"> [***] </w:t>
      </w:r>
      <w:r>
        <w:rPr>
          <w:rFonts w:ascii="Arial" w:cs="Arial" w:eastAsia="Arial" w:hAnsi="Arial"/>
          <w:sz w:val="17"/>
          <w:szCs w:val="17"/>
          <w:color w:val="auto"/>
        </w:rPr>
        <w:t>administrative, physical, and technical safeguards for protection of the security, confidentiality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integrity of Customer Data, as described in the Documentation. Those safeguards will include, but will not be limited to, measures for preventing access, use, modification or disclosure of Customer Data by SFDC personnel except (a) to provide the Services and prevent or address service or technical problems, (b) as compelled by law in accordance with the “Confidentiality: Compelled Disclosure” section below, or (c) as expressly permitted in writing by a Customer.</w:t>
      </w:r>
    </w:p>
    <w:p>
      <w:pPr>
        <w:spacing w:after="0" w:line="7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Einstein OEM Services and Features.</w:t>
      </w:r>
    </w:p>
    <w:p>
      <w:pPr>
        <w:spacing w:after="0" w:line="131" w:lineRule="exact"/>
        <w:rPr>
          <w:sz w:val="20"/>
          <w:szCs w:val="20"/>
          <w:color w:val="auto"/>
        </w:rPr>
      </w:pPr>
    </w:p>
    <w:p>
      <w:pPr>
        <w:ind w:left="1744" w:right="80" w:hanging="539"/>
        <w:spacing w:after="0" w:line="277" w:lineRule="auto"/>
        <w:rPr>
          <w:sz w:val="20"/>
          <w:szCs w:val="20"/>
          <w:color w:val="auto"/>
        </w:rPr>
      </w:pPr>
      <w:r>
        <w:rPr>
          <w:rFonts w:ascii="Arial" w:cs="Arial" w:eastAsia="Arial" w:hAnsi="Arial"/>
          <w:sz w:val="17"/>
          <w:szCs w:val="17"/>
          <w:b w:val="1"/>
          <w:bCs w:val="1"/>
          <w:color w:val="auto"/>
        </w:rPr>
        <w:t xml:space="preserve">10.3.1 Einstein Data Analytics. </w:t>
      </w:r>
      <w:r>
        <w:rPr>
          <w:rFonts w:ascii="Arial" w:cs="Arial" w:eastAsia="Arial" w:hAnsi="Arial"/>
          <w:sz w:val="17"/>
          <w:szCs w:val="17"/>
          <w:color w:val="auto"/>
        </w:rPr>
        <w:t>Partner acknowledges that SFDC may access Customer Data submitted to Services and features</w:t>
      </w:r>
      <w:r>
        <w:rPr>
          <w:rFonts w:ascii="Arial" w:cs="Arial" w:eastAsia="Arial" w:hAnsi="Arial"/>
          <w:sz w:val="17"/>
          <w:szCs w:val="17"/>
          <w:b w:val="1"/>
          <w:bCs w:val="1"/>
          <w:color w:val="auto"/>
        </w:rPr>
        <w:t xml:space="preserve"> </w:t>
      </w:r>
      <w:r>
        <w:rPr>
          <w:rFonts w:ascii="Arial" w:cs="Arial" w:eastAsia="Arial" w:hAnsi="Arial"/>
          <w:sz w:val="17"/>
          <w:szCs w:val="17"/>
          <w:color w:val="auto"/>
        </w:rPr>
        <w:t>branded as Einstein for the purpose of training and improving similar or related services and features and Partner, for itself and on behalf of its Customers, instructs SFDC to process its Customer Data for such purpose. SFDC retains all right, title, and interest in and to all system performance data, machine learning algorithms, and aggregated results of such machine learning. SFDC will not share any Customer Data with any other customers.</w:t>
      </w:r>
    </w:p>
    <w:p>
      <w:pPr>
        <w:sectPr>
          <w:pgSz w:w="11900" w:h="16838" w:orient="portrait"/>
          <w:cols w:equalWidth="0" w:num="1">
            <w:col w:w="10944"/>
          </w:cols>
          <w:pgMar w:left="436" w:top="270" w:right="519" w:bottom="1440" w:gutter="0" w:footer="0" w:header="0"/>
        </w:sectPr>
      </w:pPr>
    </w:p>
    <w:bookmarkStart w:id="301" w:name="page302"/>
    <w:bookmarkEnd w:id="301"/>
    <w:p>
      <w:pPr>
        <w:ind w:left="108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10.3.2 Acceptable Use and External-Facing Services Policy. </w:t>
      </w:r>
      <w:r>
        <w:rPr>
          <w:rFonts w:ascii="Arial" w:cs="Arial" w:eastAsia="Arial" w:hAnsi="Arial"/>
          <w:sz w:val="16"/>
          <w:szCs w:val="16"/>
          <w:color w:val="auto"/>
        </w:rPr>
        <w:t>Partner acknowledges and agrees that, in its use of Services and features</w:t>
      </w:r>
    </w:p>
    <w:p>
      <w:pPr>
        <w:spacing w:after="0" w:line="50" w:lineRule="exact"/>
        <w:rPr>
          <w:sz w:val="20"/>
          <w:szCs w:val="20"/>
          <w:color w:val="auto"/>
        </w:rPr>
      </w:pPr>
    </w:p>
    <w:p>
      <w:pPr>
        <w:ind w:left="1624"/>
        <w:spacing w:after="0"/>
        <w:rPr>
          <w:sz w:val="20"/>
          <w:szCs w:val="20"/>
          <w:color w:val="auto"/>
        </w:rPr>
      </w:pPr>
      <w:r>
        <w:rPr>
          <w:rFonts w:ascii="Arial" w:cs="Arial" w:eastAsia="Arial" w:hAnsi="Arial"/>
          <w:sz w:val="17"/>
          <w:szCs w:val="17"/>
          <w:color w:val="auto"/>
        </w:rPr>
        <w:t>branded as Einstein, Partner shall comply with the terms of the SFDC Terms of Use, including SFDC’s Acceptable Use and</w:t>
      </w:r>
    </w:p>
    <w:p>
      <w:pPr>
        <w:spacing w:after="0" w:line="21"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External-Facing Services Policy, which is set forth at</w:t>
      </w:r>
    </w:p>
    <w:p>
      <w:pPr>
        <w:spacing w:after="0" w:line="9" w:lineRule="exact"/>
        <w:rPr>
          <w:sz w:val="20"/>
          <w:szCs w:val="20"/>
          <w:color w:val="auto"/>
        </w:rPr>
      </w:pPr>
    </w:p>
    <w:p>
      <w:pPr>
        <w:ind w:left="1624"/>
        <w:spacing w:after="0"/>
        <w:rPr>
          <w:sz w:val="20"/>
          <w:szCs w:val="20"/>
          <w:color w:val="auto"/>
        </w:rPr>
      </w:pPr>
      <w:r>
        <w:rPr>
          <w:rFonts w:ascii="Arial" w:cs="Arial" w:eastAsia="Arial" w:hAnsi="Arial"/>
          <w:sz w:val="16"/>
          <w:szCs w:val="16"/>
          <w:u w:val="single" w:color="auto"/>
          <w:color w:val="auto"/>
        </w:rPr>
        <w:t>https://c1.sfdcstatic.com/content/dam/web/en_us/www/documents/legal/Agreements/policies/ExternalFacing_Services_Policy.pdf</w:t>
      </w:r>
    </w:p>
    <w:p>
      <w:pPr>
        <w:spacing w:after="0" w:line="32"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and incorporated herein by reference.</w:t>
      </w:r>
    </w:p>
    <w:p>
      <w:pPr>
        <w:spacing w:after="0" w:line="234" w:lineRule="exact"/>
        <w:rPr>
          <w:sz w:val="20"/>
          <w:szCs w:val="20"/>
          <w:color w:val="auto"/>
        </w:rPr>
      </w:pPr>
    </w:p>
    <w:p>
      <w:pPr>
        <w:ind w:left="424" w:hanging="424"/>
        <w:spacing w:after="0"/>
        <w:tabs>
          <w:tab w:leader="none" w:pos="424"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30" w:lineRule="exact"/>
        <w:rPr>
          <w:rFonts w:ascii="Arial" w:cs="Arial" w:eastAsia="Arial" w:hAnsi="Arial"/>
          <w:sz w:val="18"/>
          <w:szCs w:val="18"/>
          <w:b w:val="1"/>
          <w:bCs w:val="1"/>
          <w:color w:val="auto"/>
        </w:rPr>
      </w:pPr>
    </w:p>
    <w:p>
      <w:pPr>
        <w:ind w:left="964" w:right="40" w:hanging="5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11.1 The initial term of this OEM Addendum commences on the OEM Addendum Effective Date and ends seven (7) years thereafter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 unless terminated earlier by either Party as set forth in this Agreement. Thereafter, this OEM Addendum will automatically renew</w:t>
      </w:r>
      <w:r>
        <w:rPr>
          <w:rFonts w:ascii="Arial" w:cs="Arial" w:eastAsia="Arial" w:hAnsi="Arial"/>
          <w:sz w:val="16"/>
          <w:szCs w:val="16"/>
          <w:b w:val="1"/>
          <w:bCs w:val="1"/>
          <w:color w:val="auto"/>
        </w:rPr>
        <w:t xml:space="preserve"> </w:t>
      </w:r>
      <w:r>
        <w:rPr>
          <w:rFonts w:ascii="Arial" w:cs="Arial" w:eastAsia="Arial" w:hAnsi="Arial"/>
          <w:sz w:val="16"/>
          <w:szCs w:val="16"/>
          <w:color w:val="auto"/>
        </w:rPr>
        <w:t>for additional one (1) year periods (each a “</w:t>
      </w:r>
      <w:r>
        <w:rPr>
          <w:rFonts w:ascii="Arial" w:cs="Arial" w:eastAsia="Arial" w:hAnsi="Arial"/>
          <w:sz w:val="16"/>
          <w:szCs w:val="16"/>
          <w:b w:val="1"/>
          <w:bCs w:val="1"/>
          <w:color w:val="auto"/>
        </w:rPr>
        <w:t>Renewal Term</w:t>
      </w:r>
      <w:r>
        <w:rPr>
          <w:rFonts w:ascii="Arial" w:cs="Arial" w:eastAsia="Arial" w:hAnsi="Arial"/>
          <w:sz w:val="16"/>
          <w:szCs w:val="16"/>
          <w:color w:val="auto"/>
        </w:rPr>
        <w:t>”), unless terminated earlier by either Party pursuant to this Agreement or unless either Party gives notice of non-renewal to the other Party no later than [***] before the end of the Initial Term or the then-current Renewal Term. The Initial Term, all Renewal Terms and any Transition Period are referred to collectively as the “</w:t>
      </w:r>
      <w:r>
        <w:rPr>
          <w:rFonts w:ascii="Arial" w:cs="Arial" w:eastAsia="Arial" w:hAnsi="Arial"/>
          <w:sz w:val="16"/>
          <w:szCs w:val="16"/>
          <w:b w:val="1"/>
          <w:bCs w:val="1"/>
          <w:color w:val="auto"/>
        </w:rPr>
        <w:t>OEM Term</w:t>
      </w:r>
      <w:r>
        <w:rPr>
          <w:rFonts w:ascii="Arial" w:cs="Arial" w:eastAsia="Arial" w:hAnsi="Arial"/>
          <w:sz w:val="16"/>
          <w:szCs w:val="16"/>
          <w:color w:val="auto"/>
        </w:rPr>
        <w:t>.”</w:t>
      </w:r>
    </w:p>
    <w:p>
      <w:pPr>
        <w:spacing w:after="0" w:line="63" w:lineRule="exact"/>
        <w:rPr>
          <w:rFonts w:ascii="Arial" w:cs="Arial" w:eastAsia="Arial" w:hAnsi="Arial"/>
          <w:sz w:val="18"/>
          <w:szCs w:val="18"/>
          <w:b w:val="1"/>
          <w:bCs w:val="1"/>
          <w:color w:val="auto"/>
        </w:rPr>
      </w:pPr>
    </w:p>
    <w:p>
      <w:pPr>
        <w:ind w:left="964" w:right="100" w:hanging="5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11.2 Notwithstanding Section 7.3.2 of the PADA, if either Party elects not to renew this OEM Addendum pursuant to Section 11.1 of the OEM Addendum, the Parties will continue to perform their respective obligations under this Agreement, including payment obligations, so that all then-current Customers will continue to have full and complete access to the Combined Solution as set forth below:</w:t>
      </w:r>
    </w:p>
    <w:p>
      <w:pPr>
        <w:spacing w:after="0" w:line="36" w:lineRule="exact"/>
        <w:rPr>
          <w:rFonts w:ascii="Arial" w:cs="Arial" w:eastAsia="Arial" w:hAnsi="Arial"/>
          <w:sz w:val="18"/>
          <w:szCs w:val="18"/>
          <w:b w:val="1"/>
          <w:bCs w:val="1"/>
          <w:color w:val="auto"/>
        </w:rPr>
      </w:pPr>
    </w:p>
    <w:p>
      <w:pPr>
        <w:ind w:left="984" w:firstLine="7"/>
        <w:spacing w:after="0" w:line="282" w:lineRule="auto"/>
        <w:tabs>
          <w:tab w:leader="none" w:pos="119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Each Service Order in effect as of the date of expiration of this Agreement (an “</w:t>
      </w:r>
      <w:r>
        <w:rPr>
          <w:rFonts w:ascii="Arial" w:cs="Arial" w:eastAsia="Arial" w:hAnsi="Arial"/>
          <w:sz w:val="18"/>
          <w:szCs w:val="18"/>
          <w:b w:val="1"/>
          <w:bCs w:val="1"/>
          <w:color w:val="auto"/>
        </w:rPr>
        <w:t>Active Service Order</w:t>
      </w:r>
      <w:r>
        <w:rPr>
          <w:rFonts w:ascii="Arial" w:cs="Arial" w:eastAsia="Arial" w:hAnsi="Arial"/>
          <w:sz w:val="18"/>
          <w:szCs w:val="18"/>
          <w:color w:val="auto"/>
        </w:rPr>
        <w:t>”) will continue for the remainder of its then-current term.</w:t>
      </w:r>
    </w:p>
    <w:p>
      <w:pPr>
        <w:spacing w:after="0" w:line="57" w:lineRule="exact"/>
        <w:rPr>
          <w:rFonts w:ascii="Arial" w:cs="Arial" w:eastAsia="Arial" w:hAnsi="Arial"/>
          <w:sz w:val="18"/>
          <w:szCs w:val="18"/>
          <w:color w:val="auto"/>
        </w:rPr>
      </w:pPr>
    </w:p>
    <w:p>
      <w:pPr>
        <w:ind w:left="984" w:right="20" w:firstLine="7"/>
        <w:spacing w:after="0" w:line="279" w:lineRule="auto"/>
        <w:tabs>
          <w:tab w:leader="none" w:pos="1249"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Each Active Service Order may continue to automatically renew one or more times as set forth in Section 6.2 of the OEM Addendum for up to </w:t>
      </w:r>
      <w:r>
        <w:rPr>
          <w:rFonts w:ascii="Arial" w:cs="Arial" w:eastAsia="Arial" w:hAnsi="Arial"/>
          <w:sz w:val="17"/>
          <w:szCs w:val="17"/>
          <w:b w:val="1"/>
          <w:bCs w:val="1"/>
          <w:color w:val="auto"/>
        </w:rPr>
        <w:t>[***]</w:t>
      </w:r>
      <w:r>
        <w:rPr>
          <w:rFonts w:ascii="Arial" w:cs="Arial" w:eastAsia="Arial" w:hAnsi="Arial"/>
          <w:sz w:val="17"/>
          <w:szCs w:val="17"/>
          <w:color w:val="auto"/>
        </w:rPr>
        <w:t xml:space="preserve">, provided that all such renewals must end no later than </w:t>
      </w:r>
      <w:r>
        <w:rPr>
          <w:rFonts w:ascii="Arial" w:cs="Arial" w:eastAsia="Arial" w:hAnsi="Arial"/>
          <w:sz w:val="17"/>
          <w:szCs w:val="17"/>
          <w:b w:val="1"/>
          <w:bCs w:val="1"/>
          <w:color w:val="auto"/>
        </w:rPr>
        <w:t>[***]</w:t>
      </w:r>
      <w:r>
        <w:rPr>
          <w:rFonts w:ascii="Arial" w:cs="Arial" w:eastAsia="Arial" w:hAnsi="Arial"/>
          <w:sz w:val="17"/>
          <w:szCs w:val="17"/>
          <w:color w:val="auto"/>
        </w:rPr>
        <w:t xml:space="preserve">. For the avoidance of doubt, (i) all Service Orders must expire no later than </w:t>
      </w:r>
      <w:r>
        <w:rPr>
          <w:rFonts w:ascii="Arial" w:cs="Arial" w:eastAsia="Arial" w:hAnsi="Arial"/>
          <w:sz w:val="17"/>
          <w:szCs w:val="17"/>
          <w:b w:val="1"/>
          <w:bCs w:val="1"/>
          <w:color w:val="auto"/>
        </w:rPr>
        <w:t>[***]</w:t>
      </w:r>
      <w:r>
        <w:rPr>
          <w:rFonts w:ascii="Arial" w:cs="Arial" w:eastAsia="Arial" w:hAnsi="Arial"/>
          <w:sz w:val="17"/>
          <w:szCs w:val="17"/>
          <w:color w:val="auto"/>
        </w:rPr>
        <w:t xml:space="preserve"> following the date of expiration of this Agreement, and (ii) the PADA and OEM Addendum will continue to apply in full force and effect with respect to Service Orders in effect during the Extended Transition Period.</w:t>
      </w:r>
    </w:p>
    <w:p>
      <w:pPr>
        <w:spacing w:after="0" w:line="63" w:lineRule="exact"/>
        <w:rPr>
          <w:rFonts w:ascii="Arial" w:cs="Arial" w:eastAsia="Arial" w:hAnsi="Arial"/>
          <w:sz w:val="17"/>
          <w:szCs w:val="17"/>
          <w:color w:val="auto"/>
        </w:rPr>
      </w:pPr>
    </w:p>
    <w:p>
      <w:pPr>
        <w:ind w:left="984" w:right="80" w:firstLine="7"/>
        <w:spacing w:after="0" w:line="263" w:lineRule="auto"/>
        <w:tabs>
          <w:tab w:leader="none" w:pos="129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SFDC reserves the right to terminate the Customer relationship with any Customer that is in breach of its SFDC MSA during the Extended Transition Period. In no case will any such termination give rise to any liability of Salesforce to Partner or to the Customer for a refund or damages.</w:t>
      </w:r>
    </w:p>
    <w:p>
      <w:pPr>
        <w:spacing w:after="0" w:line="71" w:lineRule="exact"/>
        <w:rPr>
          <w:rFonts w:ascii="Arial" w:cs="Arial" w:eastAsia="Arial" w:hAnsi="Arial"/>
          <w:sz w:val="18"/>
          <w:szCs w:val="18"/>
          <w:color w:val="auto"/>
        </w:rPr>
      </w:pPr>
    </w:p>
    <w:p>
      <w:pPr>
        <w:ind w:left="1304" w:hanging="313"/>
        <w:spacing w:after="0"/>
        <w:tabs>
          <w:tab w:leader="none" w:pos="1304" w:val="left"/>
        </w:tabs>
        <w:numPr>
          <w:ilvl w:val="1"/>
          <w:numId w:val="21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24" w:right="120" w:hanging="424"/>
        <w:spacing w:after="0" w:line="347" w:lineRule="auto"/>
        <w:tabs>
          <w:tab w:leader="none" w:pos="424"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For the purposes of the section of this Agreement titled “Indemnification by Partner,” a “</w:t>
      </w:r>
      <w:r>
        <w:rPr>
          <w:rFonts w:ascii="Arial" w:cs="Arial" w:eastAsia="Arial" w:hAnsi="Arial"/>
          <w:sz w:val="16"/>
          <w:szCs w:val="16"/>
          <w:b w:val="1"/>
          <w:bCs w:val="1"/>
          <w:color w:val="auto"/>
        </w:rPr>
        <w:t>Claim Against SFDC</w:t>
      </w:r>
      <w:r>
        <w:rPr>
          <w:rFonts w:ascii="Arial" w:cs="Arial" w:eastAsia="Arial" w:hAnsi="Arial"/>
          <w:sz w:val="16"/>
          <w:szCs w:val="16"/>
          <w:color w:val="auto"/>
        </w:rPr>
        <w:t>” includes any</w:t>
      </w:r>
      <w:r>
        <w:rPr>
          <w:rFonts w:ascii="Arial" w:cs="Arial" w:eastAsia="Arial" w:hAnsi="Arial"/>
          <w:sz w:val="16"/>
          <w:szCs w:val="16"/>
          <w:b w:val="1"/>
          <w:bCs w:val="1"/>
          <w:color w:val="auto"/>
        </w:rPr>
        <w:t xml:space="preserve"> </w:t>
      </w:r>
      <w:r>
        <w:rPr>
          <w:rFonts w:ascii="Arial" w:cs="Arial" w:eastAsia="Arial" w:hAnsi="Arial"/>
          <w:sz w:val="16"/>
          <w:szCs w:val="16"/>
          <w:color w:val="auto"/>
        </w:rPr>
        <w:t>claim, demand, suit or proceeding made or brought against SFDC by a third party based upon a breach by Customer of the Customer Agreement.</w:t>
      </w:r>
    </w:p>
    <w:p>
      <w:pPr>
        <w:spacing w:after="0" w:line="142" w:lineRule="exact"/>
        <w:rPr>
          <w:rFonts w:ascii="Arial" w:cs="Arial" w:eastAsia="Arial" w:hAnsi="Arial"/>
          <w:sz w:val="16"/>
          <w:szCs w:val="16"/>
          <w:b w:val="1"/>
          <w:bCs w:val="1"/>
          <w:color w:val="auto"/>
        </w:rPr>
      </w:pPr>
    </w:p>
    <w:p>
      <w:pPr>
        <w:ind w:left="424" w:hanging="424"/>
        <w:spacing w:after="0"/>
        <w:tabs>
          <w:tab w:leader="none" w:pos="424"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OEM Addendum may be executed electronically and in counterparts.</w:t>
      </w:r>
    </w:p>
    <w:p>
      <w:pPr>
        <w:sectPr>
          <w:pgSz w:w="11900" w:h="16838" w:orient="portrait"/>
          <w:cols w:equalWidth="0" w:num="1">
            <w:col w:w="11004"/>
          </w:cols>
          <w:pgMar w:left="436" w:top="270" w:right="45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List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Product Catalog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Partner Application Description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Embedded Edition Restriction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Channel Partners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 Authorized Affiliates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F-1</w:t>
      </w:r>
      <w:r>
        <w:rPr>
          <w:rFonts w:ascii="Arial" w:cs="Arial" w:eastAsia="Arial" w:hAnsi="Arial"/>
          <w:sz w:val="18"/>
          <w:szCs w:val="18"/>
          <w:color w:val="auto"/>
        </w:rPr>
        <w:t>: Previous SFDC Service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F-2</w:t>
      </w:r>
      <w:r>
        <w:rPr>
          <w:rFonts w:ascii="Arial" w:cs="Arial" w:eastAsia="Arial" w:hAnsi="Arial"/>
          <w:sz w:val="18"/>
          <w:szCs w:val="18"/>
          <w:color w:val="auto"/>
        </w:rPr>
        <w:t>: Previous SFDC Service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F-3</w:t>
      </w:r>
      <w:r>
        <w:rPr>
          <w:rFonts w:ascii="Arial" w:cs="Arial" w:eastAsia="Arial" w:hAnsi="Arial"/>
          <w:sz w:val="18"/>
          <w:szCs w:val="18"/>
          <w:color w:val="auto"/>
        </w:rPr>
        <w:t>: SFDC Terms of Use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G-1</w:t>
      </w:r>
      <w:r>
        <w:rPr>
          <w:rFonts w:ascii="Arial" w:cs="Arial" w:eastAsia="Arial" w:hAnsi="Arial"/>
          <w:sz w:val="18"/>
          <w:szCs w:val="18"/>
          <w:color w:val="auto"/>
        </w:rPr>
        <w:t>: Customer Specific Terms for [***] Bank [***]</w:t>
      </w:r>
    </w:p>
    <w:p>
      <w:pPr>
        <w:spacing w:after="0" w:line="117" w:lineRule="exact"/>
        <w:rPr>
          <w:sz w:val="20"/>
          <w:szCs w:val="20"/>
          <w:color w:val="auto"/>
        </w:rPr>
      </w:pPr>
    </w:p>
    <w:p>
      <w:pPr>
        <w:jc w:val="right"/>
        <w:ind w:right="1579"/>
        <w:spacing w:after="0"/>
        <w:rPr>
          <w:sz w:val="20"/>
          <w:szCs w:val="20"/>
          <w:color w:val="auto"/>
        </w:rPr>
      </w:pPr>
      <w:r>
        <w:rPr>
          <w:rFonts w:ascii="Arial" w:cs="Arial" w:eastAsia="Arial" w:hAnsi="Arial"/>
          <w:sz w:val="18"/>
          <w:szCs w:val="18"/>
          <w:u w:val="single" w:color="auto"/>
          <w:color w:val="auto"/>
        </w:rPr>
        <w:t>Attachment 1 to Exhibit G-1</w:t>
      </w:r>
      <w:r>
        <w:rPr>
          <w:rFonts w:ascii="Arial" w:cs="Arial" w:eastAsia="Arial" w:hAnsi="Arial"/>
          <w:sz w:val="18"/>
          <w:szCs w:val="18"/>
          <w:color w:val="auto"/>
        </w:rPr>
        <w:t>: Customer Specific Terms for [***] Bank [***]: Service Level Addendum</w:t>
      </w:r>
    </w:p>
    <w:p>
      <w:pPr>
        <w:spacing w:after="0" w:line="117" w:lineRule="exact"/>
        <w:rPr>
          <w:sz w:val="20"/>
          <w:szCs w:val="20"/>
          <w:color w:val="auto"/>
        </w:rPr>
      </w:pPr>
    </w:p>
    <w:p>
      <w:pPr>
        <w:ind w:left="980"/>
        <w:spacing w:after="0"/>
        <w:tabs>
          <w:tab w:leader="none" w:pos="3260" w:val="left"/>
        </w:tabs>
        <w:rPr>
          <w:sz w:val="20"/>
          <w:szCs w:val="20"/>
          <w:color w:val="auto"/>
        </w:rPr>
      </w:pPr>
      <w:r>
        <w:rPr>
          <w:rFonts w:ascii="Arial" w:cs="Arial" w:eastAsia="Arial" w:hAnsi="Arial"/>
          <w:sz w:val="18"/>
          <w:szCs w:val="18"/>
          <w:u w:val="single" w:color="auto"/>
          <w:color w:val="auto"/>
        </w:rPr>
        <w:t>Attachment 2 to Exhibit G-1</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Customer Specific Terms for [***] Bank [***]</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G-2</w:t>
      </w:r>
      <w:r>
        <w:rPr>
          <w:rFonts w:ascii="Arial" w:cs="Arial" w:eastAsia="Arial" w:hAnsi="Arial"/>
          <w:sz w:val="18"/>
          <w:szCs w:val="18"/>
          <w:color w:val="auto"/>
        </w:rPr>
        <w:t>: Customer Specific Terms for Bank [***]</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Attachment 1 to Exhibit G-2</w:t>
      </w:r>
      <w:r>
        <w:rPr>
          <w:rFonts w:ascii="Arial" w:cs="Arial" w:eastAsia="Arial" w:hAnsi="Arial"/>
          <w:sz w:val="18"/>
          <w:szCs w:val="18"/>
          <w:color w:val="auto"/>
        </w:rPr>
        <w:t>: Business Continuity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G-3</w:t>
      </w:r>
      <w:r>
        <w:rPr>
          <w:rFonts w:ascii="Arial" w:cs="Arial" w:eastAsia="Arial" w:hAnsi="Arial"/>
          <w:sz w:val="18"/>
          <w:szCs w:val="18"/>
          <w:color w:val="auto"/>
        </w:rPr>
        <w:t>: Customer Specific Terms for: [***] Bank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H</w:t>
      </w:r>
      <w:r>
        <w:rPr>
          <w:rFonts w:ascii="Arial" w:cs="Arial" w:eastAsia="Arial" w:hAnsi="Arial"/>
          <w:sz w:val="18"/>
          <w:szCs w:val="18"/>
          <w:color w:val="auto"/>
        </w:rPr>
        <w:t>: Service Level Addendum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I</w:t>
      </w:r>
      <w:r>
        <w:rPr>
          <w:rFonts w:ascii="Arial" w:cs="Arial" w:eastAsia="Arial" w:hAnsi="Arial"/>
          <w:sz w:val="18"/>
          <w:szCs w:val="18"/>
          <w:color w:val="auto"/>
        </w:rPr>
        <w:t>: Public Cloud Infrastructure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Attachment 1 to Exhibit I</w:t>
      </w:r>
      <w:r>
        <w:rPr>
          <w:rFonts w:ascii="Arial" w:cs="Arial" w:eastAsia="Arial" w:hAnsi="Arial"/>
          <w:sz w:val="18"/>
          <w:szCs w:val="18"/>
          <w:color w:val="auto"/>
        </w:rPr>
        <w:t>: Covered Customers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 J</w:t>
      </w:r>
      <w:r>
        <w:rPr>
          <w:rFonts w:ascii="Arial" w:cs="Arial" w:eastAsia="Arial" w:hAnsi="Arial"/>
          <w:sz w:val="18"/>
          <w:szCs w:val="18"/>
          <w:color w:val="auto"/>
        </w:rPr>
        <w:t>: Data Processing Addendum</w:t>
      </w:r>
    </w:p>
    <w:p>
      <w:pPr>
        <w:sectPr>
          <w:pgSz w:w="11900" w:h="16838" w:orient="portrait"/>
          <w:cols w:equalWidth="0" w:num="1">
            <w:col w:w="10019"/>
          </w:cols>
          <w:pgMar w:left="440" w:top="274" w:right="1440" w:bottom="1440" w:gutter="0" w:footer="0" w:header="0"/>
        </w:sectPr>
      </w:pPr>
    </w:p>
    <w:bookmarkStart w:id="303" w:name="page304"/>
    <w:bookmarkEnd w:id="303"/>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 – Product Catalog</w:t>
      </w:r>
    </w:p>
    <w:p>
      <w:pPr>
        <w:sectPr>
          <w:pgSz w:w="11900" w:h="16838" w:orient="portrait"/>
          <w:cols w:equalWidth="0" w:num="1">
            <w:col w:w="9019"/>
          </w:cols>
          <w:pgMar w:left="1440" w:top="270"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t>
      </w:r>
    </w:p>
    <w:p>
      <w:pPr>
        <w:sectPr>
          <w:pgSz w:w="11900" w:h="16838" w:orient="portrait"/>
          <w:cols w:equalWidth="0" w:num="1">
            <w:col w:w="9019"/>
          </w:cols>
          <w:pgMar w:left="1440" w:top="270" w:right="1440" w:bottom="1440" w:gutter="0" w:footer="0" w:header="0"/>
          <w:type w:val="continuous"/>
        </w:sectPr>
      </w:pPr>
    </w:p>
    <w:bookmarkStart w:id="304" w:name="page305"/>
    <w:bookmarkEnd w:id="304"/>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B—Partner Application Description: nCino Bank Operating System</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05" w:name="page306"/>
    <w:bookmarkEnd w:id="305"/>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 – Embedded Edition Restriction</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06" w:name="page307"/>
    <w:bookmarkEnd w:id="306"/>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 – Channel Partners</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07" w:name="page308"/>
    <w:bookmarkEnd w:id="307"/>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E – Authorized Affiliates</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08" w:name="page309"/>
    <w:bookmarkEnd w:id="30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F-1 to OEM Addendum</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09" w:name="page310"/>
    <w:bookmarkEnd w:id="309"/>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F-2 to OEM Addendum</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10" w:name="page311"/>
    <w:bookmarkEnd w:id="31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F-3 to OEM Addendum</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11" w:name="page312"/>
    <w:bookmarkEnd w:id="31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G-1 to OEM Addendum — Modified SFDC Service Terms for [***] Bank [***]</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12" w:name="page313"/>
    <w:bookmarkEnd w:id="31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Attachment 1 to Exhibit G-1 to OEM Addendum— Modified SFDC Service Terms for [***] Bank [***]</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13" w:name="page314"/>
    <w:bookmarkEnd w:id="31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Attachment 2 to Exhibit G-1 to OEM Addendum – Modified SFDC Service Terms for [***] Bank [***]</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14" w:name="page315"/>
    <w:bookmarkEnd w:id="31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G-2 to OEM Addendum — Modified SFDC Service Terms for Bank [***]</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15" w:name="page316"/>
    <w:bookmarkEnd w:id="315"/>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I — Business Continuity</w:t>
      </w:r>
    </w:p>
    <w:p>
      <w:pPr>
        <w:sectPr>
          <w:pgSz w:w="11900" w:h="16838" w:orient="portrait"/>
          <w:cols w:equalWidth="0" w:num="1">
            <w:col w:w="9019"/>
          </w:cols>
          <w:pgMar w:left="1440" w:top="274"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type w:val="continuous"/>
        </w:sectPr>
      </w:pPr>
    </w:p>
    <w:bookmarkStart w:id="316" w:name="page317"/>
    <w:bookmarkEnd w:id="31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G-3 to OEM Addendum — Customer Specific Terms for: [***] Bank</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17" w:name="page318"/>
    <w:bookmarkEnd w:id="31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H to OEM Addendum</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18" w:name="page319"/>
    <w:bookmarkEnd w:id="31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 to OEM Addendum</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19" w:name="page320"/>
    <w:bookmarkEnd w:id="31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1 to Exhibit I to OEM Addendum</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Covered Customers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320" w:name="page321"/>
    <w:bookmarkEnd w:id="32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J to OEM Addendum</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17, 2020, in the Registration Statement (Form S-1) and related Prospectus of nCino, Inc. dated June 22,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1)"/>
      <w:numFmt w:val="decimal"/>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1)"/>
      <w:numFmt w:val="decimal"/>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
      <w:numFmt w:val="bullet"/>
      <w:start w:val="1"/>
    </w:lvl>
  </w:abstractNum>
  <w:abstractNum w:abstractNumId="23">
    <w:nsid w:val="4C9B0904"/>
    <w:multiLevelType w:val="hybridMultilevel"/>
    <w:lvl w:ilvl="0">
      <w:lvlJc w:val="left"/>
      <w:lvlText w:val="(%1)"/>
      <w:numFmt w:val="decimal"/>
      <w:start w:val="2"/>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1)"/>
      <w:numFmt w:val="decimal"/>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
      <w:numFmt w:val="bullet"/>
      <w:start w:val="1"/>
    </w:lvl>
  </w:abstractNum>
  <w:abstractNum w:abstractNumId="29">
    <w:nsid w:val="2708C9AF"/>
    <w:multiLevelType w:val="hybridMultilevel"/>
    <w:lvl w:ilvl="0">
      <w:lvlJc w:val="left"/>
      <w:lvlText w:val="•"/>
      <w:numFmt w:val="bullet"/>
      <w:start w:val="1"/>
    </w:lvl>
  </w:abstractNum>
  <w:abstractNum w:abstractNumId="30">
    <w:nsid w:val="5B25ACE2"/>
    <w:multiLevelType w:val="hybridMultilevel"/>
    <w:lvl w:ilvl="0">
      <w:lvlJc w:val="left"/>
      <w:lvlText w:val="(%1)"/>
      <w:numFmt w:val="decimal"/>
      <w:start w:val="1"/>
    </w:lvl>
  </w:abstractNum>
  <w:abstractNum w:abstractNumId="31">
    <w:nsid w:val="175DFCF0"/>
    <w:multiLevelType w:val="hybridMultilevel"/>
    <w:lvl w:ilvl="0">
      <w:lvlJc w:val="left"/>
      <w:lvlText w:val="•"/>
      <w:numFmt w:val="bullet"/>
      <w:start w:val="1"/>
    </w:lvl>
  </w:abstractNum>
  <w:abstractNum w:abstractNumId="32">
    <w:nsid w:val="4F97E3E4"/>
    <w:multiLevelType w:val="hybridMultilevel"/>
    <w:lvl w:ilvl="0">
      <w:lvlJc w:val="left"/>
      <w:lvlText w:val="$"/>
      <w:numFmt w:val="bullet"/>
      <w:start w:val="1"/>
    </w:lvl>
  </w:abstractNum>
  <w:abstractNum w:abstractNumId="33">
    <w:nsid w:val="53B0A9E"/>
    <w:multiLevelType w:val="hybridMultilevel"/>
    <w:lvl w:ilvl="0">
      <w:lvlJc w:val="left"/>
      <w:lvlText w:val="•"/>
      <w:numFmt w:val="bullet"/>
      <w:start w:val="1"/>
    </w:lvl>
  </w:abstractNum>
  <w:abstractNum w:abstractNumId="34">
    <w:nsid w:val="34FD6B4F"/>
    <w:multiLevelType w:val="hybridMultilevel"/>
    <w:lvl w:ilvl="0">
      <w:lvlJc w:val="left"/>
      <w:lvlText w:val="(%1)"/>
      <w:numFmt w:val="decimal"/>
      <w:start w:val="1"/>
    </w:lvl>
  </w:abstractNum>
  <w:abstractNum w:abstractNumId="35">
    <w:nsid w:val="5915FF32"/>
    <w:multiLevelType w:val="hybridMultilevel"/>
    <w:lvl w:ilvl="0">
      <w:lvlJc w:val="left"/>
      <w:lvlText w:val="•"/>
      <w:numFmt w:val="bullet"/>
      <w:start w:val="1"/>
    </w:lvl>
  </w:abstractNum>
  <w:abstractNum w:abstractNumId="36">
    <w:nsid w:val="56438D15"/>
    <w:multiLevelType w:val="hybridMultilevel"/>
    <w:lvl w:ilvl="0">
      <w:lvlJc w:val="left"/>
      <w:lvlText w:val="•"/>
      <w:numFmt w:val="bullet"/>
      <w:start w:val="1"/>
    </w:lvl>
  </w:abstractNum>
  <w:abstractNum w:abstractNumId="37">
    <w:nsid w:val="519E3149"/>
    <w:multiLevelType w:val="hybridMultilevel"/>
    <w:lvl w:ilvl="0">
      <w:lvlJc w:val="left"/>
      <w:lvlText w:val="•"/>
      <w:numFmt w:val="bullet"/>
      <w:start w:val="1"/>
    </w:lvl>
  </w:abstractNum>
  <w:abstractNum w:abstractNumId="38">
    <w:nsid w:val="2C6E4AFD"/>
    <w:multiLevelType w:val="hybridMultilevel"/>
    <w:lvl w:ilvl="0">
      <w:lvlJc w:val="left"/>
      <w:lvlText w:val="•"/>
      <w:numFmt w:val="bullet"/>
      <w:start w:val="1"/>
    </w:lvl>
  </w:abstractNum>
  <w:abstractNum w:abstractNumId="39">
    <w:nsid w:val="17A1B582"/>
    <w:multiLevelType w:val="hybridMultilevel"/>
    <w:lvl w:ilvl="0">
      <w:lvlJc w:val="left"/>
      <w:lvlText w:val="•"/>
      <w:numFmt w:val="bullet"/>
      <w:start w:val="1"/>
    </w:lvl>
  </w:abstractNum>
  <w:abstractNum w:abstractNumId="40">
    <w:nsid w:val="4DF72E4E"/>
    <w:multiLevelType w:val="hybridMultilevel"/>
    <w:lvl w:ilvl="0">
      <w:lvlJc w:val="left"/>
      <w:lvlText w:val="•"/>
      <w:numFmt w:val="bullet"/>
      <w:start w:val="1"/>
    </w:lvl>
  </w:abstractNum>
  <w:abstractNum w:abstractNumId="41">
    <w:nsid w:val="5046B5A9"/>
    <w:multiLevelType w:val="hybridMultilevel"/>
    <w:lvl w:ilvl="0">
      <w:lvlJc w:val="left"/>
      <w:lvlText w:val="•"/>
      <w:numFmt w:val="bullet"/>
      <w:start w:val="1"/>
    </w:lvl>
  </w:abstractNum>
  <w:abstractNum w:abstractNumId="42">
    <w:nsid w:val="5D888A08"/>
    <w:multiLevelType w:val="hybridMultilevel"/>
    <w:lvl w:ilvl="0">
      <w:lvlJc w:val="left"/>
      <w:lvlText w:val="•"/>
      <w:numFmt w:val="bullet"/>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
      <w:numFmt w:val="bullet"/>
      <w:start w:val="1"/>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
      <w:numFmt w:val="bullet"/>
      <w:start w:val="1"/>
    </w:lvl>
  </w:abstractNum>
  <w:abstractNum w:abstractNumId="51">
    <w:nsid w:val="B37E80A"/>
    <w:multiLevelType w:val="hybridMultilevel"/>
    <w:lvl w:ilvl="0">
      <w:lvlJc w:val="left"/>
      <w:lvlText w:val="•"/>
      <w:numFmt w:val="bullet"/>
      <w:start w:val="1"/>
    </w:lvl>
  </w:abstractNum>
  <w:abstractNum w:abstractNumId="52">
    <w:nsid w:val="2157F6BC"/>
    <w:multiLevelType w:val="hybridMultilevel"/>
    <w:lvl w:ilvl="0">
      <w:lvlJc w:val="left"/>
      <w:lvlText w:val="•"/>
      <w:numFmt w:val="bullet"/>
      <w:start w:val="1"/>
    </w:lvl>
  </w:abstractNum>
  <w:abstractNum w:abstractNumId="53">
    <w:nsid w:val="704E1DD5"/>
    <w:multiLevelType w:val="hybridMultilevel"/>
    <w:lvl w:ilvl="0">
      <w:lvlJc w:val="left"/>
      <w:lvlText w:val="•"/>
      <w:numFmt w:val="bullet"/>
      <w:start w:val="1"/>
    </w:lvl>
  </w:abstractNum>
  <w:abstractNum w:abstractNumId="54">
    <w:nsid w:val="57D2F10E"/>
    <w:multiLevelType w:val="hybridMultilevel"/>
    <w:lvl w:ilvl="0">
      <w:lvlJc w:val="left"/>
      <w:lvlText w:val="•"/>
      <w:numFmt w:val="bullet"/>
      <w:start w:val="1"/>
    </w:lvl>
  </w:abstractNum>
  <w:abstractNum w:abstractNumId="55">
    <w:nsid w:val="BFFAE18"/>
    <w:multiLevelType w:val="hybridMultilevel"/>
    <w:lvl w:ilvl="0">
      <w:lvlJc w:val="left"/>
      <w:lvlText w:val="•"/>
      <w:numFmt w:val="bullet"/>
      <w:start w:val="1"/>
    </w:lvl>
  </w:abstractNum>
  <w:abstractNum w:abstractNumId="56">
    <w:nsid w:val="E3E47A8"/>
    <w:multiLevelType w:val="hybridMultilevel"/>
    <w:lvl w:ilvl="0">
      <w:lvlJc w:val="left"/>
      <w:lvlText w:val="•"/>
      <w:numFmt w:val="bullet"/>
      <w:start w:val="1"/>
    </w:lvl>
  </w:abstractNum>
  <w:abstractNum w:abstractNumId="57">
    <w:nsid w:val="2E48F044"/>
    <w:multiLevelType w:val="hybridMultilevel"/>
    <w:lvl w:ilvl="0">
      <w:lvlJc w:val="left"/>
      <w:lvlText w:val="•"/>
      <w:numFmt w:val="bullet"/>
      <w:start w:val="1"/>
    </w:lvl>
  </w:abstractNum>
  <w:abstractNum w:abstractNumId="58">
    <w:nsid w:val="49D0FEAC"/>
    <w:multiLevelType w:val="hybridMultilevel"/>
    <w:lvl w:ilvl="0">
      <w:lvlJc w:val="left"/>
      <w:lvlText w:val="(%1)"/>
      <w:numFmt w:val="decimal"/>
      <w:start w:val="1"/>
    </w:lvl>
  </w:abstractNum>
  <w:abstractNum w:abstractNumId="59">
    <w:nsid w:val="4BEE5A5B"/>
    <w:multiLevelType w:val="hybridMultilevel"/>
    <w:lvl w:ilvl="0">
      <w:lvlJc w:val="left"/>
      <w:lvlText w:val="+"/>
      <w:numFmt w:val="bullet"/>
      <w:start w:val="1"/>
    </w:lvl>
  </w:abstractNum>
  <w:abstractNum w:abstractNumId="60">
    <w:nsid w:val="5551B9F3"/>
    <w:multiLevelType w:val="hybridMultilevel"/>
    <w:lvl w:ilvl="0">
      <w:lvlJc w:val="left"/>
      <w:lvlText w:val="•"/>
      <w:numFmt w:val="bullet"/>
      <w:start w:val="1"/>
    </w:lvl>
  </w:abstractNum>
  <w:abstractNum w:abstractNumId="61">
    <w:nsid w:val="24F6AB8E"/>
    <w:multiLevelType w:val="hybridMultilevel"/>
    <w:lvl w:ilvl="0">
      <w:lvlJc w:val="left"/>
      <w:lvlText w:val="•"/>
      <w:numFmt w:val="bullet"/>
      <w:start w:val="1"/>
    </w:lvl>
  </w:abstractNum>
  <w:abstractNum w:abstractNumId="62">
    <w:nsid w:val="634C574C"/>
    <w:multiLevelType w:val="hybridMultilevel"/>
    <w:lvl w:ilvl="0">
      <w:lvlJc w:val="left"/>
      <w:lvlText w:val="•"/>
      <w:numFmt w:val="bullet"/>
      <w:start w:val="1"/>
    </w:lvl>
  </w:abstractNum>
  <w:abstractNum w:abstractNumId="63">
    <w:nsid w:val="24E99DD7"/>
    <w:multiLevelType w:val="hybridMultilevel"/>
    <w:lvl w:ilvl="0">
      <w:lvlJc w:val="left"/>
      <w:lvlText w:val="•"/>
      <w:numFmt w:val="bullet"/>
      <w:start w:val="1"/>
    </w:lvl>
  </w:abstractNum>
  <w:abstractNum w:abstractNumId="64">
    <w:nsid w:val="2A31B62D"/>
    <w:multiLevelType w:val="hybridMultilevel"/>
    <w:lvl w:ilvl="0">
      <w:lvlJc w:val="left"/>
      <w:lvlText w:val="•"/>
      <w:numFmt w:val="bullet"/>
      <w:start w:val="1"/>
    </w:lvl>
  </w:abstractNum>
  <w:abstractNum w:abstractNumId="65">
    <w:nsid w:val="1849C29B"/>
    <w:multiLevelType w:val="hybridMultilevel"/>
    <w:lvl w:ilvl="0">
      <w:lvlJc w:val="left"/>
      <w:lvlText w:val="•"/>
      <w:numFmt w:val="bullet"/>
      <w:start w:val="1"/>
    </w:lvl>
    <w:lvl w:ilvl="1">
      <w:lvlJc w:val="left"/>
      <w:lvlText w:val="¡"/>
      <w:numFmt w:val="bullet"/>
      <w:start w:val="1"/>
    </w:lvl>
  </w:abstractNum>
  <w:abstractNum w:abstractNumId="66">
    <w:nsid w:val="7DFF9D09"/>
    <w:multiLevelType w:val="hybridMultilevel"/>
    <w:lvl w:ilvl="0">
      <w:lvlJc w:val="left"/>
      <w:lvlText w:val="(%1)"/>
      <w:numFmt w:val="decimal"/>
      <w:start w:val="1"/>
    </w:lvl>
  </w:abstractNum>
  <w:abstractNum w:abstractNumId="67">
    <w:nsid w:val="754342"/>
    <w:multiLevelType w:val="hybridMultilevel"/>
    <w:lvl w:ilvl="0">
      <w:lvlJc w:val="left"/>
      <w:lvlText w:val="•"/>
      <w:numFmt w:val="bullet"/>
      <w:start w:val="1"/>
    </w:lvl>
  </w:abstractNum>
  <w:abstractNum w:abstractNumId="68">
    <w:nsid w:val="69E7F3E5"/>
    <w:multiLevelType w:val="hybridMultilevel"/>
    <w:lvl w:ilvl="0">
      <w:lvlJc w:val="left"/>
      <w:lvlText w:val="•"/>
      <w:numFmt w:val="bullet"/>
      <w:start w:val="1"/>
    </w:lvl>
  </w:abstractNum>
  <w:abstractNum w:abstractNumId="69">
    <w:nsid w:val="2A6DE806"/>
    <w:multiLevelType w:val="hybridMultilevel"/>
    <w:lvl w:ilvl="0">
      <w:lvlJc w:val="left"/>
      <w:lvlText w:val="(%1)"/>
      <w:numFmt w:val="decimal"/>
      <w:start w:val="1"/>
    </w:lvl>
  </w:abstractNum>
  <w:abstractNum w:abstractNumId="70">
    <w:nsid w:val="1816F8C4"/>
    <w:multiLevelType w:val="hybridMultilevel"/>
    <w:lvl w:ilvl="0">
      <w:lvlJc w:val="left"/>
      <w:lvlText w:val="(%1)"/>
      <w:numFmt w:val="decimal"/>
      <w:start w:val="1"/>
    </w:lvl>
  </w:abstractNum>
  <w:abstractNum w:abstractNumId="71">
    <w:nsid w:val="37DF2233"/>
    <w:multiLevelType w:val="hybridMultilevel"/>
    <w:lvl w:ilvl="0">
      <w:lvlJc w:val="left"/>
      <w:lvlText w:val="(%1)"/>
      <w:numFmt w:val="lowerRoman"/>
      <w:start w:val="1"/>
    </w:lvl>
  </w:abstractNum>
  <w:abstractNum w:abstractNumId="72">
    <w:nsid w:val="7AB49DAF"/>
    <w:multiLevelType w:val="hybridMultilevel"/>
    <w:lvl w:ilvl="0">
      <w:lvlJc w:val="left"/>
      <w:lvlText w:val="(%1)"/>
      <w:numFmt w:val="lowerRoman"/>
      <w:start w:val="1"/>
    </w:lvl>
  </w:abstractNum>
  <w:abstractNum w:abstractNumId="73">
    <w:nsid w:val="759F82CD"/>
    <w:multiLevelType w:val="hybridMultilevel"/>
    <w:lvl w:ilvl="0">
      <w:lvlJc w:val="left"/>
      <w:lvlText w:val="$"/>
      <w:numFmt w:val="bullet"/>
      <w:start w:val="1"/>
    </w:lvl>
  </w:abstractNum>
  <w:abstractNum w:abstractNumId="74">
    <w:nsid w:val="61E74EA3"/>
    <w:multiLevelType w:val="hybridMultilevel"/>
    <w:lvl w:ilvl="0">
      <w:lvlJc w:val="left"/>
      <w:lvlText w:val="•"/>
      <w:numFmt w:val="bullet"/>
      <w:start w:val="1"/>
    </w:lvl>
  </w:abstractNum>
  <w:abstractNum w:abstractNumId="75">
    <w:nsid w:val="597B4D84"/>
    <w:multiLevelType w:val="hybridMultilevel"/>
    <w:lvl w:ilvl="0">
      <w:lvlJc w:val="left"/>
      <w:lvlText w:val="*"/>
      <w:numFmt w:val="bullet"/>
      <w:start w:val="1"/>
    </w:lvl>
  </w:abstractNum>
  <w:abstractNum w:abstractNumId="76">
    <w:nsid w:val="F819E7F"/>
    <w:multiLevelType w:val="hybridMultilevel"/>
    <w:lvl w:ilvl="0">
      <w:lvlJc w:val="left"/>
      <w:lvlText w:val="(%1)"/>
      <w:numFmt w:val="decimal"/>
      <w:start w:val="1"/>
    </w:lvl>
  </w:abstractNum>
  <w:abstractNum w:abstractNumId="77">
    <w:nsid w:val="57C7D42D"/>
    <w:multiLevelType w:val="hybridMultilevel"/>
    <w:lvl w:ilvl="0">
      <w:lvlJc w:val="left"/>
      <w:lvlText w:val="(%1)"/>
      <w:numFmt w:val="decimal"/>
      <w:start w:val="11"/>
    </w:lvl>
  </w:abstractNum>
  <w:abstractNum w:abstractNumId="78">
    <w:nsid w:val="312167AD"/>
    <w:multiLevelType w:val="hybridMultilevel"/>
    <w:lvl w:ilvl="0">
      <w:lvlJc w:val="left"/>
      <w:lvlText w:val="•"/>
      <w:numFmt w:val="bullet"/>
      <w:start w:val="1"/>
    </w:lvl>
  </w:abstractNum>
  <w:abstractNum w:abstractNumId="79">
    <w:nsid w:val="631B64D4"/>
    <w:multiLevelType w:val="hybridMultilevel"/>
    <w:lvl w:ilvl="0">
      <w:lvlJc w:val="left"/>
      <w:lvlText w:val="•"/>
      <w:numFmt w:val="bullet"/>
      <w:start w:val="1"/>
    </w:lvl>
  </w:abstractNum>
  <w:abstractNum w:abstractNumId="80">
    <w:nsid w:val="78B5E776"/>
    <w:multiLevelType w:val="hybridMultilevel"/>
    <w:lvl w:ilvl="0">
      <w:lvlJc w:val="left"/>
      <w:lvlText w:val="•"/>
      <w:numFmt w:val="bullet"/>
      <w:start w:val="1"/>
    </w:lvl>
  </w:abstractNum>
  <w:abstractNum w:abstractNumId="81">
    <w:nsid w:val="75486E47"/>
    <w:multiLevelType w:val="hybridMultilevel"/>
    <w:lvl w:ilvl="0">
      <w:lvlJc w:val="left"/>
      <w:lvlText w:val="•"/>
      <w:numFmt w:val="bullet"/>
      <w:start w:val="1"/>
    </w:lvl>
  </w:abstractNum>
  <w:abstractNum w:abstractNumId="82">
    <w:nsid w:val="6E534CDE"/>
    <w:multiLevelType w:val="hybridMultilevel"/>
    <w:lvl w:ilvl="0">
      <w:lvlJc w:val="left"/>
      <w:lvlText w:val="•"/>
      <w:numFmt w:val="bullet"/>
      <w:start w:val="1"/>
    </w:lvl>
  </w:abstractNum>
  <w:abstractNum w:abstractNumId="83">
    <w:nsid w:val="1A0DDE32"/>
    <w:multiLevelType w:val="hybridMultilevel"/>
    <w:lvl w:ilvl="0">
      <w:lvlJc w:val="left"/>
      <w:lvlText w:val="•"/>
      <w:numFmt w:val="bullet"/>
      <w:start w:val="1"/>
    </w:lvl>
  </w:abstractNum>
  <w:abstractNum w:abstractNumId="84">
    <w:nsid w:val="65968C1C"/>
    <w:multiLevelType w:val="hybridMultilevel"/>
    <w:lvl w:ilvl="0">
      <w:lvlJc w:val="left"/>
      <w:lvlText w:val="•"/>
      <w:numFmt w:val="bullet"/>
      <w:start w:val="1"/>
    </w:lvl>
  </w:abstractNum>
  <w:abstractNum w:abstractNumId="85">
    <w:nsid w:val="46263DEC"/>
    <w:multiLevelType w:val="hybridMultilevel"/>
    <w:lvl w:ilvl="0">
      <w:lvlJc w:val="left"/>
      <w:lvlText w:val="•"/>
      <w:numFmt w:val="bullet"/>
      <w:start w:val="1"/>
    </w:lvl>
  </w:abstractNum>
  <w:abstractNum w:abstractNumId="86">
    <w:nsid w:val="260D8C4A"/>
    <w:multiLevelType w:val="hybridMultilevel"/>
    <w:lvl w:ilvl="0">
      <w:lvlJc w:val="left"/>
      <w:lvlText w:val="•"/>
      <w:numFmt w:val="bullet"/>
      <w:start w:val="1"/>
    </w:lvl>
  </w:abstractNum>
  <w:abstractNum w:abstractNumId="87">
    <w:nsid w:val="73D4D3C4"/>
    <w:multiLevelType w:val="hybridMultilevel"/>
    <w:lvl w:ilvl="0">
      <w:lvlJc w:val="left"/>
      <w:lvlText w:val="•"/>
      <w:numFmt w:val="bullet"/>
      <w:start w:val="1"/>
    </w:lvl>
  </w:abstractNum>
  <w:abstractNum w:abstractNumId="88">
    <w:nsid w:val="746F2E30"/>
    <w:multiLevelType w:val="hybridMultilevel"/>
    <w:lvl w:ilvl="0">
      <w:lvlJc w:val="left"/>
      <w:lvlText w:val="(%1)"/>
      <w:numFmt w:val="lowerLetter"/>
      <w:start w:val="1"/>
    </w:lvl>
  </w:abstractNum>
  <w:abstractNum w:abstractNumId="89">
    <w:nsid w:val="6FDE8AF6"/>
    <w:multiLevelType w:val="hybridMultilevel"/>
    <w:lvl w:ilvl="0">
      <w:lvlJc w:val="left"/>
      <w:lvlText w:val="(%1)"/>
      <w:numFmt w:val="lowerLetter"/>
      <w:start w:val="1"/>
    </w:lvl>
  </w:abstractNum>
  <w:abstractNum w:abstractNumId="90">
    <w:nsid w:val="3FC32E20"/>
    <w:multiLevelType w:val="hybridMultilevel"/>
    <w:lvl w:ilvl="0">
      <w:lvlJc w:val="left"/>
      <w:lvlText w:val="(%1)"/>
      <w:numFmt w:val="lowerLetter"/>
      <w:start w:val="1"/>
    </w:lvl>
  </w:abstractNum>
  <w:abstractNum w:abstractNumId="91">
    <w:nsid w:val="49C0E823"/>
    <w:multiLevelType w:val="hybridMultilevel"/>
    <w:lvl w:ilvl="0">
      <w:lvlJc w:val="left"/>
      <w:lvlText w:val="(%1)"/>
      <w:numFmt w:val="lowerLetter"/>
      <w:start w:val="3"/>
    </w:lvl>
  </w:abstractNum>
  <w:abstractNum w:abstractNumId="92">
    <w:nsid w:val="14D53685"/>
    <w:multiLevelType w:val="hybridMultilevel"/>
    <w:lvl w:ilvl="0">
      <w:lvlJc w:val="left"/>
      <w:lvlText w:val="•"/>
      <w:numFmt w:val="bullet"/>
      <w:start w:val="1"/>
    </w:lvl>
  </w:abstractNum>
  <w:abstractNum w:abstractNumId="93">
    <w:nsid w:val="230F856C"/>
    <w:multiLevelType w:val="hybridMultilevel"/>
    <w:lvl w:ilvl="0">
      <w:lvlJc w:val="left"/>
      <w:lvlText w:val="(%1)"/>
      <w:numFmt w:val="decimal"/>
      <w:start w:val="1"/>
    </w:lvl>
  </w:abstractNum>
  <w:abstractNum w:abstractNumId="94">
    <w:nsid w:val="6EAA85FB"/>
    <w:multiLevelType w:val="hybridMultilevel"/>
    <w:lvl w:ilvl="0">
      <w:lvlJc w:val="left"/>
      <w:lvlText w:val="•"/>
      <w:numFmt w:val="bullet"/>
      <w:start w:val="1"/>
    </w:lvl>
  </w:abstractNum>
  <w:abstractNum w:abstractNumId="95">
    <w:nsid w:val="3F06ECB2"/>
    <w:multiLevelType w:val="hybridMultilevel"/>
    <w:lvl w:ilvl="0">
      <w:lvlJc w:val="left"/>
      <w:lvlText w:val="•"/>
      <w:numFmt w:val="bullet"/>
      <w:start w:val="1"/>
    </w:lvl>
  </w:abstractNum>
  <w:abstractNum w:abstractNumId="96">
    <w:nsid w:val="3B594807"/>
    <w:multiLevelType w:val="hybridMultilevel"/>
    <w:lvl w:ilvl="0">
      <w:lvlJc w:val="left"/>
      <w:lvlText w:val="K.%1."/>
      <w:numFmt w:val="upperLetter"/>
      <w:start w:val="11"/>
    </w:lvl>
  </w:abstractNum>
  <w:abstractNum w:abstractNumId="97">
    <w:nsid w:val="6CAA2304"/>
    <w:multiLevelType w:val="hybridMultilevel"/>
    <w:lvl w:ilvl="0">
      <w:lvlJc w:val="left"/>
      <w:lvlText w:val="•"/>
      <w:numFmt w:val="bullet"/>
      <w:start w:val="1"/>
    </w:lvl>
  </w:abstractNum>
  <w:abstractNum w:abstractNumId="98">
    <w:nsid w:val="3F7C2FF4"/>
    <w:multiLevelType w:val="hybridMultilevel"/>
    <w:lvl w:ilvl="0">
      <w:lvlJc w:val="left"/>
      <w:lvlText w:val="(%1)"/>
      <w:numFmt w:val="decimal"/>
      <w:start w:val="1"/>
    </w:lvl>
  </w:abstractNum>
  <w:abstractNum w:abstractNumId="99">
    <w:nsid w:val="25413BEC"/>
    <w:multiLevelType w:val="hybridMultilevel"/>
    <w:lvl w:ilvl="0">
      <w:lvlJc w:val="left"/>
      <w:lvlText w:val="K.%1."/>
      <w:numFmt w:val="upperLetter"/>
      <w:start w:val="11"/>
    </w:lvl>
  </w:abstractNum>
  <w:abstractNum w:abstractNumId="100">
    <w:nsid w:val="17180B0B"/>
    <w:multiLevelType w:val="hybridMultilevel"/>
    <w:lvl w:ilvl="0">
      <w:lvlJc w:val="left"/>
      <w:lvlText w:val="(%1)"/>
      <w:numFmt w:val="decimal"/>
      <w:start w:val="1"/>
    </w:lvl>
  </w:abstractNum>
  <w:abstractNum w:abstractNumId="101">
    <w:nsid w:val="579328B9"/>
    <w:multiLevelType w:val="hybridMultilevel"/>
    <w:lvl w:ilvl="0">
      <w:lvlJc w:val="left"/>
      <w:lvlText w:val="*"/>
      <w:numFmt w:val="bullet"/>
      <w:start w:val="1"/>
    </w:lvl>
  </w:abstractNum>
  <w:abstractNum w:abstractNumId="102">
    <w:nsid w:val="5D205E20"/>
    <w:multiLevelType w:val="hybridMultilevel"/>
    <w:lvl w:ilvl="0">
      <w:lvlJc w:val="left"/>
      <w:lvlText w:val="+"/>
      <w:numFmt w:val="bullet"/>
      <w:start w:val="1"/>
    </w:lvl>
  </w:abstractNum>
  <w:abstractNum w:abstractNumId="103">
    <w:nsid w:val="11CCA8BA"/>
    <w:multiLevelType w:val="hybridMultilevel"/>
    <w:lvl w:ilvl="0">
      <w:lvlJc w:val="left"/>
      <w:lvlText w:val="++"/>
      <w:numFmt w:val="bullet"/>
      <w:start w:val="1"/>
    </w:lvl>
  </w:abstractNum>
  <w:abstractNum w:abstractNumId="104">
    <w:nsid w:val="4D32AB86"/>
    <w:multiLevelType w:val="hybridMultilevel"/>
    <w:lvl w:ilvl="0">
      <w:lvlJc w:val="left"/>
      <w:lvlText w:val="(%1)"/>
      <w:numFmt w:val="lowerRoman"/>
      <w:start w:val="3"/>
    </w:lvl>
  </w:abstractNum>
  <w:abstractNum w:abstractNumId="105">
    <w:nsid w:val="3F07ACC3"/>
    <w:multiLevelType w:val="hybridMultilevel"/>
    <w:lvl w:ilvl="0">
      <w:lvlJc w:val="left"/>
      <w:lvlText w:val="%1."/>
      <w:numFmt w:val="decimal"/>
      <w:start w:val="1"/>
    </w:lvl>
  </w:abstractNum>
  <w:abstractNum w:abstractNumId="106">
    <w:nsid w:val="6B47F63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07">
    <w:nsid w:val="5CB44A0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08">
    <w:nsid w:val="16CF80F1"/>
    <w:multiLevelType w:val="hybridMultilevel"/>
    <w:lvl w:ilvl="0">
      <w:lvlJc w:val="left"/>
      <w:lvlText w:val="%1"/>
      <w:numFmt w:val="decimal"/>
      <w:start w:val="1"/>
    </w:lvl>
    <w:lvl w:ilvl="1">
      <w:lvlJc w:val="left"/>
      <w:lvlText w:val="(%2)"/>
      <w:numFmt w:val="lowerLetter"/>
      <w:start w:val="3"/>
    </w:lvl>
  </w:abstractNum>
  <w:abstractNum w:abstractNumId="109">
    <w:nsid w:val="1C695DEC"/>
    <w:multiLevelType w:val="hybridMultilevel"/>
    <w:lvl w:ilvl="0">
      <w:lvlJc w:val="left"/>
      <w:lvlText w:val="(%1)"/>
      <w:numFmt w:val="decimal"/>
      <w:start w:val="180"/>
    </w:lvl>
    <w:lvl w:ilvl="1">
      <w:lvlJc w:val="left"/>
      <w:lvlText w:val="%2"/>
      <w:numFmt w:val="lowerLetter"/>
      <w:start w:val="1"/>
    </w:lvl>
  </w:abstractNum>
  <w:abstractNum w:abstractNumId="110">
    <w:nsid w:val="3FCFAED9"/>
    <w:multiLevelType w:val="hybridMultilevel"/>
    <w:lvl w:ilvl="0">
      <w:lvlJc w:val="left"/>
      <w:lvlText w:val="(%1)"/>
      <w:numFmt w:val="lowerLetter"/>
      <w:start w:val="1"/>
    </w:lvl>
  </w:abstractNum>
  <w:abstractNum w:abstractNumId="111">
    <w:nsid w:val="F856867"/>
    <w:multiLevelType w:val="hybridMultilevel"/>
    <w:lvl w:ilvl="0">
      <w:lvlJc w:val="left"/>
      <w:lvlText w:val="(%1)"/>
      <w:numFmt w:val="lowerLetter"/>
      <w:start w:val="3"/>
    </w:lvl>
  </w:abstractNum>
  <w:abstractNum w:abstractNumId="112">
    <w:nsid w:val="11B1CC33"/>
    <w:multiLevelType w:val="hybridMultilevel"/>
    <w:lvl w:ilvl="0">
      <w:lvlJc w:val="left"/>
      <w:lvlText w:val="(%1)"/>
      <w:numFmt w:val="lowerLetter"/>
      <w:start w:val="1"/>
    </w:lvl>
  </w:abstractNum>
  <w:abstractNum w:abstractNumId="113">
    <w:nsid w:val="2E22FBB7"/>
    <w:multiLevelType w:val="hybridMultilevel"/>
    <w:lvl w:ilvl="0">
      <w:lvlJc w:val="left"/>
      <w:lvlText w:val="(%1)"/>
      <w:numFmt w:val="lowerLetter"/>
      <w:start w:val="3"/>
    </w:lvl>
  </w:abstractNum>
  <w:abstractNum w:abstractNumId="114">
    <w:nsid w:val="29934699"/>
    <w:multiLevelType w:val="hybridMultilevel"/>
    <w:lvl w:ilvl="0">
      <w:lvlJc w:val="left"/>
      <w:lvlText w:val="%1."/>
      <w:numFmt w:val="decimal"/>
      <w:start w:val="2"/>
    </w:lvl>
  </w:abstractNum>
  <w:abstractNum w:abstractNumId="115">
    <w:nsid w:val="77485850"/>
    <w:multiLevelType w:val="hybridMultilevel"/>
    <w:lvl w:ilvl="0">
      <w:lvlJc w:val="left"/>
      <w:lvlText w:val="(%1)"/>
      <w:numFmt w:val="lowerLetter"/>
      <w:start w:val="1"/>
    </w:lvl>
  </w:abstractNum>
  <w:abstractNum w:abstractNumId="116">
    <w:nsid w:val="744939A3"/>
    <w:multiLevelType w:val="hybridMultilevel"/>
    <w:lvl w:ilvl="0">
      <w:lvlJc w:val="left"/>
      <w:lvlText w:val="(%1)"/>
      <w:numFmt w:val="lowerLetter"/>
      <w:start w:val="2"/>
    </w:lvl>
  </w:abstractNum>
  <w:abstractNum w:abstractNumId="117">
    <w:nsid w:val="4FA0D2E3"/>
    <w:multiLevelType w:val="hybridMultilevel"/>
    <w:lvl w:ilvl="0">
      <w:lvlJc w:val="left"/>
      <w:lvlText w:val="%1"/>
      <w:numFmt w:val="lowerLetter"/>
      <w:start w:val="1"/>
    </w:lvl>
    <w:lvl w:ilvl="1">
      <w:lvlJc w:val="left"/>
      <w:lvlText w:val="(%2)"/>
      <w:numFmt w:val="lowerLetter"/>
      <w:start w:val="4"/>
    </w:lvl>
  </w:abstractNum>
  <w:abstractNum w:abstractNumId="118">
    <w:nsid w:val="6B1D2C14"/>
    <w:multiLevelType w:val="hybridMultilevel"/>
    <w:lvl w:ilvl="0">
      <w:lvlJc w:val="left"/>
      <w:lvlText w:val="(%1)"/>
      <w:numFmt w:val="lowerLetter"/>
      <w:start w:val="35"/>
    </w:lvl>
    <w:lvl w:ilvl="1">
      <w:lvlJc w:val="left"/>
      <w:lvlText w:val="(%2)"/>
      <w:numFmt w:val="lowerLetter"/>
      <w:start w:val="5"/>
    </w:lvl>
  </w:abstractNum>
  <w:abstractNum w:abstractNumId="119">
    <w:nsid w:val="68B867D3"/>
    <w:multiLevelType w:val="hybridMultilevel"/>
    <w:lvl w:ilvl="0">
      <w:lvlJc w:val="left"/>
      <w:lvlText w:val="(%1)"/>
      <w:numFmt w:val="lowerLetter"/>
      <w:start w:val="1"/>
    </w:lvl>
  </w:abstractNum>
  <w:abstractNum w:abstractNumId="120">
    <w:nsid w:val="3F7F5DD9"/>
    <w:multiLevelType w:val="hybridMultilevel"/>
    <w:lvl w:ilvl="0">
      <w:lvlJc w:val="left"/>
      <w:lvlText w:val="(%1)"/>
      <w:numFmt w:val="lowerLetter"/>
      <w:start w:val="1"/>
    </w:lvl>
  </w:abstractNum>
  <w:abstractNum w:abstractNumId="121">
    <w:nsid w:val="2AE05A34"/>
    <w:multiLevelType w:val="hybridMultilevel"/>
    <w:lvl w:ilvl="0">
      <w:lvlJc w:val="left"/>
      <w:lvlText w:val="%1"/>
      <w:numFmt w:val="lowerLetter"/>
      <w:start w:val="1"/>
    </w:lvl>
    <w:lvl w:ilvl="1">
      <w:lvlJc w:val="left"/>
      <w:lvlText w:val="(%2)"/>
      <w:numFmt w:val="lowerLetter"/>
      <w:start w:val="3"/>
    </w:lvl>
  </w:abstractNum>
  <w:abstractNum w:abstractNumId="122">
    <w:nsid w:val="32794FF7"/>
    <w:multiLevelType w:val="hybridMultilevel"/>
    <w:lvl w:ilvl="0">
      <w:lvlJc w:val="left"/>
      <w:lvlText w:val="(%1)"/>
      <w:numFmt w:val="lowerLetter"/>
      <w:start w:val="61"/>
    </w:lvl>
    <w:lvl w:ilvl="1">
      <w:lvlJc w:val="left"/>
      <w:lvlText w:val="%2"/>
      <w:numFmt w:val="lowerLetter"/>
      <w:start w:val="1"/>
    </w:lvl>
  </w:abstractNum>
  <w:abstractNum w:abstractNumId="123">
    <w:nsid w:val="5454945E"/>
    <w:multiLevelType w:val="hybridMultilevel"/>
    <w:lvl w:ilvl="0">
      <w:lvlJc w:val="left"/>
      <w:lvlText w:val="%1."/>
      <w:numFmt w:val="decimal"/>
      <w:start w:val="3"/>
    </w:lvl>
  </w:abstractNum>
  <w:abstractNum w:abstractNumId="124">
    <w:nsid w:val="4DEFDFA0"/>
    <w:multiLevelType w:val="hybridMultilevel"/>
    <w:lvl w:ilvl="0">
      <w:lvlJc w:val="left"/>
      <w:lvlText w:val="(%1)"/>
      <w:numFmt w:val="lowerLetter"/>
      <w:start w:val="1"/>
    </w:lvl>
  </w:abstractNum>
  <w:abstractNum w:abstractNumId="125">
    <w:nsid w:val="2123D5F2"/>
    <w:multiLevelType w:val="hybridMultilevel"/>
    <w:lvl w:ilvl="0">
      <w:lvlJc w:val="left"/>
      <w:lvlText w:val="(%1)"/>
      <w:numFmt w:val="lowerLetter"/>
      <w:start w:val="1"/>
    </w:lvl>
  </w:abstractNum>
  <w:abstractNum w:abstractNumId="126">
    <w:nsid w:val="135B8110"/>
    <w:multiLevelType w:val="hybridMultilevel"/>
    <w:lvl w:ilvl="0">
      <w:lvlJc w:val="left"/>
      <w:lvlText w:val="%1."/>
      <w:numFmt w:val="decimal"/>
      <w:start w:val="4"/>
    </w:lvl>
  </w:abstractNum>
  <w:abstractNum w:abstractNumId="127">
    <w:nsid w:val="94927A8"/>
    <w:multiLevelType w:val="hybridMultilevel"/>
    <w:lvl w:ilvl="0">
      <w:lvlJc w:val="left"/>
      <w:lvlText w:val="(%1)"/>
      <w:numFmt w:val="lowerLetter"/>
      <w:start w:val="1"/>
    </w:lvl>
  </w:abstractNum>
  <w:abstractNum w:abstractNumId="128">
    <w:nsid w:val="DCDF8F6"/>
    <w:multiLevelType w:val="hybridMultilevel"/>
    <w:lvl w:ilvl="0">
      <w:lvlJc w:val="left"/>
      <w:lvlText w:val="%1."/>
      <w:numFmt w:val="decimal"/>
      <w:start w:val="5"/>
    </w:lvl>
  </w:abstractNum>
  <w:abstractNum w:abstractNumId="129">
    <w:nsid w:val="52D7B105"/>
    <w:multiLevelType w:val="hybridMultilevel"/>
    <w:lvl w:ilvl="0">
      <w:lvlJc w:val="left"/>
      <w:lvlText w:val="(%1)"/>
      <w:numFmt w:val="lowerLetter"/>
      <w:start w:val="1"/>
    </w:lvl>
  </w:abstractNum>
  <w:abstractNum w:abstractNumId="130">
    <w:nsid w:val="2E8A6394"/>
    <w:multiLevelType w:val="hybridMultilevel"/>
    <w:lvl w:ilvl="0">
      <w:lvlJc w:val="left"/>
      <w:lvlText w:val="%1."/>
      <w:numFmt w:val="decimal"/>
      <w:start w:val="6"/>
    </w:lvl>
  </w:abstractNum>
  <w:abstractNum w:abstractNumId="131">
    <w:nsid w:val="24E60401"/>
    <w:multiLevelType w:val="hybridMultilevel"/>
    <w:lvl w:ilvl="0">
      <w:lvlJc w:val="left"/>
      <w:lvlText w:val="(%1)"/>
      <w:numFmt w:val="lowerRoman"/>
      <w:start w:val="10"/>
    </w:lvl>
  </w:abstractNum>
  <w:abstractNum w:abstractNumId="132">
    <w:nsid w:val="2A6AD9BE"/>
    <w:multiLevelType w:val="hybridMultilevel"/>
    <w:lvl w:ilvl="0">
      <w:lvlJc w:val="left"/>
      <w:lvlText w:val="(%1)"/>
      <w:numFmt w:val="decimal"/>
      <w:start w:val="5"/>
    </w:lvl>
  </w:abstractNum>
  <w:abstractNum w:abstractNumId="133">
    <w:nsid w:val="BAAC1B4"/>
    <w:multiLevelType w:val="hybridMultilevel"/>
    <w:lvl w:ilvl="0">
      <w:lvlJc w:val="left"/>
      <w:lvlText w:val="(%1)"/>
      <w:numFmt w:val="decimal"/>
      <w:start w:val="919"/>
    </w:lvl>
  </w:abstractNum>
  <w:abstractNum w:abstractNumId="134">
    <w:nsid w:val="36B2ACBC"/>
    <w:multiLevelType w:val="hybridMultilevel"/>
    <w:lvl w:ilvl="0">
      <w:lvlJc w:val="left"/>
      <w:lvlText w:val="%1."/>
      <w:numFmt w:val="decimal"/>
      <w:start w:val="6"/>
    </w:lvl>
  </w:abstractNum>
  <w:abstractNum w:abstractNumId="135">
    <w:nsid w:val="779D8544"/>
    <w:multiLevelType w:val="hybridMultilevel"/>
    <w:lvl w:ilvl="0">
      <w:lvlJc w:val="left"/>
      <w:lvlText w:val="%1."/>
      <w:numFmt w:val="lowerRoman"/>
      <w:start w:val="1"/>
    </w:lvl>
  </w:abstractNum>
  <w:abstractNum w:abstractNumId="136">
    <w:nsid w:val="4AB26E78"/>
    <w:multiLevelType w:val="hybridMultilevel"/>
    <w:lvl w:ilvl="0">
      <w:lvlJc w:val="left"/>
      <w:lvlText w:val="%1."/>
      <w:numFmt w:val="lowerRoman"/>
      <w:start w:val="1"/>
    </w:lvl>
  </w:abstractNum>
  <w:abstractNum w:abstractNumId="137">
    <w:nsid w:val="21FAA2FA"/>
    <w:multiLevelType w:val="hybridMultilevel"/>
    <w:lvl w:ilvl="0">
      <w:lvlJc w:val="left"/>
      <w:lvlText w:val="%1."/>
      <w:numFmt w:val="lowerRoman"/>
      <w:start w:val="1"/>
    </w:lvl>
  </w:abstractNum>
  <w:abstractNum w:abstractNumId="138">
    <w:nsid w:val="5451CF49"/>
    <w:multiLevelType w:val="hybridMultilevel"/>
    <w:lvl w:ilvl="0">
      <w:lvlJc w:val="left"/>
      <w:lvlText w:val="%1."/>
      <w:numFmt w:val="lowerRoman"/>
      <w:start w:val="2"/>
    </w:lvl>
  </w:abstractNum>
  <w:abstractNum w:abstractNumId="139">
    <w:nsid w:val="6181EF69"/>
    <w:multiLevelType w:val="hybridMultilevel"/>
    <w:lvl w:ilvl="0">
      <w:lvlJc w:val="left"/>
      <w:lvlText w:val="%1."/>
      <w:numFmt w:val="lowerRoman"/>
      <w:start w:val="1"/>
    </w:lvl>
  </w:abstractNum>
  <w:abstractNum w:abstractNumId="140">
    <w:nsid w:val="3E6400E6"/>
    <w:multiLevelType w:val="hybridMultilevel"/>
    <w:lvl w:ilvl="0">
      <w:lvlJc w:val="left"/>
      <w:lvlText w:val="(%1)"/>
      <w:numFmt w:val="lowerLetter"/>
      <w:start w:val="1"/>
    </w:lvl>
    <w:lvl w:ilvl="1">
      <w:lvlJc w:val="left"/>
      <w:lvlText w:val="(%2)"/>
      <w:numFmt w:val="lowerRoman"/>
      <w:start w:val="1"/>
    </w:lvl>
  </w:abstractNum>
  <w:abstractNum w:abstractNumId="141">
    <w:nsid w:val="14217E23"/>
    <w:multiLevelType w:val="hybridMultilevel"/>
    <w:lvl w:ilvl="0">
      <w:lvlJc w:val="left"/>
      <w:lvlText w:val="(%1)"/>
      <w:numFmt w:val="lowerLetter"/>
      <w:start w:val="3"/>
    </w:lvl>
  </w:abstractNum>
  <w:abstractNum w:abstractNumId="142">
    <w:nsid w:val="710757D0"/>
    <w:multiLevelType w:val="hybridMultilevel"/>
    <w:lvl w:ilvl="0">
      <w:lvlJc w:val="left"/>
      <w:lvlText w:val="(%1)"/>
      <w:numFmt w:val="lowerLetter"/>
      <w:start w:val="1"/>
    </w:lvl>
  </w:abstractNum>
  <w:abstractNum w:abstractNumId="143">
    <w:nsid w:val="5015CD1A"/>
    <w:multiLevelType w:val="hybridMultilevel"/>
    <w:lvl w:ilvl="0">
      <w:lvlJc w:val="left"/>
      <w:lvlText w:val="(%1)"/>
      <w:numFmt w:val="lowerLetter"/>
      <w:start w:val="2"/>
    </w:lvl>
  </w:abstractNum>
  <w:abstractNum w:abstractNumId="144">
    <w:nsid w:val="424479DA"/>
    <w:multiLevelType w:val="hybridMultilevel"/>
    <w:lvl w:ilvl="0">
      <w:lvlJc w:val="left"/>
      <w:lvlText w:val="(%1)"/>
      <w:numFmt w:val="lowerLetter"/>
      <w:start w:val="1"/>
    </w:lvl>
  </w:abstractNum>
  <w:abstractNum w:abstractNumId="145">
    <w:nsid w:val="1A9A9E69"/>
    <w:multiLevelType w:val="hybridMultilevel"/>
    <w:lvl w:ilvl="0">
      <w:lvlJc w:val="left"/>
      <w:lvlText w:val="(%1)"/>
      <w:numFmt w:val="lowerLetter"/>
      <w:start w:val="1"/>
    </w:lvl>
  </w:abstractNum>
  <w:abstractNum w:abstractNumId="146">
    <w:nsid w:val="475E256A"/>
    <w:multiLevelType w:val="hybridMultilevel"/>
    <w:lvl w:ilvl="0">
      <w:lvlJc w:val="left"/>
      <w:lvlText w:val="(%1)"/>
      <w:numFmt w:val="lowerLetter"/>
      <w:start w:val="4"/>
    </w:lvl>
  </w:abstractNum>
  <w:abstractNum w:abstractNumId="147">
    <w:nsid w:val="368DB37E"/>
    <w:multiLevelType w:val="hybridMultilevel"/>
    <w:lvl w:ilvl="0">
      <w:lvlJc w:val="left"/>
      <w:lvlText w:val="(%1)"/>
      <w:numFmt w:val="lowerLetter"/>
      <w:start w:val="1"/>
    </w:lvl>
  </w:abstractNum>
  <w:abstractNum w:abstractNumId="148">
    <w:nsid w:val="6A3B714C"/>
    <w:multiLevelType w:val="hybridMultilevel"/>
    <w:lvl w:ilvl="0">
      <w:lvlJc w:val="left"/>
      <w:lvlText w:val="(%1)"/>
      <w:numFmt w:val="lowerLetter"/>
      <w:start w:val="4"/>
    </w:lvl>
  </w:abstractNum>
  <w:abstractNum w:abstractNumId="149">
    <w:nsid w:val="327B517E"/>
    <w:multiLevelType w:val="hybridMultilevel"/>
    <w:lvl w:ilvl="0">
      <w:lvlJc w:val="left"/>
      <w:lvlText w:val="(%1)"/>
      <w:numFmt w:val="lowerLetter"/>
      <w:start w:val="1"/>
    </w:lvl>
  </w:abstractNum>
  <w:abstractNum w:abstractNumId="150">
    <w:nsid w:val="1F461B51"/>
    <w:multiLevelType w:val="hybridMultilevel"/>
    <w:lvl w:ilvl="0">
      <w:lvlJc w:val="left"/>
      <w:lvlText w:val="(%1)"/>
      <w:numFmt w:val="decimal"/>
      <w:start w:val="5"/>
    </w:lvl>
  </w:abstractNum>
  <w:abstractNum w:abstractNumId="151">
    <w:nsid w:val="29BACF25"/>
    <w:multiLevelType w:val="hybridMultilevel"/>
    <w:lvl w:ilvl="0">
      <w:lvlJc w:val="left"/>
      <w:lvlText w:val="(%1)"/>
      <w:numFmt w:val="lowerLetter"/>
      <w:start w:val="2"/>
    </w:lvl>
  </w:abstractNum>
  <w:abstractNum w:abstractNumId="152">
    <w:nsid w:val="5D5BABB3"/>
    <w:multiLevelType w:val="hybridMultilevel"/>
    <w:lvl w:ilvl="0">
      <w:lvlJc w:val="left"/>
      <w:lvlText w:val="(%1)"/>
      <w:numFmt w:val="lowerLetter"/>
      <w:start w:val="1"/>
    </w:lvl>
  </w:abstractNum>
  <w:abstractNum w:abstractNumId="153">
    <w:nsid w:val="51BF6B48"/>
    <w:multiLevelType w:val="hybridMultilevel"/>
    <w:lvl w:ilvl="0">
      <w:lvlJc w:val="left"/>
      <w:lvlText w:val="%1"/>
      <w:numFmt w:val="lowerLetter"/>
      <w:start w:val="1"/>
    </w:lvl>
    <w:lvl w:ilvl="1">
      <w:lvlJc w:val="left"/>
      <w:lvlText w:val="(%2)"/>
      <w:numFmt w:val="lowerLetter"/>
      <w:start w:val="1"/>
    </w:lvl>
  </w:abstractNum>
  <w:abstractNum w:abstractNumId="154">
    <w:nsid w:val="7E0F6384"/>
    <w:multiLevelType w:val="hybridMultilevel"/>
    <w:lvl w:ilvl="0">
      <w:lvlJc w:val="left"/>
      <w:lvlText w:val="(%1)"/>
      <w:numFmt w:val="lowerLetter"/>
      <w:start w:val="9"/>
    </w:lvl>
    <w:lvl w:ilvl="1">
      <w:lvlJc w:val="left"/>
      <w:lvlText w:val="(%2)"/>
      <w:numFmt w:val="lowerLetter"/>
      <w:start w:val="2"/>
    </w:lvl>
  </w:abstractNum>
  <w:abstractNum w:abstractNumId="155">
    <w:nsid w:val="2B4B8B53"/>
    <w:multiLevelType w:val="hybridMultilevel"/>
    <w:lvl w:ilvl="0">
      <w:lvlJc w:val="left"/>
      <w:lvlText w:val="(%1)"/>
      <w:numFmt w:val="lowerLetter"/>
      <w:start w:val="1"/>
    </w:lvl>
  </w:abstractNum>
  <w:abstractNum w:abstractNumId="156">
    <w:nsid w:val="72E3413A"/>
    <w:multiLevelType w:val="hybridMultilevel"/>
    <w:lvl w:ilvl="0">
      <w:lvlJc w:val="left"/>
      <w:lvlText w:val="(%1)"/>
      <w:numFmt w:val="lowerLetter"/>
      <w:start w:val="3"/>
    </w:lvl>
  </w:abstractNum>
  <w:abstractNum w:abstractNumId="157">
    <w:nsid w:val="116AE494"/>
    <w:multiLevelType w:val="hybridMultilevel"/>
    <w:lvl w:ilvl="0">
      <w:lvlJc w:val="left"/>
      <w:lvlText w:val="(%1)"/>
      <w:numFmt w:val="lowerLetter"/>
      <w:start w:val="1"/>
    </w:lvl>
  </w:abstractNum>
  <w:abstractNum w:abstractNumId="158">
    <w:nsid w:val="3494B2FB"/>
    <w:multiLevelType w:val="hybridMultilevel"/>
    <w:lvl w:ilvl="0">
      <w:lvlJc w:val="left"/>
      <w:lvlText w:val="%1"/>
      <w:numFmt w:val="lowerLetter"/>
      <w:start w:val="1"/>
    </w:lvl>
    <w:lvl w:ilvl="1">
      <w:lvlJc w:val="left"/>
      <w:lvlText w:val="(%2)"/>
      <w:numFmt w:val="lowerLetter"/>
      <w:start w:val="1"/>
    </w:lvl>
  </w:abstractNum>
  <w:abstractNum w:abstractNumId="159">
    <w:nsid w:val="B13A31"/>
    <w:multiLevelType w:val="hybridMultilevel"/>
    <w:lvl w:ilvl="0">
      <w:lvlJc w:val="left"/>
      <w:lvlText w:val="(%1)"/>
      <w:numFmt w:val="lowerLetter"/>
      <w:start w:val="9"/>
    </w:lvl>
    <w:lvl w:ilvl="1">
      <w:lvlJc w:val="left"/>
      <w:lvlText w:val="%2"/>
      <w:numFmt w:val="lowerLetter"/>
      <w:start w:val="1"/>
    </w:lvl>
  </w:abstractNum>
  <w:abstractNum w:abstractNumId="160">
    <w:nsid w:val="64429599"/>
    <w:multiLevelType w:val="hybridMultilevel"/>
    <w:lvl w:ilvl="0">
      <w:lvlJc w:val="left"/>
      <w:lvlText w:val="(%1)"/>
      <w:numFmt w:val="lowerLetter"/>
      <w:start w:val="2"/>
    </w:lvl>
  </w:abstractNum>
  <w:abstractNum w:abstractNumId="161">
    <w:nsid w:val="631F1690"/>
    <w:multiLevelType w:val="hybridMultilevel"/>
    <w:lvl w:ilvl="0">
      <w:lvlJc w:val="left"/>
      <w:lvlText w:val="(%1)"/>
      <w:numFmt w:val="lowerRoman"/>
      <w:start w:val="1"/>
    </w:lvl>
  </w:abstractNum>
  <w:abstractNum w:abstractNumId="162">
    <w:nsid w:val="25973E32"/>
    <w:multiLevelType w:val="hybridMultilevel"/>
    <w:lvl w:ilvl="0">
      <w:lvlJc w:val="left"/>
      <w:lvlText w:val="(%1)"/>
      <w:numFmt w:val="lowerLetter"/>
      <w:start w:val="1"/>
    </w:lvl>
  </w:abstractNum>
  <w:abstractNum w:abstractNumId="163">
    <w:nsid w:val="EAD6F57"/>
    <w:multiLevelType w:val="hybridMultilevel"/>
    <w:lvl w:ilvl="0">
      <w:lvlJc w:val="left"/>
      <w:lvlText w:val="(%1)"/>
      <w:numFmt w:val="lowerLetter"/>
      <w:start w:val="1"/>
    </w:lvl>
  </w:abstractNum>
  <w:abstractNum w:abstractNumId="164">
    <w:nsid w:val="6EC9D844"/>
    <w:multiLevelType w:val="hybridMultilevel"/>
    <w:lvl w:ilvl="0">
      <w:lvlJc w:val="left"/>
      <w:lvlText w:val="(%1)"/>
      <w:numFmt w:val="lowerLetter"/>
      <w:start w:val="3"/>
    </w:lvl>
  </w:abstractNum>
  <w:abstractNum w:abstractNumId="165">
    <w:nsid w:val="5C49EAEE"/>
    <w:multiLevelType w:val="hybridMultilevel"/>
    <w:lvl w:ilvl="0">
      <w:lvlJc w:val="left"/>
      <w:lvlText w:val="(%1)"/>
      <w:numFmt w:val="lowerLetter"/>
      <w:start w:val="1"/>
    </w:lvl>
  </w:abstractNum>
  <w:abstractNum w:abstractNumId="166">
    <w:nsid w:val="64AF49B"/>
    <w:multiLevelType w:val="hybridMultilevel"/>
    <w:lvl w:ilvl="0">
      <w:lvlJc w:val="left"/>
      <w:lvlText w:val="(%1)"/>
      <w:numFmt w:val="lowerLetter"/>
      <w:start w:val="2"/>
    </w:lvl>
  </w:abstractNum>
  <w:abstractNum w:abstractNumId="167">
    <w:nsid w:val="397C46BC"/>
    <w:multiLevelType w:val="hybridMultilevel"/>
    <w:lvl w:ilvl="0">
      <w:lvlJc w:val="left"/>
      <w:lvlText w:val="(%1)"/>
      <w:numFmt w:val="lowerLetter"/>
      <w:start w:val="1"/>
    </w:lvl>
    <w:lvl w:ilvl="1">
      <w:lvlJc w:val="left"/>
      <w:lvlText w:val="(%2)"/>
      <w:numFmt w:val="lowerRoman"/>
      <w:start w:val="1"/>
    </w:lvl>
  </w:abstractNum>
  <w:abstractNum w:abstractNumId="168">
    <w:nsid w:val="7E448DE9"/>
    <w:multiLevelType w:val="hybridMultilevel"/>
    <w:lvl w:ilvl="0">
      <w:lvlJc w:val="left"/>
      <w:lvlText w:val="%1"/>
      <w:numFmt w:val="lowerLetter"/>
      <w:start w:val="1"/>
    </w:lvl>
    <w:lvl w:ilvl="1">
      <w:lvlJc w:val="left"/>
      <w:lvlText w:val="(%2)"/>
      <w:numFmt w:val="lowerRoman"/>
      <w:start w:val="3"/>
    </w:lvl>
  </w:abstractNum>
  <w:abstractNum w:abstractNumId="169">
    <w:nsid w:val="5A9CC3E5"/>
    <w:multiLevelType w:val="hybridMultilevel"/>
    <w:lvl w:ilvl="0">
      <w:lvlJc w:val="left"/>
      <w:lvlText w:val="(%1)"/>
      <w:numFmt w:val="lowerLetter"/>
      <w:start w:val="6"/>
    </w:lvl>
    <w:lvl w:ilvl="1">
      <w:lvlJc w:val="left"/>
      <w:lvlText w:val="%2"/>
      <w:numFmt w:val="lowerRoman"/>
      <w:start w:val="1"/>
    </w:lvl>
  </w:abstractNum>
  <w:abstractNum w:abstractNumId="170">
    <w:nsid w:val="1AFE3625"/>
    <w:multiLevelType w:val="hybridMultilevel"/>
    <w:lvl w:ilvl="0">
      <w:lvlJc w:val="left"/>
      <w:lvlText w:val="(%1)"/>
      <w:numFmt w:val="lowerLetter"/>
      <w:start w:val="1"/>
    </w:lvl>
  </w:abstractNum>
  <w:abstractNum w:abstractNumId="171">
    <w:nsid w:val="3CA88ECF"/>
    <w:multiLevelType w:val="hybridMultilevel"/>
    <w:lvl w:ilvl="0">
      <w:lvlJc w:val="left"/>
      <w:lvlText w:val="(%1)"/>
      <w:numFmt w:val="lowerLetter"/>
      <w:start w:val="1"/>
    </w:lvl>
  </w:abstractNum>
  <w:abstractNum w:abstractNumId="172">
    <w:nsid w:val="6EBE4208"/>
    <w:multiLevelType w:val="hybridMultilevel"/>
    <w:lvl w:ilvl="0">
      <w:lvlJc w:val="left"/>
      <w:lvlText w:val="(%1)"/>
      <w:numFmt w:val="lowerLetter"/>
      <w:start w:val="1"/>
    </w:lvl>
  </w:abstractNum>
  <w:abstractNum w:abstractNumId="173">
    <w:nsid w:val="C058DF5"/>
    <w:multiLevelType w:val="hybridMultilevel"/>
    <w:lvl w:ilvl="0">
      <w:lvlJc w:val="left"/>
      <w:lvlText w:val="(%1)"/>
      <w:numFmt w:val="lowerLetter"/>
      <w:start w:val="4"/>
    </w:lvl>
  </w:abstractNum>
  <w:abstractNum w:abstractNumId="174">
    <w:nsid w:val="CBE5BE9"/>
    <w:multiLevelType w:val="hybridMultilevel"/>
    <w:lvl w:ilvl="0">
      <w:lvlJc w:val="left"/>
      <w:lvlText w:val="(%1)"/>
      <w:numFmt w:val="lowerLetter"/>
      <w:start w:val="1"/>
    </w:lvl>
  </w:abstractNum>
  <w:abstractNum w:abstractNumId="175">
    <w:nsid w:val="3102BBE2"/>
    <w:multiLevelType w:val="hybridMultilevel"/>
    <w:lvl w:ilvl="0">
      <w:lvlJc w:val="left"/>
      <w:lvlText w:val="(%1)"/>
      <w:numFmt w:val="lowerLetter"/>
      <w:start w:val="1"/>
    </w:lvl>
  </w:abstractNum>
  <w:abstractNum w:abstractNumId="176">
    <w:nsid w:val="26A02C5E"/>
    <w:multiLevelType w:val="hybridMultilevel"/>
    <w:lvl w:ilvl="0">
      <w:lvlJc w:val="left"/>
      <w:lvlText w:val="%1."/>
      <w:numFmt w:val="decimal"/>
      <w:start w:val="1"/>
    </w:lvl>
    <w:lvl w:ilvl="1">
      <w:lvlJc w:val="left"/>
      <w:lvlText w:val="(%2)"/>
      <w:numFmt w:val="lowerLetter"/>
      <w:start w:val="1"/>
    </w:lvl>
  </w:abstractNum>
  <w:abstractNum w:abstractNumId="177">
    <w:nsid w:val="541C8153"/>
    <w:multiLevelType w:val="hybridMultilevel"/>
    <w:lvl w:ilvl="0">
      <w:lvlJc w:val="left"/>
      <w:lvlText w:val="(%1)"/>
      <w:numFmt w:val="lowerLetter"/>
      <w:start w:val="2"/>
    </w:lvl>
  </w:abstractNum>
  <w:abstractNum w:abstractNumId="178">
    <w:nsid w:val="67906F60"/>
    <w:multiLevelType w:val="hybridMultilevel"/>
    <w:lvl w:ilvl="0">
      <w:lvlJc w:val="left"/>
      <w:lvlText w:val="%1."/>
      <w:numFmt w:val="decimal"/>
      <w:start w:val="5"/>
    </w:lvl>
    <w:lvl w:ilvl="1">
      <w:lvlJc w:val="left"/>
      <w:lvlText w:val="(%2)"/>
      <w:numFmt w:val="lowerLetter"/>
      <w:start w:val="1"/>
    </w:lvl>
  </w:abstractNum>
  <w:abstractNum w:abstractNumId="179">
    <w:nsid w:val="10DB9DAA"/>
    <w:multiLevelType w:val="hybridMultilevel"/>
    <w:lvl w:ilvl="0">
      <w:lvlJc w:val="left"/>
      <w:lvlText w:val="%1"/>
      <w:numFmt w:val="decimal"/>
      <w:start w:val="1"/>
    </w:lvl>
    <w:lvl w:ilvl="1">
      <w:lvlJc w:val="left"/>
      <w:lvlText w:val="(%2)"/>
      <w:numFmt w:val="lowerLetter"/>
      <w:start w:val="3"/>
    </w:lvl>
  </w:abstractNum>
  <w:abstractNum w:abstractNumId="180">
    <w:nsid w:val="697D2D2"/>
    <w:multiLevelType w:val="hybridMultilevel"/>
    <w:lvl w:ilvl="0">
      <w:lvlJc w:val="left"/>
      <w:lvlText w:val="%1."/>
      <w:numFmt w:val="decimal"/>
      <w:start w:val="9"/>
    </w:lvl>
    <w:lvl w:ilvl="1">
      <w:lvlJc w:val="left"/>
      <w:lvlText w:val="%2"/>
      <w:numFmt w:val="lowerLetter"/>
      <w:start w:val="1"/>
    </w:lvl>
  </w:abstractNum>
  <w:abstractNum w:abstractNumId="181">
    <w:nsid w:val="6D68AB2"/>
    <w:multiLevelType w:val="hybridMultilevel"/>
    <w:lvl w:ilvl="0">
      <w:lvlJc w:val="left"/>
      <w:lvlText w:val="%1."/>
      <w:numFmt w:val="decimal"/>
      <w:start w:val="11"/>
    </w:lvl>
    <w:lvl w:ilvl="1">
      <w:lvlJc w:val="left"/>
      <w:lvlText w:val="(%2)"/>
      <w:numFmt w:val="lowerLetter"/>
      <w:start w:val="1"/>
    </w:lvl>
  </w:abstractNum>
  <w:abstractNum w:abstractNumId="182">
    <w:nsid w:val="3A966CD0"/>
    <w:multiLevelType w:val="hybridMultilevel"/>
    <w:lvl w:ilvl="0">
      <w:lvlJc w:val="left"/>
      <w:lvlText w:val="%1."/>
      <w:numFmt w:val="decimal"/>
      <w:start w:val="13"/>
    </w:lvl>
  </w:abstractNum>
  <w:abstractNum w:abstractNumId="183">
    <w:nsid w:val="63F37E85"/>
    <w:multiLevelType w:val="hybridMultilevel"/>
    <w:lvl w:ilvl="0">
      <w:lvlJc w:val="left"/>
      <w:lvlText w:val="%1."/>
      <w:numFmt w:val="decimal"/>
      <w:start w:val="19"/>
    </w:lvl>
  </w:abstractNum>
  <w:abstractNum w:abstractNumId="184">
    <w:nsid w:val="5895F5FA"/>
    <w:multiLevelType w:val="hybridMultilevel"/>
    <w:lvl w:ilvl="0">
      <w:lvlJc w:val="left"/>
      <w:lvlText w:val="**"/>
      <w:numFmt w:val="bullet"/>
      <w:start w:val="1"/>
    </w:lvl>
  </w:abstractNum>
  <w:abstractNum w:abstractNumId="185">
    <w:nsid w:val="38A5D054"/>
    <w:multiLevelType w:val="hybridMultilevel"/>
    <w:lvl w:ilvl="0">
      <w:lvlJc w:val="left"/>
      <w:lvlText w:val="%1"/>
      <w:numFmt w:val="decimal"/>
      <w:start w:val="1"/>
    </w:lvl>
    <w:lvl w:ilvl="1">
      <w:lvlJc w:val="left"/>
      <w:lvlText w:val="%2."/>
      <w:numFmt w:val="upperLetter"/>
      <w:start w:val="1"/>
    </w:lvl>
  </w:abstractNum>
  <w:abstractNum w:abstractNumId="186">
    <w:nsid w:val="F3F09D8"/>
    <w:multiLevelType w:val="hybridMultilevel"/>
    <w:lvl w:ilvl="0">
      <w:lvlJc w:val="left"/>
      <w:lvlText w:val="%1."/>
      <w:numFmt w:val="decimal"/>
      <w:start w:val="1"/>
    </w:lvl>
    <w:lvl w:ilvl="1">
      <w:lvlJc w:val="left"/>
      <w:lvlText w:val="%2"/>
      <w:numFmt w:val="upperLetter"/>
      <w:start w:val="1"/>
    </w:lvl>
  </w:abstractNum>
  <w:abstractNum w:abstractNumId="187">
    <w:nsid w:val="4B793735"/>
    <w:multiLevelType w:val="hybridMultilevel"/>
    <w:lvl w:ilvl="0">
      <w:lvlJc w:val="left"/>
      <w:lvlText w:val="%1."/>
      <w:numFmt w:val="decimal"/>
      <w:start w:val="2"/>
    </w:lvl>
  </w:abstractNum>
  <w:abstractNum w:abstractNumId="188">
    <w:nsid w:val="4A10B4E8"/>
    <w:multiLevelType w:val="hybridMultilevel"/>
    <w:lvl w:ilvl="0">
      <w:lvlJc w:val="left"/>
      <w:lvlText w:val="(%1)"/>
      <w:numFmt w:val="lowerLetter"/>
      <w:start w:val="1"/>
    </w:lvl>
  </w:abstractNum>
  <w:abstractNum w:abstractNumId="189">
    <w:nsid w:val="43D3BCD4"/>
    <w:multiLevelType w:val="hybridMultilevel"/>
    <w:lvl w:ilvl="0">
      <w:lvlJc w:val="left"/>
      <w:lvlText w:val="%1"/>
      <w:numFmt w:val="decimal"/>
      <w:start w:val="1"/>
    </w:lvl>
    <w:lvl w:ilvl="1">
      <w:lvlJc w:val="left"/>
      <w:lvlText w:val="(%2)"/>
      <w:numFmt w:val="lowerLetter"/>
      <w:start w:val="4"/>
    </w:lvl>
  </w:abstractNum>
  <w:abstractNum w:abstractNumId="190">
    <w:nsid w:val="4C2A7166"/>
    <w:multiLevelType w:val="hybridMultilevel"/>
    <w:lvl w:ilvl="0">
      <w:lvlJc w:val="left"/>
      <w:lvlText w:val="%1."/>
      <w:numFmt w:val="decimal"/>
      <w:start w:val="3"/>
    </w:lvl>
    <w:lvl w:ilvl="1">
      <w:lvlJc w:val="left"/>
      <w:lvlText w:val="%2"/>
      <w:numFmt w:val="lowerLetter"/>
      <w:start w:val="1"/>
    </w:lvl>
  </w:abstractNum>
  <w:abstractNum w:abstractNumId="191">
    <w:nsid w:val="2E534A82"/>
    <w:multiLevelType w:val="hybridMultilevel"/>
    <w:lvl w:ilvl="0">
      <w:lvlJc w:val="left"/>
      <w:lvlText w:val="%1."/>
      <w:numFmt w:val="decimal"/>
      <w:start w:val="4"/>
    </w:lvl>
  </w:abstractNum>
  <w:abstractNum w:abstractNumId="192">
    <w:nsid w:val="26F2D364"/>
    <w:multiLevelType w:val="hybridMultilevel"/>
    <w:lvl w:ilvl="0">
      <w:lvlJc w:val="left"/>
      <w:lvlText w:val="%1."/>
      <w:numFmt w:val="decimal"/>
      <w:start w:val="5"/>
    </w:lvl>
  </w:abstractNum>
  <w:abstractNum w:abstractNumId="193">
    <w:nsid w:val="71C1AF98"/>
    <w:multiLevelType w:val="hybridMultilevel"/>
    <w:lvl w:ilvl="0">
      <w:lvlJc w:val="left"/>
      <w:lvlText w:val="%1."/>
      <w:numFmt w:val="decimal"/>
      <w:start w:val="6"/>
    </w:lvl>
  </w:abstractNum>
  <w:abstractNum w:abstractNumId="194">
    <w:nsid w:val="3D00B9D9"/>
    <w:multiLevelType w:val="hybridMultilevel"/>
    <w:lvl w:ilvl="0">
      <w:lvlJc w:val="left"/>
      <w:lvlText w:val="%1."/>
      <w:numFmt w:val="decimal"/>
      <w:start w:val="7"/>
    </w:lvl>
  </w:abstractNum>
  <w:abstractNum w:abstractNumId="195">
    <w:nsid w:val="15BCABA8"/>
    <w:multiLevelType w:val="hybridMultilevel"/>
    <w:lvl w:ilvl="0">
      <w:lvlJc w:val="left"/>
      <w:lvlText w:val="(%1)"/>
      <w:numFmt w:val="lowerRoman"/>
      <w:start w:val="2"/>
    </w:lvl>
  </w:abstractNum>
  <w:abstractNum w:abstractNumId="196">
    <w:nsid w:val="4E0B9A87"/>
    <w:multiLevelType w:val="hybridMultilevel"/>
    <w:lvl w:ilvl="0">
      <w:lvlJc w:val="left"/>
      <w:lvlText w:val="%1."/>
      <w:numFmt w:val="decimal"/>
      <w:start w:val="8"/>
    </w:lvl>
  </w:abstractNum>
  <w:abstractNum w:abstractNumId="197">
    <w:nsid w:val="434BAE75"/>
    <w:multiLevelType w:val="hybridMultilevel"/>
    <w:lvl w:ilvl="0">
      <w:lvlJc w:val="left"/>
      <w:lvlText w:val="%1"/>
      <w:numFmt w:val="decimal"/>
      <w:start w:val="1"/>
    </w:lvl>
    <w:lvl w:ilvl="1">
      <w:lvlJc w:val="left"/>
      <w:lvlText w:val="(%2)"/>
      <w:numFmt w:val="lowerLetter"/>
      <w:start w:val="2"/>
    </w:lvl>
  </w:abstractNum>
  <w:abstractNum w:abstractNumId="198">
    <w:nsid w:val="4F38F265"/>
    <w:multiLevelType w:val="hybridMultilevel"/>
    <w:lvl w:ilvl="0">
      <w:lvlJc w:val="left"/>
      <w:lvlText w:val="%1."/>
      <w:numFmt w:val="decimal"/>
      <w:start w:val="9"/>
    </w:lvl>
    <w:lvl w:ilvl="1">
      <w:lvlJc w:val="left"/>
      <w:lvlText w:val="%2"/>
      <w:numFmt w:val="lowerLetter"/>
      <w:start w:val="1"/>
    </w:lvl>
  </w:abstractNum>
  <w:abstractNum w:abstractNumId="199">
    <w:nsid w:val="4C502870"/>
    <w:multiLevelType w:val="hybridMultilevel"/>
    <w:lvl w:ilvl="0">
      <w:lvlJc w:val="left"/>
      <w:lvlText w:val="%1."/>
      <w:numFmt w:val="decimal"/>
      <w:start w:val="10"/>
    </w:lvl>
  </w:abstractNum>
  <w:abstractNum w:abstractNumId="200">
    <w:nsid w:val="1DE8725A"/>
    <w:multiLevelType w:val="hybridMultilevel"/>
    <w:lvl w:ilvl="0">
      <w:lvlJc w:val="left"/>
      <w:lvlText w:val="(%1)"/>
      <w:numFmt w:val="lowerLetter"/>
      <w:start w:val="3"/>
    </w:lvl>
  </w:abstractNum>
  <w:abstractNum w:abstractNumId="201">
    <w:nsid w:val="6A37288A"/>
    <w:multiLevelType w:val="hybridMultilevel"/>
    <w:lvl w:ilvl="0">
      <w:lvlJc w:val="left"/>
      <w:lvlText w:val="%1."/>
      <w:numFmt w:val="decimal"/>
      <w:start w:val="11"/>
    </w:lvl>
  </w:abstractNum>
  <w:abstractNum w:abstractNumId="202">
    <w:nsid w:val="8F8B73F"/>
    <w:multiLevelType w:val="hybridMultilevel"/>
    <w:lvl w:ilvl="0">
      <w:lvlJc w:val="left"/>
      <w:lvlText w:val="(%1)"/>
      <w:numFmt w:val="lowerLetter"/>
      <w:start w:val="2"/>
    </w:lvl>
  </w:abstractNum>
  <w:abstractNum w:abstractNumId="203">
    <w:nsid w:val="CA6B462"/>
    <w:multiLevelType w:val="hybridMultilevel"/>
    <w:lvl w:ilvl="0">
      <w:lvlJc w:val="left"/>
      <w:lvlText w:val="%1."/>
      <w:numFmt w:val="decimal"/>
      <w:start w:val="12"/>
    </w:lvl>
  </w:abstractNum>
  <w:abstractNum w:abstractNumId="204">
    <w:nsid w:val="763CB680"/>
    <w:multiLevelType w:val="hybridMultilevel"/>
    <w:lvl w:ilvl="0">
      <w:lvlJc w:val="left"/>
      <w:lvlText w:val="%1."/>
      <w:numFmt w:val="decimal"/>
      <w:start w:val="13"/>
    </w:lvl>
  </w:abstractNum>
  <w:abstractNum w:abstractNumId="205">
    <w:nsid w:val="15B71329"/>
    <w:multiLevelType w:val="hybridMultilevel"/>
    <w:lvl w:ilvl="0">
      <w:lvlJc w:val="left"/>
      <w:lvlText w:val="%1."/>
      <w:numFmt w:val="decimal"/>
      <w:start w:val="14"/>
    </w:lvl>
  </w:abstractNum>
  <w:abstractNum w:abstractNumId="206">
    <w:nsid w:val="3DA97044"/>
    <w:multiLevelType w:val="hybridMultilevel"/>
    <w:lvl w:ilvl="0">
      <w:lvlJc w:val="left"/>
      <w:lvlText w:val="%1."/>
      <w:numFmt w:val="decimal"/>
      <w:start w:val="1"/>
    </w:lvl>
  </w:abstractNum>
  <w:abstractNum w:abstractNumId="207">
    <w:nsid w:val="1CDCE2DE"/>
    <w:multiLevelType w:val="hybridMultilevel"/>
    <w:lvl w:ilvl="0">
      <w:lvlJc w:val="left"/>
      <w:lvlText w:val="%1)"/>
      <w:numFmt w:val="lowerLetter"/>
      <w:start w:val="1"/>
    </w:lvl>
  </w:abstractNum>
  <w:abstractNum w:abstractNumId="208">
    <w:nsid w:val="69D3947C"/>
    <w:multiLevelType w:val="hybridMultilevel"/>
    <w:lvl w:ilvl="0">
      <w:lvlJc w:val="left"/>
      <w:lvlText w:val="%1."/>
      <w:numFmt w:val="decimal"/>
      <w:start w:val="2"/>
    </w:lvl>
  </w:abstractNum>
  <w:abstractNum w:abstractNumId="209">
    <w:nsid w:val="2539DFA5"/>
    <w:multiLevelType w:val="hybridMultilevel"/>
    <w:lvl w:ilvl="0">
      <w:lvlJc w:val="left"/>
      <w:lvlText w:val="%1."/>
      <w:numFmt w:val="decimal"/>
      <w:start w:val="3"/>
    </w:lvl>
    <w:lvl w:ilvl="1">
      <w:lvlJc w:val="left"/>
      <w:lvlText w:val="[***]"/>
      <w:numFmt w:val="bullet"/>
      <w:start w:val="1"/>
    </w:lvl>
  </w:abstractNum>
  <w:abstractNum w:abstractNumId="210">
    <w:nsid w:val="2DB88089"/>
    <w:multiLevelType w:val="hybridMultilevel"/>
    <w:lvl w:ilvl="0">
      <w:lvlJc w:val="left"/>
      <w:lvlText w:val="%1."/>
      <w:numFmt w:val="decimal"/>
      <w:start w:val="7"/>
    </w:lvl>
  </w:abstractNum>
  <w:abstractNum w:abstractNumId="211">
    <w:nsid w:val="706B674E"/>
    <w:multiLevelType w:val="hybridMultilevel"/>
    <w:lvl w:ilvl="0">
      <w:lvlJc w:val="left"/>
      <w:lvlText w:val="%1."/>
      <w:numFmt w:val="decimal"/>
      <w:start w:val="9"/>
    </w:lvl>
    <w:lvl w:ilvl="1">
      <w:lvlJc w:val="left"/>
      <w:lvlText w:val="(%2)"/>
      <w:numFmt w:val="lowerRoman"/>
      <w:start w:val="1"/>
    </w:lvl>
  </w:abstractNum>
  <w:abstractNum w:abstractNumId="212">
    <w:nsid w:val="2C106A57"/>
    <w:multiLevelType w:val="hybridMultilevel"/>
    <w:lvl w:ilvl="0">
      <w:lvlJc w:val="left"/>
      <w:lvlText w:val="%1."/>
      <w:numFmt w:val="decimal"/>
      <w:start w:val="10"/>
    </w:lvl>
  </w:abstractNum>
  <w:abstractNum w:abstractNumId="213">
    <w:nsid w:val="684EED59"/>
    <w:multiLevelType w:val="hybridMultilevel"/>
    <w:lvl w:ilvl="0">
      <w:lvlJc w:val="left"/>
      <w:lvlText w:val="%1."/>
      <w:numFmt w:val="decimal"/>
      <w:start w:val="1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2020-06-22T08:35:08Z</dcterms:created>
  <dcterms:modified xsi:type="dcterms:W3CDTF">2020-06-22T08:35:08Z</dcterms:modified>
</cp:coreProperties>
</file>