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77997.xml.htm"/>
      <w:bookmarkStart w:id="1" w:name="kswkform4_17896779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Rieger April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6770 PARKER FARM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nCino, Inc.</w:t>
              </w:r>
            </w:hyperlink>
            <w:r>
              <w:rPr/>
              <w:t xml:space="preserve"> [ </w:t>
            </w:r>
            <w:r>
              <w:rPr>
                <w:rFonts w:ascii="Times;serif" w:hAnsi="Times;serif"/>
                <w:color w:val="0000FF"/>
                <w:sz w:val="24"/>
                <w:shd w:fill="FFFFFF" w:val="clear"/>
              </w:rPr>
              <w:t>NCNO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Lgl. &amp; Admin Ofc., Sec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6,098</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21.983</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369,651</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to cover tax withholding due upon vesting of RSUs. Such "sales to cover" are mandated by the Issuer's equity incentive plans to satisfy tax withholding obligations and do not represent a discretionary trade by the reporting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Jeanette Sellers, Attorney-in-Fact for April Rieger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8630" TargetMode="External"/><Relationship Id="rId5" Type="http://schemas.openxmlformats.org/officeDocument/2006/relationships/hyperlink" Target="http://www.sec.gov/cgi-bin/browse-edgar?action=getcompany&amp;CIK=00019027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612</Words>
  <Characters>3318</Characters>
  <CharactersWithSpaces>3861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