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3791.xml.htm"/>
      <w:bookmarkStart w:id="1" w:name="kswkform4_17860537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Rieger April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6770 PARKER FARM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nCino, Inc.</w:t>
              </w:r>
            </w:hyperlink>
            <w:r>
              <w:rPr/>
              <w:t xml:space="preserve"> [ </w:t>
            </w:r>
            <w:r>
              <w:rPr>
                <w:rFonts w:ascii="Times;serif" w:hAnsi="Times;serif"/>
                <w:color w:val="0000FF"/>
                <w:sz w:val="24"/>
                <w:shd w:fill="FFFFFF" w:val="clear"/>
              </w:rPr>
              <w:t>NCNO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Lgl. &amp; Admin Ofc.,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7,852</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19.218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375,749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due upon vesting of RSUs. Such "sales to cover" are mandated by the Issuer's equity incentive plans to satisfy tax withholding obligations and do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Sellers, Attorney-in-Fact for April Rieger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8630" TargetMode="External"/><Relationship Id="rId5" Type="http://schemas.openxmlformats.org/officeDocument/2006/relationships/hyperlink" Target="http://www.sec.gov/cgi-bin/browse-edgar?action=getcompany&amp;CIK=00019027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3318</Characters>
  <CharactersWithSpaces>3861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